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0987"/>
      <w:bookmarkStart w:id="1" w:name="_Toc15310"/>
    </w:p>
    <w:p>
      <w:pPr>
        <w:pStyle w:val="24"/>
        <w:rPr>
          <w:rFonts w:hint="eastAsia"/>
        </w:rPr>
      </w:pPr>
    </w:p>
    <w:p>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中国重汽集团济南成型厂6300T、3150T热模锻生产线复产项目-新增石墨废水预处理站</w:t>
      </w: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2026</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w:t>
      </w:r>
      <w:r>
        <w:rPr>
          <w:rFonts w:hint="eastAsia" w:asciiTheme="minorEastAsia" w:hAnsiTheme="minorEastAsia" w:eastAsiaTheme="minorEastAsia" w:cstheme="minorEastAsia"/>
          <w:sz w:val="30"/>
          <w:szCs w:val="30"/>
        </w:rPr>
        <w:t>月</w:t>
      </w:r>
    </w:p>
    <w:p>
      <w:pPr>
        <w:ind w:firstLine="420"/>
        <w:rPr>
          <w:rFonts w:hint="eastAsia" w:asciiTheme="minorEastAsia" w:hAnsiTheme="minorEastAsia" w:eastAsiaTheme="minorEastAsia" w:cstheme="minorEastAsia"/>
        </w:rPr>
      </w:pPr>
    </w:p>
    <w:p>
      <w:pPr>
        <w:ind w:firstLine="420"/>
        <w:rPr>
          <w:rFonts w:hint="eastAsia" w:asciiTheme="minorEastAsia" w:hAnsiTheme="minorEastAsia" w:eastAsiaTheme="minorEastAsia" w:cstheme="minorEastAsia"/>
        </w:rPr>
      </w:pPr>
    </w:p>
    <w:bookmarkEnd w:id="0"/>
    <w:bookmarkEnd w:id="1"/>
    <w:p>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pPr>
        <w:pStyle w:val="2"/>
        <w:snapToGrid w:val="0"/>
        <w:spacing w:before="0" w:after="0" w:line="360" w:lineRule="auto"/>
        <w:ind w:firstLine="643"/>
        <w:jc w:val="center"/>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szCs w:val="32"/>
        </w:rPr>
        <w:t>招标公告</w:t>
      </w:r>
      <w:bookmarkEnd w:id="2"/>
      <w:bookmarkEnd w:id="3"/>
      <w:bookmarkEnd w:id="4"/>
      <w:r>
        <w:rPr>
          <w:rFonts w:hint="eastAsia" w:asciiTheme="minorEastAsia" w:hAnsiTheme="minorEastAsia" w:eastAsiaTheme="minorEastAsia" w:cstheme="minorEastAsia"/>
          <w:szCs w:val="32"/>
          <w:lang w:eastAsia="zh-CN"/>
        </w:rPr>
        <w:t>（</w:t>
      </w:r>
      <w:r>
        <w:rPr>
          <w:rFonts w:hint="eastAsia" w:asciiTheme="minorEastAsia" w:hAnsiTheme="minorEastAsia" w:eastAsiaTheme="minorEastAsia" w:cstheme="minorEastAsia"/>
          <w:szCs w:val="32"/>
          <w:lang w:val="en-US" w:eastAsia="zh-CN"/>
        </w:rPr>
        <w:t>二次公告）</w:t>
      </w:r>
    </w:p>
    <w:p>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中国重汽集团6300T、3150T热模锻生产线复产项目-新增石墨废水预处理站</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285809451"/>
      <w:bookmarkEnd w:id="6"/>
      <w:bookmarkStart w:id="7" w:name="_Toc152042290"/>
      <w:bookmarkEnd w:id="7"/>
      <w:bookmarkStart w:id="8" w:name="_Toc179632530"/>
      <w:bookmarkEnd w:id="8"/>
      <w:bookmarkStart w:id="9" w:name="_Toc152045514"/>
      <w:bookmarkEnd w:id="9"/>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6300T、3150T热模锻生产线复产项目-新增石墨废水预处理站  </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ZBGL2026010100</w:t>
      </w:r>
      <w:r>
        <w:rPr>
          <w:rFonts w:hint="eastAsia" w:asciiTheme="minorEastAsia" w:hAnsiTheme="minorEastAsia" w:eastAsiaTheme="minorEastAsia" w:cstheme="minorEastAsia"/>
          <w:kern w:val="0"/>
          <w:sz w:val="24"/>
          <w:szCs w:val="24"/>
          <w:highlight w:val="non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highlight w:val="none"/>
          <w:u w:val="single"/>
        </w:rPr>
        <w:t>济南成型厂</w:t>
      </w:r>
      <w:r>
        <w:rPr>
          <w:rFonts w:hint="eastAsia" w:ascii="宋体" w:hAnsi="宋体" w:eastAsia="宋体" w:cs="宋体"/>
          <w:color w:val="000000"/>
          <w:sz w:val="24"/>
          <w:highlight w:val="none"/>
          <w:u w:val="single"/>
          <w:lang w:val="en-US" w:eastAsia="zh-CN"/>
        </w:rPr>
        <w:t>党家庄厂区</w:t>
      </w:r>
      <w:r>
        <w:rPr>
          <w:rFonts w:hint="eastAsia" w:asciiTheme="minorEastAsia" w:hAnsiTheme="minorEastAsia" w:eastAsiaTheme="minorEastAsia" w:cstheme="minorEastAsia"/>
          <w:kern w:val="0"/>
          <w:sz w:val="24"/>
          <w:szCs w:val="24"/>
          <w:highlight w:val="none"/>
          <w:u w:val="single"/>
          <w:lang w:bidi="en-US"/>
        </w:rPr>
        <w:t>；</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r>
        <w:rPr>
          <w:rFonts w:hint="eastAsia" w:asciiTheme="minorEastAsia" w:hAnsiTheme="minorEastAsia" w:eastAsiaTheme="minorEastAsia" w:cstheme="minorEastAsia"/>
          <w:kern w:val="0"/>
          <w:sz w:val="24"/>
          <w:szCs w:val="24"/>
          <w:highlight w:val="none"/>
          <w:lang w:bidi="en-US"/>
        </w:rPr>
        <w:t>项目概况</w:t>
      </w:r>
      <w:r>
        <w:rPr>
          <w:rFonts w:hint="eastAsia" w:asciiTheme="minorEastAsia" w:hAnsiTheme="minorEastAsia" w:eastAsiaTheme="minorEastAsia" w:cstheme="minorEastAsia"/>
          <w:kern w:val="0"/>
          <w:sz w:val="24"/>
          <w:szCs w:val="24"/>
          <w:highlight w:val="none"/>
          <w:lang w:eastAsia="zh-CN" w:bidi="en-US"/>
        </w:rPr>
        <w:t>：</w:t>
      </w:r>
      <w:r>
        <w:rPr>
          <w:rFonts w:hint="eastAsia" w:asciiTheme="minorEastAsia" w:hAnsiTheme="minorEastAsia" w:eastAsiaTheme="minorEastAsia" w:cstheme="minorEastAsia"/>
          <w:kern w:val="0"/>
          <w:sz w:val="24"/>
          <w:szCs w:val="24"/>
          <w:highlight w:val="none"/>
          <w:u w:val="single"/>
          <w:lang w:val="en-US" w:eastAsia="zh-CN" w:bidi="en-US"/>
        </w:rPr>
        <w:t>济南成型厂6300T、3150T 热模锻生产线复产技改项目新增锻造生产线石墨废水预处理站一套。</w:t>
      </w:r>
      <w:r>
        <w:rPr>
          <w:rFonts w:hint="eastAsia" w:ascii="宋体" w:hAnsi="宋体"/>
          <w:b w:val="0"/>
          <w:bCs w:val="0"/>
          <w:color w:val="000000"/>
          <w:sz w:val="24"/>
          <w:szCs w:val="24"/>
          <w:lang w:val="en-US" w:eastAsia="zh-CN" w:bidi="zh-CN"/>
        </w:rPr>
        <w:t>技术要求详见“招标文件”</w:t>
      </w:r>
    </w:p>
    <w:p>
      <w:pPr>
        <w:pStyle w:val="151"/>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2022年1月1日至今经第三方审计的公司财务报表(资产负债表、损益表、现金流量表)未显示异常；（如投标人公司没有经审计的财务报告，可提供加盖公章的近三年财务报表，包括但不限于资产负债表、利润表、现金流量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w:t>
      </w:r>
      <w:r>
        <w:rPr>
          <w:rFonts w:hint="eastAsia" w:ascii="宋体" w:hAnsi="宋体" w:cs="宋体"/>
          <w:b/>
          <w:bCs/>
          <w:color w:val="000000"/>
          <w:sz w:val="24"/>
          <w:szCs w:val="24"/>
          <w:highlight w:val="none"/>
          <w:lang w:val="en-US" w:eastAsia="zh-CN"/>
        </w:rPr>
        <w:t>应标</w:t>
      </w:r>
      <w:r>
        <w:rPr>
          <w:rFonts w:hint="eastAsia" w:ascii="宋体" w:hAnsi="宋体" w:eastAsia="宋体" w:cs="宋体"/>
          <w:b/>
          <w:bCs/>
          <w:color w:val="000000"/>
          <w:sz w:val="24"/>
          <w:szCs w:val="24"/>
          <w:highlight w:val="none"/>
        </w:rPr>
        <w:t>报名</w:t>
      </w:r>
    </w:p>
    <w:p>
      <w:pPr>
        <w:keepNext/>
        <w:keepLines/>
        <w:spacing w:line="360" w:lineRule="auto"/>
        <w:ind w:firstLine="482" w:firstLineChars="200"/>
        <w:outlineLvl w:val="2"/>
        <w:rPr>
          <w:rFonts w:hint="default" w:ascii="宋体" w:hAnsi="宋体" w:eastAsia="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应标报名截止时间：2026年1月20日17：00</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ascii="宋体" w:hAnsi="宋体" w:eastAsia="宋体" w:cs="宋体"/>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：请登录系统核对系统中2022-2024年度财务数据。如尚未填写或信息不全，请参照《SRM非生产供应商注册手册》（附件</w:t>
      </w:r>
      <w:r>
        <w:rPr>
          <w:rFonts w:hint="eastAsia" w:ascii="宋体" w:hAnsi="宋体" w:eastAsia="宋体" w:cs="宋体"/>
          <w:sz w:val="24"/>
          <w:szCs w:val="24"/>
          <w:lang w:val="en-US" w:eastAsia="zh-CN"/>
        </w:rPr>
        <w:t>二</w:t>
      </w:r>
      <w:r>
        <w:rPr>
          <w:rFonts w:ascii="宋体" w:hAnsi="宋体" w:eastAsia="宋体" w:cs="宋体"/>
          <w:sz w:val="24"/>
          <w:szCs w:val="24"/>
        </w:rPr>
        <w:t>）及时进行补充与更新，确保信息真实、完整。因供应商信息不全或错误导致的报名不成功，由投标人自行承担</w:t>
      </w:r>
      <w:r>
        <w:rPr>
          <w:rFonts w:hint="eastAsia" w:hAnsi="宋体" w:cs="宋体"/>
          <w:sz w:val="24"/>
          <w:szCs w:val="24"/>
          <w:lang w:eastAsia="zh-CN"/>
        </w:rPr>
        <w:t>。</w:t>
      </w:r>
      <w:r>
        <w:rPr>
          <w:rFonts w:ascii="宋体" w:hAnsi="宋体" w:eastAsia="宋体" w:cs="宋体"/>
          <w:sz w:val="24"/>
          <w:szCs w:val="24"/>
        </w:rPr>
        <w:br w:type="textWrapping"/>
      </w:r>
      <w:r>
        <w:rPr>
          <w:rFonts w:ascii="宋体" w:hAnsi="宋体" w:eastAsia="宋体" w:cs="宋体"/>
          <w:b/>
          <w:bCs/>
          <w:sz w:val="24"/>
          <w:szCs w:val="24"/>
        </w:rPr>
        <w:t>②应标流程</w:t>
      </w:r>
    </w:p>
    <w:p>
      <w:pPr>
        <w:pStyle w:val="23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eastAsia" w:asciiTheme="minorEastAsia" w:hAnsiTheme="minorEastAsia" w:eastAsiaTheme="minorEastAsia" w:cstheme="minorEastAsia"/>
          <w:bCs/>
          <w:sz w:val="24"/>
          <w:szCs w:val="24"/>
        </w:rPr>
      </w:pPr>
      <w:r>
        <w:rPr>
          <w:rFonts w:ascii="宋体" w:hAnsi="宋体" w:eastAsia="宋体" w:cs="宋体"/>
          <w:sz w:val="24"/>
          <w:szCs w:val="24"/>
        </w:rPr>
        <w:t>注册及财务数据维护完成后，参照《SRM系统供应商用户手册》（附件</w:t>
      </w:r>
      <w:r>
        <w:rPr>
          <w:rFonts w:hint="eastAsia" w:ascii="宋体" w:hAnsi="宋体" w:eastAsia="宋体" w:cs="宋体"/>
          <w:sz w:val="24"/>
          <w:szCs w:val="24"/>
          <w:lang w:val="en-US" w:eastAsia="zh-CN"/>
        </w:rPr>
        <w:t>三</w:t>
      </w:r>
      <w:r>
        <w:rPr>
          <w:rFonts w:ascii="宋体" w:hAnsi="宋体" w:eastAsia="宋体" w:cs="宋体"/>
          <w:sz w:val="24"/>
          <w:szCs w:val="24"/>
        </w:rPr>
        <w:t>）登录平台，进入“供应商应标”模块，选择对应项目点击“应标”，并按照本公告</w:t>
      </w:r>
      <w:r>
        <w:rPr>
          <w:rFonts w:hint="eastAsia" w:hAnsi="宋体" w:cs="宋体"/>
          <w:sz w:val="24"/>
          <w:szCs w:val="24"/>
          <w:lang w:val="en-US" w:eastAsia="zh-CN"/>
        </w:rPr>
        <w:t>的</w:t>
      </w:r>
      <w:r>
        <w:rPr>
          <w:rFonts w:ascii="宋体" w:hAnsi="宋体" w:eastAsia="宋体" w:cs="宋体"/>
          <w:sz w:val="24"/>
          <w:szCs w:val="24"/>
        </w:rPr>
        <w:t>“应标文件编制”要求准备资料并上传。资质审查通过后，视为报名成功（是否为代理商请如实选择）。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应标时不做要求，投标时需随文件上传）</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pPr>
        <w:pStyle w:val="19"/>
        <w:rPr>
          <w:rFonts w:hint="eastAsia"/>
          <w:lang w:eastAsia="zh-CN"/>
        </w:rPr>
      </w:pP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w:t>
      </w:r>
      <w:r>
        <w:rPr>
          <w:rFonts w:hint="eastAsia" w:asciiTheme="minorEastAsia" w:hAnsiTheme="minorEastAsia" w:eastAsiaTheme="minorEastAsia" w:cstheme="minorEastAsia"/>
          <w:b/>
          <w:sz w:val="24"/>
          <w:szCs w:val="24"/>
          <w:highlight w:val="yellow"/>
          <w:lang w:val="en-US" w:eastAsia="zh-CN"/>
        </w:rPr>
        <w:t>6</w:t>
      </w:r>
      <w:r>
        <w:rPr>
          <w:rFonts w:hint="eastAsia" w:asciiTheme="minorEastAsia" w:hAnsiTheme="minorEastAsia" w:eastAsiaTheme="minorEastAsia" w:cstheme="minorEastAsia"/>
          <w:b/>
          <w:sz w:val="24"/>
          <w:szCs w:val="24"/>
          <w:highlight w:val="yellow"/>
        </w:rPr>
        <w:t>年</w:t>
      </w:r>
      <w:r>
        <w:rPr>
          <w:rFonts w:hint="eastAsia" w:asciiTheme="minorEastAsia" w:hAnsiTheme="minorEastAsia" w:eastAsiaTheme="minorEastAsia" w:cstheme="minorEastAsia"/>
          <w:b/>
          <w:sz w:val="24"/>
          <w:szCs w:val="24"/>
          <w:highlight w:val="yellow"/>
          <w:lang w:val="en-US" w:eastAsia="zh-CN"/>
        </w:rPr>
        <w:t>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5</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eastAsia="zh-CN"/>
        </w:rPr>
        <w:t>（</w:t>
      </w:r>
      <w:r>
        <w:rPr>
          <w:rFonts w:ascii="宋体" w:hAnsi="宋体" w:eastAsia="宋体" w:cs="宋体"/>
          <w:b/>
          <w:bCs/>
          <w:sz w:val="24"/>
          <w:szCs w:val="24"/>
        </w:rPr>
        <w:t>暂定，以实际通知为准</w:t>
      </w:r>
      <w:r>
        <w:rPr>
          <w:rFonts w:hint="eastAsia" w:asciiTheme="minorEastAsia" w:hAnsiTheme="minorEastAsia" w:eastAsiaTheme="minorEastAsia" w:cstheme="minorEastAsia"/>
          <w:b/>
          <w:sz w:val="24"/>
          <w:szCs w:val="24"/>
          <w:lang w:val="en-US" w:eastAsia="zh-CN"/>
        </w:rPr>
        <w:t>）</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sz w:val="24"/>
          <w:szCs w:val="24"/>
          <w:lang w:val="en-US" w:eastAsia="zh-CN"/>
        </w:rPr>
        <w:t>线上会议</w:t>
      </w:r>
      <w:r>
        <w:rPr>
          <w:rFonts w:hint="eastAsia" w:asciiTheme="minorEastAsia" w:hAnsiTheme="minorEastAsia" w:eastAsiaTheme="minorEastAsia" w:cstheme="minorEastAsia"/>
          <w:b/>
          <w:bCs w:val="0"/>
          <w:color w:val="auto"/>
          <w:sz w:val="24"/>
          <w:szCs w:val="24"/>
          <w:highlight w:val="yellow"/>
          <w:lang w:val="en-US" w:eastAsia="zh-CN"/>
        </w:rPr>
        <w:t>（</w:t>
      </w:r>
      <w:r>
        <w:rPr>
          <w:rFonts w:hint="eastAsia" w:ascii="宋体" w:hAnsi="宋体" w:eastAsia="宋体" w:cs="宋体"/>
          <w:b/>
          <w:bCs w:val="0"/>
          <w:color w:val="auto"/>
          <w:kern w:val="2"/>
          <w:sz w:val="24"/>
          <w:szCs w:val="24"/>
          <w:highlight w:val="yellow"/>
          <w:lang w:val="en-US" w:eastAsia="zh-CN" w:bidi="ar"/>
        </w:rPr>
        <w:t>投标方需要在开标前，将投标保证金</w:t>
      </w:r>
      <w:r>
        <w:rPr>
          <w:rFonts w:hint="eastAsia" w:ascii="宋体" w:hAnsi="宋体" w:cs="宋体"/>
          <w:b/>
          <w:bCs w:val="0"/>
          <w:color w:val="auto"/>
          <w:kern w:val="2"/>
          <w:sz w:val="24"/>
          <w:szCs w:val="24"/>
          <w:highlight w:val="yellow"/>
          <w:lang w:val="en-US" w:eastAsia="zh-CN" w:bidi="ar"/>
        </w:rPr>
        <w:t>缴纳凭证</w:t>
      </w:r>
      <w:r>
        <w:rPr>
          <w:rFonts w:hint="eastAsia" w:ascii="宋体" w:hAnsi="宋体" w:eastAsia="宋体" w:cs="宋体"/>
          <w:b/>
          <w:bCs w:val="0"/>
          <w:color w:val="auto"/>
          <w:kern w:val="2"/>
          <w:sz w:val="24"/>
          <w:szCs w:val="24"/>
          <w:highlight w:val="yellow"/>
          <w:lang w:val="en-US" w:eastAsia="zh-CN" w:bidi="ar"/>
        </w:rPr>
        <w:t>截图发给</w:t>
      </w:r>
      <w:r>
        <w:rPr>
          <w:rFonts w:hint="eastAsia" w:cs="宋体"/>
          <w:b/>
          <w:bCs w:val="0"/>
          <w:color w:val="auto"/>
          <w:kern w:val="2"/>
          <w:sz w:val="24"/>
          <w:szCs w:val="24"/>
          <w:highlight w:val="yellow"/>
          <w:lang w:val="en-US" w:eastAsia="zh-CN" w:bidi="ar"/>
        </w:rPr>
        <w:t>商务</w:t>
      </w:r>
      <w:r>
        <w:rPr>
          <w:rFonts w:hint="eastAsia" w:ascii="宋体" w:hAnsi="宋体" w:eastAsia="宋体" w:cs="宋体"/>
          <w:b/>
          <w:bCs w:val="0"/>
          <w:color w:val="auto"/>
          <w:kern w:val="2"/>
          <w:sz w:val="24"/>
          <w:szCs w:val="24"/>
          <w:highlight w:val="yellow"/>
          <w:lang w:val="en-US" w:eastAsia="zh-CN" w:bidi="ar"/>
        </w:rPr>
        <w:t>联系人</w:t>
      </w:r>
      <w:r>
        <w:rPr>
          <w:rFonts w:hint="eastAsia" w:cs="宋体"/>
          <w:b/>
          <w:bCs w:val="0"/>
          <w:color w:val="auto"/>
          <w:kern w:val="2"/>
          <w:sz w:val="24"/>
          <w:szCs w:val="24"/>
          <w:highlight w:val="yellow"/>
          <w:lang w:val="en-US" w:eastAsia="zh-CN" w:bidi="ar"/>
        </w:rPr>
        <w:t>李长城，</w:t>
      </w:r>
      <w:r>
        <w:rPr>
          <w:rFonts w:hint="eastAsia" w:ascii="宋体" w:hAnsi="宋体" w:eastAsia="宋体" w:cs="宋体"/>
          <w:b/>
          <w:bCs w:val="0"/>
          <w:color w:val="auto"/>
          <w:kern w:val="2"/>
          <w:sz w:val="24"/>
          <w:szCs w:val="24"/>
          <w:highlight w:val="yellow"/>
          <w:lang w:val="en-US" w:eastAsia="zh-CN" w:bidi="ar"/>
        </w:rPr>
        <w:t>微信号</w:t>
      </w:r>
      <w:r>
        <w:rPr>
          <w:rFonts w:hint="eastAsia" w:cs="宋体"/>
          <w:b/>
          <w:bCs w:val="0"/>
          <w:color w:val="auto"/>
          <w:kern w:val="2"/>
          <w:sz w:val="24"/>
          <w:szCs w:val="24"/>
          <w:highlight w:val="yellow"/>
          <w:lang w:val="en-US" w:eastAsia="zh-CN" w:bidi="ar"/>
        </w:rPr>
        <w:t>18678304476</w:t>
      </w:r>
      <w:r>
        <w:rPr>
          <w:rFonts w:hint="eastAsia" w:ascii="宋体" w:hAnsi="宋体" w:eastAsia="宋体" w:cs="宋体"/>
          <w:b/>
          <w:bCs w:val="0"/>
          <w:color w:val="auto"/>
          <w:kern w:val="2"/>
          <w:sz w:val="24"/>
          <w:szCs w:val="24"/>
          <w:highlight w:val="yellow"/>
          <w:lang w:val="en-US" w:eastAsia="zh-CN" w:bidi="ar"/>
        </w:rPr>
        <w:t>，</w:t>
      </w:r>
      <w:r>
        <w:rPr>
          <w:rFonts w:hint="eastAsia" w:ascii="宋体" w:hAnsi="宋体" w:cs="宋体"/>
          <w:b/>
          <w:bCs w:val="0"/>
          <w:color w:val="auto"/>
          <w:kern w:val="2"/>
          <w:sz w:val="24"/>
          <w:szCs w:val="24"/>
          <w:highlight w:val="yellow"/>
          <w:lang w:val="en-US" w:eastAsia="zh-CN" w:bidi="ar"/>
        </w:rPr>
        <w:t>获取会议链接）</w:t>
      </w:r>
    </w:p>
    <w:p>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lang w:val="en-US" w:eastAsia="zh-CN"/>
        </w:rPr>
        <w:t>李老师 18678304476</w:t>
      </w:r>
    </w:p>
    <w:p>
      <w:pPr>
        <w:pStyle w:val="151"/>
        <w:numPr>
          <w:ilvl w:val="0"/>
          <w:numId w:val="0"/>
        </w:numPr>
        <w:adjustRightInd w:val="0"/>
        <w:snapToGrid w:val="0"/>
        <w:spacing w:line="360" w:lineRule="auto"/>
        <w:ind w:firstLine="240" w:firstLineChars="10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技术联系人：侯</w:t>
      </w:r>
      <w:r>
        <w:rPr>
          <w:rFonts w:hint="eastAsia" w:asciiTheme="minorEastAsia" w:hAnsiTheme="minorEastAsia" w:eastAsiaTheme="minorEastAsia" w:cstheme="minorEastAsia"/>
          <w:sz w:val="24"/>
          <w:szCs w:val="24"/>
          <w:highlight w:val="none"/>
          <w:lang w:val="en-US" w:eastAsia="zh-CN"/>
        </w:rPr>
        <w:t>老师 15269194886</w:t>
      </w:r>
    </w:p>
    <w:p>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pPr>
        <w:adjustRightInd w:val="0"/>
        <w:snapToGrid w:val="0"/>
        <w:spacing w:line="360" w:lineRule="auto"/>
        <w:ind w:firstLine="480" w:firstLineChars="200"/>
        <w:rPr>
          <w:rFonts w:hint="eastAsia"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highlight w:val="none"/>
        </w:rPr>
        <w:t>本项目采用</w:t>
      </w:r>
      <w:r>
        <w:rPr>
          <w:rFonts w:hint="eastAsia" w:asciiTheme="minorEastAsia" w:hAnsiTheme="minorEastAsia" w:eastAsiaTheme="minorEastAsia" w:cstheme="minorEastAsia"/>
          <w:sz w:val="24"/>
          <w:szCs w:val="24"/>
          <w:highlight w:val="none"/>
          <w:lang w:eastAsia="zh-CN"/>
        </w:rPr>
        <w:t>综合评标法</w:t>
      </w:r>
      <w:r>
        <w:rPr>
          <w:rFonts w:hint="eastAsia" w:asciiTheme="minorEastAsia" w:hAnsiTheme="minorEastAsia" w:eastAsiaTheme="minorEastAsia" w:cstheme="minorEastAsia"/>
          <w:sz w:val="24"/>
          <w:szCs w:val="24"/>
          <w:highlight w:val="none"/>
          <w:lang w:val="en-US" w:eastAsia="zh-CN"/>
        </w:rPr>
        <w:t>中标</w:t>
      </w:r>
      <w:r>
        <w:rPr>
          <w:rFonts w:hint="eastAsia" w:asciiTheme="minorEastAsia" w:hAnsiTheme="minorEastAsia" w:eastAsiaTheme="minorEastAsia" w:cstheme="minorEastAsia"/>
          <w:sz w:val="24"/>
          <w:szCs w:val="24"/>
          <w:highlight w:val="none"/>
        </w:rPr>
        <w:t>，在满足招标人</w:t>
      </w:r>
      <w:r>
        <w:rPr>
          <w:rFonts w:hint="eastAsia" w:asciiTheme="minorEastAsia" w:hAnsiTheme="minorEastAsia" w:eastAsiaTheme="minorEastAsia" w:cstheme="minorEastAsia"/>
          <w:sz w:val="24"/>
          <w:szCs w:val="24"/>
          <w:highlight w:val="none"/>
          <w:lang w:val="en-US" w:eastAsia="zh-CN"/>
        </w:rPr>
        <w:t>资格和</w:t>
      </w:r>
      <w:r>
        <w:rPr>
          <w:rFonts w:hint="eastAsia" w:asciiTheme="minorEastAsia" w:hAnsiTheme="minorEastAsia" w:eastAsiaTheme="minorEastAsia" w:cstheme="minorEastAsia"/>
          <w:sz w:val="24"/>
          <w:szCs w:val="24"/>
          <w:highlight w:val="none"/>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highlight w:val="none"/>
        </w:rPr>
        <w:t>选取商务谈判后议定总价</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综合得分最高的</w:t>
      </w:r>
      <w:r>
        <w:rPr>
          <w:rFonts w:hint="eastAsia" w:asciiTheme="minorEastAsia" w:hAnsiTheme="minorEastAsia" w:eastAsiaTheme="minorEastAsia" w:cstheme="minorEastAsia"/>
          <w:sz w:val="24"/>
          <w:szCs w:val="24"/>
          <w:highlight w:val="none"/>
        </w:rPr>
        <w:t>为本项目中标人。</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①营业执照复印件（需加盖公章）；</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pPr>
        <w:pStyle w:val="24"/>
        <w:spacing w:line="360" w:lineRule="auto"/>
        <w:ind w:firstLine="405"/>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③2022年1月1日至今，企业近三年同类项目业绩证明，须提供用户清单、采购合同复印件；</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pPr>
        <w:pStyle w:val="24"/>
        <w:keepNext w:val="0"/>
        <w:keepLines w:val="0"/>
        <w:pageBreakBefore w:val="0"/>
        <w:widowControl w:val="0"/>
        <w:kinsoku/>
        <w:wordWrap/>
        <w:topLinePunct w:val="0"/>
        <w:autoSpaceDE/>
        <w:autoSpaceDN/>
        <w:bidi w:val="0"/>
        <w:adjustRightInd/>
        <w:snapToGrid/>
        <w:spacing w:line="360" w:lineRule="auto"/>
        <w:ind w:firstLine="405"/>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⑤投标人在国家企业信用信息公示系统中无与本项目有关的行政处罚、经营异常和失信信息的声明；（附投标当日系统内相关截图或报告）；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⑥</w:t>
      </w:r>
      <w:r>
        <w:rPr>
          <w:rFonts w:hint="eastAsia" w:ascii="宋体" w:hAnsi="宋体" w:eastAsia="宋体" w:cs="宋体"/>
          <w:color w:val="000000"/>
          <w:sz w:val="24"/>
          <w:szCs w:val="24"/>
          <w:highlight w:val="none"/>
        </w:rPr>
        <w:t>企业最近半年的完税证明，并附</w:t>
      </w:r>
      <w:r>
        <w:rPr>
          <w:rFonts w:ascii="宋体" w:hAnsi="宋体" w:eastAsia="宋体" w:cs="宋体"/>
          <w:sz w:val="24"/>
          <w:szCs w:val="24"/>
          <w:highlight w:val="none"/>
        </w:rPr>
        <w:t>年度纳税信用评价信息（可从电子税务局查询截图，需加盖公章）</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highlight w:val="none"/>
          <w:lang w:val="en-US" w:eastAsia="zh-CN"/>
        </w:rPr>
        <w:t>⑦近三年内在经营活动中无与本项目有关的违法及重大违规行为的声明；</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highlight w:val="none"/>
          <w:lang w:val="en-US" w:eastAsia="zh-CN"/>
        </w:rPr>
        <w:t>⑧</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⑨</w:t>
      </w:r>
      <w:r>
        <w:rPr>
          <w:rFonts w:hint="eastAsia" w:ascii="宋体" w:hAnsi="宋体" w:eastAsia="宋体" w:cs="宋体"/>
          <w:color w:val="000000"/>
          <w:sz w:val="24"/>
          <w:szCs w:val="24"/>
          <w:highlight w:val="none"/>
        </w:rPr>
        <w:t>企业信用证明材料（征信中心出具的信用报告）；</w:t>
      </w:r>
    </w:p>
    <w:p>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rPr>
      </w:pPr>
      <w:r>
        <w:rPr>
          <w:rFonts w:hint="eastAsia" w:ascii="宋体" w:hAnsi="宋体" w:cs="宋体"/>
          <w:color w:val="000000"/>
          <w:sz w:val="24"/>
          <w:szCs w:val="24"/>
          <w:highlight w:val="none"/>
          <w:lang w:val="en-US" w:eastAsia="zh-CN"/>
        </w:rPr>
        <w:t>⑩</w:t>
      </w:r>
      <w:r>
        <w:rPr>
          <w:rFonts w:hint="eastAsia" w:ascii="宋体" w:hAnsi="宋体" w:eastAsia="宋体" w:cs="宋体"/>
          <w:color w:val="000000"/>
          <w:sz w:val="24"/>
          <w:szCs w:val="24"/>
          <w:highlight w:val="none"/>
        </w:rPr>
        <w:t>投标保证金缴纳凭证，同时正文描述付款账号、户名、开户行名称、开户行行号、保证金金额。</w:t>
      </w: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技术</w:t>
      </w:r>
      <w:r>
        <w:rPr>
          <w:rFonts w:hint="eastAsia" w:asciiTheme="minorEastAsia" w:hAnsiTheme="minorEastAsia" w:eastAsiaTheme="minorEastAsia" w:cstheme="minorEastAsia"/>
          <w:b/>
          <w:bCs/>
          <w:sz w:val="24"/>
          <w:szCs w:val="24"/>
        </w:rPr>
        <w:t>标书</w:t>
      </w:r>
    </w:p>
    <w:p>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w:t>
      </w:r>
      <w:r>
        <w:rPr>
          <w:rFonts w:hint="eastAsia" w:cs="Times New Roman"/>
          <w:color w:val="000000"/>
          <w:sz w:val="24"/>
          <w:szCs w:val="24"/>
          <w:highlight w:val="yellow"/>
          <w:lang w:val="en-US" w:eastAsia="zh-CN"/>
        </w:rPr>
        <w:t>3</w:t>
      </w:r>
      <w:r>
        <w:rPr>
          <w:rFonts w:hint="default" w:ascii="Times New Roman" w:hAnsi="Times New Roman" w:eastAsia="宋体" w:cs="Times New Roman"/>
          <w:color w:val="000000"/>
          <w:sz w:val="24"/>
          <w:szCs w:val="24"/>
          <w:highlight w:val="yellow"/>
        </w:rPr>
        <w:t>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pPr>
        <w:spacing w:line="360" w:lineRule="auto"/>
        <w:ind w:firstLine="480" w:firstLineChars="200"/>
        <w:rPr>
          <w:rFonts w:hint="default" w:ascii="Times New Roman" w:hAnsi="Times New Roman" w:eastAsia="宋体" w:cs="Times New Roman"/>
          <w:color w:val="000000"/>
          <w:sz w:val="24"/>
          <w:szCs w:val="24"/>
        </w:rPr>
      </w:pPr>
      <w:bookmarkStart w:id="10" w:name="_Toc536542319"/>
      <w:r>
        <w:rPr>
          <w:rFonts w:hint="default" w:ascii="Times New Roman" w:hAnsi="Times New Roman" w:eastAsia="宋体" w:cs="Times New Roman"/>
          <w:color w:val="000000"/>
          <w:sz w:val="24"/>
          <w:szCs w:val="24"/>
        </w:rPr>
        <w:t>2.7投标产品技术支持材料</w:t>
      </w:r>
      <w:bookmarkEnd w:id="10"/>
      <w:r>
        <w:rPr>
          <w:rFonts w:hint="default" w:ascii="Times New Roman" w:hAnsi="Times New Roman" w:eastAsia="宋体" w:cs="Times New Roman"/>
          <w:color w:val="000000"/>
          <w:sz w:val="24"/>
          <w:szCs w:val="24"/>
        </w:rPr>
        <w:t>，投标人所投标设备详细技术资料清单；</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pPr>
        <w:pStyle w:val="19"/>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rPr>
      </w:pPr>
      <w:r>
        <w:rPr>
          <w:rFonts w:hint="default" w:ascii="Times New Roman" w:hAnsi="Times New Roman" w:eastAsia="宋体" w:cs="Times New Roman"/>
          <w:color w:val="000000"/>
          <w:sz w:val="24"/>
          <w:szCs w:val="24"/>
        </w:rPr>
        <w:t>2.9投标人需提交的其它资料。</w:t>
      </w:r>
    </w:p>
    <w:p>
      <w:pPr>
        <w:pStyle w:val="19"/>
        <w:rPr>
          <w:rFonts w:hint="eastAsia"/>
          <w:lang w:val="en-US" w:eastAsia="zh-CN"/>
        </w:rPr>
      </w:pPr>
    </w:p>
    <w:p>
      <w:pPr>
        <w:pStyle w:val="151"/>
        <w:numPr>
          <w:ilvl w:val="0"/>
          <w:numId w:val="5"/>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3.1开标一览表（附件8）；</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3.2投标报价明细表（附件9-1至9-5）</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3.3商务条款偏离表（附件10）</w:t>
      </w:r>
      <w:bookmarkStart w:id="11" w:name="OLE_LINK19"/>
      <w:bookmarkStart w:id="12" w:name="OLE_LINK18"/>
      <w:r>
        <w:rPr>
          <w:rFonts w:hint="default" w:ascii="Times New Roman" w:hAnsi="Times New Roman" w:eastAsia="宋体" w:cs="Times New Roman"/>
          <w:b/>
          <w:color w:val="000000"/>
          <w:sz w:val="24"/>
          <w:szCs w:val="24"/>
          <w:highlight w:val="none"/>
        </w:rPr>
        <w:t>；</w:t>
      </w:r>
      <w:bookmarkEnd w:id="11"/>
      <w:bookmarkEnd w:id="12"/>
      <w:r>
        <w:rPr>
          <w:rFonts w:hint="default" w:ascii="Times New Roman" w:hAnsi="Times New Roman" w:eastAsia="宋体" w:cs="Times New Roman"/>
          <w:color w:val="000000"/>
          <w:sz w:val="24"/>
          <w:szCs w:val="24"/>
          <w:highlight w:val="none"/>
        </w:rPr>
        <w:t xml:space="preserve"> </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3.4投标人承诺（附件11）</w:t>
      </w:r>
      <w:r>
        <w:rPr>
          <w:rFonts w:hint="default" w:ascii="Times New Roman" w:hAnsi="Times New Roman" w:eastAsia="宋体" w:cs="Times New Roman"/>
          <w:b/>
          <w:color w:val="000000"/>
          <w:sz w:val="24"/>
          <w:szCs w:val="24"/>
          <w:highlight w:val="none"/>
        </w:rPr>
        <w:t>；</w:t>
      </w:r>
    </w:p>
    <w:p>
      <w:pPr>
        <w:spacing w:line="360" w:lineRule="auto"/>
        <w:ind w:firstLine="480" w:firstLineChars="200"/>
        <w:rPr>
          <w:rFonts w:hint="default" w:ascii="Times New Roman" w:hAnsi="Times New Roman" w:eastAsia="宋体" w:cs="Times New Roman"/>
          <w:b/>
          <w:color w:val="000000"/>
          <w:sz w:val="24"/>
          <w:szCs w:val="24"/>
          <w:highlight w:val="none"/>
        </w:rPr>
      </w:pPr>
      <w:r>
        <w:rPr>
          <w:rFonts w:hint="default" w:ascii="Times New Roman" w:hAnsi="Times New Roman" w:eastAsia="宋体" w:cs="Times New Roman"/>
          <w:color w:val="000000"/>
          <w:sz w:val="24"/>
          <w:szCs w:val="24"/>
          <w:highlight w:val="none"/>
        </w:rPr>
        <w:t>3.5服务承诺函（附件12），</w:t>
      </w:r>
      <w:r>
        <w:rPr>
          <w:rFonts w:hint="default" w:ascii="Times New Roman" w:hAnsi="Times New Roman" w:eastAsia="宋体" w:cs="Times New Roman"/>
          <w:b/>
          <w:color w:val="000000"/>
          <w:sz w:val="24"/>
          <w:szCs w:val="24"/>
          <w:highlight w:val="none"/>
        </w:rPr>
        <w:t>需写明质保期以外服务费用情况</w:t>
      </w:r>
      <w:r>
        <w:rPr>
          <w:rFonts w:hint="default" w:ascii="Times New Roman" w:hAnsi="Times New Roman" w:eastAsia="宋体" w:cs="Times New Roman"/>
          <w:color w:val="000000"/>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lang w:eastAsia="zh-CN"/>
        </w:rPr>
      </w:pPr>
      <w:r>
        <w:rPr>
          <w:rFonts w:hint="default" w:ascii="Times New Roman" w:hAnsi="Times New Roman" w:eastAsia="宋体" w:cs="Times New Roman"/>
          <w:color w:val="000000"/>
          <w:sz w:val="24"/>
          <w:szCs w:val="24"/>
          <w:highlight w:val="none"/>
        </w:rPr>
        <w:t>3.6按招标文件投标人须知和技术规格书中要求提供的有关文件</w:t>
      </w:r>
      <w:r>
        <w:rPr>
          <w:rFonts w:hint="eastAsia" w:asciiTheme="minorEastAsia" w:hAnsiTheme="minorEastAsia" w:eastAsiaTheme="minorEastAsia" w:cstheme="minorEastAsia"/>
          <w:bCs/>
          <w:sz w:val="24"/>
          <w:szCs w:val="24"/>
          <w:highlight w:val="none"/>
          <w:lang w:eastAsia="zh-CN"/>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lang w:val="en-US" w:eastAsia="zh-CN"/>
        </w:rPr>
        <w:t>3</w:t>
      </w:r>
      <w:r>
        <w:rPr>
          <w:rFonts w:hint="eastAsia" w:asciiTheme="minorEastAsia" w:hAnsiTheme="minorEastAsia" w:eastAsiaTheme="minorEastAsia" w:cstheme="minorEastAsia"/>
          <w:bCs/>
          <w:sz w:val="24"/>
          <w:szCs w:val="24"/>
        </w:rPr>
        <w:t>、商务文件至少应对招标设备（或材料）“商务偏离”做出有无说明，若有，应予以详细填写和说明</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highlight w:val="none"/>
          <w:lang w:val="en-US" w:eastAsia="zh-CN"/>
        </w:rPr>
        <w:t>4</w:t>
      </w:r>
      <w:r>
        <w:rPr>
          <w:rFonts w:hint="eastAsia" w:asciiTheme="minorEastAsia" w:hAnsiTheme="minorEastAsia" w:eastAsiaTheme="minorEastAsia" w:cstheme="minorEastAsia"/>
          <w:bCs/>
          <w:sz w:val="24"/>
          <w:szCs w:val="24"/>
          <w:highlight w:val="none"/>
        </w:rPr>
        <w:t>、投标文件不得涂改和增删，如有修改</w:t>
      </w:r>
      <w:r>
        <w:rPr>
          <w:rFonts w:hint="eastAsia" w:asciiTheme="minorEastAsia" w:hAnsiTheme="minorEastAsia" w:eastAsiaTheme="minorEastAsia" w:cstheme="minorEastAsia"/>
          <w:bCs/>
          <w:sz w:val="24"/>
          <w:szCs w:val="24"/>
        </w:rPr>
        <w:t>错漏的地方，必须由法人代表或授权代表签字或盖章。</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lang w:val="en-US" w:eastAsia="zh-CN"/>
        </w:rPr>
        <w:t>5</w:t>
      </w:r>
      <w:r>
        <w:rPr>
          <w:rFonts w:hint="eastAsia" w:asciiTheme="minorEastAsia" w:hAnsiTheme="minorEastAsia" w:eastAsiaTheme="minorEastAsia" w:cstheme="minorEastAsia"/>
          <w:bCs/>
          <w:sz w:val="24"/>
          <w:szCs w:val="24"/>
        </w:rPr>
        <w:t>、投标文件因字迹潦草或表达不清所引起的后果由投标人负责。</w:t>
      </w:r>
    </w:p>
    <w:p>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pPr>
        <w:pStyle w:val="24"/>
        <w:spacing w:line="360" w:lineRule="auto"/>
        <w:ind w:left="660" w:leftChars="200" w:hanging="240" w:hangingChars="100"/>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⑴本次招标为公开招标，报价应为：</w:t>
      </w:r>
    </w:p>
    <w:p>
      <w:pPr>
        <w:pStyle w:val="24"/>
        <w:spacing w:line="360" w:lineRule="auto"/>
        <w:ind w:firstLine="480" w:firstLineChars="200"/>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经与招标人或其指派的答疑人员充分沟通确认基础上，由投标人在满足招标人所提出的、与本项目所有相关环节有关的所有费用；</w:t>
      </w:r>
    </w:p>
    <w:p>
      <w:pPr>
        <w:pStyle w:val="24"/>
        <w:spacing w:line="360" w:lineRule="auto"/>
        <w:ind w:firstLine="480" w:firstLineChars="200"/>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⑵所有报价货币单位为：万元（人民币），</w:t>
      </w:r>
      <w:r>
        <w:rPr>
          <w:rFonts w:hint="eastAsia" w:asciiTheme="minorEastAsia" w:hAnsiTheme="minorEastAsia" w:eastAsiaTheme="minorEastAsia" w:cstheme="minorEastAsia"/>
          <w:b/>
          <w:bCs w:val="0"/>
          <w:kern w:val="2"/>
          <w:sz w:val="24"/>
          <w:szCs w:val="24"/>
          <w:highlight w:val="none"/>
          <w:lang w:val="en-US" w:eastAsia="zh-CN" w:bidi="ar-SA"/>
        </w:rPr>
        <w:t>含税</w:t>
      </w:r>
      <w:r>
        <w:rPr>
          <w:rFonts w:hint="eastAsia" w:asciiTheme="minorEastAsia" w:hAnsiTheme="minorEastAsia" w:eastAsiaTheme="minorEastAsia" w:cstheme="minorEastAsia"/>
          <w:bCs/>
          <w:kern w:val="2"/>
          <w:sz w:val="24"/>
          <w:szCs w:val="24"/>
          <w:highlight w:val="none"/>
          <w:lang w:val="en-US" w:eastAsia="zh-CN" w:bidi="ar-SA"/>
        </w:rPr>
        <w:t>；</w:t>
      </w:r>
    </w:p>
    <w:p>
      <w:pPr>
        <w:pStyle w:val="24"/>
        <w:keepNext w:val="0"/>
        <w:keepLines w:val="0"/>
        <w:pageBreakBefore w:val="0"/>
        <w:widowControl w:val="0"/>
        <w:kinsoku/>
        <w:wordWrap/>
        <w:topLinePunct w:val="0"/>
        <w:autoSpaceDE/>
        <w:autoSpaceDN/>
        <w:bidi w:val="0"/>
        <w:adjustRightInd w:val="0"/>
        <w:snapToGrid w:val="0"/>
        <w:spacing w:line="300" w:lineRule="auto"/>
        <w:ind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bCs/>
          <w:kern w:val="2"/>
          <w:sz w:val="24"/>
          <w:szCs w:val="24"/>
          <w:highlight w:val="none"/>
          <w:lang w:val="en-US" w:eastAsia="zh-CN" w:bidi="ar-SA"/>
        </w:rPr>
        <w:t>⑶付款结算方式：</w:t>
      </w:r>
      <w:r>
        <w:rPr>
          <w:rFonts w:hint="eastAsia" w:asciiTheme="minorEastAsia" w:hAnsiTheme="minorEastAsia" w:eastAsiaTheme="minorEastAsia" w:cstheme="minorEastAsia"/>
          <w:b/>
          <w:bCs/>
          <w:color w:val="000000"/>
          <w:kern w:val="0"/>
          <w:sz w:val="24"/>
          <w:szCs w:val="24"/>
          <w:lang w:val="en-US" w:eastAsia="zh-CN" w:bidi="ar"/>
        </w:rPr>
        <w:t>半年期商业汇票(包括银行承兑汇票和商业承兑汇票)</w:t>
      </w:r>
    </w:p>
    <w:p>
      <w:pPr>
        <w:pStyle w:val="19"/>
        <w:keepNext w:val="0"/>
        <w:keepLines w:val="0"/>
        <w:pageBreakBefore w:val="0"/>
        <w:widowControl w:val="0"/>
        <w:kinsoku/>
        <w:wordWrap/>
        <w:topLinePunct w:val="0"/>
        <w:autoSpaceDE/>
        <w:autoSpaceDN/>
        <w:bidi w:val="0"/>
        <w:adjustRightInd w:val="0"/>
        <w:snapToGrid w:val="0"/>
        <w:spacing w:line="300" w:lineRule="auto"/>
        <w:ind w:left="273" w:right="150"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A.设备全部到货后，中标人提供合同价款30%的增值税专用发票,经招标人依照财务制度审核通过后30日支付；</w:t>
      </w:r>
    </w:p>
    <w:p>
      <w:pPr>
        <w:pStyle w:val="19"/>
        <w:keepNext w:val="0"/>
        <w:keepLines w:val="0"/>
        <w:pageBreakBefore w:val="0"/>
        <w:widowControl w:val="0"/>
        <w:kinsoku/>
        <w:wordWrap/>
        <w:topLinePunct w:val="0"/>
        <w:autoSpaceDE/>
        <w:autoSpaceDN/>
        <w:bidi w:val="0"/>
        <w:adjustRightInd w:val="0"/>
        <w:snapToGrid w:val="0"/>
        <w:spacing w:line="300" w:lineRule="auto"/>
        <w:ind w:left="273" w:right="149"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B. 设备验收合格后，中标人提供合同价款70%的增值税专用发 票,经招标人依照财务制度审核通过后30日支付合同价款的60%；</w:t>
      </w:r>
    </w:p>
    <w:p>
      <w:pPr>
        <w:pStyle w:val="19"/>
        <w:keepNext w:val="0"/>
        <w:keepLines w:val="0"/>
        <w:pageBreakBefore w:val="0"/>
        <w:widowControl w:val="0"/>
        <w:kinsoku/>
        <w:wordWrap/>
        <w:topLinePunct w:val="0"/>
        <w:autoSpaceDE/>
        <w:autoSpaceDN/>
        <w:bidi w:val="0"/>
        <w:adjustRightInd w:val="0"/>
        <w:snapToGrid w:val="0"/>
        <w:spacing w:line="300" w:lineRule="auto"/>
        <w:ind w:left="283" w:firstLine="480" w:firstLineChars="200"/>
        <w:textAlignment w:val="auto"/>
        <w:rPr>
          <w:rFonts w:hint="eastAsia" w:asciiTheme="minorEastAsia" w:hAnsiTheme="minorEastAsia" w:eastAsiaTheme="minorEastAsia" w:cstheme="minorEastAsia"/>
          <w:color w:val="000000"/>
          <w:kern w:val="0"/>
          <w:sz w:val="24"/>
          <w:szCs w:val="24"/>
          <w:lang w:val="en-US" w:eastAsia="zh-CN" w:bidi="ar"/>
        </w:rPr>
      </w:pPr>
      <w:r>
        <w:rPr>
          <w:rFonts w:hint="eastAsia" w:asciiTheme="minorEastAsia" w:hAnsiTheme="minorEastAsia" w:eastAsiaTheme="minorEastAsia" w:cstheme="minorEastAsia"/>
          <w:color w:val="000000"/>
          <w:kern w:val="0"/>
          <w:sz w:val="24"/>
          <w:szCs w:val="24"/>
          <w:lang w:val="en-US" w:eastAsia="zh-CN" w:bidi="ar"/>
        </w:rPr>
        <w:t>C.合同总价款的10%作为本合同约定设备的质量保证金，质量保证金在质量保证期内不计利息。质保期届满后支付。</w:t>
      </w:r>
    </w:p>
    <w:p>
      <w:pPr>
        <w:pStyle w:val="24"/>
        <w:keepNext w:val="0"/>
        <w:keepLines w:val="0"/>
        <w:pageBreakBefore w:val="0"/>
        <w:widowControl w:val="0"/>
        <w:kinsoku/>
        <w:wordWrap/>
        <w:topLinePunct w:val="0"/>
        <w:autoSpaceDE/>
        <w:autoSpaceDN/>
        <w:bidi w:val="0"/>
        <w:adjustRightInd w:val="0"/>
        <w:snapToGrid w:val="0"/>
        <w:spacing w:line="300" w:lineRule="auto"/>
        <w:ind w:firstLine="482" w:firstLineChars="200"/>
        <w:textAlignment w:val="auto"/>
        <w:rPr>
          <w:rFonts w:hint="eastAsia" w:asciiTheme="minorEastAsia" w:hAnsiTheme="minorEastAsia" w:eastAsiaTheme="minorEastAsia" w:cstheme="minorEastAsia"/>
          <w:b/>
          <w:bCs/>
          <w:sz w:val="24"/>
          <w:szCs w:val="24"/>
          <w:highlight w:val="none"/>
        </w:rPr>
      </w:pPr>
      <w:r>
        <w:rPr>
          <w:rFonts w:hint="eastAsia" w:asciiTheme="minorEastAsia" w:hAnsiTheme="minorEastAsia" w:eastAsiaTheme="minorEastAsia" w:cstheme="minorEastAsia"/>
          <w:b/>
          <w:bCs/>
          <w:sz w:val="24"/>
          <w:szCs w:val="24"/>
          <w:highlight w:val="none"/>
        </w:rPr>
        <w:t>具体以双方最终签署的合同为准。</w:t>
      </w:r>
    </w:p>
    <w:p>
      <w:pPr>
        <w:pStyle w:val="24"/>
        <w:keepNext w:val="0"/>
        <w:keepLines w:val="0"/>
        <w:pageBreakBefore w:val="0"/>
        <w:widowControl w:val="0"/>
        <w:kinsoku/>
        <w:wordWrap/>
        <w:topLinePunct w:val="0"/>
        <w:bidi w:val="0"/>
        <w:adjustRightInd w:val="0"/>
        <w:snapToGrid w:val="0"/>
        <w:spacing w:line="300" w:lineRule="auto"/>
        <w:ind w:firstLine="480" w:firstLineChars="200"/>
        <w:textAlignment w:val="auto"/>
        <w:rPr>
          <w:rFonts w:hint="default" w:hAnsi="宋体"/>
          <w:highlight w:val="none"/>
          <w:lang w:val="en-US" w:eastAsia="zh-CN"/>
        </w:rPr>
      </w:pPr>
      <w:r>
        <w:rPr>
          <w:rFonts w:hint="eastAsia" w:hAnsi="宋体"/>
          <w:highlight w:val="none"/>
          <w:lang w:eastAsia="zh-CN"/>
        </w:rPr>
        <w:t>（</w:t>
      </w:r>
      <w:r>
        <w:rPr>
          <w:rFonts w:hint="eastAsia" w:hAnsi="宋体"/>
          <w:highlight w:val="none"/>
          <w:lang w:val="en-US" w:eastAsia="zh-CN"/>
        </w:rPr>
        <w:t>4</w:t>
      </w:r>
      <w:r>
        <w:rPr>
          <w:rFonts w:hint="eastAsia" w:hAnsi="宋体"/>
          <w:highlight w:val="none"/>
          <w:lang w:eastAsia="zh-CN"/>
        </w:rPr>
        <w:t>）</w:t>
      </w:r>
      <w:r>
        <w:rPr>
          <w:rFonts w:hint="eastAsia" w:hAnsi="宋体"/>
          <w:highlight w:val="none"/>
          <w:lang w:val="en-US" w:eastAsia="zh-CN"/>
        </w:rPr>
        <w:t>项目预算：含税15.86万元</w:t>
      </w:r>
      <w:bookmarkStart w:id="32" w:name="_GoBack"/>
      <w:bookmarkEnd w:id="32"/>
      <w:r>
        <w:rPr>
          <w:rFonts w:hint="eastAsia" w:hAnsi="宋体"/>
          <w:highlight w:val="none"/>
          <w:lang w:val="en-US" w:eastAsia="zh-CN"/>
        </w:rPr>
        <w:t>。</w:t>
      </w:r>
    </w:p>
    <w:p>
      <w:pPr>
        <w:pStyle w:val="57"/>
        <w:keepNext w:val="0"/>
        <w:keepLines w:val="0"/>
        <w:pageBreakBefore w:val="0"/>
        <w:widowControl w:val="0"/>
        <w:kinsoku/>
        <w:wordWrap/>
        <w:overflowPunct/>
        <w:topLinePunct w:val="0"/>
        <w:autoSpaceDE w:val="0"/>
        <w:autoSpaceDN w:val="0"/>
        <w:bidi w:val="0"/>
        <w:adjustRightInd w:val="0"/>
        <w:snapToGrid w:val="0"/>
        <w:spacing w:line="30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pPr>
        <w:pStyle w:val="151"/>
        <w:numPr>
          <w:ilvl w:val="0"/>
          <w:numId w:val="6"/>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pPr>
        <w:pStyle w:val="151"/>
        <w:keepNext w:val="0"/>
        <w:keepLines w:val="0"/>
        <w:pageBreakBefore w:val="0"/>
        <w:widowControl w:val="0"/>
        <w:numPr>
          <w:ilvl w:val="0"/>
          <w:numId w:val="6"/>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yellow"/>
          <w:u w:val="single"/>
        </w:rPr>
        <w:t>202</w:t>
      </w:r>
      <w:r>
        <w:rPr>
          <w:rFonts w:hint="eastAsia" w:asciiTheme="minorEastAsia" w:hAnsiTheme="minorEastAsia" w:eastAsiaTheme="minorEastAsia" w:cstheme="minorEastAsia"/>
          <w:b/>
          <w:bCs/>
          <w:color w:val="000000"/>
          <w:sz w:val="24"/>
          <w:szCs w:val="24"/>
          <w:highlight w:val="yellow"/>
          <w:u w:val="single"/>
          <w:lang w:val="en-US" w:eastAsia="zh-CN"/>
        </w:rPr>
        <w:t>6</w:t>
      </w:r>
      <w:r>
        <w:rPr>
          <w:rFonts w:hint="eastAsia" w:asciiTheme="minorEastAsia" w:hAnsiTheme="minorEastAsia" w:eastAsiaTheme="minorEastAsia" w:cstheme="minorEastAsia"/>
          <w:b/>
          <w:bCs/>
          <w:color w:val="000000"/>
          <w:sz w:val="24"/>
          <w:szCs w:val="24"/>
          <w:highlight w:val="yellow"/>
          <w:u w:val="single"/>
        </w:rPr>
        <w:t>年</w:t>
      </w:r>
      <w:r>
        <w:rPr>
          <w:rFonts w:hint="eastAsia" w:asciiTheme="minorEastAsia" w:hAnsiTheme="minorEastAsia" w:eastAsiaTheme="minorEastAsia" w:cstheme="minorEastAsia"/>
          <w:b/>
          <w:bCs/>
          <w:color w:val="000000"/>
          <w:sz w:val="24"/>
          <w:szCs w:val="24"/>
          <w:highlight w:val="yellow"/>
          <w:u w:val="single"/>
          <w:lang w:val="en-US" w:eastAsia="zh-CN"/>
        </w:rPr>
        <w:t>2</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5</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9</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b w:val="0"/>
          <w:bCs w:val="0"/>
          <w:sz w:val="24"/>
          <w:szCs w:val="24"/>
          <w:highlight w:val="yellow"/>
        </w:rPr>
        <w:t>人民币</w:t>
      </w:r>
      <w:r>
        <w:rPr>
          <w:rFonts w:hint="eastAsia" w:ascii="宋体" w:hAnsi="宋体" w:cs="宋体"/>
          <w:b w:val="0"/>
          <w:bCs w:val="0"/>
          <w:sz w:val="24"/>
          <w:szCs w:val="24"/>
          <w:highlight w:val="yellow"/>
          <w:lang w:val="en-US" w:eastAsia="zh-CN"/>
        </w:rPr>
        <w:t>5</w:t>
      </w:r>
      <w:r>
        <w:rPr>
          <w:rFonts w:hint="eastAsia" w:ascii="宋体" w:hAnsi="宋体" w:eastAsia="宋体" w:cs="宋体"/>
          <w:b w:val="0"/>
          <w:bCs w:val="0"/>
          <w:sz w:val="24"/>
          <w:szCs w:val="24"/>
          <w:highlight w:val="yellow"/>
        </w:rPr>
        <w:t>000元</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单位名称：中国重汽集团济南动力有限公司</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收款账号：371899991010003152396</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开户行名称：交通银行山东省分行</w:t>
      </w:r>
    </w:p>
    <w:p>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宋体" w:hAnsi="宋体" w:eastAsia="宋体" w:cs="宋体"/>
          <w:b/>
          <w:bCs/>
          <w:color w:val="000000"/>
          <w:kern w:val="0"/>
          <w:sz w:val="24"/>
          <w:szCs w:val="24"/>
          <w:highlight w:val="yellow"/>
        </w:rPr>
      </w:pPr>
      <w:r>
        <w:rPr>
          <w:rFonts w:hint="eastAsia" w:ascii="宋体" w:hAnsi="宋体" w:eastAsia="宋体" w:cs="宋体"/>
          <w:b/>
          <w:bCs/>
          <w:color w:val="000000"/>
          <w:kern w:val="0"/>
          <w:sz w:val="24"/>
          <w:szCs w:val="24"/>
          <w:highlight w:val="yellow"/>
        </w:rPr>
        <w:t>开户行行号：301451000017</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pPr>
        <w:pStyle w:val="151"/>
        <w:numPr>
          <w:ilvl w:val="0"/>
          <w:numId w:val="7"/>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 xml:space="preserve"> 截至开标前3天，投标人无正当理由且未以书面形式递交说明而在投标截止日不来投标的；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4自中标通知书发出之日起30日内，中标人无正当理由不签订合同的；</w:t>
      </w:r>
    </w:p>
    <w:p>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pPr>
        <w:pStyle w:val="151"/>
        <w:numPr>
          <w:ilvl w:val="0"/>
          <w:numId w:val="8"/>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pPr>
        <w:pStyle w:val="151"/>
        <w:numPr>
          <w:ilvl w:val="0"/>
          <w:numId w:val="8"/>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3" w:name="OLE_LINK26"/>
      <w:bookmarkStart w:id="14" w:name="OLE_LINK27"/>
      <w:bookmarkStart w:id="15" w:name="OLE_LINK25"/>
      <w:bookmarkStart w:id="16" w:name="OLE_LINK29"/>
      <w:bookmarkStart w:id="17" w:name="OLE_LINK28"/>
      <w:r>
        <w:rPr>
          <w:rFonts w:hint="eastAsia" w:ascii="宋体" w:hAnsi="宋体" w:eastAsia="宋体" w:cs="宋体"/>
          <w:bCs/>
          <w:sz w:val="24"/>
          <w:szCs w:val="24"/>
          <w:highlight w:val="none"/>
        </w:rPr>
        <w:t>；</w:t>
      </w:r>
      <w:bookmarkEnd w:id="13"/>
      <w:bookmarkEnd w:id="14"/>
      <w:bookmarkEnd w:id="15"/>
      <w:bookmarkEnd w:id="16"/>
      <w:bookmarkEnd w:id="17"/>
    </w:p>
    <w:p>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82"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lang w:eastAsia="zh-CN"/>
        </w:rPr>
        <w:t>。</w:t>
      </w:r>
    </w:p>
    <w:p>
      <w:pPr>
        <w:snapToGrid w:val="0"/>
        <w:spacing w:line="360" w:lineRule="auto"/>
        <w:jc w:val="left"/>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1"/>
        <w:rPr>
          <w:rFonts w:ascii="宋体" w:hAnsi="Calibri" w:eastAsia="宋体" w:cs="Times New Roman"/>
          <w:b/>
          <w:bCs/>
          <w:kern w:val="44"/>
          <w:sz w:val="28"/>
          <w:szCs w:val="28"/>
          <w:highlight w:val="none"/>
        </w:rPr>
      </w:pPr>
      <w:bookmarkStart w:id="18"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18"/>
    </w:p>
    <w:p>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ascii="Arial" w:hAnsi="Arial" w:eastAsia="宋体" w:cs="Times New Roman"/>
          <w:b/>
          <w:bCs/>
          <w:sz w:val="24"/>
          <w:highlight w:val="none"/>
        </w:rPr>
      </w:pPr>
      <w:bookmarkStart w:id="19"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19"/>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hint="eastAsia" w:ascii="宋体" w:hAnsi="宋体" w:eastAsia="宋体" w:cs="宋体"/>
          <w:sz w:val="24"/>
          <w:highlight w:val="none"/>
          <w:u w:val="single"/>
          <w:lang w:val="en-US" w:eastAsia="zh-CN"/>
        </w:rPr>
      </w:pPr>
      <w:r>
        <w:rPr>
          <w:rFonts w:hint="eastAsia" w:ascii="宋体" w:hAnsi="宋体" w:eastAsia="宋体" w:cs="宋体"/>
          <w:sz w:val="24"/>
          <w:highlight w:val="none"/>
        </w:rPr>
        <w:t>一、项目名称：</w:t>
      </w:r>
      <w:r>
        <w:rPr>
          <w:rFonts w:hint="eastAsia" w:ascii="宋体" w:hAnsi="宋体" w:eastAsia="宋体" w:cs="宋体"/>
          <w:sz w:val="24"/>
          <w:highlight w:val="none"/>
          <w:u w:val="single"/>
          <w:lang w:val="en-US" w:eastAsia="zh-CN"/>
        </w:rPr>
        <w:t>6300T、3150T</w:t>
      </w:r>
      <w:r>
        <w:rPr>
          <w:rFonts w:hint="eastAsia" w:ascii="宋体" w:hAnsi="宋体" w:cs="宋体"/>
          <w:sz w:val="24"/>
          <w:highlight w:val="none"/>
          <w:u w:val="single"/>
          <w:lang w:val="en-US" w:eastAsia="zh-CN"/>
        </w:rPr>
        <w:t>热模锻生产线复产项目</w:t>
      </w:r>
      <w:r>
        <w:rPr>
          <w:rFonts w:hint="eastAsia" w:ascii="宋体" w:hAnsi="宋体" w:eastAsia="宋体" w:cs="宋体"/>
          <w:sz w:val="24"/>
          <w:highlight w:val="none"/>
          <w:u w:val="single"/>
          <w:lang w:val="en-US" w:eastAsia="zh-CN"/>
        </w:rPr>
        <w:t>-新增石墨废水预处理站</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党家庄厂区机锻车间</w:t>
      </w:r>
      <w:r>
        <w:rPr>
          <w:rFonts w:hint="eastAsia" w:ascii="宋体" w:hAnsi="宋体" w:eastAsia="宋体" w:cs="宋体"/>
          <w:color w:val="000000"/>
          <w:sz w:val="24"/>
          <w:highlight w:val="none"/>
        </w:rPr>
        <w:t>。</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w:t>
      </w:r>
      <w:r>
        <w:rPr>
          <w:rFonts w:hint="eastAsia" w:ascii="宋体" w:hAnsi="宋体" w:eastAsia="宋体" w:cs="宋体"/>
          <w:color w:val="000000"/>
          <w:sz w:val="24"/>
          <w:highlight w:val="none"/>
          <w:lang w:val="en-US" w:eastAsia="zh-CN"/>
        </w:rPr>
        <w:t>党家庄厂区机锻车间</w:t>
      </w:r>
      <w:r>
        <w:rPr>
          <w:rFonts w:hint="eastAsia" w:ascii="宋体" w:hAnsi="宋体" w:eastAsia="宋体" w:cs="宋体"/>
          <w:color w:val="000000"/>
          <w:sz w:val="24"/>
          <w:highlight w:val="none"/>
        </w:rPr>
        <w:t>。</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w:t>
      </w:r>
      <w:r>
        <w:rPr>
          <w:rFonts w:hint="eastAsia" w:ascii="宋体" w:hAnsi="宋体" w:eastAsia="宋体" w:cs="宋体"/>
          <w:bCs/>
          <w:sz w:val="24"/>
          <w:highlight w:val="none"/>
          <w:lang w:val="en-US" w:eastAsia="zh-CN"/>
        </w:rPr>
        <w:t>7200</w:t>
      </w:r>
      <w:r>
        <w:rPr>
          <w:rFonts w:hint="eastAsia" w:ascii="宋体" w:hAnsi="宋体" w:eastAsia="宋体" w:cs="宋体"/>
          <w:bCs/>
          <w:sz w:val="24"/>
          <w:highlight w:val="none"/>
        </w:rPr>
        <w:t>小时。</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5.1.海拔高度：1000m以下。</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5.5  最大风速：15m/s。</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5.6  最大积雪厚度：190mm。</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5.7  地震烈度：七度。</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pPr>
        <w:pageBreakBefore w:val="0"/>
        <w:kinsoku/>
        <w:wordWrap/>
        <w:overflowPunct/>
        <w:topLinePunct w:val="0"/>
        <w:autoSpaceDE/>
        <w:autoSpaceDN/>
        <w:bidi w:val="0"/>
        <w:adjustRightInd/>
        <w:snapToGrid/>
        <w:spacing w:line="360" w:lineRule="auto"/>
        <w:ind w:left="0" w:leftChars="0" w:right="0" w:firstLine="0" w:firstLineChars="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hint="eastAsia" w:ascii="宋体" w:hAnsi="宋体" w:eastAsia="宋体" w:cs="Times New Roman"/>
          <w:b/>
          <w:bCs/>
          <w:sz w:val="24"/>
          <w:szCs w:val="24"/>
        </w:rPr>
      </w:pPr>
    </w:p>
    <w:p>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val="0"/>
          <w:bCs/>
          <w:sz w:val="24"/>
          <w:szCs w:val="24"/>
          <w:u w:val="single"/>
          <w:shd w:val="pct10" w:color="auto" w:fill="FFFFFF"/>
        </w:rPr>
      </w:pPr>
      <w:r>
        <w:rPr>
          <w:rFonts w:hint="eastAsia" w:ascii="宋体" w:hAnsi="宋体" w:eastAsia="宋体" w:cs="宋体"/>
          <w:b w:val="0"/>
          <w:bCs/>
          <w:sz w:val="24"/>
          <w:szCs w:val="24"/>
        </w:rPr>
        <w:t>一、货物名称：</w:t>
      </w:r>
      <w:r>
        <w:rPr>
          <w:rFonts w:hint="eastAsia" w:ascii="宋体" w:hAnsi="宋体" w:eastAsia="宋体" w:cs="宋体"/>
          <w:b w:val="0"/>
          <w:bCs/>
          <w:sz w:val="24"/>
          <w:szCs w:val="24"/>
          <w:u w:val="single"/>
          <w:lang w:val="en-US" w:eastAsia="zh-CN"/>
        </w:rPr>
        <w:t>新增石墨废水预处理站</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val="0"/>
          <w:bCs/>
          <w:sz w:val="24"/>
          <w:szCs w:val="24"/>
        </w:rPr>
      </w:pPr>
      <w:r>
        <w:rPr>
          <w:rFonts w:hint="eastAsia" w:ascii="宋体" w:hAnsi="宋体" w:eastAsia="宋体" w:cs="宋体"/>
          <w:b w:val="0"/>
          <w:bCs/>
          <w:sz w:val="24"/>
          <w:szCs w:val="24"/>
        </w:rPr>
        <w:t>二、货物数量：</w:t>
      </w:r>
      <w:r>
        <w:rPr>
          <w:rFonts w:hint="eastAsia" w:ascii="宋体" w:hAnsi="宋体" w:eastAsia="宋体" w:cs="宋体"/>
          <w:b w:val="0"/>
          <w:bCs/>
          <w:sz w:val="24"/>
          <w:szCs w:val="24"/>
          <w:u w:val="single"/>
        </w:rPr>
        <w:t>1</w:t>
      </w:r>
      <w:r>
        <w:rPr>
          <w:rFonts w:hint="eastAsia" w:ascii="宋体" w:hAnsi="宋体" w:eastAsia="宋体" w:cs="宋体"/>
          <w:b w:val="0"/>
          <w:bCs/>
          <w:sz w:val="24"/>
          <w:szCs w:val="24"/>
          <w:u w:val="single"/>
          <w:lang w:val="en-US" w:eastAsia="zh-CN"/>
        </w:rPr>
        <w:t>套</w:t>
      </w:r>
      <w:r>
        <w:rPr>
          <w:rFonts w:hint="eastAsia" w:ascii="宋体" w:hAnsi="宋体" w:eastAsia="宋体" w:cs="宋体"/>
          <w:b w:val="0"/>
          <w:bCs/>
          <w:sz w:val="24"/>
          <w:szCs w:val="24"/>
        </w:rPr>
        <w:t>（详见下表）</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sz w:val="24"/>
          <w:szCs w:val="24"/>
        </w:rPr>
      </w:pPr>
      <w:r>
        <w:rPr>
          <w:rFonts w:hint="eastAsia" w:ascii="宋体" w:hAnsi="宋体" w:eastAsia="宋体" w:cs="宋体"/>
          <w:b/>
          <w:sz w:val="24"/>
          <w:szCs w:val="24"/>
        </w:rPr>
        <w:t>三、分投分中：不允许</w:t>
      </w:r>
    </w:p>
    <w:p>
      <w:pPr>
        <w:pageBreakBefore w:val="0"/>
        <w:kinsoku/>
        <w:wordWrap/>
        <w:overflowPunct/>
        <w:topLinePunct w:val="0"/>
        <w:autoSpaceDE/>
        <w:autoSpaceDN/>
        <w:bidi w:val="0"/>
        <w:adjustRightInd/>
        <w:snapToGrid/>
        <w:spacing w:line="360" w:lineRule="auto"/>
        <w:ind w:left="0" w:leftChars="0" w:right="0" w:firstLine="0" w:firstLineChars="0"/>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8"/>
        <w:tblW w:w="513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3"/>
        <w:gridCol w:w="1056"/>
        <w:gridCol w:w="3727"/>
        <w:gridCol w:w="1214"/>
        <w:gridCol w:w="760"/>
        <w:gridCol w:w="590"/>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序号</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设备名称</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rPr>
            </w:pPr>
            <w:r>
              <w:rPr>
                <w:rFonts w:hint="eastAsia" w:ascii="宋体" w:hAnsi="宋体" w:eastAsia="宋体" w:cs="宋体"/>
                <w:b/>
                <w:i w:val="0"/>
                <w:strike w:val="0"/>
                <w:color w:val="000000"/>
                <w:spacing w:val="0"/>
                <w:sz w:val="20"/>
                <w:u w:val="none"/>
                <w:vertAlign w:val="baseline"/>
              </w:rPr>
              <w:t>具体参数</w:t>
            </w:r>
          </w:p>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（规格型号的描述）</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lang w:val="en-US" w:eastAsia="zh-CN"/>
              </w:rPr>
              <w:t>参考</w:t>
            </w:r>
            <w:r>
              <w:rPr>
                <w:rFonts w:hint="eastAsia" w:ascii="宋体" w:hAnsi="宋体" w:eastAsia="宋体" w:cs="宋体"/>
                <w:b/>
                <w:i w:val="0"/>
                <w:strike w:val="0"/>
                <w:color w:val="000000"/>
                <w:spacing w:val="0"/>
                <w:sz w:val="20"/>
                <w:u w:val="none"/>
                <w:vertAlign w:val="baseline"/>
              </w:rPr>
              <w:t>品牌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计量单位</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数量</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综合调节池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尺寸：长3m×宽2m×高2m，有效水深1.8m，池板厚度：5mm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尺寸：长2m×宽2m×高2m，有效水深1.8m，池板厚度：5mm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隔膜式电动计量泵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Q=170L/h</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加药箱搅拌器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rPr>
              <w:t>配套摆线减速机，I=0.75Kw，配套叶轮和连接杆为304不锈钢，连接杆0.9m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加药箱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尺寸：长1m×宽1m×高1m，有效水深0.9m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w:t>
            </w:r>
            <w:r>
              <w:rPr>
                <w:rFonts w:hint="eastAsia" w:ascii="宋体" w:hAnsi="宋体" w:eastAsia="宋体" w:cs="宋体"/>
                <w:i w:val="0"/>
                <w:strike w:val="0"/>
                <w:color w:val="auto"/>
                <w:spacing w:val="0"/>
                <w:sz w:val="20"/>
                <w:u w:val="none"/>
                <w:vertAlign w:val="baseline"/>
                <w:lang w:val="en-US" w:eastAsia="zh-CN"/>
              </w:rPr>
              <w:t>1.2</w:t>
            </w:r>
            <w:r>
              <w:rPr>
                <w:rFonts w:hint="eastAsia" w:ascii="宋体" w:hAnsi="宋体" w:eastAsia="宋体" w:cs="宋体"/>
                <w:i w:val="0"/>
                <w:strike w:val="0"/>
                <w:color w:val="auto"/>
                <w:spacing w:val="0"/>
                <w:sz w:val="20"/>
                <w:u w:val="none"/>
                <w:vertAlign w:val="baseline"/>
              </w:rPr>
              <w:t>m，有效水深1.1m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配套摆线减速机，I=1.5Kw，配套叶轮和连接杆为304不锈钢，连接杆1.1m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潍坊森胜、 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潜污泵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Q=20m³/h，H=15m，I=2.2Kw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中国进越、新界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3</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污泥螺杆泵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泵体304不锈钢，Q=2m³/h，I=2.2Kw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上海韦森、浙江亿迪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污水回流泵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泵体304不锈钢，Q=25m³/h，H=10m，I=1.5Kw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板框压滤机</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外形尺寸1850×845×950mm，压滤面积10平滤板厚度50mm，进料压力＜0.6Mpa，滤板尺寸500*500mm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斜板沉淀池填料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聚丙烯填料直径</w:t>
            </w:r>
            <w:r>
              <w:rPr>
                <w:rFonts w:hint="eastAsia" w:ascii="宋体" w:hAnsi="宋体" w:eastAsia="宋体" w:cs="宋体"/>
                <w:i w:val="0"/>
                <w:strike w:val="0"/>
                <w:color w:val="auto"/>
                <w:spacing w:val="0"/>
                <w:sz w:val="20"/>
                <w:u w:val="none"/>
                <w:vertAlign w:val="baseline"/>
                <w:lang w:val="en-US" w:eastAsia="zh-CN"/>
              </w:rPr>
              <w:t>50</w:t>
            </w:r>
            <w:r>
              <w:rPr>
                <w:rFonts w:hint="eastAsia" w:ascii="宋体" w:hAnsi="宋体" w:eastAsia="宋体" w:cs="宋体"/>
                <w:i w:val="0"/>
                <w:strike w:val="0"/>
                <w:color w:val="auto"/>
                <w:spacing w:val="0"/>
                <w:sz w:val="20"/>
                <w:u w:val="none"/>
                <w:vertAlign w:val="baseline"/>
              </w:rPr>
              <w:t>mm，比表面积300m/m,堆积个数22500n/m，堆积密度49KG/㎡</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平台楼梯</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材质Q235，</w:t>
            </w:r>
            <w:r>
              <w:rPr>
                <w:rFonts w:hint="eastAsia" w:ascii="宋体" w:hAnsi="宋体" w:eastAsia="宋体" w:cs="宋体"/>
                <w:i w:val="0"/>
                <w:strike w:val="0"/>
                <w:color w:val="auto"/>
                <w:spacing w:val="0"/>
                <w:sz w:val="20"/>
                <w:u w:val="none"/>
                <w:vertAlign w:val="baseline"/>
              </w:rPr>
              <w:t>铁板，厚5mm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电磁流量计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DN65，法兰连接；公称压力:PN16；连接材质及本体材质:碳钢CS；准确度:0.5级；输出及供电电源:4-20mA+脉冲+RS485，220VAC</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lang w:val="en-US" w:eastAsia="zh-CN"/>
              </w:rPr>
              <w:t>格乐普、美控</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立柱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池体支架材质Q235,50mm方管</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根</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12</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管道</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加药管道采用，PVC:DN25-DN100；</w:t>
            </w:r>
          </w:p>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污泥输送管道采用，PVC：DN65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辅料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五金辅材</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电线</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低压电力电缆</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华凌、阳谷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穿线管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镀锌管，Ф20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友发、正元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20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曝气管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PVC：DN50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电控柜</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IP65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电器元件</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断路器、接触器等</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正泰、德力西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bl>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宋体"/>
          <w:bCs/>
          <w:sz w:val="24"/>
          <w:szCs w:val="24"/>
        </w:rPr>
      </w:pP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宋体"/>
          <w:bCs/>
          <w:sz w:val="24"/>
          <w:szCs w:val="24"/>
        </w:rPr>
      </w:pPr>
      <w:r>
        <w:rPr>
          <w:rFonts w:hint="eastAsia" w:ascii="宋体" w:hAnsi="宋体" w:eastAsia="宋体" w:cs="宋体"/>
          <w:bCs/>
          <w:sz w:val="24"/>
          <w:szCs w:val="24"/>
        </w:rPr>
        <w:t>备注：</w:t>
      </w:r>
    </w:p>
    <w:p>
      <w:pPr>
        <w:pageBreakBefore w:val="0"/>
        <w:kinsoku/>
        <w:wordWrap/>
        <w:overflowPunct/>
        <w:topLinePunct w:val="0"/>
        <w:autoSpaceDE/>
        <w:autoSpaceDN/>
        <w:bidi w:val="0"/>
        <w:adjustRightInd/>
        <w:snapToGrid/>
        <w:spacing w:line="360" w:lineRule="auto"/>
        <w:ind w:left="0" w:leftChars="0" w:right="0" w:firstLine="480" w:firstLineChars="200"/>
        <w:rPr>
          <w:rFonts w:ascii="宋体" w:hAnsi="宋体" w:eastAsia="宋体" w:cs="宋体"/>
          <w:bCs/>
          <w:sz w:val="24"/>
          <w:szCs w:val="24"/>
        </w:rPr>
      </w:pPr>
      <w:r>
        <w:rPr>
          <w:rFonts w:hint="eastAsia" w:ascii="宋体" w:hAnsi="宋体" w:eastAsia="宋体" w:cs="宋体"/>
          <w:bCs/>
          <w:sz w:val="24"/>
          <w:szCs w:val="24"/>
        </w:rPr>
        <w:t>1.本表所列采购货物仅为货物的主要构成部分，应配套供货以及招标人所列其它货物（或设备）和服务，请</w:t>
      </w:r>
      <w:r>
        <w:rPr>
          <w:rFonts w:hint="eastAsia" w:ascii="宋体" w:hAnsi="宋体" w:eastAsia="宋体" w:cs="宋体"/>
          <w:bCs/>
          <w:sz w:val="24"/>
          <w:szCs w:val="24"/>
          <w:lang w:eastAsia="zh-CN"/>
        </w:rPr>
        <w:t>投标方</w:t>
      </w:r>
      <w:r>
        <w:rPr>
          <w:rFonts w:hint="eastAsia" w:ascii="宋体" w:hAnsi="宋体" w:eastAsia="宋体" w:cs="宋体"/>
          <w:bCs/>
          <w:sz w:val="24"/>
          <w:szCs w:val="24"/>
        </w:rPr>
        <w:t>认真阅读“供货范围”。若有异议，不管是多么微小，都应在投标文件“商务偏离”章节中予以详细说明。</w:t>
      </w:r>
    </w:p>
    <w:p>
      <w:pPr>
        <w:pageBreakBefore w:val="0"/>
        <w:numPr>
          <w:ilvl w:val="0"/>
          <w:numId w:val="0"/>
        </w:numPr>
        <w:kinsoku/>
        <w:wordWrap/>
        <w:overflowPunct/>
        <w:topLinePunct w:val="0"/>
        <w:autoSpaceDE/>
        <w:autoSpaceDN/>
        <w:bidi w:val="0"/>
        <w:adjustRightInd/>
        <w:snapToGrid/>
        <w:spacing w:line="360" w:lineRule="auto"/>
        <w:ind w:leftChars="0" w:right="0" w:rightChars="0" w:firstLine="480" w:firstLineChars="200"/>
        <w:rPr>
          <w:szCs w:val="21"/>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w:t>
      </w:r>
      <w:r>
        <w:rPr>
          <w:rFonts w:hint="eastAsia" w:ascii="宋体" w:hAnsi="宋体" w:eastAsia="宋体" w:cs="宋体"/>
          <w:bCs/>
          <w:sz w:val="24"/>
          <w:szCs w:val="24"/>
          <w:lang w:eastAsia="zh-CN"/>
        </w:rPr>
        <w:t>、</w:t>
      </w:r>
      <w:r>
        <w:rPr>
          <w:rFonts w:hint="eastAsia" w:ascii="宋体" w:hAnsi="宋体" w:eastAsia="宋体" w:cs="宋体"/>
          <w:bCs/>
          <w:sz w:val="24"/>
          <w:szCs w:val="24"/>
          <w:lang w:val="en-US" w:eastAsia="zh-CN"/>
        </w:rPr>
        <w:t>相关设备试运行等</w:t>
      </w:r>
      <w:r>
        <w:rPr>
          <w:rFonts w:hint="eastAsia" w:ascii="宋体" w:hAnsi="宋体" w:eastAsia="宋体" w:cs="宋体"/>
          <w:bCs/>
          <w:sz w:val="24"/>
          <w:szCs w:val="24"/>
        </w:rPr>
        <w:t>。</w:t>
      </w:r>
    </w:p>
    <w:p>
      <w:pPr>
        <w:pageBreakBefore w:val="0"/>
        <w:kinsoku/>
        <w:wordWrap/>
        <w:overflowPunct/>
        <w:topLinePunct w:val="0"/>
        <w:autoSpaceDE/>
        <w:autoSpaceDN/>
        <w:bidi w:val="0"/>
        <w:adjustRightInd/>
        <w:snapToGrid/>
        <w:spacing w:line="360" w:lineRule="auto"/>
        <w:ind w:left="0" w:leftChars="0" w:right="0" w:firstLine="48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3.清单中所列管道、辅料、电线、穿线管、曝气管需投标方到现场查勘后确定本项目实际需求量，以此作为整体设计的组成部分以及商务标书的报价根据。</w:t>
      </w:r>
    </w:p>
    <w:p>
      <w:pPr>
        <w:pageBreakBefore w:val="0"/>
        <w:kinsoku/>
        <w:wordWrap/>
        <w:overflowPunct/>
        <w:topLinePunct w:val="0"/>
        <w:autoSpaceDE/>
        <w:autoSpaceDN/>
        <w:bidi w:val="0"/>
        <w:adjustRightInd/>
        <w:snapToGrid/>
        <w:spacing w:line="360" w:lineRule="auto"/>
        <w:ind w:left="0" w:leftChars="0" w:right="0" w:firstLine="0" w:firstLineChars="0"/>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pageBreakBefore w:val="0"/>
        <w:kinsoku/>
        <w:wordWrap/>
        <w:overflowPunct/>
        <w:topLinePunct w:val="0"/>
        <w:autoSpaceDE/>
        <w:autoSpaceDN/>
        <w:bidi w:val="0"/>
        <w:adjustRightInd/>
        <w:snapToGrid/>
        <w:spacing w:line="360" w:lineRule="auto"/>
        <w:ind w:left="0" w:leftChars="0" w:right="0" w:firstLine="480" w:firstLineChars="200"/>
        <w:rPr>
          <w:rFonts w:hint="default" w:ascii="宋体" w:hAnsi="宋体" w:eastAsia="宋体" w:cs="宋体"/>
          <w:sz w:val="24"/>
          <w:szCs w:val="24"/>
          <w:highlight w:val="yellow"/>
          <w:lang w:val="en-US" w:eastAsia="zh-CN"/>
        </w:rPr>
      </w:pPr>
      <w:r>
        <w:rPr>
          <w:rFonts w:hint="eastAsia" w:ascii="宋体" w:hAnsi="宋体" w:eastAsia="宋体" w:cs="宋体"/>
          <w:sz w:val="24"/>
          <w:szCs w:val="24"/>
        </w:rPr>
        <w:t>招标人所列货物的名称和规格型号，如为某一供应商所特有，则该名称和规格型号可作参考，但要求</w:t>
      </w:r>
      <w:r>
        <w:rPr>
          <w:rFonts w:hint="eastAsia" w:ascii="宋体" w:hAnsi="宋体" w:eastAsia="宋体" w:cs="宋体"/>
          <w:sz w:val="24"/>
          <w:szCs w:val="24"/>
          <w:lang w:eastAsia="zh-CN"/>
        </w:rPr>
        <w:t>投标方</w:t>
      </w:r>
      <w:r>
        <w:rPr>
          <w:rFonts w:hint="eastAsia" w:ascii="宋体" w:hAnsi="宋体" w:eastAsia="宋体" w:cs="宋体"/>
          <w:sz w:val="24"/>
          <w:szCs w:val="24"/>
        </w:rPr>
        <w:t>所提供的货物必须满足本技术标书实质性要求</w:t>
      </w:r>
      <w:r>
        <w:rPr>
          <w:rFonts w:hint="eastAsia" w:ascii="宋体" w:hAnsi="宋体" w:eastAsia="宋体" w:cs="Times New Roman"/>
          <w:szCs w:val="20"/>
        </w:rPr>
        <w:t>。</w:t>
      </w:r>
      <w:r>
        <w:rPr>
          <w:rFonts w:hint="eastAsia" w:ascii="宋体" w:hAnsi="宋体" w:eastAsia="宋体" w:cs="Times New Roman"/>
          <w:szCs w:val="20"/>
          <w:highlight w:val="yellow"/>
          <w:lang w:eastAsia="zh-CN"/>
        </w:rPr>
        <w:t>（</w:t>
      </w:r>
      <w:r>
        <w:rPr>
          <w:rFonts w:hint="eastAsia" w:ascii="宋体" w:hAnsi="宋体" w:eastAsia="宋体" w:cs="宋体"/>
          <w:sz w:val="24"/>
          <w:szCs w:val="24"/>
          <w:highlight w:val="yellow"/>
          <w:lang w:val="en-US" w:eastAsia="zh-CN"/>
        </w:rPr>
        <w:t>本项目不指定品牌，仅作参考，与参考不一致，需在偏离表中注明，并在技术方案讲解时主动提出，经专家组同意后方可，否则默认使用参考品牌。）</w:t>
      </w:r>
    </w:p>
    <w:p>
      <w:pPr>
        <w:keepNext/>
        <w:keepLines/>
        <w:pageBreakBefore w:val="0"/>
        <w:kinsoku/>
        <w:wordWrap/>
        <w:overflowPunct/>
        <w:topLinePunct w:val="0"/>
        <w:autoSpaceDE/>
        <w:autoSpaceDN/>
        <w:bidi w:val="0"/>
        <w:adjustRightInd/>
        <w:snapToGrid/>
        <w:spacing w:line="360" w:lineRule="auto"/>
        <w:ind w:left="0" w:leftChars="0" w:right="0" w:firstLine="0" w:firstLineChars="0"/>
        <w:jc w:val="center"/>
        <w:outlineLvl w:val="1"/>
        <w:rPr>
          <w:rFonts w:hint="eastAsia" w:ascii="宋体" w:hAnsi="宋体" w:eastAsia="宋体" w:cs="Times New Roman"/>
          <w:b/>
          <w:bCs/>
          <w:kern w:val="44"/>
          <w:sz w:val="28"/>
          <w:szCs w:val="28"/>
        </w:rPr>
      </w:pPr>
      <w:bookmarkStart w:id="20" w:name="_Toc169605880"/>
    </w:p>
    <w:bookmarkEnd w:id="20"/>
    <w:p>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23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7.程序图纸要求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7.1 投标方必须提供所有设备程序的源代码，包括但不限于 PLC程序、HMI 程序、组态程序、机器人程序、视觉程序、伺服等。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7.2 投标方所提供的程序不得设置任何密码、保护等限制手段，PLC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7.3 HMI界面等需要密码保护的程序，投标方必须提供所有级别的用户名、密码。</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7.4 投标方需在设备入场前提供设备程序源码，HMI 界面各级用户名和密码，并保证与现场程序一致。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7.5 投标方需在终验收前提供最新的设备程序源码和电气图纸，图纸要求为可编辑原格式（EPLAN、CAD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7.7仪器、仪表、控制器、特殊用途传感器等，如变频器、液位传感器、压力传感器等，需提供设备使用说明书。</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7.8提供所有信号对接表（excel）。</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8.接口协议要求</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8.4 设备使用周期内，投标方免费派遣技术人员与招标方调试团队共同进行设备通讯接口的调试工作。</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9.电机能效</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所有涉及用到的电机、水泵、照明器具等电机功率≥7.5kW,必须选用一级能效，电机功率＜7.5kW，优先选用一级能效；其中能源供应设备及年运行时间≥2000h工艺设备电机必须选用一级能效。</w:t>
      </w:r>
    </w:p>
    <w:p>
      <w:pPr>
        <w:pStyle w:val="236"/>
        <w:pageBreakBefore w:val="0"/>
        <w:kinsoku/>
        <w:wordWrap/>
        <w:overflowPunct/>
        <w:topLinePunct w:val="0"/>
        <w:autoSpaceDE/>
        <w:autoSpaceDN/>
        <w:bidi w:val="0"/>
        <w:adjustRightInd/>
        <w:snapToGrid/>
        <w:spacing w:before="0" w:after="0" w:line="360" w:lineRule="auto"/>
        <w:ind w:left="0" w:leftChars="0" w:right="0" w:firstLine="0" w:firstLineChars="0"/>
        <w:outlineLvl w:val="2"/>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三、技术要求</w: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1.污水设计处理能力：10m³/d</w:t>
      </w:r>
    </w:p>
    <w:p>
      <w:pPr>
        <w:pageBreakBefore w:val="0"/>
        <w:kinsoku/>
        <w:wordWrap/>
        <w:overflowPunct/>
        <w:topLinePunct w:val="0"/>
        <w:autoSpaceDE/>
        <w:autoSpaceDN/>
        <w:bidi w:val="0"/>
        <w:adjustRightInd/>
        <w:snapToGrid/>
        <w:spacing w:line="360" w:lineRule="auto"/>
        <w:ind w:left="0" w:leftChars="0" w:right="0" w:firstLine="0" w:firstLineChars="0"/>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现场位置示意图</w:t>
      </w:r>
    </w:p>
    <w:p>
      <w:pPr>
        <w:pageBreakBefore w:val="0"/>
        <w:kinsoku/>
        <w:wordWrap/>
        <w:overflowPunct/>
        <w:topLinePunct w:val="0"/>
        <w:autoSpaceDE/>
        <w:autoSpaceDN/>
        <w:bidi w:val="0"/>
        <w:adjustRightInd/>
        <w:snapToGrid/>
        <w:spacing w:line="360" w:lineRule="auto"/>
        <w:ind w:left="0" w:leftChars="0" w:right="0" w:firstLine="0" w:firstLineChars="0"/>
        <w:jc w:val="both"/>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drawing>
          <wp:inline distT="0" distB="0" distL="114300" distR="114300">
            <wp:extent cx="6222365" cy="3651885"/>
            <wp:effectExtent l="0" t="0" r="635" b="5715"/>
            <wp:docPr id="22" name="图片 1" descr="0ff700af300d33b3293489f93de697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0ff700af300d33b3293489f93de6974b"/>
                    <pic:cNvPicPr>
                      <a:picLocks noChangeAspect="1"/>
                    </pic:cNvPicPr>
                  </pic:nvPicPr>
                  <pic:blipFill>
                    <a:blip r:embed="rId25"/>
                    <a:stretch>
                      <a:fillRect/>
                    </a:stretch>
                  </pic:blipFill>
                  <pic:spPr>
                    <a:xfrm>
                      <a:off x="0" y="0"/>
                      <a:ext cx="6222365" cy="365188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2.出水水质：</w:t>
      </w:r>
    </w:p>
    <w:p>
      <w:pPr>
        <w:pageBreakBefore w:val="0"/>
        <w:kinsoku/>
        <w:wordWrap/>
        <w:overflowPunct/>
        <w:topLinePunct w:val="0"/>
        <w:autoSpaceDE/>
        <w:autoSpaceDN/>
        <w:bidi w:val="0"/>
        <w:adjustRightInd/>
        <w:snapToGrid/>
        <w:spacing w:line="360" w:lineRule="auto"/>
        <w:ind w:left="0" w:leftChars="0" w:right="0" w:firstLine="720" w:firstLineChars="3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CODcr（化学需氧量）≤500mg/L、SS（悬浮物）≤400mg/L、氨氮≤45mg/L、pH：6.5-9.5、TP（总磷）≤8mg/L、TN（总氮）≤70mg/L</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由投标方出具最终排放水质检测报告（带CMA认证）。</w: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3.污水处理工艺</w: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71552" behindDoc="0" locked="0" layoutInCell="1" allowOverlap="1">
                <wp:simplePos x="0" y="0"/>
                <wp:positionH relativeFrom="column">
                  <wp:posOffset>2007235</wp:posOffset>
                </wp:positionH>
                <wp:positionV relativeFrom="paragraph">
                  <wp:posOffset>43180</wp:posOffset>
                </wp:positionV>
                <wp:extent cx="1938020" cy="353695"/>
                <wp:effectExtent l="0" t="0" r="0" b="0"/>
                <wp:wrapNone/>
                <wp:docPr id="23" name="流程图: 过程 23" descr="colored_paper1"/>
                <wp:cNvGraphicFramePr/>
                <a:graphic xmlns:a="http://schemas.openxmlformats.org/drawingml/2006/main">
                  <a:graphicData uri="http://schemas.microsoft.com/office/word/2010/wordprocessingShape">
                    <wps:wsp>
                      <wps:cNvSpPr/>
                      <wps:spPr>
                        <a:xfrm>
                          <a:off x="0" y="0"/>
                          <a:ext cx="1938020" cy="353695"/>
                        </a:xfrm>
                        <a:prstGeom prst="flowChartProcess">
                          <a:avLst/>
                        </a:prstGeom>
                        <a:noFill/>
                        <a:ln w="15875">
                          <a:noFill/>
                        </a:ln>
                      </wps:spPr>
                      <wps:txbx>
                        <w:txbxContent>
                          <w:p>
                            <w:pPr>
                              <w:pStyle w:val="47"/>
                              <w:keepNext w:val="0"/>
                              <w:keepLines w:val="0"/>
                              <w:pageBreakBefore w:val="0"/>
                              <w:widowControl w:val="0"/>
                              <w:kinsoku/>
                              <w:wordWrap/>
                              <w:overflowPunct/>
                              <w:topLinePunct w:val="0"/>
                              <w:bidi w:val="0"/>
                              <w:adjustRightInd/>
                              <w:snapToGrid/>
                              <w:spacing w:line="360" w:lineRule="auto"/>
                              <w:ind w:left="0" w:firstLine="0" w:firstLineChars="0"/>
                              <w:jc w:val="center"/>
                              <w:textAlignment w:val="auto"/>
                              <w:rPr>
                                <w:rFonts w:hint="eastAsia" w:ascii="仿宋_GB2312" w:hAnsi="仿宋_GB2312" w:eastAsia="仿宋_GB2312" w:cs="仿宋_GB2312"/>
                                <w:b w:val="0"/>
                                <w:bCs w:val="0"/>
                                <w:sz w:val="21"/>
                                <w:szCs w:val="21"/>
                                <w:highlight w:val="none"/>
                                <w:lang w:val="en-US" w:eastAsia="zh-CN"/>
                              </w:rPr>
                            </w:pPr>
                            <w:r>
                              <w:rPr>
                                <w:rFonts w:hint="eastAsia" w:ascii="仿宋_GB2312" w:hAnsi="仿宋_GB2312" w:eastAsia="仿宋_GB2312" w:cs="仿宋_GB2312"/>
                                <w:b w:val="0"/>
                                <w:bCs w:val="0"/>
                                <w:i w:val="0"/>
                                <w:iCs w:val="0"/>
                                <w:caps w:val="0"/>
                                <w:color w:val="333333"/>
                                <w:spacing w:val="0"/>
                                <w:sz w:val="21"/>
                                <w:szCs w:val="21"/>
                                <w:shd w:val="clear" w:color="auto" w:fill="FFFFFF"/>
                              </w:rPr>
                              <w:t>NaOH</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rPr>
                              <w:t>破乳剂</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lang w:val="en-US" w:eastAsia="zh-CN"/>
                              </w:rPr>
                              <w:t>PAC、PAM</w:t>
                            </w:r>
                          </w:p>
                          <w:p>
                            <w:pPr>
                              <w:rPr>
                                <w:rFonts w:hint="default"/>
                                <w:lang w:val="en-US" w:eastAsia="zh-CN"/>
                              </w:rPr>
                            </w:pPr>
                          </w:p>
                        </w:txbxContent>
                      </wps:txbx>
                      <wps:bodyPr upright="1"/>
                    </wps:wsp>
                  </a:graphicData>
                </a:graphic>
              </wp:anchor>
            </w:drawing>
          </mc:Choice>
          <mc:Fallback>
            <w:pict>
              <v:shape id="_x0000_s1026" o:spid="_x0000_s1026" o:spt="109" alt="colored_paper1" type="#_x0000_t109" style="position:absolute;left:0pt;margin-left:158.05pt;margin-top:3.4pt;height:27.85pt;width:152.6pt;z-index:251671552;mso-width-relative:page;mso-height-relative:page;" filled="f" stroked="f" coordsize="21600,21600" o:gfxdata="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QsI+vVAAAACAEAAA8AAAAAAAAAAQAgAAAAIgAA&#10;AGRycy9kb3ducmV2LnhtbFBLAQIUABQAAAAIAIdO4kBFcMuE0gEAAHsDAAAOAAAAAAAAAAEAIAAA&#10;ACQBAABkcnMvZTJvRG9jLnhtbFBLBQYAAAAABgAGAFkBAABoBQAAAAA=&#10;">
                <v:fill on="f" focussize="0,0"/>
                <v:stroke on="f" weight="1.25pt"/>
                <v:imagedata o:title=""/>
                <o:lock v:ext="edit" aspectratio="f"/>
                <v:textbox>
                  <w:txbxContent>
                    <w:p>
                      <w:pPr>
                        <w:pStyle w:val="47"/>
                        <w:keepNext w:val="0"/>
                        <w:keepLines w:val="0"/>
                        <w:pageBreakBefore w:val="0"/>
                        <w:widowControl w:val="0"/>
                        <w:kinsoku/>
                        <w:wordWrap/>
                        <w:overflowPunct/>
                        <w:topLinePunct w:val="0"/>
                        <w:bidi w:val="0"/>
                        <w:adjustRightInd/>
                        <w:snapToGrid/>
                        <w:spacing w:line="360" w:lineRule="auto"/>
                        <w:ind w:left="0" w:firstLine="0" w:firstLineChars="0"/>
                        <w:jc w:val="center"/>
                        <w:textAlignment w:val="auto"/>
                        <w:rPr>
                          <w:rFonts w:hint="eastAsia" w:ascii="仿宋_GB2312" w:hAnsi="仿宋_GB2312" w:eastAsia="仿宋_GB2312" w:cs="仿宋_GB2312"/>
                          <w:b w:val="0"/>
                          <w:bCs w:val="0"/>
                          <w:sz w:val="21"/>
                          <w:szCs w:val="21"/>
                          <w:highlight w:val="none"/>
                          <w:lang w:val="en-US" w:eastAsia="zh-CN"/>
                        </w:rPr>
                      </w:pPr>
                      <w:r>
                        <w:rPr>
                          <w:rFonts w:hint="eastAsia" w:ascii="仿宋_GB2312" w:hAnsi="仿宋_GB2312" w:eastAsia="仿宋_GB2312" w:cs="仿宋_GB2312"/>
                          <w:b w:val="0"/>
                          <w:bCs w:val="0"/>
                          <w:i w:val="0"/>
                          <w:iCs w:val="0"/>
                          <w:caps w:val="0"/>
                          <w:color w:val="333333"/>
                          <w:spacing w:val="0"/>
                          <w:sz w:val="21"/>
                          <w:szCs w:val="21"/>
                          <w:shd w:val="clear" w:color="auto" w:fill="FFFFFF"/>
                        </w:rPr>
                        <w:t>NaOH</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rPr>
                        <w:t>破乳剂</w:t>
                      </w:r>
                      <w:r>
                        <w:rPr>
                          <w:rFonts w:hint="eastAsia" w:ascii="仿宋_GB2312" w:hAnsi="仿宋_GB2312" w:eastAsia="仿宋_GB2312" w:cs="仿宋_GB2312"/>
                          <w:b w:val="0"/>
                          <w:bCs w:val="0"/>
                          <w:i w:val="0"/>
                          <w:iCs w:val="0"/>
                          <w:caps w:val="0"/>
                          <w:color w:val="333333"/>
                          <w:spacing w:val="0"/>
                          <w:sz w:val="21"/>
                          <w:szCs w:val="21"/>
                          <w:shd w:val="clear" w:color="auto" w:fill="FFFFFF"/>
                          <w:lang w:eastAsia="zh-CN"/>
                        </w:rPr>
                        <w:t>、</w:t>
                      </w:r>
                      <w:r>
                        <w:rPr>
                          <w:rFonts w:hint="eastAsia" w:ascii="仿宋_GB2312" w:hAnsi="仿宋_GB2312" w:eastAsia="仿宋_GB2312" w:cs="仿宋_GB2312"/>
                          <w:b w:val="0"/>
                          <w:bCs w:val="0"/>
                          <w:i w:val="0"/>
                          <w:iCs w:val="0"/>
                          <w:caps w:val="0"/>
                          <w:color w:val="333333"/>
                          <w:spacing w:val="0"/>
                          <w:sz w:val="21"/>
                          <w:szCs w:val="21"/>
                          <w:shd w:val="clear" w:color="auto" w:fill="FFFFFF"/>
                          <w:lang w:val="en-US" w:eastAsia="zh-CN"/>
                        </w:rPr>
                        <w:t>PAC、PAM</w:t>
                      </w:r>
                    </w:p>
                    <w:p>
                      <w:pPr>
                        <w:rPr>
                          <w:rFonts w:hint="default"/>
                          <w:lang w:val="en-US" w:eastAsia="zh-CN"/>
                        </w:rPr>
                      </w:pPr>
                    </w:p>
                  </w:txbxContent>
                </v:textbox>
              </v:shape>
            </w:pict>
          </mc:Fallback>
        </mc:AlternateConten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68480" behindDoc="0" locked="0" layoutInCell="1" allowOverlap="1">
                <wp:simplePos x="0" y="0"/>
                <wp:positionH relativeFrom="column">
                  <wp:posOffset>3003550</wp:posOffset>
                </wp:positionH>
                <wp:positionV relativeFrom="paragraph">
                  <wp:posOffset>42545</wp:posOffset>
                </wp:positionV>
                <wp:extent cx="5715" cy="241300"/>
                <wp:effectExtent l="48895" t="0" r="59690" b="0"/>
                <wp:wrapNone/>
                <wp:docPr id="10" name="直接连接符 10"/>
                <wp:cNvGraphicFramePr/>
                <a:graphic xmlns:a="http://schemas.openxmlformats.org/drawingml/2006/main">
                  <a:graphicData uri="http://schemas.microsoft.com/office/word/2010/wordprocessingShape">
                    <wps:wsp>
                      <wps:cNvCnPr/>
                      <wps:spPr>
                        <a:xfrm>
                          <a:off x="0" y="0"/>
                          <a:ext cx="5715" cy="241300"/>
                        </a:xfrm>
                        <a:prstGeom prst="line">
                          <a:avLst/>
                        </a:prstGeom>
                        <a:ln w="15875" cap="flat" cmpd="sng">
                          <a:solidFill>
                            <a:srgbClr val="FF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5pt;margin-top:3.35pt;height:19pt;width:0.45pt;z-index:251668480;mso-width-relative:page;mso-height-relative:page;" filled="f" stroked="t" coordsize="21600,21600" o:gfxdata="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hM/ydgAAAAIAQAADwAAAAAAAAABACAAAAAiAAAAZHJzL2Rv&#10;d25yZXYueG1sUEsBAhQAFAAAAAgAh07iQLyXEzABAgAA6gMAAA4AAAAAAAAAAQAgAAAAJwEAAGRy&#10;cy9lMm9Eb2MueG1sUEsFBgAAAAAGAAYAWQEAAJoFAAAAAA==&#10;">
                <v:fill on="f" focussize="0,0"/>
                <v:stroke weight="1.25pt" color="#FF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7456" behindDoc="0" locked="0" layoutInCell="1" allowOverlap="1">
                <wp:simplePos x="0" y="0"/>
                <wp:positionH relativeFrom="column">
                  <wp:posOffset>4907280</wp:posOffset>
                </wp:positionH>
                <wp:positionV relativeFrom="paragraph">
                  <wp:posOffset>249555</wp:posOffset>
                </wp:positionV>
                <wp:extent cx="845820" cy="288925"/>
                <wp:effectExtent l="0" t="0" r="0" b="0"/>
                <wp:wrapNone/>
                <wp:docPr id="20" name="流程图: 过程 20"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noFill/>
                        <a:ln w="15875">
                          <a:noFill/>
                        </a:ln>
                      </wps:spPr>
                      <wps:txbx>
                        <w:txbxContent>
                          <w:p>
                            <w:pPr>
                              <w:jc w:val="center"/>
                              <w:rPr>
                                <w:rFonts w:hint="default" w:eastAsia="宋体"/>
                                <w:lang w:val="en-US" w:eastAsia="zh-CN"/>
                              </w:rPr>
                            </w:pPr>
                            <w:r>
                              <w:rPr>
                                <w:rFonts w:hint="eastAsia" w:ascii="仿宋" w:hAnsi="仿宋" w:eastAsia="仿宋" w:cs="仿宋"/>
                                <w:lang w:val="en-US" w:eastAsia="zh-CN"/>
                              </w:rPr>
                              <w:t>达标排放</w:t>
                            </w:r>
                          </w:p>
                        </w:txbxContent>
                      </wps:txbx>
                      <wps:bodyPr upright="1"/>
                    </wps:wsp>
                  </a:graphicData>
                </a:graphic>
              </wp:anchor>
            </w:drawing>
          </mc:Choice>
          <mc:Fallback>
            <w:pict>
              <v:shape id="_x0000_s1026" o:spid="_x0000_s1026" o:spt="109" alt="colored_paper1" type="#_x0000_t109" style="position:absolute;left:0pt;margin-left:386.4pt;margin-top:19.65pt;height:22.75pt;width:66.6pt;z-index:251667456;mso-width-relative:page;mso-height-relative:page;" filled="f" stroked="f" coordsize="21600,21600" o:gfxdata="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FJC7AvYAAAACQEAAA8AAAAAAAAAAQAgAAAAIgAA&#10;AGRycy9kb3ducmV2LnhtbFBLAQIUABQAAAAIAIdO4kC1rj6vzwEAAHoDAAAOAAAAAAAAAAEAIAAA&#10;ACcBAABkcnMvZTJvRG9jLnhtbFBLBQYAAAAABgAGAFkBAABoBQAAAAA=&#10;">
                <v:fill on="f" focussize="0,0"/>
                <v:stroke on="f" weight="1.25pt"/>
                <v:imagedata o:title=""/>
                <o:lock v:ext="edit" aspectratio="f"/>
                <v:textbox>
                  <w:txbxContent>
                    <w:p>
                      <w:pPr>
                        <w:jc w:val="center"/>
                        <w:rPr>
                          <w:rFonts w:hint="default" w:eastAsia="宋体"/>
                          <w:lang w:val="en-US" w:eastAsia="zh-CN"/>
                        </w:rPr>
                      </w:pPr>
                      <w:r>
                        <w:rPr>
                          <w:rFonts w:hint="eastAsia" w:ascii="仿宋" w:hAnsi="仿宋" w:eastAsia="仿宋" w:cs="仿宋"/>
                          <w:lang w:val="en-US" w:eastAsia="zh-CN"/>
                        </w:rPr>
                        <w:t>达标排放</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4384" behindDoc="0" locked="0" layoutInCell="1" allowOverlap="1">
                <wp:simplePos x="0" y="0"/>
                <wp:positionH relativeFrom="column">
                  <wp:posOffset>3820160</wp:posOffset>
                </wp:positionH>
                <wp:positionV relativeFrom="paragraph">
                  <wp:posOffset>260350</wp:posOffset>
                </wp:positionV>
                <wp:extent cx="867410" cy="288925"/>
                <wp:effectExtent l="7620" t="7620" r="13970" b="8255"/>
                <wp:wrapNone/>
                <wp:docPr id="19" name="流程图: 过程 19" descr="colored_paper1"/>
                <wp:cNvGraphicFramePr/>
                <a:graphic xmlns:a="http://schemas.openxmlformats.org/drawingml/2006/main">
                  <a:graphicData uri="http://schemas.microsoft.com/office/word/2010/wordprocessingShape">
                    <wps:wsp>
                      <wps:cNvSpPr/>
                      <wps:spPr>
                        <a:xfrm>
                          <a:off x="0" y="0"/>
                          <a:ext cx="86741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pPr>
                              <w:jc w:val="center"/>
                              <w:rPr>
                                <w:rFonts w:hint="default" w:eastAsia="宋体"/>
                                <w:lang w:val="en-US" w:eastAsia="zh-CN"/>
                              </w:rPr>
                            </w:pPr>
                            <w:r>
                              <w:rPr>
                                <w:rFonts w:hint="eastAsia" w:ascii="仿宋" w:hAnsi="仿宋" w:eastAsia="仿宋" w:cs="仿宋"/>
                                <w:lang w:val="en-US" w:eastAsia="zh-CN"/>
                              </w:rPr>
                              <w:t>斜板沉淀池</w:t>
                            </w:r>
                          </w:p>
                        </w:txbxContent>
                      </wps:txbx>
                      <wps:bodyPr upright="1"/>
                    </wps:wsp>
                  </a:graphicData>
                </a:graphic>
              </wp:anchor>
            </w:drawing>
          </mc:Choice>
          <mc:Fallback>
            <w:pict>
              <v:shape id="_x0000_s1026" o:spid="_x0000_s1026" o:spt="109" alt="colored_paper1" type="#_x0000_t109" style="position:absolute;left:0pt;margin-left:300.8pt;margin-top:20.5pt;height:22.75pt;width:68.3pt;z-index:251664384;mso-width-relative:page;mso-height-relative:page;" fillcolor="#C6D9F1" filled="t" stroked="t" coordsize="21600,21600" o:gfxdata="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VmiD2AAAAAkBAAAPAAAAAAAAAAEAIAAAACIAAABkcnMvZG93bnJldi54bWxQ&#10;SwECFAAUAAAACACHTuJA8L07PzACAABZBAAADgAAAAAAAAABACAAAAAnAQAAZHJzL2Uyb0RvYy54&#10;bWxQSwUGAAAAAAYABgBZAQAAyQUAAAAA&#10;">
                <v:fill on="t" focussize="0,0"/>
                <v:stroke weight="1.25pt" color="#739CC3" joinstyle="miter"/>
                <v:imagedata o:title=""/>
                <o:lock v:ext="edit" aspectratio="f"/>
                <v:textbox>
                  <w:txbxContent>
                    <w:p>
                      <w:pPr>
                        <w:jc w:val="center"/>
                        <w:rPr>
                          <w:rFonts w:hint="default" w:eastAsia="宋体"/>
                          <w:lang w:val="en-US" w:eastAsia="zh-CN"/>
                        </w:rPr>
                      </w:pPr>
                      <w:r>
                        <w:rPr>
                          <w:rFonts w:hint="eastAsia" w:ascii="仿宋" w:hAnsi="仿宋" w:eastAsia="仿宋" w:cs="仿宋"/>
                          <w:lang w:val="en-US" w:eastAsia="zh-CN"/>
                        </w:rPr>
                        <w:t>斜板沉淀池</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0288" behindDoc="0" locked="0" layoutInCell="1" allowOverlap="1">
                <wp:simplePos x="0" y="0"/>
                <wp:positionH relativeFrom="column">
                  <wp:posOffset>1378585</wp:posOffset>
                </wp:positionH>
                <wp:positionV relativeFrom="paragraph">
                  <wp:posOffset>287655</wp:posOffset>
                </wp:positionV>
                <wp:extent cx="845820" cy="288925"/>
                <wp:effectExtent l="7620" t="7620" r="10160" b="8255"/>
                <wp:wrapNone/>
                <wp:docPr id="15" name="流程图: 过程 15"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调节池</w:t>
                            </w:r>
                          </w:p>
                        </w:txbxContent>
                      </wps:txbx>
                      <wps:bodyPr upright="1"/>
                    </wps:wsp>
                  </a:graphicData>
                </a:graphic>
              </wp:anchor>
            </w:drawing>
          </mc:Choice>
          <mc:Fallback>
            <w:pict>
              <v:shape id="_x0000_s1026" o:spid="_x0000_s1026" o:spt="109" alt="colored_paper1" type="#_x0000_t109" style="position:absolute;left:0pt;margin-left:108.55pt;margin-top:22.65pt;height:22.75pt;width:66.6pt;z-index:251660288;mso-width-relative:page;mso-height-relative:page;" fillcolor="#C6D9F1" filled="t" stroked="t" coordsize="21600,21600" o:gfxdata="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vtoO2QAAAAkBAAAPAAAAAAAAAAEAIAAAACIAAABkcnMvZG93bnJldi54bWxQ&#10;SwECFAAUAAAACACHTuJAeehyLS8CAABZBAAADgAAAAAAAAABACAAAAAoAQAAZHJzL2Uyb0RvYy54&#10;bWxQSwUGAAAAAAYABgBZAQAAyQUAAAAA&#10;">
                <v:fill on="t" focussize="0,0"/>
                <v:stroke weight="1.25pt" color="#739CC3" joinstyle="miter"/>
                <v:imagedata o:title=""/>
                <o:lock v:ext="edit" aspectratio="f"/>
                <v:textbox>
                  <w:txbxContent>
                    <w:p>
                      <w:pPr>
                        <w:jc w:val="center"/>
                        <w:rPr>
                          <w:rFonts w:hint="default" w:eastAsia="宋体"/>
                          <w:lang w:val="en-US" w:eastAsia="zh-CN"/>
                        </w:rPr>
                      </w:pPr>
                      <w:r>
                        <w:rPr>
                          <w:rFonts w:hint="eastAsia"/>
                          <w:lang w:val="en-US" w:eastAsia="zh-CN"/>
                        </w:rPr>
                        <w:t>调节池</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2336" behindDoc="0" locked="0" layoutInCell="1" allowOverlap="1">
                <wp:simplePos x="0" y="0"/>
                <wp:positionH relativeFrom="column">
                  <wp:posOffset>2592070</wp:posOffset>
                </wp:positionH>
                <wp:positionV relativeFrom="paragraph">
                  <wp:posOffset>284480</wp:posOffset>
                </wp:positionV>
                <wp:extent cx="867410" cy="288925"/>
                <wp:effectExtent l="7620" t="7620" r="13970" b="8255"/>
                <wp:wrapNone/>
                <wp:docPr id="16" name="流程图: 过程 16" descr="colored_paper1"/>
                <wp:cNvGraphicFramePr/>
                <a:graphic xmlns:a="http://schemas.openxmlformats.org/drawingml/2006/main">
                  <a:graphicData uri="http://schemas.microsoft.com/office/word/2010/wordprocessingShape">
                    <wps:wsp>
                      <wps:cNvSpPr/>
                      <wps:spPr>
                        <a:xfrm>
                          <a:off x="0" y="0"/>
                          <a:ext cx="867410" cy="288925"/>
                        </a:xfrm>
                        <a:prstGeom prst="flowChartProcess">
                          <a:avLst/>
                        </a:prstGeom>
                        <a:solidFill>
                          <a:srgbClr val="C6D9F1"/>
                        </a:solidFill>
                        <a:ln w="15875" cap="flat" cmpd="sng">
                          <a:solidFill>
                            <a:srgbClr val="739CC3"/>
                          </a:solidFill>
                          <a:prstDash val="solid"/>
                          <a:miter/>
                          <a:headEnd type="none" w="med" len="med"/>
                          <a:tailEnd type="none" w="med" len="med"/>
                        </a:ln>
                      </wps:spPr>
                      <wps:txbx>
                        <w:txbxContent>
                          <w:p>
                            <w:pPr>
                              <w:jc w:val="center"/>
                              <w:rPr>
                                <w:rFonts w:hint="eastAsia" w:ascii="仿宋" w:hAnsi="仿宋" w:eastAsia="仿宋" w:cs="仿宋"/>
                                <w:lang w:val="en-US" w:eastAsia="zh-CN"/>
                              </w:rPr>
                            </w:pPr>
                            <w:r>
                              <w:rPr>
                                <w:rFonts w:hint="eastAsia" w:ascii="仿宋" w:hAnsi="仿宋" w:eastAsia="仿宋" w:cs="仿宋"/>
                                <w:lang w:val="en-US" w:eastAsia="zh-CN"/>
                              </w:rPr>
                              <w:t>反应池</w:t>
                            </w:r>
                          </w:p>
                        </w:txbxContent>
                      </wps:txbx>
                      <wps:bodyPr upright="1"/>
                    </wps:wsp>
                  </a:graphicData>
                </a:graphic>
              </wp:anchor>
            </w:drawing>
          </mc:Choice>
          <mc:Fallback>
            <w:pict>
              <v:shape id="_x0000_s1026" o:spid="_x0000_s1026" o:spt="109" alt="colored_paper1" type="#_x0000_t109" style="position:absolute;left:0pt;margin-left:204.1pt;margin-top:22.4pt;height:22.75pt;width:68.3pt;z-index:251662336;mso-width-relative:page;mso-height-relative:page;" fillcolor="#C6D9F1" filled="t" stroked="t" coordsize="21600,21600" o:gfxdata="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kOKcDXAAAACQEAAA8AAAAAAAAAAQAgAAAAIgAAAGRycy9kb3ducmV2LnhtbFBL&#10;AQIUABQAAAAIAIdO4kBCOV6LMAIAAFkEAAAOAAAAAAAAAAEAIAAAACYBAABkcnMvZTJvRG9jLnht&#10;bFBLBQYAAAAABgAGAFkBAADIBQAAAAA=&#10;">
                <v:fill on="t" focussize="0,0"/>
                <v:stroke weight="1.25pt" color="#739CC3" joinstyle="miter"/>
                <v:imagedata o:title=""/>
                <o:lock v:ext="edit" aspectratio="f"/>
                <v:textbox>
                  <w:txbxContent>
                    <w:p>
                      <w:pPr>
                        <w:jc w:val="center"/>
                        <w:rPr>
                          <w:rFonts w:hint="eastAsia" w:ascii="仿宋" w:hAnsi="仿宋" w:eastAsia="仿宋" w:cs="仿宋"/>
                          <w:lang w:val="en-US" w:eastAsia="zh-CN"/>
                        </w:rPr>
                      </w:pPr>
                      <w:r>
                        <w:rPr>
                          <w:rFonts w:hint="eastAsia" w:ascii="仿宋" w:hAnsi="仿宋" w:eastAsia="仿宋" w:cs="仿宋"/>
                          <w:lang w:val="en-US" w:eastAsia="zh-CN"/>
                        </w:rPr>
                        <w:t>反应池</w:t>
                      </w:r>
                    </w:p>
                  </w:txbxContent>
                </v:textbox>
              </v:shape>
            </w:pict>
          </mc:Fallback>
        </mc:AlternateConten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69504" behindDoc="0" locked="0" layoutInCell="1" allowOverlap="1">
                <wp:simplePos x="0" y="0"/>
                <wp:positionH relativeFrom="column">
                  <wp:posOffset>4266565</wp:posOffset>
                </wp:positionH>
                <wp:positionV relativeFrom="paragraph">
                  <wp:posOffset>263525</wp:posOffset>
                </wp:positionV>
                <wp:extent cx="635" cy="215900"/>
                <wp:effectExtent l="52070" t="0" r="61595" b="0"/>
                <wp:wrapNone/>
                <wp:docPr id="21" name="直接连接符 21"/>
                <wp:cNvGraphicFramePr/>
                <a:graphic xmlns:a="http://schemas.openxmlformats.org/drawingml/2006/main">
                  <a:graphicData uri="http://schemas.microsoft.com/office/word/2010/wordprocessingShape">
                    <wps:wsp>
                      <wps:cNvCnPr/>
                      <wps:spPr>
                        <a:xfrm flipH="1">
                          <a:off x="0" y="0"/>
                          <a:ext cx="635" cy="21590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35.95pt;margin-top:20.75pt;height:17pt;width:0.05pt;z-index:251669504;mso-width-relative:page;mso-height-relative:page;" filled="f" stroked="t" coordsize="21600,21600" o:gfxdata="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6mLttYAAAAJAQAADwAAAAAAAAABACAAAAAiAAAAZHJz&#10;L2Rvd25yZXYueG1sUEsBAhQAFAAAAAgAh07iQGm+cNIGAgAA8wMAAA4AAAAAAAAAAQAgAAAAJQEA&#10;AGRycy9lMm9Eb2MueG1sUEsFBgAAAAAGAAYAWQEAAJ0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6432" behindDoc="0" locked="0" layoutInCell="1" allowOverlap="1">
                <wp:simplePos x="0" y="0"/>
                <wp:positionH relativeFrom="column">
                  <wp:posOffset>326390</wp:posOffset>
                </wp:positionH>
                <wp:positionV relativeFrom="paragraph">
                  <wp:posOffset>5715</wp:posOffset>
                </wp:positionV>
                <wp:extent cx="723900" cy="288925"/>
                <wp:effectExtent l="0" t="0" r="0" b="0"/>
                <wp:wrapNone/>
                <wp:docPr id="17" name="流程图: 过程 17" descr="colored_paper1"/>
                <wp:cNvGraphicFramePr/>
                <a:graphic xmlns:a="http://schemas.openxmlformats.org/drawingml/2006/main">
                  <a:graphicData uri="http://schemas.microsoft.com/office/word/2010/wordprocessingShape">
                    <wps:wsp>
                      <wps:cNvSpPr/>
                      <wps:spPr>
                        <a:xfrm>
                          <a:off x="0" y="0"/>
                          <a:ext cx="723900" cy="288925"/>
                        </a:xfrm>
                        <a:prstGeom prst="flowChartProcess">
                          <a:avLst/>
                        </a:prstGeom>
                        <a:noFill/>
                        <a:ln w="15875">
                          <a:noFill/>
                        </a:ln>
                      </wps:spPr>
                      <wps:txbx>
                        <w:txbxContent>
                          <w:p>
                            <w:pPr>
                              <w:jc w:val="both"/>
                              <w:rPr>
                                <w:rFonts w:hint="default" w:eastAsia="宋体"/>
                                <w:lang w:val="en-US" w:eastAsia="zh-CN"/>
                              </w:rPr>
                            </w:pPr>
                            <w:r>
                              <w:rPr>
                                <w:rFonts w:hint="eastAsia" w:ascii="仿宋" w:hAnsi="仿宋" w:eastAsia="仿宋" w:cs="仿宋"/>
                                <w:lang w:val="en-US" w:eastAsia="zh-CN"/>
                              </w:rPr>
                              <w:t>石墨废水</w:t>
                            </w:r>
                          </w:p>
                        </w:txbxContent>
                      </wps:txbx>
                      <wps:bodyPr upright="1"/>
                    </wps:wsp>
                  </a:graphicData>
                </a:graphic>
              </wp:anchor>
            </w:drawing>
          </mc:Choice>
          <mc:Fallback>
            <w:pict>
              <v:shape id="_x0000_s1026" o:spid="_x0000_s1026" o:spt="109" alt="colored_paper1" type="#_x0000_t109" style="position:absolute;left:0pt;margin-left:25.7pt;margin-top:0.45pt;height:22.75pt;width:57pt;z-index:251666432;mso-width-relative:page;mso-height-relative:page;" filled="f" stroked="f" coordsize="21600,21600" o:gfxdata="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ws0YuNMAAAAGAQAADwAAAAAAAAABACAAAAAiAAAAZHJz&#10;L2Rvd25yZXYueG1sUEsBAhQAFAAAAAgAh07iQB8qQD7QAQAAegMAAA4AAAAAAAAAAQAgAAAAIgEA&#10;AGRycy9lMm9Eb2MueG1sUEsFBgAAAAAGAAYAWQEAAGQFAAAAAA==&#10;">
                <v:fill on="f" focussize="0,0"/>
                <v:stroke on="f" weight="1.25pt"/>
                <v:imagedata o:title=""/>
                <o:lock v:ext="edit" aspectratio="f"/>
                <v:textbox>
                  <w:txbxContent>
                    <w:p>
                      <w:pPr>
                        <w:jc w:val="both"/>
                        <w:rPr>
                          <w:rFonts w:hint="default" w:eastAsia="宋体"/>
                          <w:lang w:val="en-US" w:eastAsia="zh-CN"/>
                        </w:rPr>
                      </w:pPr>
                      <w:r>
                        <w:rPr>
                          <w:rFonts w:hint="eastAsia" w:ascii="仿宋" w:hAnsi="仿宋" w:eastAsia="仿宋" w:cs="仿宋"/>
                          <w:lang w:val="en-US" w:eastAsia="zh-CN"/>
                        </w:rPr>
                        <w:t>石墨废水</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59264" behindDoc="0" locked="0" layoutInCell="1" allowOverlap="1">
                <wp:simplePos x="0" y="0"/>
                <wp:positionH relativeFrom="column">
                  <wp:posOffset>1019175</wp:posOffset>
                </wp:positionH>
                <wp:positionV relativeFrom="paragraph">
                  <wp:posOffset>150495</wp:posOffset>
                </wp:positionV>
                <wp:extent cx="323850" cy="635"/>
                <wp:effectExtent l="0" t="52070" r="6350" b="61595"/>
                <wp:wrapNone/>
                <wp:docPr id="18" name="直接连接符 18"/>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80.25pt;margin-top:11.85pt;height:0.05pt;width:25.5pt;z-index:251659264;mso-width-relative:page;mso-height-relative:page;" filled="f" stroked="t" coordsize="21600,21600" o:gfxdata="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C5RbtQAAAAJAQAADwAAAAAAAAABACAAAAAiAAAAZHJzL2Rvd25y&#10;ZXYueG1sUEsBAhQAFAAAAAgAh07iQL6cyvMCAgAA8wMAAA4AAAAAAAAAAQAgAAAAIwEAAGRycy9l&#10;Mm9Eb2MueG1sUEsFBgAAAAAGAAYAWQEAAJc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5408" behindDoc="0" locked="0" layoutInCell="1" allowOverlap="1">
                <wp:simplePos x="0" y="0"/>
                <wp:positionH relativeFrom="column">
                  <wp:posOffset>4713605</wp:posOffset>
                </wp:positionH>
                <wp:positionV relativeFrom="paragraph">
                  <wp:posOffset>95250</wp:posOffset>
                </wp:positionV>
                <wp:extent cx="323850" cy="635"/>
                <wp:effectExtent l="0" t="52070" r="6350" b="61595"/>
                <wp:wrapNone/>
                <wp:docPr id="25" name="直接连接符 25"/>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371.15pt;margin-top:7.5pt;height:0.05pt;width:25.5pt;z-index:251665408;mso-width-relative:page;mso-height-relative:page;" filled="f" stroked="t" coordsize="21600,21600" o:gfxdata="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2jHhBdQAAAAJAQAADwAAAAAAAAABACAAAAAiAAAAZHJzL2Rv&#10;d25yZXYueG1sUEsBAhQAFAAAAAgAh07iQLPmAM8FAgAA8wMAAA4AAAAAAAAAAQAgAAAAIwEAAGRy&#10;cy9lMm9Eb2MueG1sUEsFBgAAAAAGAAYAWQEAAJoFA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3360" behindDoc="0" locked="0" layoutInCell="1" allowOverlap="1">
                <wp:simplePos x="0" y="0"/>
                <wp:positionH relativeFrom="column">
                  <wp:posOffset>3484880</wp:posOffset>
                </wp:positionH>
                <wp:positionV relativeFrom="paragraph">
                  <wp:posOffset>111760</wp:posOffset>
                </wp:positionV>
                <wp:extent cx="323850" cy="635"/>
                <wp:effectExtent l="0" t="52070" r="6350" b="61595"/>
                <wp:wrapNone/>
                <wp:docPr id="29" name="直接连接符 29"/>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274.4pt;margin-top:8.8pt;height:0.05pt;width:25.5pt;z-index:251663360;mso-width-relative:page;mso-height-relative:page;" filled="f" stroked="t" coordsize="21600,21600" o:gfxdata="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OILDg1AAAAAkBAAAPAAAAAAAAAAEAIAAAACIAAABkcnMvZG93&#10;bnJldi54bWxQSwECFAAUAAAACACHTuJAFBqLHwQCAADzAwAADgAAAAAAAAABACAAAAAjAQAAZHJz&#10;L2Uyb0RvYy54bWxQSwUGAAAAAAYABgBZAQAAmQ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61312" behindDoc="0" locked="0" layoutInCell="1" allowOverlap="1">
                <wp:simplePos x="0" y="0"/>
                <wp:positionH relativeFrom="column">
                  <wp:posOffset>2251710</wp:posOffset>
                </wp:positionH>
                <wp:positionV relativeFrom="paragraph">
                  <wp:posOffset>123190</wp:posOffset>
                </wp:positionV>
                <wp:extent cx="323850" cy="635"/>
                <wp:effectExtent l="0" t="52070" r="6350" b="61595"/>
                <wp:wrapNone/>
                <wp:docPr id="24" name="直接连接符 24"/>
                <wp:cNvGraphicFramePr/>
                <a:graphic xmlns:a="http://schemas.openxmlformats.org/drawingml/2006/main">
                  <a:graphicData uri="http://schemas.microsoft.com/office/word/2010/wordprocessingShape">
                    <wps:wsp>
                      <wps:cNvCnPr/>
                      <wps:spPr>
                        <a:xfrm flipV="1">
                          <a:off x="0" y="0"/>
                          <a:ext cx="323850" cy="6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y;margin-left:177.3pt;margin-top:9.7pt;height:0.05pt;width:25.5pt;z-index:251661312;mso-width-relative:page;mso-height-relative:page;" filled="f" stroked="t" coordsize="21600,21600" o:gfxdata="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XcVPK1AAAAAkBAAAPAAAAAAAAAAEAIAAAACIAAABkcnMvZG93&#10;bnJldi54bWxQSwECFAAUAAAACACHTuJAxA09qgQCAADzAwAADgAAAAAAAAABACAAAAAjAQAAZHJz&#10;L2Uyb0RvYy54bWxQSwUGAAAAAAYABgBZAQAAmQ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w:tab/>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mc:AlternateContent>
          <mc:Choice Requires="wps">
            <w:drawing>
              <wp:anchor distT="0" distB="0" distL="114300" distR="114300" simplePos="0" relativeHeight="251672576" behindDoc="0" locked="0" layoutInCell="1" allowOverlap="1">
                <wp:simplePos x="0" y="0"/>
                <wp:positionH relativeFrom="column">
                  <wp:posOffset>50165</wp:posOffset>
                </wp:positionH>
                <wp:positionV relativeFrom="paragraph">
                  <wp:posOffset>223520</wp:posOffset>
                </wp:positionV>
                <wp:extent cx="1459865" cy="288925"/>
                <wp:effectExtent l="0" t="0" r="0" b="0"/>
                <wp:wrapNone/>
                <wp:docPr id="28" name="流程图: 过程 28" descr="colored_paper1"/>
                <wp:cNvGraphicFramePr/>
                <a:graphic xmlns:a="http://schemas.openxmlformats.org/drawingml/2006/main">
                  <a:graphicData uri="http://schemas.microsoft.com/office/word/2010/wordprocessingShape">
                    <wps:wsp>
                      <wps:cNvSpPr/>
                      <wps:spPr>
                        <a:xfrm>
                          <a:off x="0" y="0"/>
                          <a:ext cx="1459865" cy="288925"/>
                        </a:xfrm>
                        <a:prstGeom prst="flowChartProcess">
                          <a:avLst/>
                        </a:prstGeom>
                        <a:noFill/>
                        <a:ln w="15875">
                          <a:noFill/>
                        </a:ln>
                      </wps:spPr>
                      <wps:txbx>
                        <w:txbxContent>
                          <w:p>
                            <w:pPr>
                              <w:jc w:val="both"/>
                              <w:rPr>
                                <w:rFonts w:hint="default" w:eastAsia="宋体"/>
                                <w:lang w:val="en-US" w:eastAsia="zh-CN"/>
                              </w:rPr>
                            </w:pPr>
                            <w:r>
                              <w:rPr>
                                <w:rFonts w:hint="eastAsia" w:ascii="仿宋" w:hAnsi="仿宋" w:eastAsia="仿宋" w:cs="仿宋"/>
                                <w:lang w:val="en-US" w:eastAsia="zh-CN"/>
                              </w:rPr>
                              <w:t>多管冲击除尘器废水</w:t>
                            </w:r>
                          </w:p>
                        </w:txbxContent>
                      </wps:txbx>
                      <wps:bodyPr upright="1"/>
                    </wps:wsp>
                  </a:graphicData>
                </a:graphic>
              </wp:anchor>
            </w:drawing>
          </mc:Choice>
          <mc:Fallback>
            <w:pict>
              <v:shape id="_x0000_s1026" o:spid="_x0000_s1026" o:spt="109" alt="colored_paper1" type="#_x0000_t109" style="position:absolute;left:0pt;margin-left:3.95pt;margin-top:17.6pt;height:22.75pt;width:114.95pt;z-index:251672576;mso-width-relative:page;mso-height-relative:page;" filled="f" stroked="f" coordsize="21600,21600" o:gfxdata="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p0ONrWAAAABwEAAA8AAAAAAAAAAQAgAAAAIgAA&#10;AGRycy9kb3ducmV2LnhtbFBLAQIUABQAAAAIAIdO4kCzfDY/0QEAAHsDAAAOAAAAAAAAAAEAIAAA&#10;ACUBAABkcnMvZTJvRG9jLnhtbFBLBQYAAAAABgAGAFkBAABoBQAAAAA=&#10;">
                <v:fill on="f" focussize="0,0"/>
                <v:stroke on="f" weight="1.25pt"/>
                <v:imagedata o:title=""/>
                <o:lock v:ext="edit" aspectratio="f"/>
                <v:textbox>
                  <w:txbxContent>
                    <w:p>
                      <w:pPr>
                        <w:jc w:val="both"/>
                        <w:rPr>
                          <w:rFonts w:hint="default" w:eastAsia="宋体"/>
                          <w:lang w:val="en-US" w:eastAsia="zh-CN"/>
                        </w:rPr>
                      </w:pPr>
                      <w:r>
                        <w:rPr>
                          <w:rFonts w:hint="eastAsia" w:ascii="仿宋" w:hAnsi="仿宋" w:eastAsia="仿宋" w:cs="仿宋"/>
                          <w:lang w:val="en-US" w:eastAsia="zh-CN"/>
                        </w:rPr>
                        <w:t>多管冲击除尘器废水</w:t>
                      </w:r>
                    </w:p>
                  </w:txbxContent>
                </v:textbox>
              </v:shap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3600" behindDoc="0" locked="0" layoutInCell="1" allowOverlap="1">
                <wp:simplePos x="0" y="0"/>
                <wp:positionH relativeFrom="column">
                  <wp:posOffset>1390015</wp:posOffset>
                </wp:positionH>
                <wp:positionV relativeFrom="paragraph">
                  <wp:posOffset>354965</wp:posOffset>
                </wp:positionV>
                <wp:extent cx="360045" cy="635"/>
                <wp:effectExtent l="0" t="7620" r="8255" b="10795"/>
                <wp:wrapNone/>
                <wp:docPr id="26" name="直接连接符 26"/>
                <wp:cNvGraphicFramePr/>
                <a:graphic xmlns:a="http://schemas.openxmlformats.org/drawingml/2006/main">
                  <a:graphicData uri="http://schemas.microsoft.com/office/word/2010/wordprocessingShape">
                    <wps:wsp>
                      <wps:cNvCnPr/>
                      <wps:spPr>
                        <a:xfrm>
                          <a:off x="0" y="0"/>
                          <a:ext cx="360045" cy="635"/>
                        </a:xfrm>
                        <a:prstGeom prst="line">
                          <a:avLst/>
                        </a:prstGeom>
                        <a:ln w="158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9.45pt;margin-top:27.95pt;height:0.05pt;width:28.35pt;z-index:251673600;mso-width-relative:page;mso-height-relative:page;" filled="f" stroked="t" coordsize="21600,21600" o:gfxdata="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YZBT92AAAAAkBAAAPAAAAAAAAAAEAIAAAACIAAABkcnMvZG93bnJldi54bWxQ&#10;SwECFAAUAAAACACHTuJAY8UI6PcBAADoAwAADgAAAAAAAAABACAAAAAnAQAAZHJzL2Uyb0RvYy54&#10;bWxQSwUGAAAAAAYABgBZAQAAkAUAAAAA&#10;">
                <v:fill on="f" focussize="0,0"/>
                <v:stroke weight="1.25pt" color="#000000" joinstyle="round"/>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4624" behindDoc="0" locked="0" layoutInCell="1" allowOverlap="1">
                <wp:simplePos x="0" y="0"/>
                <wp:positionH relativeFrom="column">
                  <wp:posOffset>1762125</wp:posOffset>
                </wp:positionH>
                <wp:positionV relativeFrom="paragraph">
                  <wp:posOffset>6985</wp:posOffset>
                </wp:positionV>
                <wp:extent cx="635" cy="360045"/>
                <wp:effectExtent l="52070" t="0" r="61595" b="8255"/>
                <wp:wrapNone/>
                <wp:docPr id="27" name="直接连接符 27"/>
                <wp:cNvGraphicFramePr/>
                <a:graphic xmlns:a="http://schemas.openxmlformats.org/drawingml/2006/main">
                  <a:graphicData uri="http://schemas.microsoft.com/office/word/2010/wordprocessingShape">
                    <wps:wsp>
                      <wps:cNvCnPr/>
                      <wps:spPr>
                        <a:xfrm flipH="1" flipV="1">
                          <a:off x="0" y="0"/>
                          <a:ext cx="635" cy="36004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 y;margin-left:138.75pt;margin-top:0.55pt;height:28.35pt;width:0.05pt;z-index:251674624;mso-width-relative:page;mso-height-relative:page;" filled="f" stroked="t" coordsize="21600,21600" o:gfxdata="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&#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RaYZ1QAAAAgBAAAPAAAAAAAAAAEAIAAAACIAAABk&#10;cnMvZG93bnJldi54bWxQSwECFAAUAAAACACHTuJAFBbISAkCAAD9AwAADgAAAAAAAAABACAAAAAk&#10;AQAAZHJzL2Uyb0RvYy54bWxQSwUGAAAAAAYABgBZAQAAnwUAAAAA&#10;">
                <v:fill on="f" focussize="0,0"/>
                <v:stroke weight="1.25pt" color="#000000" joinstyle="round" endarrow="open"/>
                <v:imagedata o:title=""/>
                <o:lock v:ext="edit" aspectratio="f"/>
              </v:line>
            </w:pict>
          </mc:Fallback>
        </mc:AlternateContent>
      </w:r>
      <w:r>
        <w:rPr>
          <w:rFonts w:hint="eastAsia" w:ascii="宋体" w:hAnsi="宋体" w:eastAsia="宋体" w:cs="Times New Roman"/>
          <w:sz w:val="24"/>
          <w:szCs w:val="24"/>
          <w:lang w:val="en-US" w:eastAsia="zh-CN"/>
        </w:rPr>
        <mc:AlternateContent>
          <mc:Choice Requires="wps">
            <w:drawing>
              <wp:anchor distT="0" distB="0" distL="114300" distR="114300" simplePos="0" relativeHeight="251670528" behindDoc="0" locked="0" layoutInCell="1" allowOverlap="1">
                <wp:simplePos x="0" y="0"/>
                <wp:positionH relativeFrom="column">
                  <wp:posOffset>3853180</wp:posOffset>
                </wp:positionH>
                <wp:positionV relativeFrom="paragraph">
                  <wp:posOffset>188595</wp:posOffset>
                </wp:positionV>
                <wp:extent cx="845820" cy="288925"/>
                <wp:effectExtent l="0" t="0" r="0" b="0"/>
                <wp:wrapNone/>
                <wp:docPr id="30" name="流程图: 过程 30" descr="colored_paper1"/>
                <wp:cNvGraphicFramePr/>
                <a:graphic xmlns:a="http://schemas.openxmlformats.org/drawingml/2006/main">
                  <a:graphicData uri="http://schemas.microsoft.com/office/word/2010/wordprocessingShape">
                    <wps:wsp>
                      <wps:cNvSpPr/>
                      <wps:spPr>
                        <a:xfrm>
                          <a:off x="0" y="0"/>
                          <a:ext cx="845820" cy="288925"/>
                        </a:xfrm>
                        <a:prstGeom prst="flowChartProcess">
                          <a:avLst/>
                        </a:prstGeom>
                        <a:noFill/>
                        <a:ln w="15875">
                          <a:noFill/>
                        </a:ln>
                      </wps:spPr>
                      <wps:txbx>
                        <w:txbxContent>
                          <w:p>
                            <w:pPr>
                              <w:jc w:val="center"/>
                              <w:rPr>
                                <w:rFonts w:hint="default" w:eastAsia="宋体"/>
                                <w:sz w:val="21"/>
                                <w:szCs w:val="21"/>
                                <w:lang w:val="en-US" w:eastAsia="zh-CN"/>
                              </w:rPr>
                            </w:pPr>
                            <w:r>
                              <w:rPr>
                                <w:rFonts w:hint="eastAsia" w:ascii="仿宋" w:hAnsi="仿宋" w:eastAsia="仿宋" w:cs="仿宋"/>
                                <w:sz w:val="21"/>
                                <w:szCs w:val="21"/>
                                <w:lang w:val="en-US" w:eastAsia="zh-CN"/>
                              </w:rPr>
                              <w:t>污泥压滤</w:t>
                            </w:r>
                          </w:p>
                        </w:txbxContent>
                      </wps:txbx>
                      <wps:bodyPr upright="1"/>
                    </wps:wsp>
                  </a:graphicData>
                </a:graphic>
              </wp:anchor>
            </w:drawing>
          </mc:Choice>
          <mc:Fallback>
            <w:pict>
              <v:shape id="_x0000_s1026" o:spid="_x0000_s1026" o:spt="109" alt="colored_paper1" type="#_x0000_t109" style="position:absolute;left:0pt;margin-left:303.4pt;margin-top:14.85pt;height:22.75pt;width:66.6pt;z-index:251670528;mso-width-relative:page;mso-height-relative:page;" filled="f" stroked="f" coordsize="21600,21600" o:gfxdata="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sUCifXAAAACQEAAA8AAAAAAAAAAQAgAAAAIgAA&#10;AGRycy9kb3ducmV2LnhtbFBLAQIUABQAAAAIAIdO4kAKMFLE0AEAAHoDAAAOAAAAAAAAAAEAIAAA&#10;ACYBAABkcnMvZTJvRG9jLnhtbFBLBQYAAAAABgAGAFkBAABoBQAAAAA=&#10;">
                <v:fill on="f" focussize="0,0"/>
                <v:stroke on="f" weight="1.25pt"/>
                <v:imagedata o:title=""/>
                <o:lock v:ext="edit" aspectratio="f"/>
                <v:textbox>
                  <w:txbxContent>
                    <w:p>
                      <w:pPr>
                        <w:jc w:val="center"/>
                        <w:rPr>
                          <w:rFonts w:hint="default" w:eastAsia="宋体"/>
                          <w:sz w:val="21"/>
                          <w:szCs w:val="21"/>
                          <w:lang w:val="en-US" w:eastAsia="zh-CN"/>
                        </w:rPr>
                      </w:pPr>
                      <w:r>
                        <w:rPr>
                          <w:rFonts w:hint="eastAsia" w:ascii="仿宋" w:hAnsi="仿宋" w:eastAsia="仿宋" w:cs="仿宋"/>
                          <w:sz w:val="21"/>
                          <w:szCs w:val="21"/>
                          <w:lang w:val="en-US" w:eastAsia="zh-CN"/>
                        </w:rPr>
                        <w:t>污泥压滤</w:t>
                      </w:r>
                    </w:p>
                  </w:txbxContent>
                </v:textbox>
              </v:shape>
            </w:pict>
          </mc:Fallback>
        </mc:AlternateConten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p>
    <w:p>
      <w:pPr>
        <w:pageBreakBefore w:val="0"/>
        <w:kinsoku/>
        <w:wordWrap/>
        <w:overflowPunct/>
        <w:topLinePunct w:val="0"/>
        <w:autoSpaceDE/>
        <w:autoSpaceDN/>
        <w:bidi w:val="0"/>
        <w:adjustRightInd/>
        <w:snapToGrid/>
        <w:spacing w:line="360" w:lineRule="auto"/>
        <w:ind w:left="0" w:leftChars="0" w:right="0" w:firstLine="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4.参数要求</w:t>
      </w:r>
    </w:p>
    <w:p>
      <w:pPr>
        <w:pageBreakBefore w:val="0"/>
        <w:kinsoku/>
        <w:wordWrap/>
        <w:overflowPunct/>
        <w:topLinePunct w:val="0"/>
        <w:autoSpaceDE/>
        <w:autoSpaceDN/>
        <w:bidi w:val="0"/>
        <w:adjustRightInd/>
        <w:snapToGrid/>
        <w:spacing w:line="360" w:lineRule="auto"/>
        <w:ind w:left="0" w:leftChars="0" w:right="0" w:firstLine="0" w:firstLineChars="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4.1概况</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本次工程采用一体化装置，石墨废水从锻压机地坑经过水泵提升至调节池进行均质均量后进入化学反应阶段，主要工艺为：调节池+破乳池+絮凝/助凝池+斜板沉淀池+板框压滤机+出水排放。</w:t>
      </w:r>
    </w:p>
    <w:p>
      <w:pPr>
        <w:pageBreakBefore w:val="0"/>
        <w:kinsoku/>
        <w:wordWrap/>
        <w:overflowPunct/>
        <w:topLinePunct w:val="0"/>
        <w:autoSpaceDE/>
        <w:autoSpaceDN/>
        <w:bidi w:val="0"/>
        <w:adjustRightInd/>
        <w:snapToGrid/>
        <w:spacing w:line="360" w:lineRule="auto"/>
        <w:ind w:left="0" w:leftChars="0" w:right="0" w:firstLine="0" w:firstLineChars="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4.2一般性要求</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一体化设备的相关配套设备及材料应符合国家和行业有关标准和规范的规定。</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一体化设备中的关键设备和材料必须采用合格产品，严禁采用假冒产品。</w:t>
      </w:r>
    </w:p>
    <w:p>
      <w:pPr>
        <w:pageBreakBefore w:val="0"/>
        <w:kinsoku/>
        <w:wordWrap/>
        <w:overflowPunct/>
        <w:topLinePunct w:val="0"/>
        <w:autoSpaceDE/>
        <w:autoSpaceDN/>
        <w:bidi w:val="0"/>
        <w:adjustRightInd/>
        <w:snapToGrid/>
        <w:spacing w:line="360" w:lineRule="auto"/>
        <w:ind w:left="0" w:leftChars="0" w:right="0"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一体化设备内的关键设备应便于拆卸和替换。</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一体化设备应在制造工厂内完成制作与装配，且应满足运输要求，成套发送至项目现场，不应现场制作加工；</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一体化设备的各构件外表面应平整、光洁，不应有明显的凹凸、锤痕、碰伤等质量缺陷现象，外观需美观、整洁、大方。</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一体化设备设计寿命不得低于10年。</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一体化设备结构做详细设计，相关结构或构件应满足受力要求，其刚度、强度、稳定性以及连接的强度应满足国家和行业相关标准规范要求；结构设计计算应考虑荷载和荷载效应计算、疲劳计算、连接计算等。</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一体化设备内部管道需采用碳钢管道，并做好防腐处理；内部管道需充分固定，不可松动、垮塌，管道直径选用必须考虑本项目水质、粘度、流量等实际变量，避免堵塞。</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一体化设备配套DN50以上手动开关阀需采用法兰式蝶阀，其他阀门配置需保障运行操作使用便捷性。</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一体化设备进出水口、排空口等所有外部接口均需为法兰接口，最终排水位置及排水管道直径由投标方确定，中标后提供给招标方，招标方负责指定最近的排水接驳用污水井。</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4.3防腐工艺要求</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4.3.1池体池壁防腐要求</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2布3油玻璃钢防腐是一种结合涂料防腐与玻璃纤维增强的重防腐工艺，通过“涂料-纤维布-涂料”交替施工形成致密复合层，兼具优异的耐腐蚀性和机械强度。</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环氧树脂涂料：机械强度高、收缩率小（约2%）、不透水，可抑制微生物繁殖。</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玻璃纤维布：编织而成，增强防腐层拉伸强度与韧性，防止涂料固化后开裂渗水。</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4.3.2金属管道防腐要求</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金属表面除锈至Sa2.5级（喷砂，呈金属光泽）或St2.5级（手工除锈，无残留锈迹），清除油污。对表面刷两遍涂料，分别为：底、面漆层采用环氧煤沥青涂料，甲乙双组份（铁红色底漆+黑色面漆），附着力强、耐酸碱盐腐蚀、抗微生物侵蚀。</w:t>
      </w:r>
      <w:bookmarkStart w:id="21" w:name="bookmark46"/>
      <w:bookmarkEnd w:id="21"/>
      <w:bookmarkStart w:id="22" w:name="bookmark45"/>
      <w:bookmarkEnd w:id="22"/>
      <w:bookmarkStart w:id="23" w:name="bookmark43"/>
      <w:bookmarkEnd w:id="23"/>
    </w:p>
    <w:p>
      <w:pPr>
        <w:pageBreakBefore w:val="0"/>
        <w:kinsoku/>
        <w:wordWrap/>
        <w:overflowPunct/>
        <w:topLinePunct w:val="0"/>
        <w:autoSpaceDE/>
        <w:autoSpaceDN/>
        <w:bidi w:val="0"/>
        <w:adjustRightInd/>
        <w:snapToGrid/>
        <w:spacing w:line="360" w:lineRule="auto"/>
        <w:ind w:left="0" w:leftChars="0" w:right="0" w:firstLine="482" w:firstLineChars="200"/>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四、执行标准</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1.招标人此处所列标准仅为涉及的主要标准，而且不保证其为最新版执行标准；投标方应当在投标文件中认真予以填写、补充和修改完善。</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2.投标方需要执行的标准，应当采用所供货物通过招标方组织的最终验收之日己经开始执行的最新标准。</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3.采购货物的产品质量、技术标准如在招投标文件中无相应说明，则按中华人民共和国有关部门颁发的最新的国标或专业（部）标准执行及相应的国际标准。</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4.采购货物没有国家或专业（部）标准的，按企业标准执行时，投标方应在合同签署之前，将所涉及的企业标准提供给招标方确认。</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5.采购货物如果采用国际标准，其执行标准由投标方提供、招标人确认。</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6.采购货物所涉及的标准不统一时，原则上按照最严格标准执行。</w:t>
      </w:r>
    </w:p>
    <w:p>
      <w:pPr>
        <w:pageBreakBefore w:val="0"/>
        <w:kinsoku/>
        <w:wordWrap/>
        <w:overflowPunct/>
        <w:topLinePunct w:val="0"/>
        <w:autoSpaceDE/>
        <w:autoSpaceDN/>
        <w:bidi w:val="0"/>
        <w:adjustRightInd/>
        <w:snapToGrid/>
        <w:spacing w:line="360" w:lineRule="auto"/>
        <w:ind w:left="0" w:leftChars="0" w:right="0"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7.涉及的主要标准表</w:t>
      </w: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4760"/>
        <w:gridCol w:w="2199"/>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标准名称</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标准编号</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《机械设备安装工程施工及验收通用规范》</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GB50231-2009</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《城市污水处理厂工程质量验收规范》</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GB50334-2017</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《建筑防腐蚀工程施工规范》</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GB50212-2014</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《现场设备、工业管道焊接工程施工及验收规范》</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GB50236</w:t>
            </w:r>
            <w:r>
              <w:rPr>
                <w:rFonts w:hint="eastAsia" w:ascii="宋体" w:hAnsi="宋体" w:eastAsia="宋体" w:cs="宋体"/>
                <w:color w:val="auto"/>
                <w:sz w:val="21"/>
                <w:szCs w:val="21"/>
                <w:highlight w:val="none"/>
                <w:lang w:val="en-US" w:eastAsia="zh-CN"/>
              </w:rPr>
              <w:t>-2011</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水处理设备制造技术条件</w:t>
            </w:r>
            <w:r>
              <w:rPr>
                <w:rFonts w:hint="eastAsia" w:ascii="宋体" w:hAnsi="宋体" w:eastAsia="宋体" w:cs="宋体"/>
                <w:color w:val="auto"/>
                <w:sz w:val="21"/>
                <w:szCs w:val="21"/>
                <w:highlight w:val="none"/>
                <w:lang w:eastAsia="zh-CN"/>
              </w:rPr>
              <w:t>》</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JB</w:t>
            </w:r>
            <w:r>
              <w:rPr>
                <w:rFonts w:hint="eastAsia" w:ascii="宋体" w:hAnsi="宋体" w:eastAsia="宋体" w:cs="宋体"/>
                <w:color w:val="auto"/>
                <w:sz w:val="21"/>
                <w:szCs w:val="21"/>
                <w:highlight w:val="none"/>
                <w:lang w:val="en-US" w:eastAsia="zh-CN"/>
              </w:rPr>
              <w:t>/T</w:t>
            </w:r>
            <w:r>
              <w:rPr>
                <w:rFonts w:hint="eastAsia" w:ascii="宋体" w:hAnsi="宋体" w:eastAsia="宋体" w:cs="宋体"/>
                <w:color w:val="auto"/>
                <w:sz w:val="21"/>
                <w:szCs w:val="21"/>
                <w:highlight w:val="none"/>
              </w:rPr>
              <w:t>2932-</w:t>
            </w:r>
            <w:r>
              <w:rPr>
                <w:rFonts w:hint="eastAsia" w:ascii="宋体" w:hAnsi="宋体" w:eastAsia="宋体" w:cs="宋体"/>
                <w:color w:val="auto"/>
                <w:sz w:val="21"/>
                <w:szCs w:val="21"/>
                <w:highlight w:val="none"/>
                <w:lang w:val="en-US" w:eastAsia="zh-CN"/>
              </w:rPr>
              <w:t>1999</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《通用用电设备配电设计规范》</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GB50055-2011</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《计量泵技术条件》</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GB9236</w:t>
            </w:r>
            <w:r>
              <w:rPr>
                <w:rFonts w:hint="eastAsia" w:ascii="宋体" w:hAnsi="宋体" w:eastAsia="宋体" w:cs="宋体"/>
                <w:color w:val="auto"/>
                <w:sz w:val="21"/>
                <w:szCs w:val="21"/>
                <w:highlight w:val="none"/>
                <w:lang w:val="en-US" w:eastAsia="zh-CN"/>
              </w:rPr>
              <w:t>-88</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《水泵流量的测定方法》</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GB/T3214-</w:t>
            </w:r>
            <w:r>
              <w:rPr>
                <w:rFonts w:hint="eastAsia" w:ascii="宋体" w:hAnsi="宋体" w:eastAsia="宋体" w:cs="宋体"/>
                <w:color w:val="auto"/>
                <w:sz w:val="21"/>
                <w:szCs w:val="21"/>
                <w:highlight w:val="none"/>
                <w:lang w:val="en-US" w:eastAsia="zh-CN"/>
              </w:rPr>
              <w:t>2007</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476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《污水排入城市下水道水质标准》</w:t>
            </w:r>
          </w:p>
        </w:tc>
        <w:tc>
          <w:tcPr>
            <w:tcW w:w="2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GB/T</w:t>
            </w:r>
            <w:r>
              <w:rPr>
                <w:rFonts w:hint="default" w:ascii="宋体" w:hAnsi="宋体" w:eastAsia="宋体" w:cs="宋体"/>
                <w:color w:val="auto"/>
                <w:sz w:val="21"/>
                <w:szCs w:val="21"/>
                <w:highlight w:val="none"/>
              </w:rPr>
              <w:t>31962-2015</w:t>
            </w:r>
          </w:p>
        </w:tc>
        <w:tc>
          <w:tcPr>
            <w:tcW w:w="95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color w:val="auto"/>
                <w:sz w:val="21"/>
                <w:szCs w:val="21"/>
                <w:highlight w:val="none"/>
                <w:lang w:eastAsia="zh-CN"/>
              </w:rPr>
            </w:pPr>
          </w:p>
        </w:tc>
      </w:tr>
    </w:tbl>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
      <w:pPr>
        <w:keepNext/>
        <w:keepLines/>
        <w:spacing w:line="360" w:lineRule="auto"/>
        <w:jc w:val="center"/>
        <w:outlineLvl w:val="2"/>
        <w:rPr>
          <w:rFonts w:ascii="宋体" w:hAnsi="宋体" w:eastAsia="宋体" w:cs="宋体"/>
          <w:b/>
          <w:bCs/>
          <w:color w:val="auto"/>
          <w:sz w:val="24"/>
          <w:szCs w:val="32"/>
        </w:rPr>
      </w:pPr>
      <w:bookmarkStart w:id="24" w:name="_Toc169605882"/>
      <w:r>
        <w:rPr>
          <w:rFonts w:hint="eastAsia" w:ascii="宋体" w:hAnsi="宋体" w:eastAsia="宋体" w:cs="宋体"/>
          <w:b/>
          <w:bCs/>
          <w:color w:val="auto"/>
          <w:sz w:val="24"/>
          <w:szCs w:val="32"/>
        </w:rPr>
        <w:t>第一节  供货范围</w:t>
      </w:r>
      <w:bookmarkEnd w:id="24"/>
    </w:p>
    <w:p>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tbl>
      <w:tblPr>
        <w:tblStyle w:val="48"/>
        <w:tblW w:w="513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23"/>
        <w:gridCol w:w="1056"/>
        <w:gridCol w:w="3727"/>
        <w:gridCol w:w="1214"/>
        <w:gridCol w:w="760"/>
        <w:gridCol w:w="590"/>
        <w:gridCol w:w="15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序号</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设备名称</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rPr>
            </w:pPr>
            <w:r>
              <w:rPr>
                <w:rFonts w:hint="eastAsia" w:ascii="宋体" w:hAnsi="宋体" w:eastAsia="宋体" w:cs="宋体"/>
                <w:b/>
                <w:i w:val="0"/>
                <w:strike w:val="0"/>
                <w:color w:val="000000"/>
                <w:spacing w:val="0"/>
                <w:sz w:val="20"/>
                <w:u w:val="none"/>
                <w:vertAlign w:val="baseline"/>
              </w:rPr>
              <w:t>具体参数</w:t>
            </w:r>
          </w:p>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（规格型号的描述）</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品牌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计量单位</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数量</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b/>
                <w:bCs/>
                <w:i w:val="0"/>
                <w:iCs w:val="0"/>
                <w:color w:val="000000"/>
                <w:sz w:val="20"/>
                <w:szCs w:val="20"/>
                <w:u w:val="none"/>
              </w:rPr>
            </w:pPr>
            <w:r>
              <w:rPr>
                <w:rFonts w:hint="eastAsia" w:ascii="宋体" w:hAnsi="宋体" w:eastAsia="宋体" w:cs="宋体"/>
                <w:b/>
                <w:i w:val="0"/>
                <w:strike w:val="0"/>
                <w:color w:val="000000"/>
                <w:spacing w:val="0"/>
                <w:sz w:val="20"/>
                <w:u w:val="none"/>
                <w:vertAlign w:val="baseline"/>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综合调节池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尺寸：长3m×宽2m×高2m，有效水深1.8m，池板厚度：5mm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pBdr>
                <w:bottom w:val="none" w:color="auto" w:sz="0" w:space="0"/>
              </w:pBd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尺寸：长2m×宽2m×高2m，有效水深1.8m，池板厚度：5mm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隔膜式电动计量泵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Q=170L/h</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加药箱搅拌器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rPr>
              <w:t>配套摆线减速机，I=0.75Kw，配套叶轮和连接杆为304不锈钢，连接杆0.9m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东铠泵业、上海沂洺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加药箱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尺寸：长1m×宽1m×高1m，有效水深0.9m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firstLine="0" w:firstLineChars="0"/>
              <w:jc w:val="center"/>
              <w:rPr>
                <w:rFonts w:hint="eastAsia" w:ascii="宋体" w:hAnsi="宋体" w:eastAsia="宋体" w:cs="宋体"/>
                <w:color w:val="auto"/>
              </w:rPr>
            </w:pPr>
            <w:r>
              <w:rPr>
                <w:rFonts w:hint="eastAsia" w:ascii="宋体" w:hAnsi="宋体" w:eastAsia="宋体" w:cs="宋体"/>
                <w:i w:val="0"/>
                <w:strike w:val="0"/>
                <w:color w:val="auto"/>
                <w:spacing w:val="0"/>
                <w:sz w:val="20"/>
                <w:u w:val="none"/>
                <w:vertAlign w:val="baseline"/>
              </w:rPr>
              <w:t>材质碳钢（内部防腐处理，外部刷漆）</w:t>
            </w:r>
          </w:p>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尺寸：长1m×宽1m×高</w:t>
            </w:r>
            <w:r>
              <w:rPr>
                <w:rFonts w:hint="eastAsia" w:ascii="宋体" w:hAnsi="宋体" w:eastAsia="宋体" w:cs="宋体"/>
                <w:i w:val="0"/>
                <w:strike w:val="0"/>
                <w:color w:val="auto"/>
                <w:spacing w:val="0"/>
                <w:sz w:val="20"/>
                <w:u w:val="none"/>
                <w:vertAlign w:val="baseline"/>
                <w:lang w:val="en-US" w:eastAsia="zh-CN"/>
              </w:rPr>
              <w:t>1.2</w:t>
            </w:r>
            <w:r>
              <w:rPr>
                <w:rFonts w:hint="eastAsia" w:ascii="宋体" w:hAnsi="宋体" w:eastAsia="宋体" w:cs="宋体"/>
                <w:i w:val="0"/>
                <w:strike w:val="0"/>
                <w:color w:val="auto"/>
                <w:spacing w:val="0"/>
                <w:sz w:val="20"/>
                <w:u w:val="none"/>
                <w:vertAlign w:val="baseline"/>
              </w:rPr>
              <w:t>m，有效水深1.1m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eastAsia="zh-CN"/>
              </w:rPr>
              <w:t>防腐采用</w:t>
            </w:r>
            <w:r>
              <w:rPr>
                <w:rFonts w:hint="eastAsia" w:ascii="宋体" w:hAnsi="宋体" w:eastAsia="宋体" w:cs="宋体"/>
                <w:i w:val="0"/>
                <w:strike w:val="0"/>
                <w:color w:val="auto"/>
                <w:spacing w:val="0"/>
                <w:sz w:val="20"/>
                <w:u w:val="none"/>
                <w:lang w:val="en-US" w:eastAsia="zh-CN"/>
              </w:rPr>
              <w:t>2布3油：</w:t>
            </w:r>
            <w:r>
              <w:rPr>
                <w:rFonts w:hint="eastAsia" w:ascii="宋体" w:hAnsi="宋体" w:eastAsia="宋体" w:cs="宋体"/>
                <w:i w:val="0"/>
                <w:strike w:val="0"/>
                <w:color w:val="auto"/>
                <w:spacing w:val="0"/>
                <w:sz w:val="20"/>
                <w:u w:val="none"/>
                <w:lang w:eastAsia="zh-CN"/>
              </w:rPr>
              <w:t>玻璃</w:t>
            </w:r>
            <w:r>
              <w:rPr>
                <w:rFonts w:hint="eastAsia" w:ascii="宋体" w:hAnsi="宋体" w:eastAsia="宋体" w:cs="宋体"/>
                <w:i w:val="0"/>
                <w:strike w:val="0"/>
                <w:color w:val="auto"/>
                <w:spacing w:val="0"/>
                <w:sz w:val="20"/>
                <w:u w:val="none"/>
                <w:lang w:val="en-US" w:eastAsia="zh-CN"/>
              </w:rPr>
              <w:t>纤维+</w:t>
            </w:r>
            <w:r>
              <w:rPr>
                <w:rFonts w:hint="eastAsia" w:ascii="宋体" w:hAnsi="宋体" w:eastAsia="宋体" w:cs="宋体"/>
                <w:i w:val="0"/>
                <w:strike w:val="0"/>
                <w:color w:val="auto"/>
                <w:spacing w:val="0"/>
                <w:sz w:val="20"/>
                <w:u w:val="none"/>
                <w:lang w:eastAsia="zh-CN"/>
              </w:rPr>
              <w:t>环氧树脂涂料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反应槽搅拌器</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配套摆线减速机，I=1.5Kw，配套叶轮和连接杆为304不锈钢，连接杆1.1m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潍坊森胜、 上海沂洺</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4</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潜污泵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Q=20m³/h，H=15m，I=2.2Kw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中国进越、新界</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rPr>
              <w:t>3</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污泥螺杆泵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泵体304不锈钢，Q=2m³/h，I=2.2Kw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上海韦森、浙江亿迪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污水回流泵</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仿宋" w:hAnsi="仿宋" w:eastAsia="仿宋" w:cs="仿宋"/>
                <w:i w:val="0"/>
                <w:iCs w:val="0"/>
                <w:color w:val="000000"/>
                <w:sz w:val="20"/>
                <w:szCs w:val="20"/>
                <w:u w:val="none"/>
                <w:lang w:val="en-US"/>
              </w:rPr>
            </w:pPr>
            <w:r>
              <w:rPr>
                <w:rFonts w:hint="eastAsia" w:ascii="宋体" w:hAnsi="宋体" w:eastAsia="宋体" w:cs="宋体"/>
                <w:i w:val="0"/>
                <w:strike w:val="0"/>
                <w:color w:val="auto"/>
                <w:spacing w:val="0"/>
                <w:sz w:val="20"/>
                <w:u w:val="none"/>
                <w:vertAlign w:val="baseline"/>
              </w:rPr>
              <w:t>泵体304不锈钢，Q=25m³/h，H=10m，I=1.5Kw</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中国进越、浙江亿迪</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板框压滤机</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外形尺寸1850×845×950mm，压滤面积10平滤板厚度50mm，进料压力＜0.6Mpa，滤板尺寸500*500mm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斜板沉淀池填料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聚丙烯填料直径</w:t>
            </w:r>
            <w:r>
              <w:rPr>
                <w:rFonts w:hint="eastAsia" w:ascii="宋体" w:hAnsi="宋体" w:eastAsia="宋体" w:cs="宋体"/>
                <w:i w:val="0"/>
                <w:strike w:val="0"/>
                <w:color w:val="auto"/>
                <w:spacing w:val="0"/>
                <w:sz w:val="20"/>
                <w:u w:val="none"/>
                <w:vertAlign w:val="baseline"/>
                <w:lang w:val="en-US" w:eastAsia="zh-CN"/>
              </w:rPr>
              <w:t>50</w:t>
            </w:r>
            <w:r>
              <w:rPr>
                <w:rFonts w:hint="eastAsia" w:ascii="宋体" w:hAnsi="宋体" w:eastAsia="宋体" w:cs="宋体"/>
                <w:i w:val="0"/>
                <w:strike w:val="0"/>
                <w:color w:val="auto"/>
                <w:spacing w:val="0"/>
                <w:sz w:val="20"/>
                <w:u w:val="none"/>
                <w:vertAlign w:val="baseline"/>
              </w:rPr>
              <w:t>mm，比表面积300m/m,堆积个数22500n/m，堆积密度49KG/㎡</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山东泰合、潍坊鑫诚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台</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13</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平台楼梯</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材质Q235，</w:t>
            </w:r>
            <w:r>
              <w:rPr>
                <w:rFonts w:hint="eastAsia" w:ascii="宋体" w:hAnsi="宋体" w:eastAsia="宋体" w:cs="宋体"/>
                <w:i w:val="0"/>
                <w:strike w:val="0"/>
                <w:color w:val="auto"/>
                <w:spacing w:val="0"/>
                <w:sz w:val="20"/>
                <w:u w:val="none"/>
                <w:vertAlign w:val="baseline"/>
              </w:rPr>
              <w:t>铁板，厚5mm</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14</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电磁流量计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DN65，法兰连接；公称压力:PN16；连接材质及本体材质:碳钢CS；准确度:0.5级；输出及供电电源:4-20mA+脉冲+RS485，220VAC</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宋体" w:hAnsi="宋体" w:eastAsia="宋体" w:cs="宋体"/>
                <w:i w:val="0"/>
                <w:strike w:val="0"/>
                <w:color w:val="auto"/>
                <w:spacing w:val="0"/>
                <w:sz w:val="20"/>
                <w:u w:val="none"/>
                <w:vertAlign w:val="baseline"/>
                <w:lang w:val="en-US" w:eastAsia="zh-CN"/>
              </w:rPr>
              <w:t>格乐普、美控</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lang w:val="en-US" w:eastAsia="zh-CN"/>
              </w:rPr>
            </w:pPr>
            <w:r>
              <w:rPr>
                <w:rFonts w:hint="eastAsia" w:ascii="仿宋" w:hAnsi="仿宋" w:eastAsia="仿宋" w:cs="仿宋"/>
                <w:i w:val="0"/>
                <w:iCs w:val="0"/>
                <w:color w:val="000000"/>
                <w:sz w:val="20"/>
                <w:szCs w:val="20"/>
                <w:u w:val="no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15</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立柱</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池体支架材质Q235,50mm方管</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定制</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根</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12</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16</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管道</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加药管道采用，PVC:DN25-DN100；</w:t>
            </w:r>
          </w:p>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污泥输送管道采用，PVC：DN65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17</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rPr>
              <w:t>辅料</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五金辅材</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18</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电线</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低压电力电缆</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华凌、阳谷</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19</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穿线管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镀锌管，Ф20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友发、正元</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米</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20</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仿宋" w:hAnsi="仿宋" w:eastAsia="仿宋" w:cs="仿宋"/>
                <w:i w:val="0"/>
                <w:iCs w:val="0"/>
                <w:color w:val="000000"/>
                <w:sz w:val="20"/>
                <w:szCs w:val="20"/>
                <w:u w:val="none"/>
              </w:rPr>
            </w:pPr>
            <w:r>
              <w:rPr>
                <w:rFonts w:hint="eastAsia" w:ascii="宋体" w:hAnsi="宋体" w:eastAsia="宋体" w:cs="宋体"/>
                <w:i w:val="0"/>
                <w:strike w:val="0"/>
                <w:color w:val="auto"/>
                <w:spacing w:val="0"/>
                <w:sz w:val="20"/>
                <w:u w:val="none"/>
                <w:vertAlign w:val="baseline"/>
                <w:lang w:val="en-US" w:eastAsia="zh-CN"/>
              </w:rPr>
              <w:t>曝气管</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PVC：DN50</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日丰、华亚</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若干</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21</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电控柜</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IP65</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default"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国内知名品牌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659"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22</w:t>
            </w:r>
          </w:p>
        </w:tc>
        <w:tc>
          <w:tcPr>
            <w:tcW w:w="1118"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kern w:val="2"/>
                <w:sz w:val="20"/>
                <w:u w:val="none"/>
                <w:vertAlign w:val="baseline"/>
                <w:lang w:val="en-US" w:eastAsia="zh-CN" w:bidi="ar-SA"/>
              </w:rPr>
            </w:pPr>
            <w:r>
              <w:rPr>
                <w:rFonts w:hint="eastAsia" w:ascii="宋体" w:hAnsi="宋体" w:eastAsia="宋体" w:cs="宋体"/>
                <w:i w:val="0"/>
                <w:strike w:val="0"/>
                <w:color w:val="auto"/>
                <w:spacing w:val="0"/>
                <w:sz w:val="20"/>
                <w:u w:val="none"/>
                <w:vertAlign w:val="baseline"/>
                <w:lang w:val="en-US" w:eastAsia="zh-CN"/>
              </w:rPr>
              <w:t>电器元件</w:t>
            </w:r>
          </w:p>
        </w:tc>
        <w:tc>
          <w:tcPr>
            <w:tcW w:w="394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断路器、接触器等</w:t>
            </w:r>
          </w:p>
        </w:tc>
        <w:tc>
          <w:tcPr>
            <w:tcW w:w="1285"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正泰、德力西</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宗</w:t>
            </w:r>
          </w:p>
        </w:tc>
        <w:tc>
          <w:tcPr>
            <w:tcW w:w="624"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1</w:t>
            </w:r>
          </w:p>
        </w:tc>
        <w:tc>
          <w:tcPr>
            <w:tcW w:w="1667" w:type="dxa"/>
            <w:tcBorders>
              <w:top w:val="single" w:color="000000" w:sz="4" w:space="0"/>
              <w:left w:val="single" w:color="000000" w:sz="4" w:space="0"/>
              <w:bottom w:val="single" w:color="000000" w:sz="4" w:space="0"/>
              <w:right w:val="single" w:color="000000" w:sz="4" w:space="0"/>
            </w:tcBorders>
            <w:noWrap w:val="0"/>
            <w:vAlign w:val="center"/>
          </w:tcPr>
          <w:p>
            <w:pPr>
              <w:snapToGrid/>
              <w:spacing w:before="0" w:after="0" w:line="240" w:lineRule="auto"/>
              <w:ind w:left="0" w:leftChars="0" w:right="0" w:rightChars="0" w:firstLine="0" w:firstLineChars="0"/>
              <w:jc w:val="center"/>
              <w:rPr>
                <w:rFonts w:hint="eastAsia" w:ascii="宋体" w:hAnsi="宋体" w:eastAsia="宋体" w:cs="宋体"/>
                <w:i w:val="0"/>
                <w:strike w:val="0"/>
                <w:color w:val="auto"/>
                <w:spacing w:val="0"/>
                <w:sz w:val="20"/>
                <w:u w:val="none"/>
                <w:vertAlign w:val="baseline"/>
                <w:lang w:val="en-US" w:eastAsia="zh-CN"/>
              </w:rPr>
            </w:pPr>
            <w:r>
              <w:rPr>
                <w:rFonts w:hint="eastAsia" w:ascii="宋体" w:hAnsi="宋体" w:eastAsia="宋体" w:cs="宋体"/>
                <w:i w:val="0"/>
                <w:strike w:val="0"/>
                <w:color w:val="auto"/>
                <w:spacing w:val="0"/>
                <w:sz w:val="20"/>
                <w:u w:val="none"/>
                <w:vertAlign w:val="baseline"/>
                <w:lang w:val="en-US" w:eastAsia="zh-CN"/>
              </w:rPr>
              <w:t>同等及以上品牌</w:t>
            </w:r>
          </w:p>
        </w:tc>
      </w:tr>
    </w:tbl>
    <w:p>
      <w:pPr>
        <w:spacing w:line="360" w:lineRule="auto"/>
        <w:rPr>
          <w:rFonts w:ascii="宋体" w:hAnsi="宋体" w:eastAsia="宋体" w:cs="宋体"/>
          <w:b/>
          <w:sz w:val="24"/>
          <w:szCs w:val="24"/>
          <w:highlight w:val="yellow"/>
        </w:rPr>
      </w:pPr>
    </w:p>
    <w:p>
      <w:pPr>
        <w:spacing w:line="360" w:lineRule="auto"/>
        <w:rPr>
          <w:rFonts w:ascii="宋体" w:hAnsi="宋体" w:eastAsia="宋体" w:cs="宋体"/>
          <w:b/>
          <w:sz w:val="24"/>
          <w:szCs w:val="24"/>
        </w:rPr>
      </w:pP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15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6.在终验收前，提供关于采购货物的操作维护手册、保养维修手册、安全注意事项等的使用说明书、仪器仪表检定和使用维修说明书、合格证、产品样本等技术资料（含图片和影像等资料）；</w:t>
      </w:r>
      <w:r>
        <w:rPr>
          <w:rFonts w:hint="eastAsia" w:ascii="宋体" w:hAnsi="宋体" w:eastAsia="宋体" w:cs="宋体"/>
          <w:sz w:val="24"/>
          <w:szCs w:val="24"/>
          <w:lang w:val="en-US" w:eastAsia="zh-CN"/>
        </w:rPr>
        <w:t>提供</w:t>
      </w:r>
      <w:r>
        <w:rPr>
          <w:rFonts w:hint="eastAsia" w:ascii="宋体" w:hAnsi="宋体" w:eastAsia="宋体" w:cs="Times New Roman"/>
          <w:sz w:val="24"/>
          <w:szCs w:val="24"/>
          <w:lang w:val="en-US" w:eastAsia="zh-CN"/>
        </w:rPr>
        <w:t>最终排放水质检测报告（带CMA认证）</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pPr>
        <w:pStyle w:val="24"/>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市中区党家庄济南成型厂党家庄厂区</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60</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r>
        <w:rPr>
          <w:rFonts w:ascii="宋体" w:hAnsi="宋体" w:eastAsia="宋体" w:cs="宋体"/>
          <w:sz w:val="24"/>
          <w:szCs w:val="24"/>
        </w:rPr>
        <w:t>。</w:t>
      </w:r>
    </w:p>
    <w:p>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highlight w:val="none"/>
        </w:rPr>
        <w:t>2.接续</w:t>
      </w:r>
      <w:r>
        <w:rPr>
          <w:rFonts w:hint="eastAsia" w:ascii="宋体" w:hAnsi="宋体" w:eastAsia="宋体" w:cs="宋体"/>
          <w:sz w:val="24"/>
          <w:highlight w:val="none"/>
          <w:lang w:val="en-US" w:eastAsia="zh-CN"/>
        </w:rPr>
        <w:t>30</w:t>
      </w:r>
      <w:r>
        <w:rPr>
          <w:rFonts w:hint="eastAsia" w:ascii="宋体" w:hAnsi="宋体" w:eastAsia="宋体" w:cs="宋体"/>
          <w:sz w:val="24"/>
          <w:highlight w:val="none"/>
        </w:rPr>
        <w:t>个日历日之内完成安装调试或根据招标方要求分段实施。</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.接续</w:t>
      </w:r>
      <w:r>
        <w:rPr>
          <w:rFonts w:hint="eastAsia" w:ascii="宋体" w:hAnsi="宋体" w:eastAsia="宋体" w:cs="宋体"/>
          <w:sz w:val="24"/>
          <w:szCs w:val="24"/>
          <w:u w:val="single"/>
          <w:shd w:val="pct10" w:color="auto" w:fill="FFFFFF"/>
        </w:rPr>
        <w:t>30</w:t>
      </w:r>
      <w:r>
        <w:rPr>
          <w:rFonts w:hint="eastAsia" w:ascii="宋体" w:hAnsi="宋体" w:eastAsia="宋体" w:cs="宋体"/>
          <w:sz w:val="24"/>
          <w:szCs w:val="24"/>
        </w:rPr>
        <w:t>个日历日之内完成终验收。</w:t>
      </w:r>
    </w:p>
    <w:p>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25"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5"/>
    </w:p>
    <w:p>
      <w:pPr>
        <w:pStyle w:val="23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rPr>
        <w:t>12</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23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23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23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23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24"/>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26" w:name="_Toc465187646"/>
      <w:r>
        <w:rPr>
          <w:rFonts w:hint="eastAsia" w:ascii="Calibri" w:hAnsi="Calibri" w:eastAsia="宋体" w:cs="Times New Roman"/>
          <w:b/>
          <w:bCs/>
          <w:kern w:val="44"/>
          <w:sz w:val="28"/>
          <w:szCs w:val="28"/>
        </w:rPr>
        <w:t>第五章  预验收和终验收</w:t>
      </w:r>
      <w:bookmarkEnd w:id="26"/>
    </w:p>
    <w:p>
      <w:pPr>
        <w:pStyle w:val="23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23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23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 出现下列问题之一，视作验收失败：</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3.2 累计负载运行实际性能（或生产率）达不到合同规定；</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pPr>
        <w:pStyle w:val="24"/>
        <w:spacing w:line="360" w:lineRule="auto"/>
      </w:pPr>
    </w:p>
    <w:p>
      <w:pPr>
        <w:pStyle w:val="238"/>
        <w:spacing w:line="360" w:lineRule="auto"/>
        <w:jc w:val="center"/>
        <w:outlineLvl w:val="1"/>
        <w:rPr>
          <w:rFonts w:eastAsia="宋体"/>
          <w:b/>
          <w:bCs w:val="0"/>
          <w:iCs/>
          <w:color w:val="auto"/>
          <w:sz w:val="28"/>
        </w:rPr>
      </w:pPr>
      <w:bookmarkStart w:id="27" w:name="_Toc465187647"/>
      <w:r>
        <w:rPr>
          <w:rFonts w:eastAsia="宋体"/>
          <w:b/>
          <w:bCs w:val="0"/>
          <w:iCs/>
          <w:color w:val="auto"/>
          <w:sz w:val="28"/>
        </w:rPr>
        <w:t>第六章  投标技术文件一般要求</w:t>
      </w:r>
      <w:bookmarkEnd w:id="27"/>
    </w:p>
    <w:p>
      <w:pPr>
        <w:pStyle w:val="237"/>
        <w:spacing w:line="360" w:lineRule="auto"/>
        <w:rPr>
          <w:color w:val="auto"/>
        </w:rPr>
      </w:pPr>
      <w:r>
        <w:rPr>
          <w:color w:val="auto"/>
        </w:rPr>
        <w:t>一、技术文件一般内容要求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noWrap w:val="0"/>
            <w:vAlign w:val="top"/>
          </w:tcPr>
          <w:p>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ascii="宋体" w:hAnsi="宋体" w:eastAsia="宋体" w:cs="宋体"/>
              </w:rPr>
            </w:pPr>
          </w:p>
        </w:tc>
        <w:tc>
          <w:tcPr>
            <w:tcW w:w="1924" w:type="dxa"/>
            <w:noWrap w:val="0"/>
            <w:vAlign w:val="top"/>
          </w:tcPr>
          <w:p>
            <w:pPr>
              <w:adjustRightInd w:val="0"/>
              <w:snapToGrid w:val="0"/>
              <w:spacing w:line="360" w:lineRule="exact"/>
              <w:rPr>
                <w:rFonts w:ascii="宋体" w:hAnsi="宋体" w:eastAsia="宋体" w:cs="宋体"/>
              </w:rPr>
            </w:pPr>
          </w:p>
        </w:tc>
        <w:tc>
          <w:tcPr>
            <w:tcW w:w="1236" w:type="dxa"/>
            <w:noWrap w:val="0"/>
            <w:vAlign w:val="top"/>
          </w:tcPr>
          <w:p>
            <w:pPr>
              <w:adjustRightInd w:val="0"/>
              <w:snapToGrid w:val="0"/>
              <w:spacing w:line="360" w:lineRule="exact"/>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720" w:type="dxa"/>
            <w:noWrap w:val="0"/>
            <w:vAlign w:val="top"/>
          </w:tcPr>
          <w:p>
            <w:pPr>
              <w:adjustRightInd w:val="0"/>
              <w:snapToGrid w:val="0"/>
              <w:spacing w:line="360" w:lineRule="exact"/>
              <w:jc w:val="center"/>
              <w:rPr>
                <w:rFonts w:ascii="宋体" w:hAnsi="宋体" w:eastAsia="宋体" w:cs="宋体"/>
              </w:rPr>
            </w:pPr>
          </w:p>
        </w:tc>
        <w:tc>
          <w:tcPr>
            <w:tcW w:w="2235" w:type="dxa"/>
            <w:noWrap w:val="0"/>
            <w:vAlign w:val="top"/>
          </w:tcPr>
          <w:p>
            <w:pPr>
              <w:adjustRightInd w:val="0"/>
              <w:snapToGrid w:val="0"/>
              <w:spacing w:line="360" w:lineRule="exact"/>
              <w:rPr>
                <w:rFonts w:ascii="宋体" w:hAnsi="宋体" w:eastAsia="宋体" w:cs="宋体"/>
              </w:rPr>
            </w:pPr>
          </w:p>
        </w:tc>
      </w:tr>
    </w:tbl>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237"/>
        <w:spacing w:line="360" w:lineRule="auto"/>
        <w:rPr>
          <w:rFonts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237"/>
        <w:spacing w:line="360" w:lineRule="auto"/>
        <w:rPr>
          <w:rFonts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3"/>
        <w:spacing w:before="120" w:after="120" w:line="360" w:lineRule="auto"/>
        <w:rPr>
          <w:rFonts w:ascii="宋体" w:hAnsi="宋体" w:eastAsia="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p>
    <w:p>
      <w:pPr>
        <w:pStyle w:val="238"/>
        <w:jc w:val="center"/>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pPr>
        <w:pStyle w:val="237"/>
        <w:spacing w:line="360" w:lineRule="auto"/>
        <w:rPr>
          <w:rFonts w:ascii="宋体" w:hAnsi="宋体" w:cs="宋体"/>
          <w:color w:val="auto"/>
        </w:rPr>
      </w:pPr>
      <w:r>
        <w:rPr>
          <w:rFonts w:hint="eastAsia" w:ascii="宋体" w:hAnsi="宋体" w:cs="宋体"/>
          <w:color w:val="auto"/>
        </w:rPr>
        <w:t>一、要求</w:t>
      </w:r>
    </w:p>
    <w:p>
      <w:pPr>
        <w:pStyle w:val="27"/>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0"/>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237"/>
        <w:spacing w:line="360" w:lineRule="auto"/>
      </w:pPr>
      <w:r>
        <w:rPr>
          <w:rFonts w:hint="eastAsia" w:ascii="宋体" w:hAnsi="宋体" w:cs="宋体"/>
          <w:color w:val="auto"/>
        </w:rPr>
        <w:t>二、其他</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pStyle w:val="24"/>
      </w:pPr>
    </w:p>
    <w:p>
      <w:pPr>
        <w:rPr>
          <w:rFonts w:hint="eastAsia" w:ascii="仿宋" w:hAnsi="仿宋" w:eastAsia="仿宋"/>
          <w:b/>
          <w:bCs/>
          <w:sz w:val="28"/>
        </w:rPr>
      </w:pPr>
      <w:r>
        <w:rPr>
          <w:rFonts w:hint="eastAsia" w:ascii="仿宋" w:hAnsi="仿宋" w:eastAsia="仿宋"/>
          <w:b/>
          <w:bCs/>
          <w:sz w:val="28"/>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28" w:name="_Toc353881012"/>
      <w:bookmarkStart w:id="29" w:name="_Toc25811"/>
      <w:bookmarkStart w:id="30" w:name="_Toc212369550"/>
      <w:bookmarkStart w:id="31" w:name="_Toc639004"/>
      <w:r>
        <w:rPr>
          <w:rFonts w:hint="default" w:ascii="Times New Roman" w:hAnsi="Times New Roman" w:eastAsia="宋体" w:cs="Times New Roman"/>
          <w:b/>
          <w:bCs/>
          <w:color w:val="000000"/>
          <w:sz w:val="24"/>
          <w:szCs w:val="24"/>
        </w:rPr>
        <w:t xml:space="preserve"> 投标函</w:t>
      </w:r>
      <w:bookmarkEnd w:id="28"/>
      <w:bookmarkEnd w:id="29"/>
      <w:bookmarkEnd w:id="30"/>
      <w:bookmarkEnd w:id="31"/>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w:t>
      </w:r>
      <w:r>
        <w:rPr>
          <w:rFonts w:hint="eastAsia" w:ascii="Times New Roman" w:hAnsi="Times New Roman" w:eastAsia="宋体" w:cs="Times New Roman"/>
          <w:color w:val="000000"/>
          <w:sz w:val="24"/>
          <w:szCs w:val="24"/>
          <w:lang w:eastAsia="zh-CN"/>
        </w:rPr>
        <w:t>中国重汽集团济南动力有限公司</w:t>
      </w:r>
      <w:r>
        <w:rPr>
          <w:rFonts w:hint="default" w:ascii="Times New Roman" w:hAnsi="Times New Roman" w:eastAsia="宋体" w:cs="Times New Roman"/>
          <w:color w:val="000000"/>
          <w:sz w:val="24"/>
          <w:szCs w:val="24"/>
        </w:rPr>
        <w:t>：</w:t>
      </w:r>
    </w:p>
    <w:p>
      <w:pPr>
        <w:pStyle w:val="19"/>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提交纸质投标文件：资质证明文件、商务文件和技术文件</w:t>
      </w:r>
      <w:r>
        <w:rPr>
          <w:rFonts w:hint="eastAsia" w:ascii="Times New Roman" w:hAns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pPr>
        <w:adjustRightInd w:val="0"/>
        <w:snapToGrid w:val="0"/>
        <w:spacing w:before="93" w:beforeLines="30" w:line="240" w:lineRule="exact"/>
        <w:jc w:val="center"/>
        <w:rPr>
          <w:rFonts w:hint="default" w:ascii="Times New Roman" w:hAnsi="Times New Roman" w:eastAsia="宋体" w:cs="Times New Roman"/>
          <w:sz w:val="24"/>
          <w:szCs w:val="20"/>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6300T、3150T热模锻生产线复产项目-新增石墨废水预处理站</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黑体" w:cs="Times New Roman"/>
          <w:b/>
          <w:bCs/>
          <w:color w:val="000000"/>
          <w:sz w:val="28"/>
          <w:szCs w:val="20"/>
        </w:rPr>
      </w:pPr>
    </w:p>
    <w:p>
      <w:pPr>
        <w:pStyle w:val="24"/>
        <w:rPr>
          <w:rFonts w:hint="default" w:ascii="Times New Roman" w:hAnsi="Times New Roman" w:eastAsia="黑体" w:cs="Times New Roman"/>
          <w:b/>
          <w:bCs/>
          <w:color w:val="000000"/>
          <w:sz w:val="28"/>
          <w:szCs w:val="20"/>
        </w:rPr>
      </w:pPr>
    </w:p>
    <w:p>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23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pPr>
              <w:pStyle w:val="23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23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pPr>
              <w:pStyle w:val="23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pPr>
              <w:pStyle w:val="23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23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pPr>
              <w:widowControl/>
              <w:rPr>
                <w:rFonts w:hint="default" w:ascii="Times New Roman" w:hAnsi="Times New Roman" w:eastAsia="仿宋_GB2312" w:cs="Times New Roman"/>
                <w:kern w:val="0"/>
                <w:szCs w:val="21"/>
                <w:lang w:bidi="ar"/>
              </w:rPr>
            </w:pPr>
          </w:p>
        </w:tc>
        <w:tc>
          <w:tcPr>
            <w:tcW w:w="1097" w:type="dxa"/>
          </w:tcPr>
          <w:p>
            <w:pPr>
              <w:pStyle w:val="23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pPr>
              <w:pStyle w:val="23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pPr>
              <w:pStyle w:val="231"/>
              <w:spacing w:before="158"/>
              <w:jc w:val="center"/>
              <w:rPr>
                <w:rFonts w:hint="default" w:ascii="Times New Roman" w:hAnsi="Times New Roman" w:cs="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23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pPr>
              <w:widowControl/>
              <w:textAlignment w:val="center"/>
              <w:rPr>
                <w:rFonts w:hint="default" w:ascii="Times New Roman" w:hAnsi="Times New Roman" w:eastAsia="宋体" w:cs="Times New Roman"/>
                <w:szCs w:val="21"/>
              </w:rPr>
            </w:pPr>
          </w:p>
        </w:tc>
        <w:tc>
          <w:tcPr>
            <w:tcW w:w="1530"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pPr>
              <w:widowControl/>
              <w:jc w:val="center"/>
              <w:textAlignment w:val="center"/>
              <w:rPr>
                <w:rFonts w:hint="default" w:ascii="Times New Roman" w:hAnsi="Times New Roman" w:eastAsia="宋体" w:cs="Times New Roman"/>
                <w:szCs w:val="21"/>
              </w:rPr>
            </w:pPr>
          </w:p>
        </w:tc>
        <w:tc>
          <w:tcPr>
            <w:tcW w:w="1097" w:type="dxa"/>
            <w:vAlign w:val="center"/>
          </w:tcPr>
          <w:p>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pPr>
              <w:widowControl/>
              <w:jc w:val="center"/>
              <w:textAlignment w:val="center"/>
              <w:rPr>
                <w:rFonts w:hint="default" w:ascii="Times New Roman" w:hAnsi="Times New Roman" w:eastAsia="宋体" w:cs="Times New Roman"/>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pPr>
              <w:widowControl/>
              <w:jc w:val="left"/>
              <w:rPr>
                <w:rFonts w:hint="default" w:ascii="Times New Roman" w:hAnsi="Times New Roman" w:eastAsia="宋体" w:cs="Times New Roman"/>
                <w:kern w:val="0"/>
                <w:szCs w:val="21"/>
                <w:lang w:bidi="ar"/>
              </w:rPr>
            </w:pPr>
          </w:p>
        </w:tc>
      </w:tr>
    </w:tbl>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rPr>
          <w:rFonts w:hint="default" w:ascii="Times New Roman" w:hAnsi="Times New Roman" w:eastAsia="宋体" w:cs="Times New Roman"/>
          <w:b/>
          <w:bCs/>
          <w:color w:val="000000"/>
          <w:sz w:val="24"/>
          <w:szCs w:val="24"/>
        </w:rPr>
      </w:pPr>
    </w:p>
    <w:p>
      <w:pPr>
        <w:pStyle w:val="2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pPr>
              <w:spacing w:line="440" w:lineRule="exact"/>
              <w:jc w:val="center"/>
              <w:rPr>
                <w:rFonts w:hint="default" w:ascii="Times New Roman" w:hAnsi="Times New Roman" w:cs="Times New Roman"/>
                <w:color w:val="000000"/>
                <w:sz w:val="24"/>
                <w:szCs w:val="24"/>
                <w:highlight w:val="yellow"/>
              </w:rPr>
            </w:pPr>
          </w:p>
        </w:tc>
        <w:tc>
          <w:tcPr>
            <w:tcW w:w="2291" w:type="dxa"/>
          </w:tcPr>
          <w:p>
            <w:pPr>
              <w:spacing w:line="440" w:lineRule="exact"/>
              <w:jc w:val="center"/>
              <w:rPr>
                <w:rFonts w:hint="default" w:ascii="Times New Roman" w:hAnsi="Times New Roman" w:cs="Times New Roman"/>
                <w:color w:val="000000"/>
                <w:sz w:val="24"/>
                <w:szCs w:val="24"/>
                <w:highlight w:val="yellow"/>
              </w:rPr>
            </w:pPr>
          </w:p>
        </w:tc>
        <w:tc>
          <w:tcPr>
            <w:tcW w:w="2070" w:type="dxa"/>
          </w:tcPr>
          <w:p>
            <w:pPr>
              <w:spacing w:line="440" w:lineRule="exact"/>
              <w:jc w:val="center"/>
              <w:rPr>
                <w:rFonts w:hint="default" w:ascii="Times New Roman" w:hAnsi="Times New Roman" w:cs="Times New Roman"/>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pPr>
              <w:spacing w:line="440" w:lineRule="exact"/>
              <w:jc w:val="center"/>
              <w:rPr>
                <w:rFonts w:hint="default" w:ascii="Times New Roman" w:hAnsi="Times New Roman" w:cs="Times New Roman"/>
                <w:color w:val="000000"/>
                <w:sz w:val="24"/>
                <w:szCs w:val="24"/>
              </w:rPr>
            </w:pPr>
          </w:p>
        </w:tc>
        <w:tc>
          <w:tcPr>
            <w:tcW w:w="2291" w:type="dxa"/>
          </w:tcPr>
          <w:p>
            <w:pPr>
              <w:spacing w:line="440" w:lineRule="exact"/>
              <w:jc w:val="center"/>
              <w:rPr>
                <w:rFonts w:hint="default" w:ascii="Times New Roman" w:hAnsi="Times New Roman" w:cs="Times New Roman"/>
                <w:color w:val="000000"/>
                <w:sz w:val="24"/>
                <w:szCs w:val="24"/>
              </w:rPr>
            </w:pPr>
          </w:p>
        </w:tc>
        <w:tc>
          <w:tcPr>
            <w:tcW w:w="2070" w:type="dxa"/>
          </w:tcPr>
          <w:p>
            <w:pPr>
              <w:spacing w:line="440" w:lineRule="exact"/>
              <w:jc w:val="center"/>
              <w:rPr>
                <w:rFonts w:hint="default" w:ascii="Times New Roman" w:hAnsi="Times New Roman" w:cs="Times New Roman"/>
                <w:color w:val="000000"/>
                <w:sz w:val="24"/>
                <w:szCs w:val="24"/>
              </w:rPr>
            </w:pPr>
          </w:p>
        </w:tc>
      </w:tr>
    </w:tbl>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附件5 技术规格偏离表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6300T、3150T热模锻生产线复产项目-新增石墨废水预处理站</w:t>
      </w:r>
      <w:r>
        <w:rPr>
          <w:rFonts w:hint="default" w:ascii="Times New Roman" w:hAnsi="Times New Roman" w:eastAsia="宋体" w:cs="Times New Roman"/>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序号</w:t>
            </w:r>
          </w:p>
        </w:tc>
        <w:tc>
          <w:tcPr>
            <w:tcW w:w="3449"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招标要求</w:t>
            </w:r>
          </w:p>
        </w:tc>
        <w:tc>
          <w:tcPr>
            <w:tcW w:w="2414"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08" w:type="dxa"/>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default" w:ascii="Times New Roman" w:hAnsi="Times New Roman" w:eastAsia="宋体" w:cs="Times New Roman"/>
                <w:b/>
                <w:sz w:val="24"/>
                <w:szCs w:val="20"/>
              </w:rPr>
            </w:pPr>
          </w:p>
        </w:tc>
        <w:tc>
          <w:tcPr>
            <w:tcW w:w="3449" w:type="dxa"/>
          </w:tcPr>
          <w:p>
            <w:pPr>
              <w:jc w:val="center"/>
              <w:rPr>
                <w:rFonts w:hint="default" w:ascii="Times New Roman" w:hAnsi="Times New Roman" w:eastAsia="宋体" w:cs="Times New Roman"/>
                <w:b/>
                <w:sz w:val="24"/>
                <w:szCs w:val="20"/>
              </w:rPr>
            </w:pPr>
          </w:p>
        </w:tc>
        <w:tc>
          <w:tcPr>
            <w:tcW w:w="2414" w:type="dxa"/>
          </w:tcPr>
          <w:p>
            <w:pPr>
              <w:jc w:val="center"/>
              <w:rPr>
                <w:rFonts w:hint="default" w:ascii="Times New Roman" w:hAnsi="Times New Roman" w:eastAsia="宋体" w:cs="Times New Roman"/>
                <w:b/>
                <w:sz w:val="24"/>
                <w:szCs w:val="20"/>
              </w:rPr>
            </w:pPr>
          </w:p>
        </w:tc>
        <w:tc>
          <w:tcPr>
            <w:tcW w:w="1608" w:type="dxa"/>
          </w:tcPr>
          <w:p>
            <w:pPr>
              <w:jc w:val="center"/>
              <w:rPr>
                <w:rFonts w:hint="default" w:ascii="Times New Roman" w:hAnsi="Times New Roman" w:eastAsia="宋体" w:cs="Times New Roman"/>
                <w:b/>
                <w:sz w:val="24"/>
                <w:szCs w:val="20"/>
              </w:rPr>
            </w:pPr>
          </w:p>
        </w:tc>
      </w:tr>
    </w:tbl>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pStyle w:val="24"/>
        <w:rPr>
          <w:rFonts w:hint="default" w:ascii="Times New Roman" w:hAnsi="Times New Roman" w:cs="Times New Roman"/>
        </w:r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附件6 202</w:t>
      </w:r>
      <w:r>
        <w:rPr>
          <w:rFonts w:hint="eastAsia" w:cs="Times New Roman"/>
          <w:b/>
          <w:bCs/>
          <w:color w:val="000000"/>
          <w:sz w:val="24"/>
          <w:szCs w:val="24"/>
          <w:lang w:val="en-US" w:eastAsia="zh-CN"/>
        </w:rPr>
        <w:t>3</w:t>
      </w:r>
      <w:r>
        <w:rPr>
          <w:rFonts w:hint="default" w:ascii="Times New Roman" w:hAnsi="Times New Roman" w:eastAsia="宋体" w:cs="Times New Roman"/>
          <w:b/>
          <w:bCs/>
          <w:color w:val="000000"/>
          <w:sz w:val="24"/>
          <w:szCs w:val="24"/>
        </w:rPr>
        <w:t>年1月1日以来同类项目业绩一览表</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cs="Times New Roman"/>
          <w:b w:val="0"/>
          <w:bCs w:val="0"/>
          <w:color w:val="000000"/>
          <w:sz w:val="24"/>
          <w:szCs w:val="24"/>
          <w:u w:val="single"/>
          <w:lang w:val="en-US" w:eastAsia="zh-CN"/>
        </w:rPr>
        <w:t>6300T、3150T热模锻生产线复产项目-新增石墨废水预处理站</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hint="default" w:ascii="Times New Roman" w:hAnsi="Times New Roman" w:eastAsia="宋体" w:cs="Times New Roman"/>
                <w:b/>
                <w:szCs w:val="20"/>
              </w:rPr>
            </w:pPr>
          </w:p>
        </w:tc>
        <w:tc>
          <w:tcPr>
            <w:tcW w:w="2082" w:type="dxa"/>
          </w:tcPr>
          <w:p>
            <w:pPr>
              <w:ind w:left="420" w:hanging="420"/>
              <w:rPr>
                <w:rFonts w:hint="default" w:ascii="Times New Roman" w:hAnsi="Times New Roman" w:eastAsia="宋体" w:cs="Times New Roman"/>
                <w:b/>
                <w:szCs w:val="20"/>
              </w:rPr>
            </w:pPr>
          </w:p>
        </w:tc>
        <w:tc>
          <w:tcPr>
            <w:tcW w:w="1355" w:type="dxa"/>
          </w:tcPr>
          <w:p>
            <w:pPr>
              <w:ind w:left="420" w:hanging="420"/>
              <w:rPr>
                <w:rFonts w:hint="default" w:ascii="Times New Roman" w:hAnsi="Times New Roman" w:eastAsia="宋体" w:cs="Times New Roman"/>
                <w:b/>
                <w:szCs w:val="20"/>
              </w:rPr>
            </w:pP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cs="Times New Roman"/>
                <w:b/>
                <w:szCs w:val="20"/>
                <w:lang w:val="en-US" w:eastAsia="zh-CN"/>
              </w:rPr>
              <w:t>3</w:t>
            </w:r>
            <w:r>
              <w:rPr>
                <w:rFonts w:hint="default" w:ascii="Times New Roman" w:hAnsi="Times New Roman" w:eastAsia="宋体" w:cs="Times New Roman"/>
                <w:b/>
                <w:szCs w:val="20"/>
              </w:rPr>
              <w:t>年1月1日至今所有业绩合同总额汇总（必填）</w:t>
            </w:r>
          </w:p>
        </w:tc>
        <w:tc>
          <w:tcPr>
            <w:tcW w:w="826" w:type="dxa"/>
          </w:tcPr>
          <w:p>
            <w:pPr>
              <w:ind w:left="420" w:hanging="420"/>
              <w:rPr>
                <w:rFonts w:hint="default" w:ascii="Times New Roman" w:hAnsi="Times New Roman" w:eastAsia="宋体" w:cs="Times New Roman"/>
                <w:b/>
                <w:szCs w:val="20"/>
              </w:rPr>
            </w:pPr>
          </w:p>
        </w:tc>
        <w:tc>
          <w:tcPr>
            <w:tcW w:w="1320" w:type="dxa"/>
          </w:tcPr>
          <w:p>
            <w:pPr>
              <w:ind w:left="420" w:hanging="420"/>
              <w:rPr>
                <w:rFonts w:hint="default" w:ascii="Times New Roman" w:hAnsi="Times New Roman" w:eastAsia="宋体" w:cs="Times New Roman"/>
                <w:b/>
                <w:szCs w:val="20"/>
              </w:rPr>
            </w:pPr>
          </w:p>
        </w:tc>
        <w:tc>
          <w:tcPr>
            <w:tcW w:w="1023" w:type="dxa"/>
          </w:tcPr>
          <w:p>
            <w:pPr>
              <w:ind w:left="420" w:hanging="420"/>
              <w:rPr>
                <w:rFonts w:hint="default" w:ascii="Times New Roman" w:hAnsi="Times New Roman" w:eastAsia="宋体" w:cs="Times New Roman"/>
                <w:b/>
                <w:szCs w:val="20"/>
              </w:rPr>
            </w:pPr>
          </w:p>
        </w:tc>
        <w:tc>
          <w:tcPr>
            <w:tcW w:w="1590" w:type="dxa"/>
          </w:tcPr>
          <w:p>
            <w:pPr>
              <w:ind w:left="420" w:hanging="420"/>
              <w:rPr>
                <w:rFonts w:hint="default" w:ascii="Times New Roman" w:hAnsi="Times New Roman" w:eastAsia="宋体" w:cs="Times New Roman"/>
                <w:b/>
                <w:szCs w:val="20"/>
              </w:rPr>
            </w:pPr>
          </w:p>
        </w:tc>
      </w:tr>
    </w:tbl>
    <w:p>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ascii="Times New Roman" w:hAnsi="Times New Roman"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pPr>
        <w:tabs>
          <w:tab w:val="left" w:pos="1578"/>
          <w:tab w:val="left" w:pos="10083"/>
        </w:tabs>
        <w:spacing w:line="500" w:lineRule="exact"/>
        <w:rPr>
          <w:rFonts w:hint="default" w:ascii="Times New Roman" w:hAnsi="Times New Roman" w:eastAsia="宋体" w:cs="Times New Roman"/>
          <w:sz w:val="24"/>
          <w:szCs w:val="20"/>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sz w:val="24"/>
          <w:szCs w:val="20"/>
        </w:rPr>
      </w:pPr>
      <w:r>
        <w:rPr>
          <w:rFonts w:hint="default" w:ascii="Times New Roman" w:hAnsi="Times New Roman" w:eastAsia="宋体" w:cs="Times New Roman"/>
          <w:sz w:val="24"/>
          <w:szCs w:val="20"/>
        </w:rPr>
        <w:br w:type="page"/>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附件7 设备质量承诺函</w:t>
      </w:r>
    </w:p>
    <w:p>
      <w:pPr>
        <w:spacing w:line="240" w:lineRule="exact"/>
        <w:rPr>
          <w:rFonts w:hint="default" w:ascii="Times New Roman" w:hAnsi="Times New Roman" w:eastAsia="宋体" w:cs="Times New Roman"/>
          <w:szCs w:val="20"/>
        </w:rPr>
      </w:pPr>
      <w:r>
        <w:rPr>
          <w:rFonts w:hint="default" w:ascii="Times New Roman" w:hAnsi="Times New Roman" w:eastAsia="宋体" w:cs="Times New Roman"/>
          <w:szCs w:val="20"/>
        </w:rPr>
        <w:t xml:space="preserve">                                               </w:t>
      </w: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 xml:space="preserve">项目名称: </w:t>
      </w:r>
      <w:r>
        <w:rPr>
          <w:rFonts w:hint="default" w:ascii="Times New Roman" w:hAnsi="Times New Roman" w:eastAsia="宋体" w:cs="Times New Roman"/>
          <w:b w:val="0"/>
          <w:bCs w:val="0"/>
          <w:sz w:val="24"/>
          <w:szCs w:val="20"/>
          <w:u w:val="single"/>
        </w:rPr>
        <w:t xml:space="preserve"> </w:t>
      </w:r>
      <w:r>
        <w:rPr>
          <w:rFonts w:hint="eastAsia" w:cs="Times New Roman"/>
          <w:b w:val="0"/>
          <w:bCs w:val="0"/>
          <w:color w:val="000000"/>
          <w:sz w:val="24"/>
          <w:szCs w:val="24"/>
          <w:u w:val="single"/>
          <w:lang w:val="en-US" w:eastAsia="zh-CN"/>
        </w:rPr>
        <w:t>6300T、3150T热模锻生产线复产项目-新增石墨废水预处理站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我代表(投标单位名称)为保证中标产品的质量特作如下承诺：</w:t>
      </w: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360" w:lineRule="auto"/>
        <w:ind w:firstLine="480" w:firstLineChars="200"/>
        <w:rPr>
          <w:rFonts w:hint="default" w:ascii="Times New Roman" w:hAnsi="Times New Roman" w:eastAsia="宋体" w:cs="Times New Roman"/>
          <w:sz w:val="24"/>
          <w:szCs w:val="20"/>
          <w:u w:val="none"/>
        </w:rPr>
      </w:pP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footerReference r:id="rId14" w:type="first"/>
          <w:footerReference r:id="rId13"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eastAsia="zh-CN"/>
        </w:rPr>
        <w:t>6300T、3150T热模锻生产线复产项目-新增石墨废水预处理站</w:t>
      </w:r>
      <w:r>
        <w:rPr>
          <w:rFonts w:ascii="宋体" w:hAnsi="宋体" w:eastAsia="宋体" w:cs="Times New Roman"/>
          <w:color w:val="000000"/>
          <w:sz w:val="24"/>
          <w:szCs w:val="24"/>
          <w:highlight w:val="none"/>
        </w:rPr>
        <w:t xml:space="preserve">  </w:t>
      </w:r>
      <w:r>
        <w:rPr>
          <w:rFonts w:ascii="宋体" w:hAnsi="宋体" w:eastAsia="宋体" w:cs="Times New Roman"/>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eastAsia" w:ascii="Times New Roman" w:hAnsi="Times New Roman" w:eastAsia="宋体" w:cs="Times New Roman"/>
                <w:b/>
                <w:szCs w:val="20"/>
                <w:lang w:eastAsia="zh-CN"/>
              </w:rPr>
            </w:pPr>
            <w:r>
              <w:rPr>
                <w:rFonts w:hint="eastAsia" w:cs="Times New Roman"/>
                <w:b/>
                <w:szCs w:val="20"/>
                <w:highlight w:val="none"/>
                <w:lang w:eastAsia="zh-CN"/>
              </w:rPr>
              <w:t>6300T、3150T热模锻生产线复产项目-新增石墨废水预处理站</w:t>
            </w:r>
          </w:p>
        </w:tc>
        <w:tc>
          <w:tcPr>
            <w:tcW w:w="848" w:type="dxa"/>
            <w:vAlign w:val="center"/>
          </w:tcPr>
          <w:p>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numPr>
          <w:ilvl w:val="0"/>
          <w:numId w:val="9"/>
        </w:numPr>
        <w:spacing w:line="520" w:lineRule="exact"/>
        <w:rPr>
          <w:rFonts w:hint="eastAsia" w:ascii="宋体" w:hAnsi="宋体" w:eastAsia="宋体" w:cs="Times New Roman"/>
          <w:b/>
          <w:bCs/>
          <w:szCs w:val="21"/>
        </w:rPr>
      </w:pPr>
      <w:r>
        <w:rPr>
          <w:rFonts w:hint="eastAsia" w:ascii="宋体" w:hAnsi="宋体" w:eastAsia="宋体" w:cs="Times New Roman"/>
          <w:b/>
          <w:bCs/>
          <w:szCs w:val="21"/>
        </w:rPr>
        <w:t>此表中的报价必须与相应的报价明细表中的报价一致。</w:t>
      </w:r>
    </w:p>
    <w:p>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rPr>
        <w:t>需写明含税价、不含税价格、税率。</w:t>
      </w:r>
    </w:p>
    <w:p>
      <w:pPr>
        <w:numPr>
          <w:ilvl w:val="0"/>
          <w:numId w:val="9"/>
        </w:num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投标总价大写为必填项，如发生大小写不一致，以大写为准。</w:t>
      </w:r>
    </w:p>
    <w:p>
      <w:pPr>
        <w:numPr>
          <w:ilvl w:val="0"/>
          <w:numId w:val="9"/>
        </w:numPr>
        <w:spacing w:line="520" w:lineRule="exact"/>
        <w:rPr>
          <w:rFonts w:hint="eastAsia" w:ascii="宋体" w:hAnsi="宋体" w:eastAsia="宋体" w:cs="Times New Roman"/>
          <w:b/>
          <w:bCs/>
          <w:szCs w:val="21"/>
          <w:highlight w:val="none"/>
          <w:lang w:val="en-US" w:eastAsia="zh-CN"/>
        </w:rPr>
      </w:pP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24"/>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pStyle w:val="24"/>
        <w:rPr>
          <w:rFonts w:hint="eastAsia" w:ascii="宋体" w:hAnsi="宋体" w:eastAsia="宋体" w:cs="Times New Roman"/>
          <w:sz w:val="24"/>
          <w:szCs w:val="20"/>
        </w:rPr>
        <w:sectPr>
          <w:pgSz w:w="11906" w:h="16838"/>
          <w:pgMar w:top="1588" w:right="1418" w:bottom="1134" w:left="1418" w:header="851" w:footer="992" w:gutter="0"/>
          <w:cols w:space="720" w:num="1"/>
          <w:titlePg/>
          <w:docGrid w:type="lines" w:linePitch="312" w:charSpace="0"/>
        </w:sectPr>
      </w:pPr>
    </w:p>
    <w:p>
      <w:pPr>
        <w:pStyle w:val="4"/>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24"/>
        <w:jc w:val="center"/>
        <w:rPr>
          <w:rFonts w:hint="eastAsia" w:ascii="宋体" w:hAnsi="宋体" w:eastAsia="宋体" w:cs="Times New Roman"/>
          <w:sz w:val="24"/>
          <w:szCs w:val="20"/>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3"/>
        <w:gridCol w:w="811"/>
        <w:gridCol w:w="1488"/>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pPr>
              <w:pStyle w:val="19"/>
              <w:bidi w:val="0"/>
              <w:jc w:val="center"/>
              <w:rPr>
                <w:rFonts w:hint="eastAsia"/>
                <w:highlight w:val="none"/>
              </w:rPr>
            </w:pPr>
            <w:r>
              <w:rPr>
                <w:rFonts w:hint="eastAsia"/>
                <w:highlight w:val="none"/>
              </w:rPr>
              <w:t>序号</w:t>
            </w:r>
          </w:p>
        </w:tc>
        <w:tc>
          <w:tcPr>
            <w:tcW w:w="1217" w:type="pct"/>
            <w:vAlign w:val="center"/>
          </w:tcPr>
          <w:p>
            <w:pPr>
              <w:pStyle w:val="19"/>
              <w:bidi w:val="0"/>
              <w:jc w:val="center"/>
              <w:rPr>
                <w:rFonts w:hint="eastAsia"/>
                <w:highlight w:val="none"/>
              </w:rPr>
            </w:pPr>
            <w:r>
              <w:rPr>
                <w:rFonts w:hint="eastAsia"/>
                <w:highlight w:val="none"/>
              </w:rPr>
              <w:t>名称</w:t>
            </w:r>
          </w:p>
        </w:tc>
        <w:tc>
          <w:tcPr>
            <w:tcW w:w="731" w:type="pct"/>
            <w:vAlign w:val="center"/>
          </w:tcPr>
          <w:p>
            <w:pPr>
              <w:pStyle w:val="19"/>
              <w:bidi w:val="0"/>
              <w:jc w:val="center"/>
              <w:rPr>
                <w:rFonts w:hint="default"/>
                <w:highlight w:val="none"/>
                <w:lang w:val="en-US" w:eastAsia="zh-CN"/>
              </w:rPr>
            </w:pPr>
            <w:r>
              <w:rPr>
                <w:rFonts w:hint="eastAsia"/>
                <w:highlight w:val="none"/>
                <w:lang w:val="en-US" w:eastAsia="zh-CN"/>
              </w:rPr>
              <w:t>未税单价（元）</w:t>
            </w:r>
          </w:p>
        </w:tc>
        <w:tc>
          <w:tcPr>
            <w:tcW w:w="417" w:type="pct"/>
            <w:vAlign w:val="center"/>
          </w:tcPr>
          <w:p>
            <w:pPr>
              <w:pStyle w:val="19"/>
              <w:bidi w:val="0"/>
              <w:jc w:val="center"/>
              <w:rPr>
                <w:rFonts w:hint="eastAsia"/>
                <w:highlight w:val="none"/>
              </w:rPr>
            </w:pPr>
            <w:r>
              <w:rPr>
                <w:rFonts w:hint="eastAsia"/>
                <w:highlight w:val="none"/>
              </w:rPr>
              <w:t>单位</w:t>
            </w:r>
          </w:p>
        </w:tc>
        <w:tc>
          <w:tcPr>
            <w:tcW w:w="411" w:type="pct"/>
            <w:vAlign w:val="center"/>
          </w:tcPr>
          <w:p>
            <w:pPr>
              <w:pStyle w:val="19"/>
              <w:bidi w:val="0"/>
              <w:jc w:val="center"/>
              <w:rPr>
                <w:rFonts w:hint="eastAsia"/>
                <w:highlight w:val="none"/>
              </w:rPr>
            </w:pPr>
            <w:r>
              <w:rPr>
                <w:rFonts w:hint="eastAsia"/>
                <w:highlight w:val="none"/>
              </w:rPr>
              <w:t>数量</w:t>
            </w:r>
          </w:p>
        </w:tc>
        <w:tc>
          <w:tcPr>
            <w:tcW w:w="754" w:type="pct"/>
            <w:vAlign w:val="center"/>
          </w:tcPr>
          <w:p>
            <w:pPr>
              <w:pStyle w:val="19"/>
              <w:bidi w:val="0"/>
              <w:jc w:val="center"/>
              <w:rPr>
                <w:rFonts w:hint="eastAsia"/>
                <w:highlight w:val="none"/>
              </w:rPr>
            </w:pPr>
            <w:r>
              <w:rPr>
                <w:rFonts w:hint="eastAsia"/>
                <w:highlight w:val="none"/>
                <w:lang w:val="en-US" w:eastAsia="zh-CN"/>
              </w:rPr>
              <w:t>未税总价（元）</w:t>
            </w:r>
          </w:p>
        </w:tc>
        <w:tc>
          <w:tcPr>
            <w:tcW w:w="981" w:type="pct"/>
            <w:vAlign w:val="center"/>
          </w:tcPr>
          <w:p>
            <w:pPr>
              <w:pStyle w:val="19"/>
              <w:bidi w:val="0"/>
              <w:jc w:val="center"/>
              <w:rPr>
                <w:rFonts w:hint="eastAsia"/>
                <w:highlight w:val="none"/>
              </w:rPr>
            </w:pPr>
            <w:r>
              <w:rPr>
                <w:rFonts w:hint="eastAsia"/>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pPr>
              <w:spacing w:line="360" w:lineRule="auto"/>
              <w:jc w:val="center"/>
              <w:rPr>
                <w:rFonts w:hint="eastAsia" w:asciiTheme="minorEastAsia" w:hAnsiTheme="minorEastAsia" w:eastAsiaTheme="minorEastAsia" w:cstheme="minorEastAsia"/>
                <w:sz w:val="24"/>
                <w:szCs w:val="24"/>
                <w:highlight w:val="none"/>
                <w:lang w:val="en-US" w:eastAsia="zh-CN"/>
              </w:rPr>
            </w:pPr>
          </w:p>
        </w:tc>
        <w:tc>
          <w:tcPr>
            <w:tcW w:w="1217" w:type="pct"/>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投标方认为必须配备的其他内容</w:t>
            </w:r>
          </w:p>
        </w:tc>
        <w:tc>
          <w:tcPr>
            <w:tcW w:w="731" w:type="pct"/>
            <w:tcBorders>
              <w:top w:val="single" w:color="auto" w:sz="4" w:space="0"/>
              <w:bottom w:val="single" w:color="auto" w:sz="4" w:space="0"/>
            </w:tcBorders>
            <w:vAlign w:val="center"/>
          </w:tcPr>
          <w:p>
            <w:pPr>
              <w:widowControl/>
              <w:spacing w:line="0" w:lineRule="atLeast"/>
              <w:jc w:val="left"/>
              <w:textAlignment w:val="center"/>
              <w:rPr>
                <w:rFonts w:hint="eastAsia" w:asciiTheme="minorEastAsia" w:hAnsiTheme="minorEastAsia" w:eastAsiaTheme="minorEastAsia" w:cstheme="minorEastAsia"/>
                <w:sz w:val="24"/>
                <w:szCs w:val="24"/>
                <w:highlight w:val="none"/>
                <w:lang w:val="en-US" w:eastAsia="zh-CN"/>
              </w:rPr>
            </w:pPr>
          </w:p>
        </w:tc>
        <w:tc>
          <w:tcPr>
            <w:tcW w:w="417" w:type="pct"/>
            <w:tcBorders>
              <w:top w:val="single" w:color="auto" w:sz="4" w:space="0"/>
              <w:bottom w:val="single" w:color="auto" w:sz="4" w:space="0"/>
            </w:tcBorders>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411"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754" w:type="pct"/>
            <w:vAlign w:val="center"/>
          </w:tcPr>
          <w:p>
            <w:pPr>
              <w:widowControl/>
              <w:spacing w:line="0" w:lineRule="atLeast"/>
              <w:jc w:val="center"/>
              <w:textAlignment w:val="center"/>
              <w:rPr>
                <w:rFonts w:hint="eastAsia" w:asciiTheme="minorEastAsia" w:hAnsiTheme="minorEastAsia" w:eastAsiaTheme="minorEastAsia" w:cstheme="minorEastAsia"/>
                <w:color w:val="000000"/>
                <w:kern w:val="0"/>
                <w:sz w:val="24"/>
                <w:szCs w:val="24"/>
                <w:highlight w:val="none"/>
                <w:lang w:val="en-US" w:eastAsia="zh-CN" w:bidi="ar"/>
              </w:rPr>
            </w:pPr>
          </w:p>
        </w:tc>
        <w:tc>
          <w:tcPr>
            <w:tcW w:w="981" w:type="pct"/>
            <w:vAlign w:val="center"/>
          </w:tcPr>
          <w:p>
            <w:pPr>
              <w:spacing w:line="360" w:lineRule="exact"/>
              <w:jc w:val="left"/>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pPr>
              <w:widowControl/>
              <w:spacing w:line="0" w:lineRule="atLeast"/>
              <w:jc w:val="center"/>
              <w:textAlignment w:val="center"/>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未税合计</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pPr>
              <w:widowControl/>
              <w:spacing w:line="0" w:lineRule="atLeast"/>
              <w:jc w:val="center"/>
              <w:textAlignment w:val="center"/>
              <w:rPr>
                <w:rFonts w:hint="default"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highlight w:val="none"/>
                <w:lang w:val="en-US" w:eastAsia="zh-CN"/>
              </w:rPr>
              <w:t>含税合计（税率</w:t>
            </w:r>
            <w:r>
              <w:rPr>
                <w:rFonts w:hint="eastAsia" w:asciiTheme="minorEastAsia" w:hAnsiTheme="minorEastAsia" w:eastAsiaTheme="minorEastAsia" w:cstheme="minorEastAsia"/>
                <w:sz w:val="24"/>
                <w:szCs w:val="24"/>
                <w:highlight w:val="none"/>
                <w:u w:val="single"/>
                <w:lang w:val="en-US" w:eastAsia="zh-CN"/>
              </w:rPr>
              <w:t xml:space="preserve">  </w:t>
            </w:r>
            <w:r>
              <w:rPr>
                <w:rFonts w:hint="eastAsia" w:asciiTheme="minorEastAsia" w:hAnsiTheme="minorEastAsia" w:eastAsiaTheme="minorEastAsia" w:cstheme="minorEastAsia"/>
                <w:sz w:val="24"/>
                <w:szCs w:val="24"/>
                <w:highlight w:val="none"/>
                <w:lang w:val="en-US" w:eastAsia="zh-CN"/>
              </w:rPr>
              <w:t>%）</w:t>
            </w:r>
          </w:p>
        </w:tc>
        <w:tc>
          <w:tcPr>
            <w:tcW w:w="2564" w:type="pct"/>
            <w:gridSpan w:val="4"/>
            <w:tcBorders>
              <w:top w:val="single" w:color="auto" w:sz="4" w:space="0"/>
            </w:tcBorders>
            <w:vAlign w:val="center"/>
          </w:tcPr>
          <w:p>
            <w:pPr>
              <w:spacing w:line="360" w:lineRule="exact"/>
              <w:jc w:val="center"/>
              <w:rPr>
                <w:rFonts w:hint="eastAsia" w:asciiTheme="minorEastAsia" w:hAnsiTheme="minorEastAsia" w:eastAsiaTheme="minorEastAsia" w:cstheme="minorEastAsia"/>
                <w:sz w:val="24"/>
                <w:szCs w:val="24"/>
                <w:highlight w:val="none"/>
              </w:rPr>
            </w:pPr>
          </w:p>
        </w:tc>
      </w:tr>
    </w:tbl>
    <w:p>
      <w:pPr>
        <w:spacing w:before="58" w:line="219" w:lineRule="auto"/>
        <w:ind w:left="8"/>
        <w:rPr>
          <w:rFonts w:ascii="宋体" w:hAnsi="宋体" w:eastAsia="宋体" w:cs="宋体"/>
          <w:spacing w:val="-8"/>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1.以上是各单体设备分项报价应包括的内容， 但不限于此，表中“总价合计”构成主机价格的一部分。</w:t>
      </w:r>
    </w:p>
    <w:p>
      <w:pPr>
        <w:spacing w:before="58" w:line="219" w:lineRule="auto"/>
        <w:ind w:left="8"/>
        <w:rPr>
          <w:rFonts w:ascii="宋体" w:hAnsi="宋体" w:eastAsia="宋体" w:cs="宋体"/>
          <w:spacing w:val="-8"/>
          <w:szCs w:val="21"/>
        </w:rPr>
      </w:pPr>
      <w:r>
        <w:rPr>
          <w:rFonts w:ascii="宋体" w:hAnsi="宋体" w:eastAsia="宋体" w:cs="宋体"/>
          <w:spacing w:val="-8"/>
          <w:szCs w:val="21"/>
        </w:rPr>
        <w:t>2.如果按单价计算的结果与总价不一致，以单价为准修正总价。</w:t>
      </w:r>
    </w:p>
    <w:p>
      <w:pPr>
        <w:spacing w:before="58" w:line="219" w:lineRule="auto"/>
        <w:ind w:left="8"/>
        <w:rPr>
          <w:rFonts w:ascii="宋体" w:hAnsi="宋体" w:eastAsia="宋体" w:cs="宋体"/>
          <w:spacing w:val="-8"/>
          <w:szCs w:val="21"/>
        </w:rPr>
      </w:pPr>
      <w:r>
        <w:rPr>
          <w:rFonts w:ascii="宋体" w:hAnsi="宋体" w:eastAsia="宋体" w:cs="宋体"/>
          <w:spacing w:val="-8"/>
          <w:szCs w:val="21"/>
        </w:rPr>
        <w:t>3.此分项报价，仅是为了方便招标人对投标文件进行分析比较，不作为限制订立合同的条件。</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4.如上表中的有关费用投标人免费提供，请注明“免费”字样。</w:t>
      </w:r>
    </w:p>
    <w:p>
      <w:pPr>
        <w:spacing w:before="58" w:line="219" w:lineRule="auto"/>
        <w:ind w:left="8"/>
        <w:rPr>
          <w:rFonts w:ascii="宋体" w:hAnsi="宋体" w:eastAsia="宋体" w:cs="宋体"/>
          <w:spacing w:val="-8"/>
          <w:szCs w:val="21"/>
        </w:rPr>
      </w:pPr>
      <w:r>
        <w:rPr>
          <w:rFonts w:hint="eastAsia" w:ascii="宋体" w:hAnsi="宋体" w:eastAsia="宋体" w:cs="宋体"/>
          <w:spacing w:val="-8"/>
          <w:szCs w:val="21"/>
        </w:rPr>
        <w:t>5.该明细表所有信息均为必填项，不得删减，价格部分不得合并，可细化可增加。</w:t>
      </w:r>
    </w:p>
    <w:p>
      <w:pPr>
        <w:spacing w:before="58" w:line="219" w:lineRule="auto"/>
        <w:ind w:left="8"/>
        <w:rPr>
          <w:rFonts w:hint="eastAsia" w:ascii="宋体" w:hAnsi="宋体" w:eastAsia="宋体" w:cs="宋体"/>
          <w:spacing w:val="-8"/>
          <w:szCs w:val="21"/>
        </w:rPr>
      </w:pPr>
      <w:r>
        <w:rPr>
          <w:rFonts w:hint="eastAsia" w:ascii="宋体" w:hAnsi="宋体" w:eastAsia="宋体" w:cs="宋体"/>
          <w:spacing w:val="-8"/>
          <w:szCs w:val="21"/>
        </w:rPr>
        <w:t>6.因填写不规范造成废标及终止招标的，责任由投标人自负。</w:t>
      </w:r>
    </w:p>
    <w:p>
      <w:pPr>
        <w:pStyle w:val="24"/>
        <w:rPr>
          <w:rFonts w:hint="eastAsia" w:ascii="宋体" w:hAnsi="宋体" w:eastAsia="宋体" w:cs="宋体"/>
          <w:spacing w:val="-6"/>
          <w:szCs w:val="21"/>
        </w:rPr>
      </w:pPr>
    </w:p>
    <w:p>
      <w:pPr>
        <w:pStyle w:val="24"/>
        <w:rPr>
          <w:rFonts w:hint="eastAsia" w:ascii="宋体" w:hAnsi="宋体" w:eastAsia="宋体" w:cs="宋体"/>
          <w:spacing w:val="-6"/>
          <w:szCs w:val="21"/>
        </w:rPr>
      </w:pPr>
    </w:p>
    <w:p>
      <w:pPr>
        <w:pStyle w:val="24"/>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spacing w:val="-4"/>
          <w:sz w:val="24"/>
          <w:szCs w:val="24"/>
        </w:rPr>
        <w:t xml:space="preserve">投标人(章)：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lang w:val="en-US" w:eastAsia="zh-CN"/>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w:t>
      </w:r>
      <w:r>
        <w:rPr>
          <w:rFonts w:hint="eastAsia" w:ascii="宋体" w:hAnsi="宋体" w:eastAsia="宋体" w:cs="宋体"/>
          <w:spacing w:val="-2"/>
          <w:sz w:val="24"/>
          <w:szCs w:val="24"/>
          <w:lang w:val="en-US" w:eastAsia="zh-CN"/>
        </w:rPr>
        <w:t>月   日</w:t>
      </w:r>
      <w:r>
        <w:rPr>
          <w:rFonts w:hint="eastAsia" w:ascii="宋体" w:hAnsi="宋体" w:eastAsia="宋体" w:cs="宋体"/>
          <w:spacing w:val="-2"/>
          <w:sz w:val="24"/>
          <w:szCs w:val="24"/>
        </w:rPr>
        <w:t xml:space="preserve"> </w:t>
      </w: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附件10 商务条款偏离表</w:t>
      </w:r>
    </w:p>
    <w:p>
      <w:pPr>
        <w:rPr>
          <w:rFonts w:hint="default" w:ascii="Times New Roman" w:hAnsi="Times New Roman" w:eastAsia="宋体" w:cs="Times New Roman"/>
          <w:szCs w:val="20"/>
        </w:rPr>
      </w:pPr>
    </w:p>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是否偏离</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1"/>
              </w:rPr>
            </w:pPr>
          </w:p>
          <w:p>
            <w:pPr>
              <w:jc w:val="center"/>
              <w:rPr>
                <w:rFonts w:hint="default"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注：为避免歧义，无偏离也应要提报该表，并注明“无”字。如无该表则即使在其它部分已反映，将也被视为“无偏离”。</w:t>
      </w:r>
    </w:p>
    <w:p>
      <w:pPr>
        <w:rPr>
          <w:rFonts w:hint="default" w:ascii="Times New Roman" w:hAnsi="Times New Roman" w:eastAsia="宋体" w:cs="Times New Roman"/>
          <w:szCs w:val="20"/>
        </w:rPr>
      </w:pPr>
    </w:p>
    <w:p>
      <w:pPr>
        <w:rPr>
          <w:rFonts w:hint="default" w:ascii="Times New Roman" w:hAnsi="Times New Roman" w:eastAsia="宋体" w:cs="Times New Roman"/>
          <w:b/>
          <w:bCs/>
          <w:color w:val="000000"/>
          <w:sz w:val="28"/>
          <w:szCs w:val="20"/>
        </w:rPr>
      </w:pPr>
    </w:p>
    <w:p>
      <w:pPr>
        <w:rPr>
          <w:rFonts w:hint="default" w:ascii="Times New Roman" w:hAnsi="Times New Roman" w:cs="Times New Roman"/>
        </w:rPr>
        <w:sectPr>
          <w:headerReference r:id="rId15" w:type="default"/>
          <w:footerReference r:id="rId16"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附件11 投标人承诺</w:t>
      </w:r>
    </w:p>
    <w:p>
      <w:pPr>
        <w:spacing w:line="272" w:lineRule="auto"/>
        <w:rPr>
          <w:rFonts w:hint="default" w:ascii="Times New Roman" w:hAnsi="Times New Roman" w:cs="Times New Roman"/>
        </w:rPr>
      </w:pPr>
    </w:p>
    <w:p>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cs="Times New Roman"/>
          <w:b w:val="0"/>
          <w:bCs w:val="0"/>
          <w:color w:val="000000"/>
          <w:sz w:val="24"/>
          <w:szCs w:val="24"/>
          <w:u w:val="single"/>
          <w:lang w:val="en-US" w:eastAsia="zh-CN"/>
        </w:rPr>
        <w:t>6300T、3150T热模锻生产线复产项目-新增石墨废水预处理站</w:t>
      </w:r>
      <w:r>
        <w:rPr>
          <w:rFonts w:hint="default" w:ascii="Times New Roman" w:hAnsi="Times New Roman" w:eastAsia="宋体" w:cs="Times New Roman"/>
          <w:b w:val="0"/>
          <w:bCs w:val="0"/>
          <w:spacing w:val="-5"/>
          <w:sz w:val="24"/>
          <w:szCs w:val="24"/>
          <w:u w:val="single"/>
        </w:rPr>
        <w:t xml:space="preserve">  </w:t>
      </w:r>
    </w:p>
    <w:p>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pPr>
        <w:rPr>
          <w:rFonts w:hint="default" w:ascii="Times New Roman" w:hAnsi="Times New Roman" w:cs="Times New Roman"/>
        </w:rPr>
      </w:pPr>
    </w:p>
    <w:p>
      <w:pPr>
        <w:spacing w:line="109" w:lineRule="exact"/>
        <w:rPr>
          <w:rFonts w:hint="default" w:ascii="Times New Roman" w:hAnsi="Times New Roman" w:cs="Times New Roman"/>
        </w:rPr>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pPr>
        <w:keepNext/>
        <w:keepLines/>
        <w:rPr>
          <w:rFonts w:hint="default" w:ascii="Times New Roman" w:hAnsi="Times New Roman" w:eastAsia="宋体" w:cs="Times New Roman"/>
          <w:b/>
          <w:bCs/>
          <w:color w:val="000000"/>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pacing w:val="-2"/>
          <w:sz w:val="24"/>
          <w:szCs w:val="24"/>
        </w:rPr>
      </w:pPr>
    </w:p>
    <w:p>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pPr>
        <w:rPr>
          <w:rFonts w:hint="default" w:ascii="Times New Roman" w:hAnsi="Times New Roman" w:cs="Times New Roman"/>
        </w:rPr>
        <w:sectPr>
          <w:footerReference r:id="rId17"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附件12 服务承诺函</w:t>
      </w:r>
    </w:p>
    <w:p>
      <w:pPr>
        <w:spacing w:line="240" w:lineRule="exact"/>
        <w:jc w:val="center"/>
        <w:rPr>
          <w:rFonts w:hint="default" w:ascii="Times New Roman" w:hAnsi="Times New Roman" w:eastAsia="宋体" w:cs="Times New Roman"/>
          <w:b/>
          <w:bCs/>
          <w:sz w:val="36"/>
          <w:szCs w:val="20"/>
        </w:rPr>
      </w:pPr>
    </w:p>
    <w:p>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cs="Times New Roman"/>
          <w:b w:val="0"/>
          <w:bCs w:val="0"/>
          <w:color w:val="000000"/>
          <w:sz w:val="24"/>
          <w:szCs w:val="24"/>
          <w:u w:val="single"/>
          <w:lang w:val="en-US" w:eastAsia="zh-CN"/>
        </w:rPr>
        <w:t>6300T、3150T热模锻生产线复产项目-新增石墨废水预处理站</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pPr>
        <w:spacing w:line="360" w:lineRule="auto"/>
        <w:rPr>
          <w:rFonts w:hint="default" w:ascii="Times New Roman" w:hAnsi="Times New Roman" w:eastAsia="宋体" w:cs="Times New Roman"/>
          <w:b/>
          <w:bCs/>
          <w:sz w:val="24"/>
          <w:szCs w:val="20"/>
        </w:rPr>
      </w:pPr>
      <w:r>
        <w:rPr>
          <w:rFonts w:hint="eastAsia" w:ascii="Times New Roman" w:hAnsi="Times New Roman" w:eastAsia="宋体" w:cs="Times New Roman"/>
          <w:b/>
          <w:bCs/>
          <w:sz w:val="24"/>
          <w:szCs w:val="20"/>
          <w:lang w:eastAsia="zh-CN"/>
        </w:rPr>
        <w:t>中国重汽集团济南动力有限公司</w:t>
      </w:r>
      <w:r>
        <w:rPr>
          <w:rFonts w:hint="default" w:ascii="Times New Roman" w:hAnsi="Times New Roman" w:eastAsia="宋体" w:cs="Times New Roman"/>
          <w:b/>
          <w:bCs/>
          <w:sz w:val="24"/>
          <w:szCs w:val="20"/>
        </w:rPr>
        <w:t>：</w:t>
      </w:r>
    </w:p>
    <w:p>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pPr>
        <w:spacing w:line="360" w:lineRule="auto"/>
        <w:ind w:firstLine="480" w:firstLineChars="200"/>
        <w:rPr>
          <w:rFonts w:hint="default" w:ascii="Times New Roman" w:hAnsi="Times New Roman" w:eastAsia="宋体" w:cs="Times New Roman"/>
          <w:sz w:val="24"/>
          <w:szCs w:val="20"/>
          <w:u w:val="single"/>
        </w:rPr>
      </w:pP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pPr>
        <w:rPr>
          <w:rFonts w:hint="default" w:ascii="Times New Roman" w:hAnsi="Times New Roman" w:eastAsia="宋体" w:cs="Times New Roman"/>
          <w:b/>
          <w:bCs/>
          <w:color w:val="000000"/>
          <w:sz w:val="28"/>
          <w:szCs w:val="20"/>
        </w:rPr>
      </w:pPr>
    </w:p>
    <w:p>
      <w:pPr>
        <w:pStyle w:val="24"/>
        <w:rPr>
          <w:rFonts w:hint="default" w:ascii="Times New Roman" w:hAnsi="Times New Roman" w:eastAsia="宋体" w:cs="Times New Roman"/>
          <w:b/>
          <w:bCs/>
          <w:color w:val="000000"/>
          <w:sz w:val="28"/>
          <w:szCs w:val="20"/>
        </w:rPr>
      </w:pPr>
    </w:p>
    <w:p>
      <w:pPr>
        <w:rPr>
          <w:rFonts w:hint="default" w:ascii="Times New Roman" w:hAnsi="Times New Roman" w:eastAsia="宋体" w:cs="Times New Roman"/>
          <w:b/>
          <w:bCs/>
          <w:color w:val="000000"/>
          <w:sz w:val="28"/>
          <w:szCs w:val="20"/>
        </w:rPr>
      </w:pPr>
    </w:p>
    <w:p>
      <w:pPr>
        <w:outlineLvl w:val="1"/>
        <w:rPr>
          <w:rFonts w:hint="default" w:ascii="Times New Roman" w:hAnsi="Times New Roman" w:eastAsia="宋体" w:cs="Times New Roman"/>
          <w:szCs w:val="20"/>
        </w:rPr>
      </w:pPr>
      <w:r>
        <w:rPr>
          <w:rFonts w:hint="default" w:ascii="Times New Roman" w:hAnsi="Times New Roman" w:eastAsia="宋体" w:cs="Times New Roman"/>
          <w:szCs w:val="20"/>
        </w:rPr>
        <w:br w:type="page"/>
      </w:r>
      <w:r>
        <w:rPr>
          <w:rFonts w:hint="default"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技术/资质/商务文件</w:t>
            </w:r>
          </w:p>
          <w:p>
            <w:pPr>
              <w:rPr>
                <w:rFonts w:hint="default" w:ascii="Times New Roman" w:hAnsi="Times New Roman" w:eastAsia="等线" w:cs="Times New Roman"/>
                <w:b/>
                <w:sz w:val="30"/>
                <w:szCs w:val="30"/>
              </w:rPr>
            </w:pPr>
          </w:p>
          <w:p>
            <w:pPr>
              <w:jc w:val="center"/>
              <w:rPr>
                <w:rFonts w:hint="default" w:ascii="Times New Roman" w:hAnsi="Times New Roman" w:eastAsia="宋体" w:cs="Times New Roman"/>
                <w:b/>
                <w:sz w:val="30"/>
                <w:szCs w:val="30"/>
              </w:rPr>
            </w:pPr>
            <w:r>
              <w:rPr>
                <w:rFonts w:hint="default" w:ascii="Times New Roman" w:hAnsi="Times New Roman" w:eastAsia="宋体" w:cs="Times New Roman"/>
                <w:b/>
                <w:sz w:val="30"/>
                <w:szCs w:val="30"/>
              </w:rPr>
              <w:t>（</w:t>
            </w:r>
            <w:r>
              <w:rPr>
                <w:rFonts w:hint="default" w:ascii="Times New Roman" w:hAnsi="Times New Roman" w:eastAsia="等线" w:cs="Times New Roman"/>
                <w:b/>
                <w:sz w:val="30"/>
                <w:szCs w:val="30"/>
              </w:rPr>
              <w:t>1</w:t>
            </w:r>
            <w:r>
              <w:rPr>
                <w:rFonts w:hint="default" w:ascii="Times New Roman" w:hAnsi="Times New Roman" w:eastAsia="宋体" w:cs="Times New Roman"/>
                <w:b/>
                <w:sz w:val="30"/>
                <w:szCs w:val="30"/>
              </w:rPr>
              <w:t>正本）</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p>
            <w:pPr>
              <w:jc w:val="center"/>
              <w:rPr>
                <w:rFonts w:hint="eastAsia" w:ascii="Times New Roman" w:hAnsi="Times New Roman" w:eastAsia="宋体" w:cs="Times New Roman"/>
                <w:b/>
                <w:szCs w:val="20"/>
                <w:lang w:eastAsia="zh-CN"/>
              </w:rPr>
            </w:pPr>
            <w:r>
              <w:rPr>
                <w:rFonts w:hint="default" w:ascii="Times New Roman" w:hAnsi="Times New Roman" w:eastAsia="宋体" w:cs="Times New Roman"/>
                <w:b/>
                <w:szCs w:val="20"/>
              </w:rPr>
              <w:t>项目名称：</w:t>
            </w:r>
            <w:r>
              <w:rPr>
                <w:rFonts w:hint="eastAsia" w:cs="Times New Roman"/>
                <w:b/>
                <w:szCs w:val="20"/>
                <w:lang w:val="en-US" w:eastAsia="zh-CN"/>
              </w:rPr>
              <w:t>6300T、3150T热模锻生产线复产项目-新增石墨废水预处理站</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投标人名称（公章）：</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地址：</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授权代表电话：</w:t>
            </w:r>
          </w:p>
          <w:p>
            <w:pPr>
              <w:jc w:val="center"/>
              <w:rPr>
                <w:rFonts w:hint="default" w:ascii="Times New Roman" w:hAnsi="Times New Roman" w:eastAsia="宋体" w:cs="Times New Roman"/>
                <w:b/>
                <w:szCs w:val="20"/>
              </w:rPr>
            </w:pPr>
            <w:r>
              <w:rPr>
                <w:rFonts w:hint="default" w:ascii="Times New Roman" w:hAnsi="Times New Roman" w:eastAsia="宋体" w:cs="Times New Roman"/>
                <w:b/>
                <w:szCs w:val="20"/>
              </w:rPr>
              <w:t>传真：</w:t>
            </w:r>
          </w:p>
          <w:p>
            <w:pPr>
              <w:jc w:val="center"/>
              <w:rPr>
                <w:rFonts w:hint="default" w:ascii="Times New Roman" w:hAnsi="Times New Roman" w:eastAsia="宋体" w:cs="Times New Roman"/>
                <w:b/>
                <w:szCs w:val="20"/>
              </w:rPr>
            </w:pPr>
          </w:p>
          <w:p>
            <w:pPr>
              <w:jc w:val="center"/>
              <w:rPr>
                <w:rFonts w:hint="default" w:ascii="Times New Roman" w:hAnsi="Times New Roman" w:eastAsia="宋体" w:cs="Times New Roman"/>
                <w:b/>
                <w:szCs w:val="20"/>
              </w:rPr>
            </w:pPr>
          </w:p>
        </w:tc>
      </w:tr>
    </w:tbl>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                   授权代表签字：                  日期：</w:t>
      </w:r>
    </w:p>
    <w:p>
      <w:pPr>
        <w:rPr>
          <w:rFonts w:hint="default" w:ascii="Times New Roman" w:hAnsi="Times New Roman" w:cs="Times New Roman"/>
          <w:sz w:val="20"/>
          <w:szCs w:val="20"/>
        </w:rPr>
      </w:pPr>
      <w:r>
        <w:rPr>
          <w:rFonts w:hint="default" w:ascii="Times New Roman" w:hAnsi="Times New Roman" w:eastAsia="宋体" w:cs="Times New Roman"/>
          <w:color w:val="000000"/>
          <w:sz w:val="24"/>
          <w:szCs w:val="24"/>
        </w:rPr>
        <w:br w:type="page"/>
      </w:r>
    </w:p>
    <w:p>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48"/>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21</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restart"/>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pPr>
              <w:jc w:val="center"/>
              <w:rPr>
                <w:rFonts w:ascii="宋体" w:hAnsi="宋体" w:cs="Times New Roman"/>
                <w:sz w:val="18"/>
                <w:szCs w:val="18"/>
                <w:highlight w:val="none"/>
              </w:rPr>
            </w:pPr>
          </w:p>
        </w:tc>
        <w:tc>
          <w:tcPr>
            <w:tcW w:w="600" w:type="dxa"/>
            <w:vMerge w:val="continue"/>
            <w:vAlign w:val="center"/>
          </w:tcPr>
          <w:p>
            <w:pPr>
              <w:jc w:val="center"/>
              <w:rPr>
                <w:rFonts w:ascii="宋体" w:hAnsi="宋体" w:cs="Times New Roman"/>
                <w:sz w:val="18"/>
                <w:szCs w:val="18"/>
                <w:highlight w:val="none"/>
              </w:rPr>
            </w:pPr>
          </w:p>
        </w:tc>
        <w:tc>
          <w:tcPr>
            <w:tcW w:w="603" w:type="dxa"/>
            <w:vAlign w:val="center"/>
          </w:tcPr>
          <w:p>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w:t>
            </w:r>
            <w:r>
              <w:rPr>
                <w:rFonts w:hint="eastAsia" w:ascii="宋体" w:cs="Times New Roman"/>
                <w:b/>
                <w:sz w:val="22"/>
                <w:szCs w:val="22"/>
                <w:highlight w:val="none"/>
                <w:lang w:val="en-US" w:eastAsia="zh-CN"/>
              </w:rPr>
              <w:t>7</w:t>
            </w:r>
            <w:r>
              <w:rPr>
                <w:rFonts w:hint="eastAsia" w:ascii="宋体" w:hAnsi="Times New Roman" w:eastAsia="宋体" w:cs="Times New Roman"/>
                <w:b/>
                <w:sz w:val="22"/>
                <w:szCs w:val="22"/>
                <w:highlight w:val="none"/>
              </w:rPr>
              <w:t>0%＋商务标得分×</w:t>
            </w:r>
            <w:r>
              <w:rPr>
                <w:rFonts w:hint="eastAsia" w:ascii="宋体" w:cs="Times New Roman"/>
                <w:b/>
                <w:sz w:val="22"/>
                <w:szCs w:val="22"/>
                <w:highlight w:val="none"/>
                <w:lang w:val="en-US" w:eastAsia="zh-CN"/>
              </w:rPr>
              <w:t>3</w:t>
            </w:r>
            <w:r>
              <w:rPr>
                <w:rFonts w:hint="eastAsia" w:ascii="宋体" w:hAnsi="Times New Roman" w:eastAsia="宋体" w:cs="Times New Roman"/>
                <w:b/>
                <w:sz w:val="22"/>
                <w:szCs w:val="22"/>
                <w:highlight w:val="none"/>
              </w:rPr>
              <w:t>0%</w:t>
            </w:r>
          </w:p>
        </w:tc>
      </w:tr>
    </w:tbl>
    <w:p>
      <w:pPr>
        <w:rPr>
          <w:rFonts w:ascii="宋体" w:hAnsi="宋体" w:eastAsia="宋体" w:cs="Times New Roman"/>
          <w:b/>
          <w:bCs/>
          <w:sz w:val="24"/>
          <w:highlight w:val="none"/>
        </w:rPr>
      </w:pPr>
    </w:p>
    <w:p>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758815" cy="27647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7" cstate="print"/>
                    <a:srcRect/>
                    <a:stretch>
                      <a:fillRect/>
                    </a:stretch>
                  </pic:blipFill>
                  <pic:spPr>
                    <a:xfrm>
                      <a:off x="0" y="0"/>
                      <a:ext cx="5760085" cy="2933065"/>
                    </a:xfrm>
                    <a:prstGeom prst="rect">
                      <a:avLst/>
                    </a:prstGeom>
                  </pic:spPr>
                </pic:pic>
              </a:graphicData>
            </a:graphic>
          </wp:inline>
        </w:drawing>
      </w:r>
    </w:p>
    <w:p>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pPr>
        <w:spacing w:line="360" w:lineRule="auto"/>
        <w:rPr>
          <w:rFonts w:ascii="宋体" w:hAnsi="宋体" w:eastAsia="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8"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9"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30" cstate="print"/>
                    <a:srcRect/>
                    <a:stretch>
                      <a:fillRect/>
                    </a:stretch>
                  </pic:blipFill>
                  <pic:spPr>
                    <a:xfrm>
                      <a:off x="0" y="0"/>
                      <a:ext cx="5760085" cy="2853055"/>
                    </a:xfrm>
                    <a:prstGeom prst="rect">
                      <a:avLst/>
                    </a:prstGeom>
                  </pic:spPr>
                </pic:pic>
              </a:graphicData>
            </a:graphic>
          </wp:inline>
        </w:drawing>
      </w:r>
    </w:p>
    <w:p>
      <w:pPr>
        <w:numPr>
          <w:ilvl w:val="0"/>
          <w:numId w:val="10"/>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1"/>
                    <a:stretch>
                      <a:fillRect/>
                    </a:stretch>
                  </pic:blipFill>
                  <pic:spPr>
                    <a:xfrm>
                      <a:off x="0" y="0"/>
                      <a:ext cx="5758180" cy="3058795"/>
                    </a:xfrm>
                    <a:prstGeom prst="rect">
                      <a:avLst/>
                    </a:prstGeom>
                    <a:noFill/>
                    <a:ln>
                      <a:noFill/>
                    </a:ln>
                  </pic:spPr>
                </pic:pic>
              </a:graphicData>
            </a:graphic>
          </wp:inline>
        </w:drawing>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2" cstate="print"/>
                    <a:srcRect/>
                    <a:stretch>
                      <a:fillRect/>
                    </a:stretch>
                  </pic:blipFill>
                  <pic:spPr>
                    <a:xfrm>
                      <a:off x="0" y="0"/>
                      <a:ext cx="5760085" cy="2809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工艺设备</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pPr>
        <w:keepNext w:val="0"/>
        <w:keepLines w:val="0"/>
        <w:pageBreakBefore w:val="0"/>
        <w:widowControl w:val="0"/>
        <w:numPr>
          <w:ilvl w:val="0"/>
          <w:numId w:val="12"/>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pPr>
        <w:outlineLvl w:val="9"/>
        <w:rPr>
          <w:rFonts w:hint="default"/>
          <w:lang w:val="en-US" w:eastAsia="zh-CN"/>
        </w:r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5486400" cy="2661285"/>
                    </a:xfrm>
                    <a:prstGeom prst="rect">
                      <a:avLst/>
                    </a:prstGeom>
                    <a:noFill/>
                    <a:ln>
                      <a:noFill/>
                    </a:ln>
                  </pic:spPr>
                </pic:pic>
              </a:graphicData>
            </a:graphic>
          </wp:inline>
        </w:drawing>
      </w:r>
    </w:p>
    <w:p>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4" cstate="print"/>
                    <a:srcRect/>
                    <a:stretch>
                      <a:fillRect/>
                    </a:stretch>
                  </pic:blipFill>
                  <pic:spPr>
                    <a:xfrm>
                      <a:off x="0" y="0"/>
                      <a:ext cx="5760085" cy="2269490"/>
                    </a:xfrm>
                    <a:prstGeom prst="rect">
                      <a:avLst/>
                    </a:prstGeom>
                  </pic:spPr>
                </pic:pic>
              </a:graphicData>
            </a:graphic>
          </wp:inline>
        </w:drawing>
      </w:r>
    </w:p>
    <w:p>
      <w:pPr>
        <w:pStyle w:val="24"/>
      </w:pPr>
    </w:p>
    <w:p>
      <w:pPr>
        <w:pStyle w:val="24"/>
      </w:pPr>
      <w:r>
        <w:rPr>
          <w:rFonts w:hint="eastAsia" w:cs="Times New Roman"/>
          <w:b/>
          <w:bCs/>
          <w:highlight w:val="none"/>
          <w:lang w:val="en-US" w:eastAsia="zh-CN"/>
        </w:rPr>
        <w:t>2、应标页面否为代理商请如实选择，若为代理商应标，请在应标后联系商务联系人</w:t>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5"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6"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7"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8"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9" cstate="print"/>
                    <a:srcRect/>
                    <a:stretch>
                      <a:fillRect/>
                    </a:stretch>
                  </pic:blipFill>
                  <pic:spPr>
                    <a:xfrm>
                      <a:off x="0" y="0"/>
                      <a:ext cx="5760085" cy="1956435"/>
                    </a:xfrm>
                    <a:prstGeom prst="rect">
                      <a:avLst/>
                    </a:prstGeom>
                  </pic:spPr>
                </pic:pic>
              </a:graphicData>
            </a:graphic>
          </wp:inline>
        </w:drawing>
      </w:r>
    </w:p>
    <w:p>
      <w:pPr>
        <w:pStyle w:val="24"/>
        <w:rPr>
          <w:rFonts w:hAnsi="宋体" w:eastAsia="宋体" w:cs="Times New Roman"/>
          <w:b/>
          <w:color w:val="000000"/>
          <w:sz w:val="24"/>
          <w:szCs w:val="24"/>
        </w:rPr>
      </w:pPr>
    </w:p>
    <w:p>
      <w:pPr>
        <w:pStyle w:val="24"/>
        <w:rPr>
          <w:rFonts w:hAnsi="宋体" w:eastAsia="宋体" w:cs="Times New Roman"/>
          <w:b/>
          <w:color w:val="000000"/>
          <w:sz w:val="24"/>
          <w:szCs w:val="24"/>
        </w:rPr>
      </w:pPr>
    </w:p>
    <w:p>
      <w:pPr>
        <w:rPr>
          <w:rFonts w:hint="default" w:ascii="宋体" w:hAnsi="宋体" w:eastAsia="宋体" w:cs="宋体"/>
          <w:sz w:val="24"/>
          <w:szCs w:val="24"/>
          <w:lang w:val="en-US"/>
        </w:rPr>
      </w:pPr>
    </w:p>
    <w:p>
      <w:pPr>
        <w:pStyle w:val="223"/>
        <w:ind w:left="0" w:leftChars="0" w:right="960" w:firstLine="0" w:firstLineChars="0"/>
        <w:jc w:val="both"/>
        <w:rPr>
          <w:rFonts w:hint="eastAsia"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Tms Rmn">
    <w:altName w:val="Segoe Print"/>
    <w:panose1 w:val="02020603040505020304"/>
    <w:charset w:val="00"/>
    <w:family w:val="roman"/>
    <w:pitch w:val="default"/>
    <w:sig w:usb0="00000000" w:usb1="00000000" w:usb2="00000000" w:usb3="00000000" w:csb0="00000001" w:csb1="0000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0"/>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1eK8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sLsWRY2&#10;+t7yCB3l8Xa5D5AzqRxF6ZVAd+IB05f6dN6UON5/nlPU47/D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TV4rzICAABl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0"/>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p>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0"/>
  </w:num>
  <w:num w:numId="10">
    <w:abstractNumId w:val="3"/>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hdrShapeDefaults>
    <o:shapelayout v:ext="edit">
      <o:idmap v:ext="edit" data="2"/>
    </o:shapelayout>
  </w:hdrShapeDefaults>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A53B93"/>
    <w:rsid w:val="0271589A"/>
    <w:rsid w:val="02E74D14"/>
    <w:rsid w:val="02FC5AB3"/>
    <w:rsid w:val="035E6B0B"/>
    <w:rsid w:val="04B15209"/>
    <w:rsid w:val="04D70225"/>
    <w:rsid w:val="05160EF2"/>
    <w:rsid w:val="0AD876A7"/>
    <w:rsid w:val="0BEB0202"/>
    <w:rsid w:val="0D326CC2"/>
    <w:rsid w:val="0E3B77DA"/>
    <w:rsid w:val="0EA03360"/>
    <w:rsid w:val="0F5B6CC7"/>
    <w:rsid w:val="1378147A"/>
    <w:rsid w:val="14CD4184"/>
    <w:rsid w:val="1868332D"/>
    <w:rsid w:val="19355040"/>
    <w:rsid w:val="1DA82577"/>
    <w:rsid w:val="1E1170AC"/>
    <w:rsid w:val="22A44CDF"/>
    <w:rsid w:val="23C056A6"/>
    <w:rsid w:val="29C928E7"/>
    <w:rsid w:val="2A7C02EC"/>
    <w:rsid w:val="2A8F7CD5"/>
    <w:rsid w:val="2B3F4DD2"/>
    <w:rsid w:val="2B477C1E"/>
    <w:rsid w:val="2B9654FA"/>
    <w:rsid w:val="2DB54478"/>
    <w:rsid w:val="2E7345D1"/>
    <w:rsid w:val="322900DB"/>
    <w:rsid w:val="353F5A8C"/>
    <w:rsid w:val="36DE1355"/>
    <w:rsid w:val="36E22E88"/>
    <w:rsid w:val="393D26BB"/>
    <w:rsid w:val="3A5B7C10"/>
    <w:rsid w:val="3C1F7DCC"/>
    <w:rsid w:val="3D9C2881"/>
    <w:rsid w:val="3E516500"/>
    <w:rsid w:val="3F801B0E"/>
    <w:rsid w:val="413C1020"/>
    <w:rsid w:val="41A55A6F"/>
    <w:rsid w:val="42154BEE"/>
    <w:rsid w:val="429D2840"/>
    <w:rsid w:val="43256EEE"/>
    <w:rsid w:val="45902AEF"/>
    <w:rsid w:val="48A82A9E"/>
    <w:rsid w:val="4A082E0A"/>
    <w:rsid w:val="4AC268B8"/>
    <w:rsid w:val="4CC51E60"/>
    <w:rsid w:val="4CD949FD"/>
    <w:rsid w:val="4F4A4FC8"/>
    <w:rsid w:val="508341B3"/>
    <w:rsid w:val="50D63321"/>
    <w:rsid w:val="51654692"/>
    <w:rsid w:val="54D7260C"/>
    <w:rsid w:val="55176E8F"/>
    <w:rsid w:val="57E02431"/>
    <w:rsid w:val="58055C15"/>
    <w:rsid w:val="58AE4B70"/>
    <w:rsid w:val="5A842C2A"/>
    <w:rsid w:val="5F377063"/>
    <w:rsid w:val="5FF411EE"/>
    <w:rsid w:val="62E50A5D"/>
    <w:rsid w:val="633A3E82"/>
    <w:rsid w:val="643D185D"/>
    <w:rsid w:val="65E3187B"/>
    <w:rsid w:val="673F2C72"/>
    <w:rsid w:val="68C06BDA"/>
    <w:rsid w:val="69F8009E"/>
    <w:rsid w:val="6AB76068"/>
    <w:rsid w:val="6C9132F0"/>
    <w:rsid w:val="6D5B701C"/>
    <w:rsid w:val="6D5E04BB"/>
    <w:rsid w:val="6E423C99"/>
    <w:rsid w:val="72276117"/>
    <w:rsid w:val="73263829"/>
    <w:rsid w:val="734D2DC8"/>
    <w:rsid w:val="736A2597"/>
    <w:rsid w:val="73E6120B"/>
    <w:rsid w:val="74995770"/>
    <w:rsid w:val="75CD3E17"/>
    <w:rsid w:val="7771624F"/>
    <w:rsid w:val="790C526F"/>
    <w:rsid w:val="792C1EE5"/>
    <w:rsid w:val="7A8F4EBB"/>
    <w:rsid w:val="7B802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2">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link w:val="77"/>
    <w:qFormat/>
    <w:uiPriority w:val="99"/>
    <w:rPr>
      <w:sz w:val="24"/>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7"/>
    <w:next w:val="17"/>
    <w:link w:val="120"/>
    <w:qFormat/>
    <w:uiPriority w:val="0"/>
    <w:pPr>
      <w:adjustRightInd/>
      <w:spacing w:line="240" w:lineRule="auto"/>
      <w:textAlignment w:val="auto"/>
    </w:pPr>
  </w:style>
  <w:style w:type="paragraph" w:styleId="46">
    <w:name w:val="Body Text First Indent"/>
    <w:basedOn w:val="19"/>
    <w:link w:val="121"/>
    <w:qFormat/>
    <w:uiPriority w:val="0"/>
    <w:pPr>
      <w:spacing w:after="120"/>
      <w:ind w:firstLine="420" w:firstLineChars="100"/>
    </w:pPr>
    <w:rPr>
      <w:rFonts w:ascii="宋体" w:hAnsi="宋体"/>
      <w:color w:val="000000"/>
      <w:lang w:val="zh-CN"/>
    </w:rPr>
  </w:style>
  <w:style w:type="paragraph" w:styleId="47">
    <w:name w:val="Body Text First Indent 2"/>
    <w:basedOn w:val="20"/>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2"/>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2"/>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2"/>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qFormat/>
    <w:uiPriority w:val="1"/>
    <w:rPr>
      <w:rFonts w:ascii="宋体" w:hAnsi="宋体" w:eastAsia="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paragraph" w:customStyle="1" w:styleId="235">
    <w:name w:val="标书正文"/>
    <w:basedOn w:val="24"/>
    <w:qFormat/>
    <w:uiPriority w:val="9"/>
    <w:pPr>
      <w:spacing w:line="360" w:lineRule="auto"/>
      <w:jc w:val="left"/>
    </w:pPr>
  </w:style>
  <w:style w:type="paragraph" w:customStyle="1" w:styleId="236">
    <w:name w:val="标书二级标题"/>
    <w:basedOn w:val="2"/>
    <w:qFormat/>
    <w:uiPriority w:val="0"/>
    <w:pPr>
      <w:spacing w:line="240" w:lineRule="auto"/>
      <w:jc w:val="left"/>
    </w:pPr>
    <w:rPr>
      <w:rFonts w:ascii="宋体" w:hAnsi="宋体" w:eastAsia="黑体"/>
      <w:b w:val="0"/>
      <w:sz w:val="28"/>
      <w:szCs w:val="30"/>
    </w:rPr>
  </w:style>
  <w:style w:type="paragraph" w:customStyle="1" w:styleId="237">
    <w:name w:val="标书三级标题"/>
    <w:basedOn w:val="4"/>
    <w:next w:val="229"/>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238">
    <w:name w:val="标书一级标题"/>
    <w:basedOn w:val="3"/>
    <w:qFormat/>
    <w:uiPriority w:val="0"/>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52</Pages>
  <Words>18200</Words>
  <Characters>19524</Characters>
  <Lines>52</Lines>
  <Paragraphs>14</Paragraphs>
  <TotalTime>2</TotalTime>
  <ScaleCrop>false</ScaleCrop>
  <LinksUpToDate>false</LinksUpToDate>
  <CharactersWithSpaces>19707</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李帅</cp:lastModifiedBy>
  <cp:lastPrinted>2020-01-08T06:44:00Z</cp:lastPrinted>
  <dcterms:modified xsi:type="dcterms:W3CDTF">2026-01-14T07:44:40Z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eyJoZGlkIjoiZTZkNDE3ZGE4Mjk4YmFlZDAwMWNlODJlYzdjMzk3YmQiLCJ1c2VySWQiOiI1MDMyNjc5ODcifQ==</vt:lpwstr>
  </property>
</Properties>
</file>