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中国重汽集团济南动力有限公司新能源产品试验检测中心（二期）仓储货架采购</w:t>
      </w:r>
      <w:r>
        <w:rPr>
          <w:rFonts w:hint="eastAsia" w:ascii="宋体" w:hAnsi="宋体" w:cs="宋体"/>
          <w:b/>
          <w:bCs/>
          <w:color w:val="000000"/>
          <w:spacing w:val="-8"/>
          <w:sz w:val="48"/>
          <w:szCs w:val="44"/>
          <w:lang w:val="en-US" w:eastAsia="zh-CN"/>
        </w:rPr>
        <w:t xml:space="preserve"> </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1</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lang w:val="en-US" w:eastAsia="zh-CN"/>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新能源产品试验检测中心（二期）仓储货架采购</w:t>
      </w:r>
      <w:r>
        <w:rPr>
          <w:rFonts w:hint="eastAsia" w:ascii="宋体" w:hAnsi="宋体" w:cs="宋体"/>
          <w:color w:val="000000"/>
          <w:sz w:val="24"/>
          <w:szCs w:val="24"/>
          <w:lang w:val="en-US" w:eastAsia="zh-CN"/>
        </w:rPr>
        <w:t>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eastAsia="zh-CN" w:bidi="ar-SA"/>
          <w:woUserID w:val="1"/>
        </w:rPr>
      </w:pPr>
      <w:r>
        <w:rPr>
          <w:rFonts w:hint="eastAsia" w:ascii="宋体" w:hAnsi="宋体" w:eastAsia="宋体" w:cs="宋体"/>
          <w:b w:val="0"/>
          <w:bCs w:val="0"/>
          <w:color w:val="000000"/>
          <w:kern w:val="2"/>
          <w:sz w:val="24"/>
          <w:szCs w:val="24"/>
          <w:lang w:val="en-US" w:eastAsia="zh-CN" w:bidi="ar-SA"/>
        </w:rPr>
        <w:t>采购形式编号：</w:t>
      </w:r>
      <w:r>
        <w:rPr>
          <w:rFonts w:hint="default" w:ascii="宋体" w:hAnsi="宋体" w:eastAsia="宋体" w:cs="宋体"/>
          <w:b w:val="0"/>
          <w:bCs w:val="0"/>
          <w:color w:val="000000"/>
          <w:kern w:val="2"/>
          <w:sz w:val="24"/>
          <w:szCs w:val="24"/>
          <w:lang w:eastAsia="zh-CN" w:bidi="ar-SA"/>
          <w:woUserID w:val="1"/>
        </w:rPr>
        <w:t>ZBGL2026010222</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1、招标内容：新能源产品试验检测中心（二期）仓储货架采购</w:t>
      </w:r>
      <w:r>
        <w:rPr>
          <w:rFonts w:hint="eastAsia" w:ascii="宋体" w:hAnsi="宋体" w:cs="宋体"/>
          <w:color w:val="000000"/>
          <w:sz w:val="24"/>
          <w:szCs w:val="24"/>
          <w:lang w:val="en-US" w:eastAsia="zh-CN"/>
        </w:rPr>
        <w:t>项目</w:t>
      </w:r>
      <w:r>
        <w:rPr>
          <w:rFonts w:hint="eastAsia" w:hAnsi="宋体" w:cs="宋体"/>
          <w:color w:val="000000"/>
          <w:sz w:val="24"/>
          <w:szCs w:val="24"/>
          <w:lang w:val="en-US" w:eastAsia="zh-CN"/>
        </w:rPr>
        <w:t xml:space="preserve"> </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lang w:val="en-US" w:eastAsia="zh-CN"/>
        </w:rPr>
        <w:t>公开招标</w:t>
      </w:r>
      <w:r>
        <w:rPr>
          <w:rFonts w:hint="eastAsia" w:ascii="宋体" w:hAnsi="宋体" w:eastAsia="宋体" w:cs="宋体"/>
          <w:color w:val="000000"/>
          <w:sz w:val="24"/>
          <w:szCs w:val="24"/>
        </w:rPr>
        <w:t>。</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1、项目名称：新能源产品试验检测中心（二期）仓储货架采购</w:t>
      </w:r>
      <w:r>
        <w:rPr>
          <w:rFonts w:hint="eastAsia" w:ascii="宋体" w:hAnsi="宋体" w:cs="宋体"/>
          <w:color w:val="000000"/>
          <w:sz w:val="24"/>
          <w:szCs w:val="24"/>
          <w:lang w:val="en-US" w:eastAsia="zh-CN"/>
        </w:rPr>
        <w:t>项目</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2、项目地点：济南市莱芜区口镇重汽新能源产品试验检测中心</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新能源产品试验检测中心（二期）仓储货架采购项目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eastAsia="zh-CN"/>
              </w:rPr>
            </w:pPr>
            <w:r>
              <w:rPr>
                <w:rFonts w:hint="eastAsia" w:ascii="宋体" w:hAnsi="宋体" w:eastAsia="宋体" w:cs="宋体"/>
                <w:b w:val="0"/>
                <w:lang w:val="en-US" w:eastAsia="zh-CN"/>
              </w:rPr>
              <w:t>据实结算，根据供货数量支付90%货款总额，10%作为质保金1年后支付</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rPr>
            </w:pPr>
            <w:r>
              <w:rPr>
                <w:rFonts w:hint="eastAsia" w:ascii="宋体" w:hAnsi="宋体" w:eastAsia="宋体" w:cs="宋体"/>
                <w:b w:val="0"/>
                <w:lang w:val="en-US" w:eastAsia="zh-CN"/>
              </w:rPr>
              <w:t>90</w:t>
            </w:r>
            <w:r>
              <w:rPr>
                <w:rFonts w:hint="eastAsia" w:ascii="宋体" w:hAnsi="宋体" w:eastAsia="宋体" w:cs="宋体"/>
                <w:b w:val="0"/>
              </w:rPr>
              <w:t>%</w:t>
            </w:r>
            <w:r>
              <w:rPr>
                <w:rFonts w:hint="eastAsia" w:ascii="宋体" w:hAnsi="宋体" w:eastAsia="宋体" w:cs="宋体"/>
                <w:b w:val="0"/>
                <w:lang w:val="en-US" w:eastAsia="zh-CN"/>
              </w:rPr>
              <w:t>-10%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2</w:t>
      </w:r>
      <w:r>
        <w:rPr>
          <w:rFonts w:hint="eastAsia" w:hAnsi="宋体" w:cs="宋体"/>
          <w:color w:val="000000"/>
          <w:sz w:val="24"/>
          <w:szCs w:val="24"/>
          <w:lang w:eastAsia="zh-CN"/>
        </w:rPr>
        <w:t>）</w:t>
      </w:r>
      <w:r>
        <w:rPr>
          <w:rFonts w:hint="eastAsia" w:ascii="宋体" w:hAnsi="宋体" w:eastAsia="宋体" w:cs="宋体"/>
          <w:color w:val="000000"/>
          <w:sz w:val="24"/>
          <w:szCs w:val="24"/>
        </w:rPr>
        <w:t>投标人须具有良好的商业信誉和健全的财务会计制度，财务状况和市场行为良好。没有处于被有权机关吊销营业执照、吊销资质、停业整顿、取消投标资格以及财产被接管、冻结或进入破产程序等；</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3</w:t>
      </w:r>
      <w:r>
        <w:rPr>
          <w:rFonts w:hint="eastAsia" w:hAnsi="宋体" w:cs="宋体"/>
          <w:color w:val="000000"/>
          <w:sz w:val="24"/>
          <w:szCs w:val="24"/>
          <w:lang w:eastAsia="zh-CN"/>
        </w:rPr>
        <w:t>）</w:t>
      </w:r>
      <w:r>
        <w:rPr>
          <w:rFonts w:hint="eastAsia" w:ascii="宋体" w:hAnsi="宋体" w:eastAsia="宋体" w:cs="宋体"/>
          <w:color w:val="000000"/>
          <w:sz w:val="24"/>
          <w:szCs w:val="24"/>
        </w:rPr>
        <w:t>投标人在“信用中国”中未列入联合惩戒失信人名单，且工商行政管理局的《国家企业信用信息公示系统》中查询不存在不良记录；</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4</w:t>
      </w:r>
      <w:r>
        <w:rPr>
          <w:rFonts w:hint="eastAsia" w:hAnsi="宋体" w:cs="宋体"/>
          <w:color w:val="000000"/>
          <w:sz w:val="24"/>
          <w:szCs w:val="24"/>
          <w:lang w:eastAsia="zh-CN"/>
        </w:rPr>
        <w:t>）</w:t>
      </w:r>
      <w:r>
        <w:rPr>
          <w:rFonts w:hint="eastAsia" w:ascii="宋体" w:hAnsi="宋体" w:eastAsia="宋体" w:cs="宋体"/>
          <w:color w:val="000000"/>
          <w:sz w:val="24"/>
          <w:szCs w:val="24"/>
        </w:rPr>
        <w:t>无招标违规、谎报年度报告信息、提供虚假资质资料等行为或其他行政处罚记录；</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5</w:t>
      </w:r>
      <w:r>
        <w:rPr>
          <w:rFonts w:hint="eastAsia" w:hAnsi="宋体" w:cs="宋体"/>
          <w:color w:val="000000"/>
          <w:sz w:val="24"/>
          <w:szCs w:val="24"/>
          <w:lang w:eastAsia="zh-CN"/>
        </w:rPr>
        <w:t>）</w:t>
      </w:r>
      <w:r>
        <w:rPr>
          <w:rFonts w:hint="eastAsia" w:ascii="宋体" w:hAnsi="宋体" w:eastAsia="宋体" w:cs="宋体"/>
          <w:color w:val="000000"/>
          <w:sz w:val="24"/>
          <w:szCs w:val="24"/>
        </w:rPr>
        <w:t>近三年内在经营活动中无与本项目有关的违法及重大违规情况；</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6</w:t>
      </w:r>
      <w:r>
        <w:rPr>
          <w:rFonts w:hint="eastAsia" w:hAnsi="宋体" w:cs="宋体"/>
          <w:color w:val="000000"/>
          <w:sz w:val="24"/>
          <w:szCs w:val="24"/>
          <w:lang w:eastAsia="zh-CN"/>
        </w:rPr>
        <w:t>）</w:t>
      </w:r>
      <w:r>
        <w:rPr>
          <w:rFonts w:hint="eastAsia" w:ascii="宋体" w:hAnsi="宋体" w:eastAsia="宋体" w:cs="宋体"/>
          <w:color w:val="000000"/>
          <w:sz w:val="24"/>
          <w:szCs w:val="24"/>
        </w:rPr>
        <w:t>投标人没有被列入招标人处《黑名单》（《黑名单》指投标人与招标人在以往或正在进行的合作中，存在招标人认为的违反合同约定或违反法律法规等的失信行为）的；</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7</w:t>
      </w:r>
      <w:r>
        <w:rPr>
          <w:rFonts w:hint="eastAsia" w:hAnsi="宋体" w:cs="宋体"/>
          <w:color w:val="000000"/>
          <w:sz w:val="24"/>
          <w:szCs w:val="24"/>
          <w:lang w:eastAsia="zh-CN"/>
        </w:rPr>
        <w:t>）</w:t>
      </w:r>
      <w:r>
        <w:rPr>
          <w:rFonts w:hint="eastAsia" w:ascii="宋体" w:hAnsi="宋体" w:eastAsia="宋体" w:cs="宋体"/>
          <w:color w:val="000000"/>
          <w:sz w:val="24"/>
          <w:szCs w:val="24"/>
        </w:rPr>
        <w:t>公司经营范围满足招标项目需求；</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8</w:t>
      </w:r>
      <w:r>
        <w:rPr>
          <w:rFonts w:hint="eastAsia" w:hAnsi="宋体" w:cs="宋体"/>
          <w:color w:val="000000"/>
          <w:sz w:val="24"/>
          <w:szCs w:val="24"/>
          <w:lang w:eastAsia="zh-CN"/>
        </w:rPr>
        <w:t>）</w:t>
      </w:r>
      <w:r>
        <w:rPr>
          <w:rFonts w:hint="eastAsia" w:ascii="宋体" w:hAnsi="宋体" w:eastAsia="宋体" w:cs="宋体"/>
          <w:color w:val="000000"/>
          <w:sz w:val="24"/>
          <w:szCs w:val="24"/>
        </w:rPr>
        <w:t>投标人须具有履行招标文件所有设备、专业技术等要求的能力；</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9</w:t>
      </w:r>
      <w:r>
        <w:rPr>
          <w:rFonts w:hint="eastAsia" w:hAnsi="宋体" w:cs="宋体"/>
          <w:color w:val="000000"/>
          <w:sz w:val="24"/>
          <w:szCs w:val="24"/>
          <w:lang w:eastAsia="zh-CN"/>
        </w:rPr>
        <w:t>）</w:t>
      </w:r>
      <w:r>
        <w:rPr>
          <w:rFonts w:hint="eastAsia" w:ascii="宋体" w:hAnsi="宋体" w:eastAsia="宋体" w:cs="宋体"/>
          <w:color w:val="000000"/>
          <w:sz w:val="24"/>
          <w:szCs w:val="24"/>
        </w:rPr>
        <w:t>投标人须有依法缴纳税收和社会保障资金的良好记录；</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10</w:t>
      </w:r>
      <w:r>
        <w:rPr>
          <w:rFonts w:hint="eastAsia" w:hAnsi="宋体" w:cs="宋体"/>
          <w:color w:val="000000"/>
          <w:sz w:val="24"/>
          <w:szCs w:val="24"/>
          <w:lang w:eastAsia="zh-CN"/>
        </w:rPr>
        <w:t>）</w:t>
      </w:r>
      <w:r>
        <w:rPr>
          <w:rFonts w:hint="eastAsia" w:ascii="宋体" w:hAnsi="宋体" w:eastAsia="宋体" w:cs="宋体"/>
          <w:color w:val="000000"/>
          <w:sz w:val="24"/>
          <w:szCs w:val="24"/>
        </w:rPr>
        <w:t>具有本次招标货物的供货、安装、售后服务等的相应资质；</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11</w:t>
      </w:r>
      <w:r>
        <w:rPr>
          <w:rFonts w:hint="eastAsia" w:hAnsi="宋体" w:cs="宋体"/>
          <w:color w:val="000000"/>
          <w:sz w:val="24"/>
          <w:szCs w:val="24"/>
          <w:lang w:eastAsia="zh-CN"/>
        </w:rPr>
        <w:t>）</w:t>
      </w:r>
      <w:r>
        <w:rPr>
          <w:rFonts w:hint="eastAsia" w:ascii="宋体" w:hAnsi="宋体" w:eastAsia="宋体" w:cs="宋体"/>
          <w:color w:val="000000"/>
          <w:sz w:val="24"/>
          <w:szCs w:val="24"/>
        </w:rPr>
        <w:t>投标人须负责提供合理的便于运输的包装物，并承担相关费用；</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12</w:t>
      </w:r>
      <w:r>
        <w:rPr>
          <w:rFonts w:hint="eastAsia" w:hAnsi="宋体" w:cs="宋体"/>
          <w:color w:val="000000"/>
          <w:sz w:val="24"/>
          <w:szCs w:val="24"/>
          <w:lang w:eastAsia="zh-CN"/>
        </w:rPr>
        <w:t>）</w:t>
      </w:r>
      <w:r>
        <w:rPr>
          <w:rFonts w:hint="eastAsia" w:ascii="宋体" w:hAnsi="宋体" w:eastAsia="宋体" w:cs="宋体"/>
          <w:color w:val="000000"/>
          <w:sz w:val="24"/>
          <w:szCs w:val="24"/>
        </w:rPr>
        <w:t>投标人须认可招标人的工作指令，包括节、假日能正常开展工作的要求。</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13</w:t>
      </w:r>
      <w:r>
        <w:rPr>
          <w:rFonts w:hint="eastAsia" w:hAnsi="宋体" w:cs="宋体"/>
          <w:color w:val="000000"/>
          <w:sz w:val="24"/>
          <w:szCs w:val="24"/>
          <w:lang w:eastAsia="zh-CN"/>
        </w:rPr>
        <w:t>）</w:t>
      </w:r>
      <w:r>
        <w:rPr>
          <w:rFonts w:hint="eastAsia" w:ascii="宋体" w:hAnsi="宋体" w:eastAsia="宋体" w:cs="宋体"/>
          <w:color w:val="000000"/>
          <w:sz w:val="24"/>
          <w:szCs w:val="24"/>
        </w:rPr>
        <w:t>拟投标人的直接或间接股东、法定代表人、董事、监事、高管非重汽员工及其亲属；</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14</w:t>
      </w:r>
      <w:r>
        <w:rPr>
          <w:rFonts w:hint="eastAsia" w:hAnsi="宋体" w:cs="宋体"/>
          <w:color w:val="000000"/>
          <w:sz w:val="24"/>
          <w:szCs w:val="24"/>
          <w:lang w:eastAsia="zh-CN"/>
        </w:rPr>
        <w:t>）</w:t>
      </w:r>
      <w:r>
        <w:rPr>
          <w:rFonts w:hint="eastAsia" w:ascii="宋体" w:hAnsi="宋体" w:eastAsia="宋体" w:cs="宋体"/>
          <w:color w:val="000000"/>
          <w:sz w:val="24"/>
          <w:szCs w:val="24"/>
        </w:rPr>
        <w:t>投标人必须是最终投标、签订合同的单位，不得以任何理由将已中标项目以任何形式转包或者分包给其他单位；</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15</w:t>
      </w:r>
      <w:r>
        <w:rPr>
          <w:rFonts w:hint="eastAsia" w:hAnsi="宋体" w:cs="宋体"/>
          <w:color w:val="000000"/>
          <w:sz w:val="24"/>
          <w:szCs w:val="24"/>
          <w:lang w:eastAsia="zh-CN"/>
        </w:rPr>
        <w:t>）</w:t>
      </w:r>
      <w:r>
        <w:rPr>
          <w:rFonts w:hint="eastAsia" w:ascii="宋体" w:hAnsi="宋体" w:eastAsia="宋体" w:cs="宋体"/>
          <w:color w:val="000000"/>
          <w:sz w:val="24"/>
          <w:szCs w:val="24"/>
        </w:rPr>
        <w:t>本次招标项目不接受联合体投标。</w:t>
      </w:r>
    </w:p>
    <w:p>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6"/>
        <w:numPr>
          <w:ilvl w:val="0"/>
          <w:numId w:val="2"/>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6"/>
        <w:numPr>
          <w:ilvl w:val="0"/>
          <w:numId w:val="2"/>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6</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1</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20</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rPr>
        <w:t>）</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default"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rPr>
        <w:t>年</w:t>
      </w:r>
      <w:r>
        <w:rPr>
          <w:rFonts w:hint="default" w:eastAsia="宋体" w:cs="宋体"/>
          <w:b/>
          <w:bCs/>
          <w:color w:val="000000"/>
          <w:kern w:val="2"/>
          <w:sz w:val="24"/>
          <w:szCs w:val="24"/>
          <w:lang w:eastAsia="zh-CN" w:bidi="ar-SA"/>
          <w:woUserID w:val="1"/>
        </w:rPr>
        <w:t>1</w:t>
      </w:r>
      <w:r>
        <w:rPr>
          <w:rFonts w:hint="eastAsia"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26</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rPr>
        <w:t>）1</w:t>
      </w:r>
      <w:r>
        <w:rPr>
          <w:rFonts w:hint="default" w:eastAsia="宋体" w:cs="宋体"/>
          <w:b/>
          <w:bCs/>
          <w:color w:val="000000"/>
          <w:kern w:val="2"/>
          <w:sz w:val="24"/>
          <w:szCs w:val="24"/>
          <w:lang w:eastAsia="zh-CN" w:bidi="ar-SA"/>
          <w:woUserID w:val="1"/>
        </w:rPr>
        <w:t>2</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00</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00</w:t>
      </w:r>
      <w:r>
        <w:rPr>
          <w:rFonts w:hint="eastAsia" w:eastAsia="宋体" w:cs="宋体"/>
          <w:b/>
          <w:bCs/>
          <w:color w:val="000000"/>
          <w:kern w:val="2"/>
          <w:sz w:val="24"/>
          <w:szCs w:val="24"/>
          <w:lang w:val="en-US" w:eastAsia="zh-CN" w:bidi="ar-SA"/>
        </w:rPr>
        <w:t>（时间精确到秒）</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default"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rPr>
        <w:t xml:space="preserve">年 </w:t>
      </w:r>
      <w:r>
        <w:rPr>
          <w:rFonts w:hint="default" w:eastAsia="宋体" w:cs="宋体"/>
          <w:b/>
          <w:bCs/>
          <w:color w:val="000000"/>
          <w:kern w:val="2"/>
          <w:sz w:val="24"/>
          <w:szCs w:val="24"/>
          <w:lang w:eastAsia="zh-CN" w:bidi="ar-SA"/>
          <w:woUserID w:val="1"/>
        </w:rPr>
        <w:t>1</w:t>
      </w:r>
      <w:r>
        <w:rPr>
          <w:rFonts w:hint="eastAsia" w:eastAsia="宋体" w:cs="宋体"/>
          <w:b/>
          <w:bCs/>
          <w:color w:val="000000"/>
          <w:kern w:val="2"/>
          <w:sz w:val="24"/>
          <w:szCs w:val="24"/>
          <w:lang w:val="en-US" w:eastAsia="zh-CN" w:bidi="ar-SA"/>
        </w:rPr>
        <w:t xml:space="preserve">月 </w:t>
      </w:r>
      <w:r>
        <w:rPr>
          <w:rFonts w:hint="default" w:eastAsia="宋体" w:cs="宋体"/>
          <w:b/>
          <w:bCs/>
          <w:color w:val="000000"/>
          <w:kern w:val="2"/>
          <w:sz w:val="24"/>
          <w:szCs w:val="24"/>
          <w:lang w:eastAsia="zh-CN" w:bidi="ar-SA"/>
          <w:woUserID w:val="1"/>
        </w:rPr>
        <w:t>31</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六</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17</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00</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00</w:t>
      </w:r>
      <w:r>
        <w:rPr>
          <w:rFonts w:hint="eastAsia" w:eastAsia="宋体" w:cs="宋体"/>
          <w:b/>
          <w:bCs/>
          <w:color w:val="000000"/>
          <w:kern w:val="2"/>
          <w:sz w:val="24"/>
          <w:szCs w:val="24"/>
          <w:lang w:val="en-US" w:eastAsia="zh-CN" w:bidi="ar-SA"/>
        </w:rPr>
        <w:t>（时间精确到秒）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ascii="宋体" w:hAnsi="宋体" w:eastAsia="宋体" w:cs="宋体"/>
          <w:bCs/>
          <w:woUserID w:val="1"/>
        </w:rPr>
        <w:t>2026年1月26日（周一）</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woUserID w:val="1"/>
        </w:rPr>
        <w:t>2026年1月26日（周一）</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沈晓峰   </w:t>
      </w:r>
    </w:p>
    <w:p>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19861850501（微信同号）</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 </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6"/>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6</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2</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一</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bookmarkStart w:id="33" w:name="_GoBack"/>
      <w:bookmarkEnd w:id="33"/>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16"/>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6"/>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6"/>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技术标占比60%，商务标占比40%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6"/>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5"/>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pPr>
        <w:numPr>
          <w:ilvl w:val="0"/>
          <w:numId w:val="5"/>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6"/>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pPr>
        <w:numPr>
          <w:ilvl w:val="0"/>
          <w:numId w:val="6"/>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pPr>
        <w:numPr>
          <w:ilvl w:val="0"/>
          <w:numId w:val="6"/>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7"/>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pPr>
        <w:pStyle w:val="79"/>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6"/>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6"/>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212369550"/>
      <w:bookmarkStart w:id="7" w:name="_Toc639004"/>
      <w:bookmarkStart w:id="8" w:name="_Toc25811"/>
      <w:bookmarkStart w:id="9" w:name="_Toc353881012"/>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2"/>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联系人及</w:t>
            </w:r>
          </w:p>
          <w:p>
            <w:pPr>
              <w:pStyle w:val="25"/>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hint="eastAsia" w:ascii="宋体" w:hAnsi="宋体" w:eastAsia="宋体" w:cs="宋体"/>
              </w:rPr>
            </w:pPr>
            <w:r>
              <w:rPr>
                <w:rFonts w:hint="eastAsia" w:ascii="宋体" w:hAnsi="宋体" w:eastAsia="宋体" w:cs="宋体"/>
              </w:rPr>
              <w:t>序号</w:t>
            </w:r>
          </w:p>
        </w:tc>
        <w:tc>
          <w:tcPr>
            <w:tcW w:w="751" w:type="pct"/>
            <w:vAlign w:val="center"/>
          </w:tcPr>
          <w:p>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3"/>
              <w:rPr>
                <w:rFonts w:hint="eastAsia" w:ascii="宋体" w:hAnsi="宋体" w:eastAsia="宋体" w:cs="宋体"/>
              </w:rPr>
            </w:pPr>
            <w:r>
              <w:rPr>
                <w:rFonts w:hint="eastAsia" w:ascii="宋体" w:hAnsi="宋体" w:eastAsia="宋体" w:cs="宋体"/>
              </w:rPr>
              <w:t>投标总价</w:t>
            </w:r>
          </w:p>
          <w:p>
            <w:pPr>
              <w:pStyle w:val="83"/>
              <w:rPr>
                <w:rFonts w:hint="eastAsia" w:ascii="宋体" w:hAnsi="宋体" w:eastAsia="宋体" w:cs="宋体"/>
              </w:rPr>
            </w:pPr>
            <w:r>
              <w:rPr>
                <w:rFonts w:hint="eastAsia" w:ascii="宋体" w:hAnsi="宋体" w:eastAsia="宋体" w:cs="宋体"/>
              </w:rPr>
              <w:t>（元）</w:t>
            </w:r>
          </w:p>
        </w:tc>
        <w:tc>
          <w:tcPr>
            <w:tcW w:w="381" w:type="pct"/>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3"/>
              <w:rPr>
                <w:rFonts w:hint="eastAsia" w:ascii="宋体" w:hAnsi="宋体" w:eastAsia="宋体" w:cs="宋体"/>
              </w:rPr>
            </w:pPr>
            <w:r>
              <w:rPr>
                <w:rFonts w:hint="eastAsia" w:ascii="宋体" w:hAnsi="宋体" w:eastAsia="宋体" w:cs="宋体"/>
              </w:rPr>
              <w:t>质保期</w:t>
            </w:r>
          </w:p>
          <w:p>
            <w:pPr>
              <w:pStyle w:val="83"/>
              <w:rPr>
                <w:rFonts w:hint="eastAsia" w:ascii="宋体" w:hAnsi="宋体" w:eastAsia="宋体" w:cs="宋体"/>
              </w:rPr>
            </w:pPr>
            <w:r>
              <w:rPr>
                <w:rFonts w:hint="eastAsia" w:ascii="宋体" w:hAnsi="宋体" w:eastAsia="宋体" w:cs="宋体"/>
              </w:rPr>
              <w:t>（若有）</w:t>
            </w:r>
          </w:p>
        </w:tc>
        <w:tc>
          <w:tcPr>
            <w:tcW w:w="831"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hint="eastAsia" w:ascii="宋体" w:hAnsi="宋体" w:eastAsia="宋体" w:cs="宋体"/>
              </w:rPr>
            </w:pPr>
            <w:r>
              <w:rPr>
                <w:rFonts w:hint="eastAsia" w:ascii="宋体" w:hAnsi="宋体" w:eastAsia="宋体" w:cs="宋体"/>
              </w:rPr>
              <w:t>1</w:t>
            </w:r>
          </w:p>
        </w:tc>
        <w:tc>
          <w:tcPr>
            <w:tcW w:w="751" w:type="pct"/>
            <w:vAlign w:val="center"/>
          </w:tcPr>
          <w:p>
            <w:pPr>
              <w:pStyle w:val="83"/>
              <w:rPr>
                <w:rFonts w:hint="eastAsia" w:ascii="宋体" w:hAnsi="宋体" w:eastAsia="宋体" w:cs="宋体"/>
              </w:rPr>
            </w:pPr>
            <w:r>
              <w:rPr>
                <w:rFonts w:hint="eastAsia" w:ascii="宋体" w:hAnsi="宋体" w:eastAsia="宋体" w:cs="宋体"/>
              </w:rPr>
              <w:t>新能源产品试验检测中心（二期）仓储货架采购项目</w:t>
            </w:r>
          </w:p>
        </w:tc>
        <w:tc>
          <w:tcPr>
            <w:tcW w:w="614" w:type="pct"/>
            <w:vAlign w:val="center"/>
          </w:tcPr>
          <w:p>
            <w:pPr>
              <w:pStyle w:val="83"/>
              <w:rPr>
                <w:rFonts w:hint="eastAsia" w:ascii="宋体" w:hAnsi="宋体" w:eastAsia="宋体" w:cs="宋体"/>
              </w:rPr>
            </w:pPr>
          </w:p>
        </w:tc>
        <w:tc>
          <w:tcPr>
            <w:tcW w:w="381" w:type="pct"/>
            <w:vAlign w:val="center"/>
          </w:tcPr>
          <w:p>
            <w:pPr>
              <w:pStyle w:val="83"/>
              <w:rPr>
                <w:rFonts w:hint="eastAsia" w:ascii="宋体" w:hAnsi="宋体" w:eastAsia="宋体" w:cs="宋体"/>
              </w:rPr>
            </w:pPr>
          </w:p>
        </w:tc>
        <w:tc>
          <w:tcPr>
            <w:tcW w:w="363" w:type="pct"/>
            <w:vAlign w:val="center"/>
          </w:tcPr>
          <w:p>
            <w:pPr>
              <w:pStyle w:val="83"/>
              <w:rPr>
                <w:rFonts w:hint="eastAsia" w:ascii="宋体" w:hAnsi="宋体" w:eastAsia="宋体" w:cs="宋体"/>
              </w:rPr>
            </w:pPr>
          </w:p>
        </w:tc>
        <w:tc>
          <w:tcPr>
            <w:tcW w:w="650" w:type="pct"/>
            <w:vAlign w:val="center"/>
          </w:tcPr>
          <w:p>
            <w:pPr>
              <w:pStyle w:val="83"/>
              <w:rPr>
                <w:rFonts w:hint="eastAsia" w:ascii="宋体" w:hAnsi="宋体" w:eastAsia="宋体" w:cs="宋体"/>
              </w:rPr>
            </w:pPr>
          </w:p>
        </w:tc>
        <w:tc>
          <w:tcPr>
            <w:tcW w:w="831" w:type="pct"/>
            <w:vAlign w:val="center"/>
          </w:tcPr>
          <w:p>
            <w:pPr>
              <w:pStyle w:val="83"/>
              <w:rPr>
                <w:rFonts w:hint="eastAsia" w:ascii="宋体" w:hAnsi="宋体" w:eastAsia="宋体" w:cs="宋体"/>
              </w:rPr>
            </w:pPr>
          </w:p>
        </w:tc>
        <w:tc>
          <w:tcPr>
            <w:tcW w:w="1109" w:type="pct"/>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3"/>
              <w:rPr>
                <w:rFonts w:hint="eastAsia" w:ascii="宋体" w:hAnsi="宋体" w:eastAsia="宋体" w:cs="宋体"/>
              </w:rPr>
            </w:pPr>
            <w:r>
              <w:rPr>
                <w:rFonts w:hint="eastAsia" w:ascii="宋体" w:hAnsi="宋体" w:eastAsia="宋体" w:cs="宋体"/>
              </w:rPr>
              <w:t>2</w:t>
            </w:r>
          </w:p>
        </w:tc>
        <w:tc>
          <w:tcPr>
            <w:tcW w:w="751" w:type="pct"/>
            <w:vAlign w:val="center"/>
          </w:tcPr>
          <w:p>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8995" w:type="dxa"/>
        <w:tblInd w:w="0" w:type="dxa"/>
        <w:tblLayout w:type="fixed"/>
        <w:tblCellMar>
          <w:top w:w="0" w:type="dxa"/>
          <w:left w:w="108" w:type="dxa"/>
          <w:bottom w:w="0" w:type="dxa"/>
          <w:right w:w="108" w:type="dxa"/>
        </w:tblCellMar>
      </w:tblPr>
      <w:tblGrid>
        <w:gridCol w:w="949"/>
        <w:gridCol w:w="1346"/>
        <w:gridCol w:w="1814"/>
        <w:gridCol w:w="530"/>
        <w:gridCol w:w="1181"/>
        <w:gridCol w:w="1109"/>
        <w:gridCol w:w="1486"/>
        <w:gridCol w:w="580"/>
      </w:tblGrid>
      <w:tr>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4"/>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Cs/>
                <w:sz w:val="18"/>
                <w:szCs w:val="18"/>
              </w:rPr>
            </w:pPr>
            <w:r>
              <w:rPr>
                <w:rFonts w:hint="eastAsia" w:ascii="宋体" w:hAnsi="宋体" w:eastAsia="宋体" w:cs="宋体"/>
                <w:bCs/>
                <w:sz w:val="18"/>
                <w:szCs w:val="18"/>
              </w:rPr>
              <w:t>重型</w:t>
            </w:r>
          </w:p>
          <w:p>
            <w:pPr>
              <w:pStyle w:val="94"/>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bCs/>
                <w:sz w:val="18"/>
                <w:szCs w:val="18"/>
                <w:lang w:val="en-US" w:eastAsia="zh-CN"/>
              </w:rPr>
              <w:t>层板</w:t>
            </w:r>
            <w:r>
              <w:rPr>
                <w:rFonts w:hint="eastAsia" w:ascii="宋体" w:hAnsi="宋体" w:eastAsia="宋体" w:cs="宋体"/>
                <w:bCs/>
                <w:sz w:val="18"/>
                <w:szCs w:val="18"/>
              </w:rPr>
              <w:t>货架</w:t>
            </w:r>
            <w:r>
              <w:rPr>
                <w:rFonts w:hint="eastAsia" w:ascii="宋体" w:hAnsi="宋体" w:eastAsia="宋体" w:cs="宋体"/>
                <w:bCs/>
                <w:sz w:val="18"/>
                <w:szCs w:val="18"/>
                <w:lang w:val="en-US" w:eastAsia="zh-CN"/>
              </w:rPr>
              <w:t>A</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4"/>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L2500（内）*W1</w:t>
            </w:r>
            <w:r>
              <w:rPr>
                <w:rFonts w:hint="eastAsia" w:ascii="宋体" w:hAnsi="宋体" w:cs="宋体"/>
                <w:kern w:val="2"/>
                <w:sz w:val="18"/>
                <w:szCs w:val="18"/>
                <w:lang w:val="en-US" w:eastAsia="zh-CN" w:bidi="ar-SA"/>
              </w:rPr>
              <w:t>0</w:t>
            </w:r>
            <w:r>
              <w:rPr>
                <w:rFonts w:hint="eastAsia" w:ascii="宋体" w:hAnsi="宋体" w:eastAsia="宋体" w:cs="宋体"/>
                <w:kern w:val="2"/>
                <w:sz w:val="18"/>
                <w:szCs w:val="18"/>
                <w:lang w:val="en-US" w:eastAsia="zh-CN" w:bidi="ar-SA"/>
              </w:rPr>
              <w:t>00*H7000四层</w:t>
            </w:r>
          </w:p>
          <w:p>
            <w:pPr>
              <w:pStyle w:val="94"/>
              <w:ind w:firstLine="0" w:firstLineChars="0"/>
              <w:jc w:val="center"/>
              <w:rPr>
                <w:rFonts w:hint="eastAsia" w:ascii="宋体" w:hAnsi="宋体" w:eastAsia="宋体" w:cs="宋体"/>
                <w:b/>
                <w:bCs/>
                <w:kern w:val="2"/>
                <w:sz w:val="18"/>
                <w:szCs w:val="18"/>
                <w:lang w:val="en-US" w:eastAsia="zh-CN" w:bidi="ar-SA"/>
              </w:rPr>
            </w:pPr>
            <w:r>
              <w:rPr>
                <w:rFonts w:hint="eastAsia" w:ascii="宋体" w:hAnsi="宋体" w:eastAsia="宋体" w:cs="宋体"/>
                <w:kern w:val="2"/>
                <w:sz w:val="18"/>
                <w:szCs w:val="18"/>
                <w:lang w:val="en-US" w:eastAsia="zh-CN" w:bidi="ar-SA"/>
              </w:rPr>
              <w:t>（三层钢板，四层放货）</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组</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cs="宋体"/>
                <w:sz w:val="18"/>
                <w:szCs w:val="18"/>
                <w:lang w:val="en-US" w:eastAsia="zh-CN"/>
              </w:rPr>
            </w:pPr>
            <w:r>
              <w:rPr>
                <w:rFonts w:hint="eastAsia" w:ascii="宋体" w:hAnsi="宋体" w:cs="宋体"/>
                <w:sz w:val="18"/>
                <w:szCs w:val="18"/>
                <w:lang w:val="en-US" w:eastAsia="zh-CN"/>
              </w:rPr>
              <w:t>60组</w:t>
            </w:r>
          </w:p>
          <w:p>
            <w:pPr>
              <w:jc w:val="center"/>
              <w:rPr>
                <w:rFonts w:hint="default" w:ascii="宋体" w:hAnsi="宋体" w:cs="宋体"/>
                <w:sz w:val="18"/>
                <w:szCs w:val="18"/>
                <w:lang w:val="en-US" w:eastAsia="zh-CN"/>
              </w:rPr>
            </w:pPr>
            <w:r>
              <w:rPr>
                <w:rFonts w:hint="eastAsia" w:ascii="宋体" w:hAnsi="宋体" w:cs="宋体"/>
                <w:sz w:val="18"/>
                <w:szCs w:val="18"/>
                <w:lang w:val="en-US" w:eastAsia="zh-CN"/>
              </w:rPr>
              <w:t>主架6组</w:t>
            </w:r>
          </w:p>
          <w:p>
            <w:pPr>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副架54组</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both"/>
              <w:rPr>
                <w:rFonts w:hint="default" w:ascii="宋体" w:hAnsi="宋体" w:eastAsia="宋体" w:cs="宋体"/>
                <w:kern w:val="0"/>
                <w:sz w:val="18"/>
                <w:szCs w:val="18"/>
                <w:lang w:val="en-US" w:eastAsia="zh-CN"/>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4"/>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Cs/>
                <w:sz w:val="18"/>
                <w:szCs w:val="18"/>
              </w:rPr>
            </w:pPr>
            <w:r>
              <w:rPr>
                <w:rFonts w:hint="eastAsia" w:ascii="宋体" w:hAnsi="宋体" w:eastAsia="宋体" w:cs="宋体"/>
                <w:bCs/>
                <w:sz w:val="18"/>
                <w:szCs w:val="18"/>
              </w:rPr>
              <w:t>重型</w:t>
            </w:r>
          </w:p>
          <w:p>
            <w:pPr>
              <w:pStyle w:val="94"/>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bCs/>
                <w:sz w:val="18"/>
                <w:szCs w:val="18"/>
                <w:lang w:val="en-US" w:eastAsia="zh-CN"/>
              </w:rPr>
              <w:t>层板</w:t>
            </w:r>
            <w:r>
              <w:rPr>
                <w:rFonts w:hint="eastAsia" w:ascii="宋体" w:hAnsi="宋体" w:eastAsia="宋体" w:cs="宋体"/>
                <w:bCs/>
                <w:sz w:val="18"/>
                <w:szCs w:val="18"/>
              </w:rPr>
              <w:t>货架</w:t>
            </w:r>
            <w:r>
              <w:rPr>
                <w:rFonts w:hint="eastAsia" w:ascii="宋体" w:hAnsi="宋体" w:eastAsia="宋体" w:cs="宋体"/>
                <w:bCs/>
                <w:sz w:val="18"/>
                <w:szCs w:val="18"/>
                <w:lang w:val="en-US" w:eastAsia="zh-CN"/>
              </w:rPr>
              <w:t>B</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4"/>
              <w:ind w:firstLine="0" w:firstLineChars="0"/>
              <w:jc w:val="center"/>
              <w:rPr>
                <w:rFonts w:hint="eastAsia" w:ascii="宋体" w:hAnsi="宋体" w:eastAsia="宋体" w:cs="宋体"/>
                <w:bCs/>
                <w:kern w:val="2"/>
                <w:sz w:val="18"/>
                <w:szCs w:val="18"/>
                <w:lang w:val="en-US" w:eastAsia="zh-CN" w:bidi="ar-SA"/>
              </w:rPr>
            </w:pPr>
            <w:r>
              <w:rPr>
                <w:rFonts w:hint="eastAsia" w:ascii="宋体" w:hAnsi="宋体" w:eastAsia="宋体" w:cs="宋体"/>
                <w:kern w:val="2"/>
                <w:sz w:val="18"/>
                <w:szCs w:val="18"/>
                <w:lang w:val="en-US" w:eastAsia="zh-CN" w:bidi="ar-SA"/>
              </w:rPr>
              <w:t>L2200（内）*W1</w:t>
            </w:r>
            <w:r>
              <w:rPr>
                <w:rFonts w:hint="eastAsia" w:ascii="宋体" w:hAnsi="宋体" w:cs="宋体"/>
                <w:kern w:val="2"/>
                <w:sz w:val="18"/>
                <w:szCs w:val="18"/>
                <w:lang w:val="en-US" w:eastAsia="zh-CN" w:bidi="ar-SA"/>
              </w:rPr>
              <w:t>0</w:t>
            </w:r>
            <w:r>
              <w:rPr>
                <w:rFonts w:hint="eastAsia" w:ascii="宋体" w:hAnsi="宋体" w:eastAsia="宋体" w:cs="宋体"/>
                <w:kern w:val="2"/>
                <w:sz w:val="18"/>
                <w:szCs w:val="18"/>
                <w:lang w:val="en-US" w:eastAsia="zh-CN" w:bidi="ar-SA"/>
              </w:rPr>
              <w:t>00*H7000四层（三层钢板，四层放货)</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组</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cs="宋体"/>
                <w:kern w:val="2"/>
                <w:sz w:val="18"/>
                <w:szCs w:val="18"/>
                <w:lang w:val="en-US" w:eastAsia="zh-CN" w:bidi="ar-SA"/>
              </w:rPr>
            </w:pPr>
            <w:r>
              <w:rPr>
                <w:rFonts w:hint="eastAsia" w:ascii="宋体" w:hAnsi="宋体" w:cs="宋体"/>
                <w:kern w:val="2"/>
                <w:sz w:val="18"/>
                <w:szCs w:val="18"/>
                <w:lang w:val="en-US" w:eastAsia="zh-CN" w:bidi="ar-SA"/>
              </w:rPr>
              <w:t>238组</w:t>
            </w:r>
          </w:p>
          <w:p>
            <w:pPr>
              <w:jc w:val="center"/>
              <w:rPr>
                <w:rFonts w:hint="default" w:ascii="宋体" w:hAnsi="宋体" w:cs="宋体"/>
                <w:sz w:val="18"/>
                <w:szCs w:val="18"/>
                <w:lang w:val="en-US" w:eastAsia="zh-CN"/>
              </w:rPr>
            </w:pPr>
            <w:r>
              <w:rPr>
                <w:rFonts w:hint="eastAsia" w:ascii="宋体" w:hAnsi="宋体" w:cs="宋体"/>
                <w:sz w:val="18"/>
                <w:szCs w:val="18"/>
                <w:lang w:val="en-US" w:eastAsia="zh-CN"/>
              </w:rPr>
              <w:t>主架21组</w:t>
            </w:r>
          </w:p>
          <w:p>
            <w:pPr>
              <w:jc w:val="center"/>
              <w:rPr>
                <w:rFonts w:hint="eastAsia" w:ascii="Times New Roman" w:hAnsi="Times New Roman" w:eastAsia="宋体" w:cs="Times New Roman"/>
                <w:kern w:val="2"/>
                <w:sz w:val="18"/>
                <w:szCs w:val="18"/>
                <w:lang w:val="en-US" w:eastAsia="zh-CN" w:bidi="ar-SA"/>
              </w:rPr>
            </w:pPr>
            <w:r>
              <w:rPr>
                <w:rFonts w:hint="eastAsia" w:ascii="宋体" w:hAnsi="宋体" w:cs="宋体"/>
                <w:sz w:val="18"/>
                <w:szCs w:val="18"/>
                <w:lang w:val="en-US" w:eastAsia="zh-CN"/>
              </w:rPr>
              <w:t>副架217组</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sz w:val="18"/>
                <w:szCs w:val="18"/>
                <w:lang w:val="en-US" w:eastAsia="zh-CN"/>
              </w:rPr>
            </w:pPr>
            <w:r>
              <w:rPr>
                <w:rFonts w:hint="eastAsia" w:ascii="宋体" w:hAnsi="宋体" w:cs="宋体"/>
                <w:sz w:val="18"/>
                <w:szCs w:val="18"/>
                <w:lang w:val="en-US" w:eastAsia="zh-CN"/>
              </w:rPr>
              <w:t>轻型</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层板</w:t>
            </w:r>
            <w:r>
              <w:rPr>
                <w:rFonts w:hint="eastAsia" w:ascii="宋体" w:hAnsi="宋体" w:eastAsia="宋体" w:cs="宋体"/>
                <w:sz w:val="18"/>
                <w:szCs w:val="18"/>
                <w:lang w:val="en-US" w:eastAsia="zh-CN"/>
              </w:rPr>
              <w:t>货架A</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4"/>
              <w:ind w:firstLine="0" w:firstLineChars="0"/>
              <w:jc w:val="center"/>
              <w:rPr>
                <w:rFonts w:hint="eastAsia" w:ascii="宋体" w:hAnsi="宋体" w:eastAsia="宋体" w:cs="宋体"/>
                <w:bCs/>
                <w:kern w:val="2"/>
                <w:sz w:val="18"/>
                <w:szCs w:val="18"/>
                <w:lang w:val="en-US" w:eastAsia="zh-CN" w:bidi="ar-SA"/>
              </w:rPr>
            </w:pPr>
            <w:r>
              <w:rPr>
                <w:rFonts w:hint="eastAsia" w:ascii="宋体" w:hAnsi="宋体" w:eastAsia="宋体" w:cs="宋体"/>
                <w:kern w:val="2"/>
                <w:sz w:val="18"/>
                <w:szCs w:val="18"/>
                <w:lang w:val="en-US" w:eastAsia="zh-CN" w:bidi="ar-SA"/>
              </w:rPr>
              <w:t>L2000*W600*H2000，四层</w:t>
            </w:r>
            <w:r>
              <w:rPr>
                <w:rFonts w:hint="eastAsia" w:ascii="宋体" w:hAnsi="宋体" w:cs="宋体"/>
                <w:kern w:val="2"/>
                <w:sz w:val="18"/>
                <w:szCs w:val="18"/>
                <w:lang w:val="en-US" w:eastAsia="zh-CN" w:bidi="ar-SA"/>
              </w:rPr>
              <w:t>钢板</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组</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cs="宋体"/>
                <w:kern w:val="2"/>
                <w:sz w:val="18"/>
                <w:szCs w:val="18"/>
                <w:lang w:val="en-US" w:eastAsia="zh-CN" w:bidi="ar-SA"/>
              </w:rPr>
            </w:pPr>
            <w:r>
              <w:rPr>
                <w:rFonts w:hint="eastAsia" w:ascii="宋体" w:hAnsi="宋体" w:cs="宋体"/>
                <w:kern w:val="2"/>
                <w:sz w:val="18"/>
                <w:szCs w:val="18"/>
                <w:lang w:val="en-US" w:eastAsia="zh-CN" w:bidi="ar-SA"/>
              </w:rPr>
              <w:t>60组</w:t>
            </w:r>
          </w:p>
          <w:p>
            <w:pPr>
              <w:jc w:val="center"/>
              <w:rPr>
                <w:rFonts w:hint="default" w:ascii="宋体" w:hAnsi="宋体" w:cs="宋体"/>
                <w:sz w:val="18"/>
                <w:szCs w:val="18"/>
                <w:lang w:val="en-US" w:eastAsia="zh-CN"/>
              </w:rPr>
            </w:pPr>
            <w:r>
              <w:rPr>
                <w:rFonts w:hint="eastAsia" w:ascii="宋体" w:hAnsi="宋体" w:cs="宋体"/>
                <w:sz w:val="18"/>
                <w:szCs w:val="18"/>
                <w:lang w:val="en-US" w:eastAsia="zh-CN"/>
              </w:rPr>
              <w:t>主架20组</w:t>
            </w:r>
          </w:p>
          <w:p>
            <w:pPr>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副架40组</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中型层板</w:t>
            </w:r>
            <w:r>
              <w:rPr>
                <w:rFonts w:hint="eastAsia" w:ascii="宋体" w:hAnsi="宋体" w:eastAsia="宋体" w:cs="宋体"/>
                <w:sz w:val="18"/>
                <w:szCs w:val="18"/>
                <w:lang w:val="en-US" w:eastAsia="zh-CN"/>
              </w:rPr>
              <w:t>货架A</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4"/>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L2500（内）*W1000*H</w:t>
            </w:r>
            <w:r>
              <w:rPr>
                <w:rFonts w:hint="eastAsia" w:ascii="宋体" w:hAnsi="宋体" w:cs="宋体"/>
                <w:kern w:val="2"/>
                <w:sz w:val="18"/>
                <w:szCs w:val="18"/>
                <w:lang w:val="en-US" w:eastAsia="zh-CN" w:bidi="ar-SA"/>
              </w:rPr>
              <w:t>7</w:t>
            </w:r>
            <w:r>
              <w:rPr>
                <w:rFonts w:hint="eastAsia" w:ascii="宋体" w:hAnsi="宋体" w:eastAsia="宋体" w:cs="宋体"/>
                <w:kern w:val="2"/>
                <w:sz w:val="18"/>
                <w:szCs w:val="18"/>
                <w:lang w:val="en-US" w:eastAsia="zh-CN" w:bidi="ar-SA"/>
              </w:rPr>
              <w:t>000</w:t>
            </w:r>
          </w:p>
          <w:p>
            <w:pPr>
              <w:pStyle w:val="94"/>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四层</w:t>
            </w:r>
            <w:r>
              <w:rPr>
                <w:rFonts w:hint="eastAsia" w:ascii="宋体" w:hAnsi="宋体" w:cs="宋体"/>
                <w:kern w:val="2"/>
                <w:sz w:val="18"/>
                <w:szCs w:val="18"/>
                <w:lang w:val="en-US" w:eastAsia="zh-CN" w:bidi="ar-SA"/>
              </w:rPr>
              <w:t>钢板</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组</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cs="宋体"/>
                <w:kern w:val="2"/>
                <w:sz w:val="18"/>
                <w:szCs w:val="18"/>
                <w:lang w:val="en-US" w:eastAsia="zh-CN" w:bidi="ar-SA"/>
              </w:rPr>
            </w:pPr>
            <w:r>
              <w:rPr>
                <w:rFonts w:hint="eastAsia" w:ascii="宋体" w:hAnsi="宋体" w:cs="宋体"/>
                <w:kern w:val="2"/>
                <w:sz w:val="18"/>
                <w:szCs w:val="18"/>
                <w:lang w:val="en-US" w:eastAsia="zh-CN" w:bidi="ar-SA"/>
              </w:rPr>
              <w:t>48组</w:t>
            </w:r>
          </w:p>
          <w:p>
            <w:pPr>
              <w:jc w:val="center"/>
              <w:rPr>
                <w:rFonts w:hint="default" w:ascii="宋体" w:hAnsi="宋体" w:cs="宋体"/>
                <w:sz w:val="18"/>
                <w:szCs w:val="18"/>
                <w:lang w:val="en-US" w:eastAsia="zh-CN"/>
              </w:rPr>
            </w:pPr>
            <w:r>
              <w:rPr>
                <w:rFonts w:hint="eastAsia" w:ascii="宋体" w:hAnsi="宋体" w:cs="宋体"/>
                <w:sz w:val="18"/>
                <w:szCs w:val="18"/>
                <w:lang w:val="en-US" w:eastAsia="zh-CN"/>
              </w:rPr>
              <w:t>主架12组</w:t>
            </w:r>
          </w:p>
          <w:p>
            <w:pPr>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副架36组</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龙门梁</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4"/>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L3400</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根</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32</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龙门梁</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4"/>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L2850</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根</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12</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间连接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4"/>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L300</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根</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444</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8</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防撞护角</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4"/>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H300</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个</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428</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防撞护栏</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L1</w:t>
            </w:r>
            <w:r>
              <w:rPr>
                <w:rFonts w:hint="eastAsia" w:ascii="宋体" w:hAnsi="宋体" w:cs="宋体"/>
                <w:sz w:val="18"/>
                <w:szCs w:val="18"/>
                <w:lang w:val="en-US" w:eastAsia="zh-CN"/>
              </w:rPr>
              <w:t>0</w:t>
            </w:r>
            <w:r>
              <w:rPr>
                <w:rFonts w:hint="eastAsia" w:ascii="宋体" w:hAnsi="宋体" w:eastAsia="宋体" w:cs="宋体"/>
                <w:sz w:val="18"/>
                <w:szCs w:val="18"/>
                <w:lang w:val="en-US" w:eastAsia="zh-CN"/>
              </w:rPr>
              <w:t>00*H300</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个</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60</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lang w:val="en-US" w:eastAsia="zh-CN"/>
              </w:rPr>
              <w:t>塑料托盘</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4"/>
              <w:ind w:firstLine="0" w:firstLineChars="0"/>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lang w:val="en-US" w:eastAsia="zh-CN"/>
              </w:rPr>
              <w:t>L1200*W1200（进叉）*H150</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lang w:val="en-US" w:eastAsia="zh-CN"/>
              </w:rPr>
              <w:t>个</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500</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bl>
    <w:p>
      <w:pPr>
        <w:pStyle w:val="79"/>
        <w:ind w:left="0" w:leftChars="0" w:firstLine="0" w:firstLineChars="0"/>
        <w:rPr>
          <w:rFonts w:hint="eastAsia" w:ascii="宋体" w:hAnsi="宋体" w:eastAsia="宋体" w:cs="宋体"/>
          <w:b/>
        </w:rPr>
      </w:pPr>
    </w:p>
    <w:p>
      <w:pPr>
        <w:pStyle w:val="79"/>
        <w:ind w:firstLine="48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r>
        <w:rPr>
          <w:rFonts w:hint="eastAsia" w:eastAsia="宋体" w:cs="宋体"/>
          <w:b/>
          <w:lang w:eastAsia="zh-CN"/>
        </w:rPr>
        <w:t>，</w:t>
      </w:r>
      <w:r>
        <w:rPr>
          <w:rFonts w:hint="eastAsia" w:eastAsia="宋体" w:cs="宋体"/>
          <w:b/>
          <w:lang w:val="en-US" w:eastAsia="zh-CN"/>
        </w:rPr>
        <w:t>费用包含运输、安装等费用</w:t>
      </w:r>
      <w:r>
        <w:rPr>
          <w:rFonts w:hint="eastAsia" w:ascii="宋体" w:hAnsi="宋体" w:eastAsia="宋体" w:cs="宋体"/>
          <w:b/>
        </w:rPr>
        <w:t>。</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r>
              <w:rPr>
                <w:rFonts w:hint="eastAsia" w:ascii="宋体" w:hAnsi="宋体" w:eastAsia="宋体" w:cs="宋体"/>
                <w:b w:val="0"/>
                <w:lang w:val="en-US" w:eastAsia="zh-CN"/>
              </w:rPr>
              <w:t>据实结算，根据供货数量支付90%货款总额，10%作为质保金1年后支付</w:t>
            </w:r>
          </w:p>
        </w:tc>
        <w:tc>
          <w:tcPr>
            <w:tcW w:w="159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bCs/>
                <w:szCs w:val="21"/>
              </w:rPr>
            </w:pPr>
            <w:r>
              <w:rPr>
                <w:rFonts w:hint="eastAsia" w:ascii="宋体" w:hAnsi="宋体" w:eastAsia="宋体" w:cs="宋体"/>
                <w:b w:val="0"/>
                <w:bCs/>
                <w:szCs w:val="21"/>
              </w:rPr>
              <w:t>1、自合同签定生效之日起，根据招标方要求分批交货，一般交货周期在30个日历日之内。</w:t>
            </w:r>
          </w:p>
          <w:p>
            <w:pPr>
              <w:pStyle w:val="83"/>
              <w:rPr>
                <w:rFonts w:hint="eastAsia" w:ascii="宋体" w:hAnsi="宋体" w:eastAsia="宋体" w:cs="宋体"/>
                <w:b w:val="0"/>
                <w:bCs/>
                <w:szCs w:val="21"/>
              </w:rPr>
            </w:pPr>
            <w:r>
              <w:rPr>
                <w:rFonts w:hint="eastAsia" w:ascii="宋体" w:hAnsi="宋体" w:eastAsia="宋体" w:cs="宋体"/>
                <w:b w:val="0"/>
                <w:bCs/>
                <w:szCs w:val="21"/>
              </w:rPr>
              <w:t>2、接续15个日历日之内安装调试（或指导安装调试）完毕。</w:t>
            </w:r>
          </w:p>
          <w:p>
            <w:pPr>
              <w:pStyle w:val="83"/>
              <w:rPr>
                <w:rFonts w:hint="eastAsia" w:ascii="宋体" w:hAnsi="宋体" w:eastAsia="宋体" w:cs="宋体"/>
                <w:szCs w:val="21"/>
              </w:rPr>
            </w:pPr>
            <w:r>
              <w:rPr>
                <w:rFonts w:hint="eastAsia" w:ascii="宋体" w:hAnsi="宋体" w:eastAsia="宋体" w:cs="宋体"/>
                <w:b w:val="0"/>
                <w:bCs/>
                <w:szCs w:val="21"/>
              </w:rPr>
              <w:t>3、终验收在30个日历日之内完成（或协助完成）。</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353881022"/>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212369556"/>
      <w:bookmarkStart w:id="19" w:name="_Toc353881023"/>
      <w:bookmarkStart w:id="20"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6"/>
        <w:ind w:firstLine="480"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9"/>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0"/>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1"/>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2"/>
                    <a:stretch>
                      <a:fillRect/>
                    </a:stretch>
                  </pic:blipFill>
                  <pic:spPr>
                    <a:xfrm>
                      <a:off x="0" y="0"/>
                      <a:ext cx="5760085" cy="2810122"/>
                    </a:xfrm>
                    <a:prstGeom prst="rect">
                      <a:avLst/>
                    </a:prstGeom>
                  </pic:spPr>
                </pic:pic>
              </a:graphicData>
            </a:graphic>
          </wp:inline>
        </w:drawing>
      </w:r>
    </w:p>
    <w:p>
      <w:pPr>
        <w:pStyle w:val="16"/>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3"/>
                    <a:stretch>
                      <a:fillRect/>
                    </a:stretch>
                  </pic:blipFill>
                  <pic:spPr>
                    <a:xfrm>
                      <a:off x="0" y="0"/>
                      <a:ext cx="5760085" cy="2820042"/>
                    </a:xfrm>
                    <a:prstGeom prst="rect">
                      <a:avLst/>
                    </a:prstGeom>
                  </pic:spPr>
                </pic:pic>
              </a:graphicData>
            </a:graphic>
          </wp:inline>
        </w:drawing>
      </w:r>
    </w:p>
    <w:p>
      <w:pPr>
        <w:pStyle w:val="16"/>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pPr>
        <w:pStyle w:val="16"/>
        <w:rPr>
          <w:rFonts w:hint="eastAsia" w:ascii="宋体" w:hAnsi="宋体" w:eastAsia="宋体" w:cs="宋体"/>
          <w:b/>
          <w:color w:val="000000"/>
          <w:sz w:val="24"/>
          <w:szCs w:val="24"/>
        </w:rPr>
      </w:pPr>
    </w:p>
    <w:p>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4"/>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3"/>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rPr>
            </w:pPr>
            <w:r>
              <w:rPr>
                <w:rFonts w:hint="eastAsia" w:ascii="仿宋_GB2312" w:hAnsi="仿宋_GB2312" w:eastAsia="仿宋_GB2312" w:cs="仿宋_GB2312"/>
                <w:szCs w:val="21"/>
              </w:rPr>
              <w:t>评价类型</w:t>
            </w:r>
          </w:p>
        </w:tc>
        <w:tc>
          <w:tcPr>
            <w:tcW w:w="574"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rPr>
            </w:pPr>
            <w:r>
              <w:rPr>
                <w:rFonts w:hint="eastAsia" w:ascii="仿宋_GB2312" w:hAnsi="仿宋_GB2312" w:eastAsia="仿宋_GB2312" w:cs="仿宋_GB2312"/>
                <w:szCs w:val="21"/>
              </w:rPr>
              <w:t>序号</w:t>
            </w:r>
          </w:p>
        </w:tc>
        <w:tc>
          <w:tcPr>
            <w:tcW w:w="1500"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rPr>
            </w:pPr>
            <w:r>
              <w:rPr>
                <w:rFonts w:hint="eastAsia" w:ascii="仿宋_GB2312" w:hAnsi="仿宋_GB2312" w:eastAsia="仿宋_GB2312" w:cs="仿宋_GB2312"/>
                <w:szCs w:val="21"/>
              </w:rPr>
              <w:t>内   容</w:t>
            </w:r>
          </w:p>
        </w:tc>
        <w:tc>
          <w:tcPr>
            <w:tcW w:w="87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rPr>
            </w:pPr>
            <w:r>
              <w:rPr>
                <w:rFonts w:hint="eastAsia" w:ascii="仿宋_GB2312" w:hAnsi="仿宋_GB2312" w:eastAsia="仿宋_GB2312" w:cs="仿宋_GB2312"/>
                <w:szCs w:val="21"/>
              </w:rPr>
              <w:t>标准分</w:t>
            </w:r>
          </w:p>
        </w:tc>
        <w:tc>
          <w:tcPr>
            <w:tcW w:w="560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rPr>
            </w:pPr>
            <w:r>
              <w:rPr>
                <w:rFonts w:hint="eastAsia" w:ascii="仿宋_GB2312" w:hAnsi="仿宋_GB2312" w:eastAsia="仿宋_GB2312" w:cs="仿宋_GB2312"/>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825" w:type="dxa"/>
            <w:vMerge w:val="restart"/>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rPr>
            </w:pPr>
            <w:r>
              <w:rPr>
                <w:rFonts w:hint="eastAsia" w:ascii="仿宋_GB2312" w:hAnsi="仿宋_GB2312" w:eastAsia="仿宋_GB2312" w:cs="仿宋_GB2312"/>
                <w:szCs w:val="21"/>
              </w:rPr>
              <w:t>技术</w:t>
            </w:r>
          </w:p>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rPr>
            </w:pPr>
            <w:r>
              <w:rPr>
                <w:rFonts w:hint="eastAsia" w:ascii="仿宋_GB2312" w:hAnsi="仿宋_GB2312" w:eastAsia="仿宋_GB2312" w:cs="仿宋_GB2312"/>
                <w:szCs w:val="21"/>
              </w:rPr>
              <w:t>100分</w:t>
            </w:r>
          </w:p>
        </w:tc>
        <w:tc>
          <w:tcPr>
            <w:tcW w:w="574"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1500"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color w:val="000000"/>
                <w:szCs w:val="21"/>
                <w:lang w:val="en-US" w:eastAsia="zh-CN"/>
              </w:rPr>
              <w:t>设计方案</w:t>
            </w:r>
          </w:p>
        </w:tc>
        <w:tc>
          <w:tcPr>
            <w:tcW w:w="87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5</w:t>
            </w:r>
            <w:r>
              <w:rPr>
                <w:rFonts w:hint="eastAsia" w:ascii="仿宋_GB2312" w:hAnsi="仿宋_GB2312" w:eastAsia="仿宋_GB2312" w:cs="仿宋_GB2312"/>
                <w:szCs w:val="21"/>
                <w:highlight w:val="none"/>
              </w:rPr>
              <w:t>0</w:t>
            </w:r>
          </w:p>
        </w:tc>
        <w:tc>
          <w:tcPr>
            <w:tcW w:w="5605" w:type="dxa"/>
            <w:vAlign w:val="center"/>
          </w:tcPr>
          <w:p>
            <w:pPr>
              <w:keepNext w:val="0"/>
              <w:keepLines w:val="0"/>
              <w:numPr>
                <w:ilvl w:val="0"/>
                <w:numId w:val="8"/>
              </w:numPr>
              <w:suppressLineNumbers w:val="0"/>
              <w:spacing w:before="0" w:beforeAutospacing="0" w:after="0" w:afterAutospacing="0" w:line="360" w:lineRule="auto"/>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投标方提供详细完善的货架设计方案，包括但不限于基础设计和材料、结构稳定性、表面处理和耐久性、安全防护等方面，根据设计方案评判，打分30-50分</w:t>
            </w:r>
            <w:r>
              <w:rPr>
                <w:rFonts w:hint="eastAsia" w:ascii="仿宋_GB2312" w:hAnsi="仿宋_GB2312" w:eastAsia="仿宋_GB2312" w:cs="仿宋_GB2312"/>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82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p>
        </w:tc>
        <w:tc>
          <w:tcPr>
            <w:tcW w:w="574"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1500"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供货周期售后保障</w:t>
            </w:r>
          </w:p>
        </w:tc>
        <w:tc>
          <w:tcPr>
            <w:tcW w:w="875"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20</w:t>
            </w:r>
          </w:p>
        </w:tc>
        <w:tc>
          <w:tcPr>
            <w:tcW w:w="5605" w:type="dxa"/>
            <w:vAlign w:val="center"/>
          </w:tcPr>
          <w:p>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供货周期要求30天，不满足满足条件基本0分，供货周期最短者得10分，</w:t>
            </w:r>
            <w:r>
              <w:rPr>
                <w:rFonts w:hint="eastAsia" w:ascii="仿宋_GB2312" w:hAnsi="仿宋_GB2312" w:eastAsia="仿宋_GB2312" w:cs="仿宋_GB2312"/>
                <w:bCs/>
                <w:szCs w:val="21"/>
              </w:rPr>
              <w:t>第二名得</w:t>
            </w:r>
            <w:r>
              <w:rPr>
                <w:rFonts w:hint="eastAsia" w:ascii="仿宋_GB2312" w:hAnsi="仿宋_GB2312" w:eastAsia="仿宋_GB2312" w:cs="仿宋_GB2312"/>
                <w:bCs/>
                <w:szCs w:val="21"/>
                <w:lang w:val="en-US" w:eastAsia="zh-CN"/>
              </w:rPr>
              <w:t>8</w:t>
            </w:r>
            <w:r>
              <w:rPr>
                <w:rFonts w:hint="eastAsia" w:ascii="仿宋_GB2312" w:hAnsi="仿宋_GB2312" w:eastAsia="仿宋_GB2312" w:cs="仿宋_GB2312"/>
                <w:bCs/>
                <w:szCs w:val="21"/>
              </w:rPr>
              <w:t>分，第三名得6分，第四名得</w:t>
            </w:r>
            <w:r>
              <w:rPr>
                <w:rFonts w:hint="eastAsia" w:ascii="仿宋_GB2312" w:hAnsi="仿宋_GB2312" w:eastAsia="仿宋_GB2312" w:cs="仿宋_GB2312"/>
                <w:bCs/>
                <w:szCs w:val="21"/>
                <w:lang w:val="en-US" w:eastAsia="zh-CN"/>
              </w:rPr>
              <w:t>4</w:t>
            </w:r>
            <w:r>
              <w:rPr>
                <w:rFonts w:hint="eastAsia" w:ascii="仿宋_GB2312" w:hAnsi="仿宋_GB2312" w:eastAsia="仿宋_GB2312" w:cs="仿宋_GB2312"/>
                <w:bCs/>
                <w:szCs w:val="21"/>
              </w:rPr>
              <w:t>分</w:t>
            </w:r>
            <w:r>
              <w:rPr>
                <w:rFonts w:hint="eastAsia" w:ascii="仿宋_GB2312" w:hAnsi="仿宋_GB2312" w:eastAsia="仿宋_GB2312" w:cs="仿宋_GB2312"/>
                <w:bCs/>
                <w:szCs w:val="21"/>
                <w:lang w:eastAsia="zh-CN"/>
              </w:rPr>
              <w:t>，</w:t>
            </w:r>
            <w:r>
              <w:rPr>
                <w:rFonts w:hint="eastAsia" w:ascii="仿宋_GB2312" w:hAnsi="仿宋_GB2312" w:eastAsia="仿宋_GB2312" w:cs="仿宋_GB2312"/>
                <w:bCs/>
                <w:szCs w:val="21"/>
                <w:lang w:val="en-US" w:eastAsia="zh-CN"/>
              </w:rPr>
              <w:t>依次递减。</w:t>
            </w:r>
          </w:p>
          <w:p>
            <w:pPr>
              <w:pStyle w:val="4"/>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val="0"/>
                <w:bCs w:val="0"/>
                <w:kern w:val="2"/>
                <w:sz w:val="21"/>
                <w:szCs w:val="21"/>
                <w:lang w:val="en-US" w:eastAsia="zh-CN" w:bidi="ar-SA"/>
              </w:rPr>
              <w:t>具有完善的服务售后体系，根据售后方案评分0-10分。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82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p>
        </w:tc>
        <w:tc>
          <w:tcPr>
            <w:tcW w:w="574"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c>
          <w:tcPr>
            <w:tcW w:w="1500" w:type="dxa"/>
            <w:vAlign w:val="center"/>
          </w:tcPr>
          <w:p>
            <w:pPr>
              <w:keepNext w:val="0"/>
              <w:keepLines w:val="0"/>
              <w:suppressLineNumbers w:val="0"/>
              <w:tabs>
                <w:tab w:val="left" w:pos="7854"/>
              </w:tabs>
              <w:spacing w:before="0" w:beforeAutospacing="0" w:after="0" w:afterAutospacing="0" w:line="300" w:lineRule="exact"/>
              <w:ind w:left="0" w:right="0"/>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现场答疑</w:t>
            </w:r>
          </w:p>
        </w:tc>
        <w:tc>
          <w:tcPr>
            <w:tcW w:w="875"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20</w:t>
            </w:r>
          </w:p>
        </w:tc>
        <w:tc>
          <w:tcPr>
            <w:tcW w:w="5605" w:type="dxa"/>
            <w:vAlign w:val="center"/>
          </w:tcPr>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bCs/>
                <w:szCs w:val="21"/>
              </w:rPr>
            </w:pPr>
            <w:r>
              <w:rPr>
                <w:rFonts w:hint="eastAsia" w:ascii="仿宋_GB2312" w:hAnsi="仿宋_GB2312" w:eastAsia="仿宋_GB2312" w:cs="仿宋_GB2312"/>
                <w:bCs/>
                <w:szCs w:val="21"/>
              </w:rPr>
              <w:t>投标人代表对方案、技术优势的讲解，以及就该项目难点回答评标专家现场提问，打分0-20分。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p>
        </w:tc>
        <w:tc>
          <w:tcPr>
            <w:tcW w:w="574"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1500"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同类型项目业绩</w:t>
            </w:r>
          </w:p>
        </w:tc>
        <w:tc>
          <w:tcPr>
            <w:tcW w:w="875"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5605" w:type="dxa"/>
            <w:vAlign w:val="center"/>
          </w:tcPr>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bCs/>
                <w:szCs w:val="21"/>
              </w:rPr>
            </w:pPr>
            <w:r>
              <w:rPr>
                <w:rFonts w:hint="eastAsia" w:ascii="仿宋_GB2312" w:hAnsi="仿宋_GB2312" w:eastAsia="仿宋_GB2312" w:cs="仿宋_GB2312"/>
                <w:bCs/>
                <w:szCs w:val="21"/>
              </w:rPr>
              <w:t>同类型项目业绩：202</w:t>
            </w:r>
            <w:r>
              <w:rPr>
                <w:rFonts w:hint="eastAsia" w:ascii="仿宋_GB2312" w:hAnsi="仿宋_GB2312" w:eastAsia="仿宋_GB2312" w:cs="仿宋_GB2312"/>
                <w:bCs/>
                <w:szCs w:val="21"/>
                <w:lang w:val="en-US" w:eastAsia="zh-CN"/>
              </w:rPr>
              <w:t>2</w:t>
            </w:r>
            <w:r>
              <w:rPr>
                <w:rFonts w:hint="eastAsia" w:ascii="仿宋_GB2312" w:hAnsi="仿宋_GB2312" w:eastAsia="仿宋_GB2312" w:cs="仿宋_GB2312"/>
                <w:bCs/>
                <w:szCs w:val="21"/>
              </w:rPr>
              <w:t>年1月以来到现在以来已交付使用的与本次招标项目类似产品的业绩</w:t>
            </w:r>
            <w:r>
              <w:rPr>
                <w:rFonts w:hint="eastAsia" w:ascii="仿宋_GB2312" w:hAnsi="仿宋_GB2312" w:eastAsia="仿宋_GB2312" w:cs="仿宋_GB2312"/>
                <w:bCs/>
                <w:szCs w:val="21"/>
                <w:lang w:eastAsia="zh-CN"/>
              </w:rPr>
              <w:t>（</w:t>
            </w:r>
            <w:r>
              <w:rPr>
                <w:rFonts w:hint="eastAsia" w:ascii="仿宋_GB2312" w:hAnsi="仿宋_GB2312" w:eastAsia="仿宋_GB2312" w:cs="仿宋_GB2312"/>
                <w:bCs/>
                <w:szCs w:val="21"/>
                <w:lang w:val="en-US" w:eastAsia="zh-CN"/>
              </w:rPr>
              <w:t>合同额大于50万元</w:t>
            </w:r>
            <w:r>
              <w:rPr>
                <w:rFonts w:hint="eastAsia" w:ascii="仿宋_GB2312" w:hAnsi="仿宋_GB2312" w:eastAsia="仿宋_GB2312" w:cs="仿宋_GB2312"/>
                <w:bCs/>
                <w:szCs w:val="21"/>
                <w:lang w:eastAsia="zh-CN"/>
              </w:rPr>
              <w:t>）</w:t>
            </w:r>
            <w:r>
              <w:rPr>
                <w:rFonts w:hint="eastAsia" w:ascii="仿宋_GB2312" w:hAnsi="仿宋_GB2312" w:eastAsia="仿宋_GB2312" w:cs="仿宋_GB2312"/>
                <w:bCs/>
                <w:szCs w:val="21"/>
              </w:rPr>
              <w:t>，业绩最多者满分，第二名得8分，第三名得6分，第四名得4分，其余得2分。（时间以签订日期为准）。</w:t>
            </w:r>
          </w:p>
        </w:tc>
      </w:tr>
    </w:tbl>
    <w:p>
      <w:pPr>
        <w:pStyle w:val="59"/>
        <w:rPr>
          <w:rFonts w:hint="eastAsia"/>
        </w:rPr>
      </w:pPr>
      <w:r>
        <w:rPr>
          <w:rFonts w:hint="eastAsia" w:ascii="宋体" w:hAnsi="宋体" w:eastAsia="宋体" w:cs="宋体"/>
        </w:rPr>
        <w:br w:type="page"/>
      </w:r>
      <w:bookmarkEnd w:id="21"/>
      <w:r>
        <w:rPr>
          <w:rFonts w:hint="eastAsia"/>
        </w:rPr>
        <w:t>第</w:t>
      </w:r>
      <w:r>
        <w:rPr>
          <w:rFonts w:hint="eastAsia"/>
          <w:lang w:val="en-US" w:eastAsia="zh-CN"/>
        </w:rPr>
        <w:t>二</w:t>
      </w:r>
      <w:r>
        <w:rPr>
          <w:rFonts w:hint="eastAsia"/>
        </w:rPr>
        <w:t>章  采购货物概况</w:t>
      </w:r>
    </w:p>
    <w:p>
      <w:pPr>
        <w:pStyle w:val="81"/>
        <w:rPr>
          <w:rFonts w:hint="eastAsia"/>
        </w:rPr>
      </w:pPr>
      <w:bookmarkStart w:id="22" w:name="_Toc465187639"/>
      <w:r>
        <w:rPr>
          <w:rFonts w:hint="eastAsia"/>
        </w:rPr>
        <w:t>第一节  使用环境</w:t>
      </w:r>
      <w:bookmarkEnd w:id="22"/>
    </w:p>
    <w:p>
      <w:pPr>
        <w:spacing w:line="420" w:lineRule="exact"/>
        <w:ind w:firstLine="480" w:firstLineChars="200"/>
        <w:rPr>
          <w:rFonts w:hint="eastAsia" w:ascii="黑体" w:hAnsi="宋体" w:eastAsia="黑体"/>
          <w:color w:val="000000"/>
          <w:sz w:val="24"/>
          <w:szCs w:val="24"/>
          <w:u w:val="single"/>
          <w:lang w:eastAsia="zh-CN"/>
        </w:rPr>
      </w:pPr>
      <w:r>
        <w:rPr>
          <w:rFonts w:hint="eastAsia" w:ascii="黑体" w:hAnsi="宋体" w:eastAsia="黑体"/>
          <w:color w:val="000000"/>
          <w:sz w:val="24"/>
          <w:szCs w:val="24"/>
        </w:rPr>
        <w:t>一、项目名称：</w:t>
      </w:r>
      <w:r>
        <w:rPr>
          <w:rFonts w:hint="eastAsia" w:ascii="黑体" w:hAnsi="宋体" w:eastAsia="黑体"/>
          <w:color w:val="000000"/>
          <w:sz w:val="24"/>
          <w:szCs w:val="24"/>
          <w:u w:val="single"/>
          <w:lang w:eastAsia="zh-CN"/>
        </w:rPr>
        <w:t>新能源产品试验检测中心（二期）</w:t>
      </w:r>
      <w:r>
        <w:rPr>
          <w:rFonts w:hint="eastAsia" w:ascii="黑体" w:hAnsi="宋体" w:eastAsia="黑体"/>
          <w:color w:val="000000"/>
          <w:sz w:val="24"/>
          <w:szCs w:val="24"/>
          <w:u w:val="single"/>
          <w:lang w:val="en-US" w:eastAsia="zh-CN"/>
        </w:rPr>
        <w:t>仓储货架</w:t>
      </w:r>
      <w:r>
        <w:rPr>
          <w:rFonts w:hint="eastAsia" w:ascii="黑体" w:hAnsi="宋体" w:eastAsia="黑体"/>
          <w:color w:val="000000"/>
          <w:sz w:val="24"/>
          <w:szCs w:val="24"/>
          <w:u w:val="single"/>
          <w:lang w:eastAsia="zh-CN"/>
        </w:rPr>
        <w:t>采购项目</w:t>
      </w:r>
    </w:p>
    <w:p>
      <w:pPr>
        <w:spacing w:line="420" w:lineRule="exact"/>
        <w:ind w:firstLine="480" w:firstLineChars="200"/>
        <w:rPr>
          <w:rFonts w:ascii="黑体" w:hAnsi="宋体" w:eastAsia="黑体"/>
          <w:color w:val="000000"/>
          <w:sz w:val="24"/>
          <w:szCs w:val="24"/>
          <w:u w:val="single"/>
        </w:rPr>
      </w:pPr>
      <w:r>
        <w:rPr>
          <w:rFonts w:hint="eastAsia" w:ascii="黑体" w:hAnsi="宋体" w:eastAsia="黑体"/>
          <w:color w:val="000000"/>
          <w:sz w:val="24"/>
          <w:szCs w:val="24"/>
        </w:rPr>
        <w:t>二、建设地点：</w:t>
      </w:r>
      <w:r>
        <w:rPr>
          <w:rFonts w:hint="eastAsia" w:ascii="黑体" w:hAnsi="宋体" w:eastAsia="黑体"/>
          <w:color w:val="000000"/>
          <w:sz w:val="24"/>
          <w:szCs w:val="24"/>
          <w:u w:val="single"/>
        </w:rPr>
        <w:t>济南市莱芜区口镇重汽新能源产品试验检测中心</w:t>
      </w:r>
    </w:p>
    <w:p>
      <w:pPr>
        <w:spacing w:line="420" w:lineRule="exact"/>
        <w:ind w:firstLine="480" w:firstLineChars="200"/>
        <w:rPr>
          <w:rFonts w:ascii="宋体" w:hAnsi="宋体" w:eastAsia="黑体"/>
          <w:color w:val="000000"/>
          <w:sz w:val="24"/>
          <w:szCs w:val="24"/>
        </w:rPr>
      </w:pPr>
      <w:r>
        <w:rPr>
          <w:rFonts w:hint="eastAsia" w:ascii="黑体" w:hAnsi="宋体" w:eastAsia="黑体"/>
          <w:color w:val="000000"/>
          <w:sz w:val="24"/>
          <w:szCs w:val="24"/>
        </w:rPr>
        <w:t>三、使用地点：</w:t>
      </w:r>
      <w:r>
        <w:rPr>
          <w:rFonts w:hint="eastAsia" w:ascii="黑体" w:hAnsi="宋体" w:eastAsia="黑体"/>
          <w:color w:val="000000"/>
          <w:sz w:val="24"/>
          <w:szCs w:val="24"/>
          <w:u w:val="single"/>
        </w:rPr>
        <w:t>济南市莱芜区口镇重汽新能源产品试验检测中心</w:t>
      </w:r>
    </w:p>
    <w:p>
      <w:pPr>
        <w:spacing w:line="420" w:lineRule="exact"/>
        <w:ind w:firstLine="480" w:firstLineChars="200"/>
        <w:rPr>
          <w:rFonts w:hint="eastAsia" w:ascii="宋体" w:hAnsi="宋体"/>
          <w:color w:val="000000"/>
          <w:sz w:val="24"/>
          <w:szCs w:val="24"/>
        </w:rPr>
      </w:pPr>
      <w:r>
        <w:rPr>
          <w:rFonts w:hint="eastAsia" w:ascii="黑体" w:hAnsi="宋体" w:eastAsia="黑体"/>
          <w:color w:val="000000"/>
          <w:sz w:val="24"/>
          <w:szCs w:val="24"/>
        </w:rPr>
        <w:t>四、使用地点区域自然环境：</w:t>
      </w:r>
      <w:r>
        <w:rPr>
          <w:rFonts w:hint="eastAsia" w:ascii="宋体" w:hAnsi="宋体"/>
          <w:color w:val="000000"/>
          <w:sz w:val="24"/>
          <w:szCs w:val="24"/>
        </w:rPr>
        <w:t xml:space="preserve"> </w:t>
      </w:r>
    </w:p>
    <w:p>
      <w:pPr>
        <w:spacing w:line="360" w:lineRule="auto"/>
        <w:ind w:firstLine="480" w:firstLineChars="200"/>
        <w:rPr>
          <w:rFonts w:cs="宋体"/>
          <w:color w:val="000000"/>
          <w:sz w:val="24"/>
          <w:szCs w:val="24"/>
        </w:rPr>
      </w:pPr>
      <w:r>
        <w:rPr>
          <w:rFonts w:hint="eastAsia"/>
          <w:sz w:val="24"/>
          <w:szCs w:val="24"/>
        </w:rPr>
        <w:t>1、</w:t>
      </w:r>
      <w:r>
        <w:rPr>
          <w:rFonts w:hint="eastAsia" w:hAnsi="宋体" w:cs="宋体"/>
          <w:color w:val="000000"/>
          <w:sz w:val="24"/>
          <w:szCs w:val="24"/>
        </w:rPr>
        <w:t>环境温度：最</w:t>
      </w:r>
      <w:r>
        <w:rPr>
          <w:rFonts w:hint="eastAsia"/>
          <w:sz w:val="24"/>
          <w:szCs w:val="24"/>
        </w:rPr>
        <w:t>高40℃   最低-15℃</w:t>
      </w:r>
    </w:p>
    <w:p>
      <w:pPr>
        <w:spacing w:line="360" w:lineRule="auto"/>
        <w:ind w:firstLine="480" w:firstLineChars="200"/>
        <w:rPr>
          <w:rFonts w:cs="宋体"/>
          <w:color w:val="000000"/>
          <w:sz w:val="24"/>
          <w:szCs w:val="24"/>
        </w:rPr>
      </w:pPr>
      <w:r>
        <w:rPr>
          <w:rFonts w:hint="eastAsia"/>
          <w:sz w:val="24"/>
          <w:szCs w:val="24"/>
        </w:rPr>
        <w:t>2、</w:t>
      </w:r>
      <w:r>
        <w:rPr>
          <w:rFonts w:hint="eastAsia" w:hAnsi="宋体" w:cs="宋体"/>
          <w:color w:val="000000"/>
          <w:sz w:val="24"/>
          <w:szCs w:val="24"/>
        </w:rPr>
        <w:t>相对湿度：</w:t>
      </w:r>
      <w:r>
        <w:rPr>
          <w:rFonts w:hint="eastAsia"/>
          <w:sz w:val="24"/>
          <w:szCs w:val="24"/>
        </w:rPr>
        <w:t>40%—95%</w:t>
      </w:r>
    </w:p>
    <w:p>
      <w:pPr>
        <w:spacing w:line="360" w:lineRule="auto"/>
        <w:ind w:firstLine="480" w:firstLineChars="200"/>
        <w:rPr>
          <w:rFonts w:cs="宋体"/>
          <w:color w:val="000000"/>
          <w:sz w:val="24"/>
          <w:szCs w:val="24"/>
        </w:rPr>
      </w:pPr>
      <w:r>
        <w:rPr>
          <w:rFonts w:hint="eastAsia"/>
          <w:sz w:val="24"/>
          <w:szCs w:val="24"/>
        </w:rPr>
        <w:t>3、</w:t>
      </w:r>
      <w:r>
        <w:rPr>
          <w:rFonts w:hint="eastAsia" w:hAnsi="宋体" w:cs="宋体"/>
          <w:color w:val="000000"/>
          <w:sz w:val="24"/>
          <w:szCs w:val="24"/>
        </w:rPr>
        <w:t>海拔高度：</w:t>
      </w:r>
      <w:r>
        <w:rPr>
          <w:rFonts w:hint="eastAsia"/>
          <w:sz w:val="24"/>
          <w:szCs w:val="24"/>
        </w:rPr>
        <w:t>约500m</w:t>
      </w:r>
    </w:p>
    <w:p>
      <w:pPr>
        <w:spacing w:line="360" w:lineRule="auto"/>
        <w:ind w:firstLine="480" w:firstLineChars="200"/>
        <w:rPr>
          <w:rFonts w:hint="eastAsia" w:hAnsi="宋体" w:cs="宋体"/>
          <w:color w:val="000000"/>
          <w:sz w:val="24"/>
          <w:szCs w:val="24"/>
        </w:rPr>
      </w:pPr>
      <w:r>
        <w:rPr>
          <w:rFonts w:hint="eastAsia" w:hAnsi="宋体" w:cs="宋体"/>
          <w:color w:val="000000"/>
          <w:sz w:val="24"/>
          <w:szCs w:val="24"/>
        </w:rPr>
        <w:t>4、安装方式：室内</w:t>
      </w:r>
    </w:p>
    <w:p>
      <w:pPr>
        <w:spacing w:line="420" w:lineRule="exact"/>
        <w:ind w:firstLine="480" w:firstLineChars="200"/>
        <w:rPr>
          <w:rFonts w:hint="eastAsia" w:hAnsi="宋体" w:cs="宋体"/>
          <w:color w:val="000000"/>
          <w:sz w:val="24"/>
          <w:szCs w:val="24"/>
        </w:rPr>
      </w:pPr>
      <w:bookmarkStart w:id="23" w:name="_Toc338936958"/>
      <w:r>
        <w:rPr>
          <w:rFonts w:hint="eastAsia" w:ascii="黑体" w:hAnsi="宋体" w:eastAsia="黑体"/>
          <w:color w:val="000000"/>
          <w:sz w:val="24"/>
          <w:szCs w:val="24"/>
        </w:rPr>
        <w:t>五、动力供给</w:t>
      </w:r>
      <w:bookmarkEnd w:id="23"/>
      <w:r>
        <w:rPr>
          <w:rFonts w:hint="eastAsia" w:ascii="黑体" w:hAnsi="宋体" w:eastAsia="黑体"/>
          <w:color w:val="000000"/>
          <w:sz w:val="24"/>
          <w:szCs w:val="24"/>
        </w:rPr>
        <w:t xml:space="preserve">： </w:t>
      </w:r>
      <w:r>
        <w:rPr>
          <w:rFonts w:hint="eastAsia" w:hAnsi="宋体" w:cs="宋体"/>
          <w:color w:val="000000"/>
          <w:sz w:val="24"/>
          <w:szCs w:val="24"/>
        </w:rPr>
        <w:t>三相四线380VAC（+/-10%），50Hz（+/-1Hz）。</w:t>
      </w:r>
    </w:p>
    <w:p>
      <w:pPr>
        <w:pStyle w:val="81"/>
        <w:rPr>
          <w:rFonts w:hint="eastAsia"/>
        </w:rPr>
      </w:pPr>
      <w:bookmarkStart w:id="24" w:name="_Toc465187640"/>
      <w:r>
        <w:rPr>
          <w:rFonts w:hint="eastAsia"/>
        </w:rPr>
        <w:t>第二节  采购货物概况</w:t>
      </w:r>
      <w:bookmarkEnd w:id="24"/>
    </w:p>
    <w:p>
      <w:pPr>
        <w:spacing w:line="420" w:lineRule="exact"/>
        <w:ind w:firstLine="480" w:firstLineChars="200"/>
        <w:rPr>
          <w:rFonts w:hint="eastAsia" w:ascii="宋体" w:hAnsi="宋体"/>
          <w:color w:val="000000"/>
          <w:sz w:val="24"/>
          <w:szCs w:val="24"/>
        </w:rPr>
      </w:pPr>
      <w:r>
        <w:rPr>
          <w:rFonts w:hint="eastAsia" w:ascii="宋体" w:hAnsi="宋体"/>
          <w:b/>
          <w:color w:val="000000"/>
          <w:sz w:val="24"/>
          <w:szCs w:val="24"/>
        </w:rPr>
        <w:t>一、货物名称：仓储货架</w:t>
      </w:r>
      <w:r>
        <w:rPr>
          <w:rFonts w:hint="eastAsia" w:ascii="宋体" w:hAnsi="宋体"/>
          <w:b/>
          <w:color w:val="000000"/>
          <w:sz w:val="24"/>
          <w:szCs w:val="24"/>
          <w:lang w:val="en-US" w:eastAsia="zh-CN"/>
        </w:rPr>
        <w:t>及配套托盘等</w:t>
      </w:r>
      <w:r>
        <w:rPr>
          <w:rFonts w:hint="eastAsia" w:ascii="宋体" w:hAnsi="宋体"/>
          <w:b/>
          <w:color w:val="000000"/>
          <w:sz w:val="24"/>
          <w:szCs w:val="24"/>
        </w:rPr>
        <w:t>设施</w:t>
      </w:r>
      <w:r>
        <w:rPr>
          <w:rFonts w:hint="eastAsia" w:ascii="宋体" w:hAnsi="宋体"/>
          <w:color w:val="000000"/>
          <w:sz w:val="24"/>
          <w:szCs w:val="24"/>
        </w:rPr>
        <w:t xml:space="preserve">      </w:t>
      </w:r>
    </w:p>
    <w:p>
      <w:pPr>
        <w:spacing w:line="420" w:lineRule="exact"/>
        <w:ind w:firstLine="480" w:firstLineChars="200"/>
        <w:rPr>
          <w:rFonts w:hint="eastAsia" w:ascii="宋体" w:hAnsi="宋体" w:eastAsia="宋体"/>
          <w:color w:val="000000"/>
          <w:sz w:val="24"/>
          <w:szCs w:val="24"/>
          <w:lang w:val="en-US" w:eastAsia="zh-CN"/>
        </w:rPr>
      </w:pPr>
      <w:r>
        <w:rPr>
          <w:rFonts w:hint="eastAsia" w:ascii="宋体" w:hAnsi="宋体"/>
          <w:b/>
          <w:color w:val="000000"/>
          <w:sz w:val="24"/>
          <w:szCs w:val="24"/>
        </w:rPr>
        <w:t>二、货物数量：</w:t>
      </w:r>
      <w:r>
        <w:rPr>
          <w:rFonts w:hint="eastAsia" w:ascii="宋体" w:hAnsi="宋体"/>
          <w:b/>
          <w:color w:val="000000"/>
          <w:sz w:val="24"/>
          <w:szCs w:val="24"/>
          <w:lang w:val="en-US" w:eastAsia="zh-CN"/>
        </w:rPr>
        <w:t>一宗</w:t>
      </w:r>
    </w:p>
    <w:p>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rPr>
        <w:t>三、分投分中：不允许</w:t>
      </w:r>
    </w:p>
    <w:p>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rPr>
        <w:t>四、</w:t>
      </w:r>
      <w:r>
        <w:rPr>
          <w:rFonts w:hint="eastAsia" w:ascii="宋体" w:hAnsi="宋体"/>
          <w:b/>
          <w:color w:val="000000"/>
          <w:sz w:val="24"/>
          <w:szCs w:val="24"/>
          <w:lang w:val="en-US" w:eastAsia="zh-CN"/>
        </w:rPr>
        <w:t>货物</w:t>
      </w:r>
      <w:r>
        <w:rPr>
          <w:rFonts w:hint="eastAsia" w:ascii="宋体" w:hAnsi="宋体"/>
          <w:b/>
          <w:color w:val="000000"/>
          <w:sz w:val="24"/>
          <w:szCs w:val="24"/>
        </w:rPr>
        <w:t>清单及基本技术参数表：</w:t>
      </w:r>
    </w:p>
    <w:p>
      <w:pPr>
        <w:tabs>
          <w:tab w:val="left" w:pos="0"/>
        </w:tabs>
        <w:spacing w:line="360" w:lineRule="auto"/>
        <w:ind w:firstLine="480" w:firstLineChars="200"/>
        <w:rPr>
          <w:rFonts w:hint="eastAsia"/>
          <w:sz w:val="24"/>
          <w:szCs w:val="24"/>
        </w:rPr>
      </w:pPr>
      <w:r>
        <w:rPr>
          <w:rFonts w:hint="eastAsia" w:ascii="黑体" w:hAnsi="宋体" w:eastAsia="黑体"/>
          <w:color w:val="000000"/>
          <w:sz w:val="24"/>
          <w:szCs w:val="24"/>
          <w:u w:val="single"/>
        </w:rPr>
        <w:t>新能源产品试验检测中心</w:t>
      </w:r>
      <w:r>
        <w:rPr>
          <w:rFonts w:hint="eastAsia" w:ascii="黑体" w:hAnsi="宋体" w:eastAsia="黑体"/>
          <w:color w:val="000000"/>
          <w:sz w:val="24"/>
          <w:szCs w:val="24"/>
          <w:u w:val="single"/>
          <w:lang w:eastAsia="zh-CN"/>
        </w:rPr>
        <w:t>（二期）</w:t>
      </w:r>
      <w:r>
        <w:rPr>
          <w:rFonts w:hint="eastAsia" w:ascii="黑体" w:hAnsi="宋体" w:eastAsia="黑体"/>
          <w:color w:val="000000"/>
          <w:sz w:val="24"/>
          <w:szCs w:val="24"/>
          <w:u w:val="single"/>
          <w:lang w:val="en-US" w:eastAsia="zh-CN"/>
        </w:rPr>
        <w:t>项目</w:t>
      </w:r>
      <w:r>
        <w:rPr>
          <w:rFonts w:hint="eastAsia"/>
          <w:sz w:val="24"/>
          <w:szCs w:val="24"/>
        </w:rPr>
        <w:t>新建</w:t>
      </w:r>
      <w:r>
        <w:rPr>
          <w:rFonts w:hint="eastAsia"/>
          <w:sz w:val="24"/>
          <w:szCs w:val="24"/>
          <w:lang w:val="en-US" w:eastAsia="zh-CN"/>
        </w:rPr>
        <w:t>周转仓库内需采购仓储货架一宗</w:t>
      </w:r>
      <w:r>
        <w:rPr>
          <w:rFonts w:hint="eastAsia"/>
          <w:sz w:val="24"/>
          <w:szCs w:val="24"/>
          <w:lang w:eastAsia="zh-CN"/>
        </w:rPr>
        <w:t>，</w:t>
      </w:r>
      <w:r>
        <w:rPr>
          <w:rFonts w:hint="eastAsia"/>
          <w:sz w:val="24"/>
          <w:szCs w:val="24"/>
        </w:rPr>
        <w:t>交钥匙工程（含设计、制造、安装、调试、验收等）。</w:t>
      </w:r>
    </w:p>
    <w:p>
      <w:pPr>
        <w:tabs>
          <w:tab w:val="left" w:pos="0"/>
        </w:tabs>
        <w:spacing w:line="360" w:lineRule="auto"/>
        <w:jc w:val="center"/>
        <w:rPr>
          <w:rFonts w:hint="eastAsia"/>
        </w:rPr>
      </w:pPr>
      <w:r>
        <w:rPr>
          <w:rFonts w:hint="eastAsia"/>
          <w:b/>
          <w:bCs/>
          <w:sz w:val="24"/>
          <w:szCs w:val="24"/>
        </w:rPr>
        <w:t>采购货物主要构成一览表</w:t>
      </w:r>
    </w:p>
    <w:tbl>
      <w:tblPr>
        <w:tblStyle w:val="33"/>
        <w:tblpPr w:leftFromText="180" w:rightFromText="180" w:vertAnchor="text" w:horzAnchor="page" w:tblpX="989" w:tblpY="285"/>
        <w:tblW w:w="52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222"/>
        <w:gridCol w:w="3023"/>
        <w:gridCol w:w="503"/>
        <w:gridCol w:w="1267"/>
        <w:gridCol w:w="3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36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序号</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货物</w:t>
            </w:r>
            <w:r>
              <w:rPr>
                <w:rFonts w:hint="eastAsia" w:ascii="宋体" w:hAnsi="宋体" w:eastAsia="宋体" w:cs="宋体"/>
                <w:b/>
                <w:bCs/>
                <w:sz w:val="21"/>
                <w:szCs w:val="21"/>
              </w:rPr>
              <w:t>名称</w:t>
            </w:r>
          </w:p>
        </w:tc>
        <w:tc>
          <w:tcPr>
            <w:tcW w:w="146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rPr>
              <w:t>主要规格</w:t>
            </w:r>
            <w:r>
              <w:rPr>
                <w:rFonts w:hint="eastAsia" w:ascii="宋体" w:hAnsi="宋体" w:eastAsia="宋体" w:cs="宋体"/>
                <w:b/>
                <w:bCs/>
                <w:sz w:val="21"/>
                <w:szCs w:val="21"/>
                <w:lang w:val="en-US" w:eastAsia="zh-CN"/>
              </w:rPr>
              <w:t>/mm</w:t>
            </w:r>
          </w:p>
        </w:tc>
        <w:tc>
          <w:tcPr>
            <w:tcW w:w="24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单位</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预计</w:t>
            </w:r>
            <w:r>
              <w:rPr>
                <w:rFonts w:hint="eastAsia" w:ascii="宋体" w:hAnsi="宋体" w:eastAsia="宋体" w:cs="宋体"/>
                <w:b/>
                <w:bCs/>
                <w:sz w:val="21"/>
                <w:szCs w:val="21"/>
              </w:rPr>
              <w:t>数量</w:t>
            </w:r>
          </w:p>
        </w:tc>
        <w:tc>
          <w:tcPr>
            <w:tcW w:w="171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材料说明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365" w:type="pct"/>
            <w:noWrap w:val="0"/>
            <w:vAlign w:val="center"/>
          </w:tcPr>
          <w:p>
            <w:pPr>
              <w:jc w:val="center"/>
              <w:rPr>
                <w:rFonts w:hint="eastAsia" w:ascii="宋体" w:hAnsi="宋体" w:eastAsia="宋体" w:cs="宋体"/>
                <w:sz w:val="21"/>
                <w:szCs w:val="21"/>
              </w:rPr>
            </w:pPr>
            <w:r>
              <w:rPr>
                <w:rFonts w:hint="eastAsia" w:ascii="宋体" w:hAnsi="宋体" w:eastAsia="宋体" w:cs="宋体"/>
                <w:szCs w:val="21"/>
                <w:lang w:val="en-US" w:eastAsia="zh-CN"/>
              </w:rPr>
              <w:t>1</w:t>
            </w:r>
          </w:p>
        </w:tc>
        <w:tc>
          <w:tcPr>
            <w:tcW w:w="593" w:type="pct"/>
            <w:noWrap w:val="0"/>
            <w:vAlign w:val="center"/>
          </w:tcPr>
          <w:p>
            <w:pPr>
              <w:pStyle w:val="94"/>
              <w:spacing w:line="540" w:lineRule="exact"/>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重型</w:t>
            </w:r>
          </w:p>
          <w:p>
            <w:pPr>
              <w:pStyle w:val="94"/>
              <w:spacing w:line="540" w:lineRule="exact"/>
              <w:ind w:firstLine="0" w:firstLineChars="0"/>
              <w:jc w:val="center"/>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层板</w:t>
            </w:r>
            <w:r>
              <w:rPr>
                <w:rFonts w:hint="eastAsia" w:ascii="宋体" w:hAnsi="宋体" w:eastAsia="宋体" w:cs="宋体"/>
                <w:bCs/>
                <w:sz w:val="21"/>
                <w:szCs w:val="21"/>
              </w:rPr>
              <w:t>货架</w:t>
            </w:r>
            <w:r>
              <w:rPr>
                <w:rFonts w:hint="eastAsia" w:ascii="宋体" w:hAnsi="宋体" w:eastAsia="宋体" w:cs="宋体"/>
                <w:bCs/>
                <w:sz w:val="21"/>
                <w:szCs w:val="21"/>
                <w:lang w:val="en-US" w:eastAsia="zh-CN"/>
              </w:rPr>
              <w:t>A</w:t>
            </w:r>
          </w:p>
        </w:tc>
        <w:tc>
          <w:tcPr>
            <w:tcW w:w="1468" w:type="pct"/>
            <w:noWrap w:val="0"/>
            <w:vAlign w:val="center"/>
          </w:tcPr>
          <w:p>
            <w:pPr>
              <w:pStyle w:val="94"/>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L2500（内）*W1</w:t>
            </w:r>
            <w:r>
              <w:rPr>
                <w:rFonts w:hint="eastAsia" w:ascii="宋体" w:hAnsi="宋体" w:cs="宋体"/>
                <w:kern w:val="2"/>
                <w:sz w:val="21"/>
                <w:szCs w:val="21"/>
                <w:lang w:val="en-US" w:eastAsia="zh-CN" w:bidi="ar-SA"/>
              </w:rPr>
              <w:t>0</w:t>
            </w:r>
            <w:r>
              <w:rPr>
                <w:rFonts w:hint="eastAsia" w:ascii="宋体" w:hAnsi="宋体" w:eastAsia="宋体" w:cs="宋体"/>
                <w:kern w:val="2"/>
                <w:sz w:val="21"/>
                <w:szCs w:val="21"/>
                <w:lang w:val="en-US" w:eastAsia="zh-CN" w:bidi="ar-SA"/>
              </w:rPr>
              <w:t>00*H7000四层</w:t>
            </w:r>
          </w:p>
          <w:p>
            <w:pPr>
              <w:pStyle w:val="94"/>
              <w:ind w:firstLine="0" w:firstLineChars="0"/>
              <w:jc w:val="center"/>
              <w:rPr>
                <w:rFonts w:hint="eastAsia" w:ascii="宋体" w:hAnsi="宋体" w:eastAsia="宋体" w:cs="宋体"/>
                <w:b/>
                <w:bCs/>
                <w:sz w:val="21"/>
                <w:szCs w:val="21"/>
                <w:lang w:val="en-US" w:eastAsia="zh-CN"/>
              </w:rPr>
            </w:pPr>
            <w:r>
              <w:rPr>
                <w:rFonts w:hint="eastAsia" w:ascii="宋体" w:hAnsi="宋体" w:eastAsia="宋体" w:cs="宋体"/>
                <w:kern w:val="2"/>
                <w:sz w:val="21"/>
                <w:szCs w:val="21"/>
                <w:lang w:val="en-US" w:eastAsia="zh-CN" w:bidi="ar-SA"/>
              </w:rPr>
              <w:t>（三层钢板，四层放货）</w:t>
            </w:r>
          </w:p>
        </w:tc>
        <w:tc>
          <w:tcPr>
            <w:tcW w:w="244" w:type="pc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组</w:t>
            </w:r>
          </w:p>
        </w:tc>
        <w:tc>
          <w:tcPr>
            <w:tcW w:w="615" w:type="pct"/>
            <w:noWrap w:val="0"/>
            <w:vAlign w:val="center"/>
          </w:tcPr>
          <w:p>
            <w:pPr>
              <w:jc w:val="center"/>
              <w:rPr>
                <w:rFonts w:hint="default" w:ascii="宋体" w:hAnsi="宋体" w:cs="宋体"/>
                <w:lang w:val="en-US" w:eastAsia="zh-CN"/>
              </w:rPr>
            </w:pPr>
            <w:r>
              <w:rPr>
                <w:rFonts w:hint="eastAsia" w:ascii="宋体" w:hAnsi="宋体" w:cs="宋体"/>
                <w:lang w:val="en-US" w:eastAsia="zh-CN"/>
              </w:rPr>
              <w:t>60组</w:t>
            </w:r>
          </w:p>
          <w:p>
            <w:pPr>
              <w:jc w:val="both"/>
              <w:rPr>
                <w:rFonts w:hint="default" w:ascii="宋体" w:hAnsi="宋体" w:cs="宋体"/>
                <w:lang w:val="en-US" w:eastAsia="zh-CN"/>
              </w:rPr>
            </w:pPr>
            <w:r>
              <w:rPr>
                <w:rFonts w:hint="eastAsia" w:ascii="宋体" w:hAnsi="宋体" w:cs="宋体"/>
                <w:lang w:val="en-US" w:eastAsia="zh-CN"/>
              </w:rPr>
              <w:t>主架6组</w:t>
            </w:r>
          </w:p>
          <w:p>
            <w:pPr>
              <w:jc w:val="both"/>
              <w:rPr>
                <w:rFonts w:hint="default" w:ascii="宋体" w:hAnsi="宋体" w:eastAsia="宋体" w:cs="宋体"/>
                <w:lang w:val="en-US" w:eastAsia="zh-CN"/>
              </w:rPr>
            </w:pPr>
            <w:r>
              <w:rPr>
                <w:rFonts w:hint="eastAsia" w:ascii="宋体" w:hAnsi="宋体" w:cs="宋体"/>
                <w:lang w:val="en-US" w:eastAsia="zh-CN"/>
              </w:rPr>
              <w:t>副架54组</w:t>
            </w:r>
          </w:p>
        </w:tc>
        <w:tc>
          <w:tcPr>
            <w:tcW w:w="1712" w:type="pct"/>
            <w:noWrap w:val="0"/>
            <w:vAlign w:val="center"/>
          </w:tcPr>
          <w:p>
            <w:pPr>
              <w:pStyle w:val="94"/>
              <w:ind w:firstLine="0" w:firstLineChars="0"/>
              <w:jc w:val="left"/>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立柱采用90*70*2.0mm冷弯“</w:t>
            </w:r>
            <w:r>
              <w:rPr>
                <w:rFonts w:hint="eastAsia" w:ascii="宋体" w:hAnsi="宋体" w:cs="宋体"/>
                <w:kern w:val="2"/>
                <w:sz w:val="21"/>
                <w:szCs w:val="21"/>
                <w:highlight w:val="none"/>
                <w:lang w:val="en-US" w:eastAsia="zh-CN" w:bidi="ar-SA"/>
              </w:rPr>
              <w:t>M</w:t>
            </w:r>
            <w:r>
              <w:rPr>
                <w:rFonts w:hint="eastAsia" w:ascii="宋体" w:hAnsi="宋体" w:eastAsia="宋体" w:cs="宋体"/>
                <w:kern w:val="2"/>
                <w:sz w:val="21"/>
                <w:szCs w:val="21"/>
                <w:highlight w:val="none"/>
                <w:lang w:val="en-US" w:eastAsia="zh-CN" w:bidi="ar-SA"/>
              </w:rPr>
              <w:t>”型钢，横梁采用120*50*1.5mm抱焊梁，横梁内焊4#角钢，层板</w:t>
            </w:r>
            <w:r>
              <w:rPr>
                <w:rFonts w:hint="eastAsia" w:ascii="宋体" w:hAnsi="宋体" w:cs="宋体"/>
                <w:kern w:val="2"/>
                <w:sz w:val="21"/>
                <w:szCs w:val="21"/>
                <w:highlight w:val="none"/>
                <w:lang w:val="en-US" w:eastAsia="zh-CN" w:bidi="ar-SA"/>
              </w:rPr>
              <w:t>1.5</w:t>
            </w:r>
            <w:r>
              <w:rPr>
                <w:rFonts w:hint="eastAsia" w:ascii="宋体" w:hAnsi="宋体" w:eastAsia="宋体" w:cs="宋体"/>
                <w:kern w:val="2"/>
                <w:sz w:val="21"/>
                <w:szCs w:val="21"/>
                <w:highlight w:val="none"/>
                <w:lang w:val="en-US" w:eastAsia="zh-CN" w:bidi="ar-SA"/>
              </w:rPr>
              <w:t>mm，每层两块板，每块板附6道</w:t>
            </w:r>
            <w:r>
              <w:rPr>
                <w:rFonts w:hint="eastAsia" w:ascii="宋体" w:hAnsi="宋体" w:cs="宋体"/>
                <w:kern w:val="2"/>
                <w:sz w:val="21"/>
                <w:szCs w:val="21"/>
                <w:highlight w:val="none"/>
                <w:lang w:val="en-US" w:eastAsia="zh-CN" w:bidi="ar-SA"/>
              </w:rPr>
              <w:t>矩管</w:t>
            </w:r>
            <w:r>
              <w:rPr>
                <w:rFonts w:hint="eastAsia" w:ascii="宋体" w:hAnsi="宋体" w:eastAsia="宋体" w:cs="宋体"/>
                <w:kern w:val="2"/>
                <w:sz w:val="21"/>
                <w:szCs w:val="21"/>
                <w:highlight w:val="none"/>
                <w:lang w:val="en-US" w:eastAsia="zh-CN" w:bidi="ar-SA"/>
              </w:rPr>
              <w:t>加强筋，单层均布荷载≥2</w:t>
            </w:r>
            <w:r>
              <w:rPr>
                <w:rFonts w:hint="eastAsia" w:ascii="宋体" w:hAnsi="宋体" w:cs="宋体"/>
                <w:kern w:val="2"/>
                <w:sz w:val="21"/>
                <w:szCs w:val="21"/>
                <w:highlight w:val="none"/>
                <w:lang w:val="en-US" w:eastAsia="zh-CN" w:bidi="ar-SA"/>
              </w:rPr>
              <w:t>2</w:t>
            </w:r>
            <w:r>
              <w:rPr>
                <w:rFonts w:hint="eastAsia" w:ascii="宋体" w:hAnsi="宋体" w:eastAsia="宋体" w:cs="宋体"/>
                <w:kern w:val="2"/>
                <w:sz w:val="21"/>
                <w:szCs w:val="21"/>
                <w:highlight w:val="none"/>
                <w:lang w:val="en-US" w:eastAsia="zh-CN" w:bidi="ar-SA"/>
              </w:rPr>
              <w:t>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365" w:type="pct"/>
            <w:noWrap w:val="0"/>
            <w:vAlign w:val="center"/>
          </w:tcPr>
          <w:p>
            <w:pPr>
              <w:jc w:val="center"/>
              <w:rPr>
                <w:rFonts w:hint="eastAsia" w:ascii="宋体" w:hAnsi="宋体" w:eastAsia="宋体" w:cs="宋体"/>
                <w:sz w:val="21"/>
                <w:szCs w:val="21"/>
              </w:rPr>
            </w:pPr>
            <w:r>
              <w:rPr>
                <w:rFonts w:hint="eastAsia" w:ascii="宋体" w:hAnsi="宋体" w:eastAsia="宋体" w:cs="宋体"/>
                <w:szCs w:val="21"/>
                <w:lang w:val="en-US" w:eastAsia="zh-CN"/>
              </w:rPr>
              <w:t>2</w:t>
            </w:r>
          </w:p>
        </w:tc>
        <w:tc>
          <w:tcPr>
            <w:tcW w:w="593" w:type="pct"/>
            <w:noWrap w:val="0"/>
            <w:vAlign w:val="center"/>
          </w:tcPr>
          <w:p>
            <w:pPr>
              <w:pStyle w:val="94"/>
              <w:spacing w:line="540" w:lineRule="exact"/>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重型</w:t>
            </w:r>
          </w:p>
          <w:p>
            <w:pPr>
              <w:pStyle w:val="94"/>
              <w:spacing w:line="540" w:lineRule="exact"/>
              <w:ind w:firstLine="0" w:firstLineChars="0"/>
              <w:jc w:val="center"/>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层板</w:t>
            </w:r>
            <w:r>
              <w:rPr>
                <w:rFonts w:hint="eastAsia" w:ascii="宋体" w:hAnsi="宋体" w:eastAsia="宋体" w:cs="宋体"/>
                <w:bCs/>
                <w:sz w:val="21"/>
                <w:szCs w:val="21"/>
              </w:rPr>
              <w:t>货架</w:t>
            </w:r>
            <w:r>
              <w:rPr>
                <w:rFonts w:hint="eastAsia" w:ascii="宋体" w:hAnsi="宋体" w:eastAsia="宋体" w:cs="宋体"/>
                <w:bCs/>
                <w:sz w:val="21"/>
                <w:szCs w:val="21"/>
                <w:lang w:val="en-US" w:eastAsia="zh-CN"/>
              </w:rPr>
              <w:t>B</w:t>
            </w:r>
          </w:p>
        </w:tc>
        <w:tc>
          <w:tcPr>
            <w:tcW w:w="1468" w:type="pct"/>
            <w:noWrap w:val="0"/>
            <w:vAlign w:val="center"/>
          </w:tcPr>
          <w:p>
            <w:pPr>
              <w:pStyle w:val="94"/>
              <w:ind w:firstLine="0" w:firstLineChars="0"/>
              <w:jc w:val="center"/>
              <w:rPr>
                <w:rFonts w:hint="eastAsia" w:ascii="宋体" w:hAnsi="宋体" w:eastAsia="宋体" w:cs="宋体"/>
                <w:bCs/>
                <w:sz w:val="21"/>
                <w:szCs w:val="21"/>
              </w:rPr>
            </w:pPr>
            <w:r>
              <w:rPr>
                <w:rFonts w:hint="eastAsia" w:ascii="宋体" w:hAnsi="宋体" w:eastAsia="宋体" w:cs="宋体"/>
                <w:kern w:val="2"/>
                <w:sz w:val="21"/>
                <w:szCs w:val="21"/>
                <w:lang w:val="en-US" w:eastAsia="zh-CN" w:bidi="ar-SA"/>
              </w:rPr>
              <w:t>L2200（内）*W1</w:t>
            </w:r>
            <w:r>
              <w:rPr>
                <w:rFonts w:hint="eastAsia" w:ascii="宋体" w:hAnsi="宋体" w:cs="宋体"/>
                <w:kern w:val="2"/>
                <w:sz w:val="21"/>
                <w:szCs w:val="21"/>
                <w:lang w:val="en-US" w:eastAsia="zh-CN" w:bidi="ar-SA"/>
              </w:rPr>
              <w:t>0</w:t>
            </w:r>
            <w:r>
              <w:rPr>
                <w:rFonts w:hint="eastAsia" w:ascii="宋体" w:hAnsi="宋体" w:eastAsia="宋体" w:cs="宋体"/>
                <w:kern w:val="2"/>
                <w:sz w:val="21"/>
                <w:szCs w:val="21"/>
                <w:lang w:val="en-US" w:eastAsia="zh-CN" w:bidi="ar-SA"/>
              </w:rPr>
              <w:t>00*H7000四层（三层钢板，四层放货)</w:t>
            </w:r>
          </w:p>
        </w:tc>
        <w:tc>
          <w:tcPr>
            <w:tcW w:w="244" w:type="pc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组</w:t>
            </w:r>
          </w:p>
        </w:tc>
        <w:tc>
          <w:tcPr>
            <w:tcW w:w="615" w:type="pct"/>
            <w:noWrap w:val="0"/>
            <w:vAlign w:val="center"/>
          </w:tcPr>
          <w:p>
            <w:pPr>
              <w:jc w:val="center"/>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238组</w:t>
            </w:r>
          </w:p>
          <w:p>
            <w:pPr>
              <w:jc w:val="both"/>
              <w:rPr>
                <w:rFonts w:hint="default" w:ascii="宋体" w:hAnsi="宋体" w:cs="宋体"/>
                <w:lang w:val="en-US" w:eastAsia="zh-CN"/>
              </w:rPr>
            </w:pPr>
            <w:r>
              <w:rPr>
                <w:rFonts w:hint="eastAsia" w:ascii="宋体" w:hAnsi="宋体" w:cs="宋体"/>
                <w:lang w:val="en-US" w:eastAsia="zh-CN"/>
              </w:rPr>
              <w:t>主架21组</w:t>
            </w:r>
          </w:p>
          <w:p>
            <w:pPr>
              <w:jc w:val="both"/>
              <w:rPr>
                <w:rFonts w:hint="default"/>
                <w:lang w:val="en-US" w:eastAsia="zh-CN"/>
              </w:rPr>
            </w:pPr>
            <w:r>
              <w:rPr>
                <w:rFonts w:hint="eastAsia" w:ascii="宋体" w:hAnsi="宋体" w:cs="宋体"/>
                <w:lang w:val="en-US" w:eastAsia="zh-CN"/>
              </w:rPr>
              <w:t>副架217组</w:t>
            </w:r>
          </w:p>
        </w:tc>
        <w:tc>
          <w:tcPr>
            <w:tcW w:w="1712" w:type="pct"/>
            <w:noWrap w:val="0"/>
            <w:vAlign w:val="center"/>
          </w:tcPr>
          <w:p>
            <w:pPr>
              <w:pStyle w:val="94"/>
              <w:ind w:firstLine="0" w:firstLineChars="0"/>
              <w:jc w:val="left"/>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立柱采用90*70*2.0mm冷弯“</w:t>
            </w:r>
            <w:r>
              <w:rPr>
                <w:rFonts w:hint="eastAsia" w:ascii="宋体" w:hAnsi="宋体" w:cs="宋体"/>
                <w:kern w:val="2"/>
                <w:sz w:val="21"/>
                <w:szCs w:val="21"/>
                <w:highlight w:val="none"/>
                <w:lang w:val="en-US" w:eastAsia="zh-CN" w:bidi="ar-SA"/>
              </w:rPr>
              <w:t>M</w:t>
            </w:r>
            <w:r>
              <w:rPr>
                <w:rFonts w:hint="eastAsia" w:ascii="宋体" w:hAnsi="宋体" w:eastAsia="宋体" w:cs="宋体"/>
                <w:kern w:val="2"/>
                <w:sz w:val="21"/>
                <w:szCs w:val="21"/>
                <w:highlight w:val="none"/>
                <w:lang w:val="en-US" w:eastAsia="zh-CN" w:bidi="ar-SA"/>
              </w:rPr>
              <w:t>”型钢，横梁采用100*50*1.5mm抱焊梁，横梁内焊4#角钢，层板</w:t>
            </w:r>
            <w:r>
              <w:rPr>
                <w:rFonts w:hint="eastAsia" w:ascii="宋体" w:hAnsi="宋体" w:cs="宋体"/>
                <w:kern w:val="2"/>
                <w:sz w:val="21"/>
                <w:szCs w:val="21"/>
                <w:highlight w:val="none"/>
                <w:lang w:val="en-US" w:eastAsia="zh-CN" w:bidi="ar-SA"/>
              </w:rPr>
              <w:t>1.0</w:t>
            </w:r>
            <w:r>
              <w:rPr>
                <w:rFonts w:hint="eastAsia" w:ascii="宋体" w:hAnsi="宋体" w:eastAsia="宋体" w:cs="宋体"/>
                <w:kern w:val="2"/>
                <w:sz w:val="21"/>
                <w:szCs w:val="21"/>
                <w:highlight w:val="none"/>
                <w:lang w:val="en-US" w:eastAsia="zh-CN" w:bidi="ar-SA"/>
              </w:rPr>
              <w:t>mm，每层两块板，每块板附6道</w:t>
            </w:r>
            <w:r>
              <w:rPr>
                <w:rFonts w:hint="eastAsia" w:ascii="宋体" w:hAnsi="宋体" w:cs="宋体"/>
                <w:kern w:val="2"/>
                <w:sz w:val="21"/>
                <w:szCs w:val="21"/>
                <w:highlight w:val="none"/>
                <w:lang w:val="en-US" w:eastAsia="zh-CN" w:bidi="ar-SA"/>
              </w:rPr>
              <w:t>矩管</w:t>
            </w:r>
            <w:r>
              <w:rPr>
                <w:rFonts w:hint="eastAsia" w:ascii="宋体" w:hAnsi="宋体" w:eastAsia="宋体" w:cs="宋体"/>
                <w:kern w:val="2"/>
                <w:sz w:val="21"/>
                <w:szCs w:val="21"/>
                <w:highlight w:val="none"/>
                <w:lang w:val="en-US" w:eastAsia="zh-CN" w:bidi="ar-SA"/>
              </w:rPr>
              <w:t>加强筋，单层均布荷载≥1</w:t>
            </w:r>
            <w:r>
              <w:rPr>
                <w:rFonts w:hint="eastAsia" w:ascii="宋体" w:hAnsi="宋体" w:cs="宋体"/>
                <w:kern w:val="2"/>
                <w:sz w:val="21"/>
                <w:szCs w:val="21"/>
                <w:highlight w:val="none"/>
                <w:lang w:val="en-US" w:eastAsia="zh-CN" w:bidi="ar-SA"/>
              </w:rPr>
              <w:t>5</w:t>
            </w:r>
            <w:r>
              <w:rPr>
                <w:rFonts w:hint="eastAsia" w:ascii="宋体" w:hAnsi="宋体" w:eastAsia="宋体" w:cs="宋体"/>
                <w:kern w:val="2"/>
                <w:sz w:val="21"/>
                <w:szCs w:val="21"/>
                <w:highlight w:val="none"/>
                <w:lang w:val="en-US" w:eastAsia="zh-CN" w:bidi="ar-SA"/>
              </w:rPr>
              <w:t>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365"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3</w:t>
            </w:r>
          </w:p>
        </w:tc>
        <w:tc>
          <w:tcPr>
            <w:tcW w:w="593" w:type="pct"/>
            <w:noWrap w:val="0"/>
            <w:vAlign w:val="center"/>
          </w:tcPr>
          <w:p>
            <w:pPr>
              <w:jc w:val="center"/>
              <w:rPr>
                <w:rFonts w:hint="eastAsia" w:ascii="宋体" w:hAnsi="宋体" w:cs="宋体"/>
                <w:sz w:val="21"/>
                <w:szCs w:val="21"/>
                <w:lang w:val="en-US" w:eastAsia="zh-CN"/>
              </w:rPr>
            </w:pPr>
            <w:r>
              <w:rPr>
                <w:rFonts w:hint="eastAsia" w:ascii="宋体" w:hAnsi="宋体" w:cs="宋体"/>
                <w:sz w:val="21"/>
                <w:szCs w:val="21"/>
                <w:lang w:val="en-US" w:eastAsia="zh-CN"/>
              </w:rPr>
              <w:t>轻型</w:t>
            </w:r>
          </w:p>
          <w:p>
            <w:pPr>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层板</w:t>
            </w:r>
            <w:r>
              <w:rPr>
                <w:rFonts w:hint="eastAsia" w:ascii="宋体" w:hAnsi="宋体" w:eastAsia="宋体" w:cs="宋体"/>
                <w:sz w:val="21"/>
                <w:szCs w:val="21"/>
                <w:lang w:val="en-US" w:eastAsia="zh-CN"/>
              </w:rPr>
              <w:t>货架A</w:t>
            </w:r>
          </w:p>
        </w:tc>
        <w:tc>
          <w:tcPr>
            <w:tcW w:w="1468" w:type="pct"/>
            <w:noWrap w:val="0"/>
            <w:vAlign w:val="center"/>
          </w:tcPr>
          <w:p>
            <w:pPr>
              <w:pStyle w:val="94"/>
              <w:ind w:firstLine="0" w:firstLineChars="0"/>
              <w:jc w:val="center"/>
              <w:rPr>
                <w:rFonts w:hint="default" w:ascii="宋体" w:hAnsi="宋体" w:eastAsia="宋体" w:cs="宋体"/>
                <w:bCs/>
                <w:kern w:val="2"/>
                <w:sz w:val="21"/>
                <w:szCs w:val="21"/>
                <w:lang w:val="en-US" w:eastAsia="zh-CN" w:bidi="ar-SA"/>
              </w:rPr>
            </w:pPr>
            <w:r>
              <w:rPr>
                <w:rFonts w:hint="eastAsia" w:ascii="宋体" w:hAnsi="宋体" w:eastAsia="宋体" w:cs="宋体"/>
                <w:kern w:val="2"/>
                <w:sz w:val="21"/>
                <w:szCs w:val="21"/>
                <w:lang w:val="en-US" w:eastAsia="zh-CN" w:bidi="ar-SA"/>
              </w:rPr>
              <w:t>L2000*W600*H2000，四层</w:t>
            </w:r>
            <w:r>
              <w:rPr>
                <w:rFonts w:hint="eastAsia" w:ascii="宋体" w:hAnsi="宋体" w:cs="宋体"/>
                <w:kern w:val="2"/>
                <w:sz w:val="21"/>
                <w:szCs w:val="21"/>
                <w:lang w:val="en-US" w:eastAsia="zh-CN" w:bidi="ar-SA"/>
              </w:rPr>
              <w:t>钢板</w:t>
            </w:r>
          </w:p>
        </w:tc>
        <w:tc>
          <w:tcPr>
            <w:tcW w:w="244" w:type="pc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组</w:t>
            </w:r>
          </w:p>
        </w:tc>
        <w:tc>
          <w:tcPr>
            <w:tcW w:w="615" w:type="pct"/>
            <w:noWrap w:val="0"/>
            <w:vAlign w:val="center"/>
          </w:tcPr>
          <w:p>
            <w:pPr>
              <w:jc w:val="center"/>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60组</w:t>
            </w:r>
          </w:p>
          <w:p>
            <w:pPr>
              <w:jc w:val="both"/>
              <w:rPr>
                <w:rFonts w:hint="default" w:ascii="宋体" w:hAnsi="宋体" w:cs="宋体"/>
                <w:lang w:val="en-US" w:eastAsia="zh-CN"/>
              </w:rPr>
            </w:pPr>
            <w:r>
              <w:rPr>
                <w:rFonts w:hint="eastAsia" w:ascii="宋体" w:hAnsi="宋体" w:cs="宋体"/>
                <w:lang w:val="en-US" w:eastAsia="zh-CN"/>
              </w:rPr>
              <w:t>主架20组</w:t>
            </w:r>
          </w:p>
          <w:p>
            <w:pPr>
              <w:jc w:val="both"/>
              <w:rPr>
                <w:rFonts w:hint="default" w:ascii="宋体" w:hAnsi="宋体" w:eastAsia="宋体" w:cs="宋体"/>
                <w:kern w:val="2"/>
                <w:sz w:val="21"/>
                <w:szCs w:val="21"/>
                <w:lang w:val="en-US" w:eastAsia="zh-CN" w:bidi="ar-SA"/>
              </w:rPr>
            </w:pPr>
            <w:r>
              <w:rPr>
                <w:rFonts w:hint="eastAsia" w:ascii="宋体" w:hAnsi="宋体" w:cs="宋体"/>
                <w:lang w:val="en-US" w:eastAsia="zh-CN"/>
              </w:rPr>
              <w:t>副架40组</w:t>
            </w:r>
          </w:p>
        </w:tc>
        <w:tc>
          <w:tcPr>
            <w:tcW w:w="1712" w:type="pct"/>
            <w:noWrap w:val="0"/>
            <w:vAlign w:val="center"/>
          </w:tcPr>
          <w:p>
            <w:pPr>
              <w:pStyle w:val="94"/>
              <w:ind w:firstLine="0" w:firstLineChars="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t>立柱采用80*</w:t>
            </w:r>
            <w:r>
              <w:rPr>
                <w:rFonts w:hint="eastAsia" w:ascii="宋体" w:hAnsi="宋体" w:cs="宋体"/>
                <w:kern w:val="2"/>
                <w:sz w:val="21"/>
                <w:szCs w:val="21"/>
                <w:lang w:val="en-US" w:eastAsia="zh-CN" w:bidi="ar-SA"/>
              </w:rPr>
              <w:t>4</w:t>
            </w:r>
            <w:r>
              <w:rPr>
                <w:rFonts w:hint="eastAsia" w:ascii="宋体" w:hAnsi="宋体" w:eastAsia="宋体" w:cs="宋体"/>
                <w:kern w:val="2"/>
                <w:sz w:val="21"/>
                <w:szCs w:val="21"/>
                <w:lang w:val="en-US" w:eastAsia="zh-CN" w:bidi="ar-SA"/>
              </w:rPr>
              <w:t>0*</w:t>
            </w:r>
            <w:r>
              <w:rPr>
                <w:rFonts w:hint="eastAsia" w:ascii="宋体" w:hAnsi="宋体" w:cs="宋体"/>
                <w:kern w:val="2"/>
                <w:sz w:val="21"/>
                <w:szCs w:val="21"/>
                <w:lang w:val="en-US" w:eastAsia="zh-CN" w:bidi="ar-SA"/>
              </w:rPr>
              <w:t>0.7</w:t>
            </w:r>
            <w:r>
              <w:rPr>
                <w:rFonts w:hint="eastAsia" w:ascii="宋体" w:hAnsi="宋体" w:eastAsia="宋体" w:cs="宋体"/>
                <w:kern w:val="2"/>
                <w:sz w:val="21"/>
                <w:szCs w:val="21"/>
                <w:lang w:val="en-US" w:eastAsia="zh-CN" w:bidi="ar-SA"/>
              </w:rPr>
              <w:t>mm冷弯“</w:t>
            </w:r>
            <w:r>
              <w:rPr>
                <w:rFonts w:hint="eastAsia" w:ascii="宋体" w:hAnsi="宋体" w:cs="宋体"/>
                <w:kern w:val="2"/>
                <w:sz w:val="21"/>
                <w:szCs w:val="21"/>
                <w:lang w:val="en-US" w:eastAsia="zh-CN" w:bidi="ar-SA"/>
              </w:rPr>
              <w:t>M</w:t>
            </w:r>
            <w:r>
              <w:rPr>
                <w:rFonts w:hint="eastAsia" w:ascii="宋体" w:hAnsi="宋体" w:eastAsia="宋体" w:cs="宋体"/>
                <w:kern w:val="2"/>
                <w:sz w:val="21"/>
                <w:szCs w:val="21"/>
                <w:lang w:val="en-US" w:eastAsia="zh-CN" w:bidi="ar-SA"/>
              </w:rPr>
              <w:t>”型钢，横梁采用60*40*</w:t>
            </w:r>
            <w:r>
              <w:rPr>
                <w:rFonts w:hint="eastAsia" w:ascii="宋体" w:hAnsi="宋体" w:cs="宋体"/>
                <w:kern w:val="2"/>
                <w:sz w:val="21"/>
                <w:szCs w:val="21"/>
                <w:lang w:val="en-US" w:eastAsia="zh-CN" w:bidi="ar-SA"/>
              </w:rPr>
              <w:t>0.8</w:t>
            </w:r>
            <w:r>
              <w:rPr>
                <w:rFonts w:hint="eastAsia" w:ascii="宋体" w:hAnsi="宋体" w:eastAsia="宋体" w:cs="宋体"/>
                <w:kern w:val="2"/>
                <w:sz w:val="21"/>
                <w:szCs w:val="21"/>
                <w:lang w:val="en-US" w:eastAsia="zh-CN" w:bidi="ar-SA"/>
              </w:rPr>
              <w:t>mm“P”型横梁，层板</w:t>
            </w:r>
            <w:r>
              <w:rPr>
                <w:rFonts w:hint="eastAsia" w:ascii="宋体" w:hAnsi="宋体" w:cs="宋体"/>
                <w:kern w:val="2"/>
                <w:sz w:val="21"/>
                <w:szCs w:val="21"/>
                <w:lang w:val="en-US" w:eastAsia="zh-CN" w:bidi="ar-SA"/>
              </w:rPr>
              <w:t>0.5</w:t>
            </w:r>
            <w:r>
              <w:rPr>
                <w:rFonts w:hint="eastAsia" w:ascii="宋体" w:hAnsi="宋体" w:eastAsia="宋体" w:cs="宋体"/>
                <w:kern w:val="2"/>
                <w:sz w:val="21"/>
                <w:szCs w:val="21"/>
                <w:lang w:val="en-US" w:eastAsia="zh-CN" w:bidi="ar-SA"/>
              </w:rPr>
              <w:t>mm，单层均布荷载≥300KG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365" w:type="pct"/>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4</w:t>
            </w:r>
          </w:p>
        </w:tc>
        <w:tc>
          <w:tcPr>
            <w:tcW w:w="593" w:type="pct"/>
            <w:noWrap w:val="0"/>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中型层板</w:t>
            </w:r>
            <w:r>
              <w:rPr>
                <w:rFonts w:hint="eastAsia" w:ascii="宋体" w:hAnsi="宋体" w:eastAsia="宋体" w:cs="宋体"/>
                <w:sz w:val="21"/>
                <w:szCs w:val="21"/>
                <w:lang w:val="en-US" w:eastAsia="zh-CN"/>
              </w:rPr>
              <w:t>货架A</w:t>
            </w:r>
          </w:p>
        </w:tc>
        <w:tc>
          <w:tcPr>
            <w:tcW w:w="1468" w:type="pct"/>
            <w:noWrap w:val="0"/>
            <w:vAlign w:val="center"/>
          </w:tcPr>
          <w:p>
            <w:pPr>
              <w:pStyle w:val="94"/>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L2500（内）*W1000*H</w:t>
            </w:r>
            <w:r>
              <w:rPr>
                <w:rFonts w:hint="eastAsia" w:ascii="宋体" w:hAnsi="宋体" w:cs="宋体"/>
                <w:kern w:val="2"/>
                <w:sz w:val="21"/>
                <w:szCs w:val="21"/>
                <w:lang w:val="en-US" w:eastAsia="zh-CN" w:bidi="ar-SA"/>
              </w:rPr>
              <w:t>7</w:t>
            </w:r>
            <w:r>
              <w:rPr>
                <w:rFonts w:hint="eastAsia" w:ascii="宋体" w:hAnsi="宋体" w:eastAsia="宋体" w:cs="宋体"/>
                <w:kern w:val="2"/>
                <w:sz w:val="21"/>
                <w:szCs w:val="21"/>
                <w:lang w:val="en-US" w:eastAsia="zh-CN" w:bidi="ar-SA"/>
              </w:rPr>
              <w:t>000</w:t>
            </w:r>
          </w:p>
          <w:p>
            <w:pPr>
              <w:pStyle w:val="94"/>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四层</w:t>
            </w:r>
            <w:r>
              <w:rPr>
                <w:rFonts w:hint="eastAsia" w:ascii="宋体" w:hAnsi="宋体" w:cs="宋体"/>
                <w:kern w:val="2"/>
                <w:sz w:val="21"/>
                <w:szCs w:val="21"/>
                <w:lang w:val="en-US" w:eastAsia="zh-CN" w:bidi="ar-SA"/>
              </w:rPr>
              <w:t>钢板</w:t>
            </w:r>
            <w:r>
              <w:rPr>
                <w:rFonts w:hint="eastAsia" w:ascii="宋体" w:hAnsi="宋体" w:eastAsia="宋体" w:cs="宋体"/>
                <w:kern w:val="2"/>
                <w:sz w:val="21"/>
                <w:szCs w:val="21"/>
                <w:lang w:val="en-US" w:eastAsia="zh-CN" w:bidi="ar-SA"/>
              </w:rPr>
              <w:t xml:space="preserve"> </w:t>
            </w:r>
          </w:p>
        </w:tc>
        <w:tc>
          <w:tcPr>
            <w:tcW w:w="244"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w:t>
            </w:r>
          </w:p>
        </w:tc>
        <w:tc>
          <w:tcPr>
            <w:tcW w:w="615" w:type="pct"/>
            <w:noWrap w:val="0"/>
            <w:vAlign w:val="center"/>
          </w:tcPr>
          <w:p>
            <w:pPr>
              <w:jc w:val="center"/>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48组</w:t>
            </w:r>
          </w:p>
          <w:p>
            <w:pPr>
              <w:jc w:val="both"/>
              <w:rPr>
                <w:rFonts w:hint="default" w:ascii="宋体" w:hAnsi="宋体" w:cs="宋体"/>
                <w:lang w:val="en-US" w:eastAsia="zh-CN"/>
              </w:rPr>
            </w:pPr>
            <w:r>
              <w:rPr>
                <w:rFonts w:hint="eastAsia" w:ascii="宋体" w:hAnsi="宋体" w:cs="宋体"/>
                <w:lang w:val="en-US" w:eastAsia="zh-CN"/>
              </w:rPr>
              <w:t>主架12组</w:t>
            </w:r>
          </w:p>
          <w:p>
            <w:pPr>
              <w:jc w:val="center"/>
              <w:rPr>
                <w:rFonts w:hint="default" w:ascii="宋体" w:hAnsi="宋体" w:eastAsia="宋体" w:cs="宋体"/>
                <w:kern w:val="2"/>
                <w:sz w:val="21"/>
                <w:szCs w:val="21"/>
                <w:lang w:val="en-US" w:eastAsia="zh-CN" w:bidi="ar-SA"/>
              </w:rPr>
            </w:pPr>
            <w:r>
              <w:rPr>
                <w:rFonts w:hint="eastAsia" w:ascii="宋体" w:hAnsi="宋体" w:cs="宋体"/>
                <w:lang w:val="en-US" w:eastAsia="zh-CN"/>
              </w:rPr>
              <w:t>副架36组</w:t>
            </w:r>
          </w:p>
        </w:tc>
        <w:tc>
          <w:tcPr>
            <w:tcW w:w="1712" w:type="pct"/>
            <w:noWrap w:val="0"/>
            <w:vAlign w:val="center"/>
          </w:tcPr>
          <w:p>
            <w:pPr>
              <w:pStyle w:val="94"/>
              <w:ind w:firstLine="0" w:firstLineChars="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t>立柱采用90*70*2.0mm冷弯“</w:t>
            </w:r>
            <w:r>
              <w:rPr>
                <w:rFonts w:hint="eastAsia" w:ascii="宋体" w:hAnsi="宋体" w:cs="宋体"/>
                <w:kern w:val="2"/>
                <w:sz w:val="21"/>
                <w:szCs w:val="21"/>
                <w:lang w:val="en-US" w:eastAsia="zh-CN" w:bidi="ar-SA"/>
              </w:rPr>
              <w:t>M</w:t>
            </w:r>
            <w:r>
              <w:rPr>
                <w:rFonts w:hint="eastAsia" w:ascii="宋体" w:hAnsi="宋体" w:eastAsia="宋体" w:cs="宋体"/>
                <w:kern w:val="2"/>
                <w:sz w:val="21"/>
                <w:szCs w:val="21"/>
                <w:lang w:val="en-US" w:eastAsia="zh-CN" w:bidi="ar-SA"/>
              </w:rPr>
              <w:t>”型钢，</w:t>
            </w:r>
            <w:r>
              <w:rPr>
                <w:rFonts w:hint="eastAsia" w:ascii="宋体" w:hAnsi="宋体" w:eastAsia="宋体" w:cs="宋体"/>
                <w:kern w:val="2"/>
                <w:sz w:val="21"/>
                <w:szCs w:val="21"/>
                <w:highlight w:val="none"/>
                <w:lang w:val="en-US" w:eastAsia="zh-CN" w:bidi="ar-SA"/>
              </w:rPr>
              <w:t>横梁采用80*50*1.5mm“P”型横梁，层板</w:t>
            </w:r>
            <w:r>
              <w:rPr>
                <w:rFonts w:hint="eastAsia" w:ascii="宋体" w:hAnsi="宋体" w:cs="宋体"/>
                <w:kern w:val="2"/>
                <w:sz w:val="21"/>
                <w:szCs w:val="21"/>
                <w:highlight w:val="none"/>
                <w:lang w:val="en-US" w:eastAsia="zh-CN" w:bidi="ar-SA"/>
              </w:rPr>
              <w:t>0.8</w:t>
            </w:r>
            <w:r>
              <w:rPr>
                <w:rFonts w:hint="eastAsia" w:ascii="宋体" w:hAnsi="宋体" w:eastAsia="宋体" w:cs="宋体"/>
                <w:kern w:val="2"/>
                <w:sz w:val="21"/>
                <w:szCs w:val="21"/>
                <w:highlight w:val="none"/>
                <w:lang w:val="en-US" w:eastAsia="zh-CN" w:bidi="ar-SA"/>
              </w:rPr>
              <w:t>mm，每块板附</w:t>
            </w:r>
            <w:r>
              <w:rPr>
                <w:rFonts w:hint="eastAsia" w:ascii="宋体" w:hAnsi="宋体" w:cs="宋体"/>
                <w:kern w:val="2"/>
                <w:sz w:val="21"/>
                <w:szCs w:val="21"/>
                <w:highlight w:val="none"/>
                <w:lang w:val="en-US" w:eastAsia="zh-CN" w:bidi="ar-SA"/>
              </w:rPr>
              <w:t>5</w:t>
            </w:r>
            <w:r>
              <w:rPr>
                <w:rFonts w:hint="eastAsia" w:ascii="宋体" w:hAnsi="宋体" w:eastAsia="宋体" w:cs="宋体"/>
                <w:kern w:val="2"/>
                <w:sz w:val="21"/>
                <w:szCs w:val="21"/>
                <w:highlight w:val="none"/>
                <w:lang w:val="en-US" w:eastAsia="zh-CN" w:bidi="ar-SA"/>
              </w:rPr>
              <w:t>道加强筋</w:t>
            </w:r>
            <w:r>
              <w:rPr>
                <w:rFonts w:hint="eastAsia" w:ascii="宋体" w:hAnsi="宋体" w:cs="宋体"/>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层均布荷载≥500KG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365" w:type="pct"/>
            <w:noWrap w:val="0"/>
            <w:vAlign w:val="center"/>
          </w:tcPr>
          <w:p>
            <w:pPr>
              <w:jc w:val="center"/>
              <w:rPr>
                <w:rFonts w:hint="default" w:ascii="宋体" w:hAnsi="宋体" w:eastAsia="宋体" w:cs="宋体"/>
                <w:szCs w:val="21"/>
                <w:lang w:val="en-US" w:eastAsia="zh-CN"/>
              </w:rPr>
            </w:pPr>
            <w:r>
              <w:rPr>
                <w:rFonts w:hint="eastAsia" w:ascii="宋体" w:hAnsi="宋体" w:cs="宋体"/>
                <w:szCs w:val="21"/>
                <w:lang w:val="en-US" w:eastAsia="zh-CN"/>
              </w:rPr>
              <w:t>5</w:t>
            </w:r>
          </w:p>
        </w:tc>
        <w:tc>
          <w:tcPr>
            <w:tcW w:w="593" w:type="pct"/>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龙门梁</w:t>
            </w:r>
          </w:p>
        </w:tc>
        <w:tc>
          <w:tcPr>
            <w:tcW w:w="1468" w:type="pct"/>
            <w:noWrap w:val="0"/>
            <w:vAlign w:val="center"/>
          </w:tcPr>
          <w:p>
            <w:pPr>
              <w:pStyle w:val="94"/>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L3400</w:t>
            </w:r>
          </w:p>
        </w:tc>
        <w:tc>
          <w:tcPr>
            <w:tcW w:w="244" w:type="pct"/>
            <w:noWrap w:val="0"/>
            <w:vAlign w:val="center"/>
          </w:tcPr>
          <w:p>
            <w:p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根</w:t>
            </w:r>
          </w:p>
        </w:tc>
        <w:tc>
          <w:tcPr>
            <w:tcW w:w="615"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32</w:t>
            </w:r>
          </w:p>
        </w:tc>
        <w:tc>
          <w:tcPr>
            <w:tcW w:w="1712"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采用</w:t>
            </w:r>
            <w:r>
              <w:rPr>
                <w:rFonts w:hint="eastAsia" w:ascii="宋体" w:hAnsi="宋体" w:cs="宋体"/>
                <w:kern w:val="2"/>
                <w:sz w:val="21"/>
                <w:szCs w:val="21"/>
                <w:lang w:val="en-US" w:eastAsia="zh-CN" w:bidi="ar-SA"/>
              </w:rPr>
              <w:t>90*70*2.0mm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365"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5</w:t>
            </w:r>
          </w:p>
        </w:tc>
        <w:tc>
          <w:tcPr>
            <w:tcW w:w="593"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龙门梁</w:t>
            </w:r>
          </w:p>
        </w:tc>
        <w:tc>
          <w:tcPr>
            <w:tcW w:w="1468" w:type="pct"/>
            <w:noWrap w:val="0"/>
            <w:vAlign w:val="center"/>
          </w:tcPr>
          <w:p>
            <w:pPr>
              <w:pStyle w:val="94"/>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L2850</w:t>
            </w:r>
          </w:p>
        </w:tc>
        <w:tc>
          <w:tcPr>
            <w:tcW w:w="244" w:type="pct"/>
            <w:noWrap w:val="0"/>
            <w:vAlign w:val="center"/>
          </w:tcPr>
          <w:p>
            <w:pPr>
              <w:jc w:val="both"/>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根</w:t>
            </w:r>
          </w:p>
        </w:tc>
        <w:tc>
          <w:tcPr>
            <w:tcW w:w="615"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12</w:t>
            </w:r>
          </w:p>
        </w:tc>
        <w:tc>
          <w:tcPr>
            <w:tcW w:w="1712"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采用</w:t>
            </w:r>
            <w:r>
              <w:rPr>
                <w:rFonts w:hint="eastAsia" w:ascii="宋体" w:hAnsi="宋体" w:cs="宋体"/>
                <w:kern w:val="2"/>
                <w:sz w:val="21"/>
                <w:szCs w:val="21"/>
                <w:lang w:val="en-US" w:eastAsia="zh-CN" w:bidi="ar-SA"/>
              </w:rPr>
              <w:t>90*70*2.0mm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365" w:type="pct"/>
            <w:noWrap w:val="0"/>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593"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间连接</w:t>
            </w:r>
          </w:p>
        </w:tc>
        <w:tc>
          <w:tcPr>
            <w:tcW w:w="1468" w:type="pct"/>
            <w:noWrap w:val="0"/>
            <w:vAlign w:val="center"/>
          </w:tcPr>
          <w:p>
            <w:pPr>
              <w:pStyle w:val="94"/>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L300</w:t>
            </w:r>
          </w:p>
        </w:tc>
        <w:tc>
          <w:tcPr>
            <w:tcW w:w="244" w:type="pct"/>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根</w:t>
            </w:r>
          </w:p>
        </w:tc>
        <w:tc>
          <w:tcPr>
            <w:tcW w:w="615"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444</w:t>
            </w:r>
          </w:p>
        </w:tc>
        <w:tc>
          <w:tcPr>
            <w:tcW w:w="1712"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采用</w:t>
            </w:r>
            <w:r>
              <w:rPr>
                <w:rFonts w:hint="eastAsia" w:ascii="宋体" w:hAnsi="宋体" w:cs="宋体"/>
                <w:kern w:val="2"/>
                <w:sz w:val="21"/>
                <w:szCs w:val="21"/>
                <w:lang w:val="en-US" w:eastAsia="zh-CN" w:bidi="ar-SA"/>
              </w:rPr>
              <w:t>50*25</w:t>
            </w:r>
            <w:r>
              <w:rPr>
                <w:rFonts w:hint="eastAsia" w:ascii="宋体" w:hAnsi="宋体" w:eastAsia="宋体" w:cs="宋体"/>
                <w:kern w:val="2"/>
                <w:sz w:val="21"/>
                <w:szCs w:val="21"/>
                <w:lang w:val="en-US" w:eastAsia="zh-CN" w:bidi="ar-SA"/>
              </w:rPr>
              <w:t>*1.5mm矩管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365" w:type="pct"/>
            <w:noWrap w:val="0"/>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593"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防撞护角</w:t>
            </w:r>
          </w:p>
        </w:tc>
        <w:tc>
          <w:tcPr>
            <w:tcW w:w="1468" w:type="pct"/>
            <w:noWrap w:val="0"/>
            <w:vAlign w:val="center"/>
          </w:tcPr>
          <w:p>
            <w:pPr>
              <w:pStyle w:val="94"/>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H300</w:t>
            </w:r>
          </w:p>
        </w:tc>
        <w:tc>
          <w:tcPr>
            <w:tcW w:w="244"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615"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428</w:t>
            </w:r>
          </w:p>
        </w:tc>
        <w:tc>
          <w:tcPr>
            <w:tcW w:w="1712"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365" w:type="pct"/>
            <w:noWrap w:val="0"/>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593" w:type="pct"/>
            <w:shd w:val="clear" w:color="auto" w:fill="auto"/>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防撞护栏</w:t>
            </w:r>
          </w:p>
        </w:tc>
        <w:tc>
          <w:tcPr>
            <w:tcW w:w="1468" w:type="pct"/>
            <w:shd w:val="clear" w:color="auto" w:fill="auto"/>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L1</w:t>
            </w:r>
            <w:r>
              <w:rPr>
                <w:rFonts w:hint="eastAsia" w:ascii="宋体" w:hAnsi="宋体" w:cs="宋体"/>
                <w:szCs w:val="21"/>
                <w:lang w:val="en-US" w:eastAsia="zh-CN"/>
              </w:rPr>
              <w:t>0</w:t>
            </w:r>
            <w:r>
              <w:rPr>
                <w:rFonts w:hint="eastAsia" w:ascii="宋体" w:hAnsi="宋体" w:eastAsia="宋体" w:cs="宋体"/>
                <w:szCs w:val="21"/>
                <w:lang w:val="en-US" w:eastAsia="zh-CN"/>
              </w:rPr>
              <w:t>00*H300</w:t>
            </w:r>
          </w:p>
        </w:tc>
        <w:tc>
          <w:tcPr>
            <w:tcW w:w="244" w:type="pct"/>
            <w:shd w:val="clear" w:color="auto" w:fill="auto"/>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个</w:t>
            </w:r>
          </w:p>
        </w:tc>
        <w:tc>
          <w:tcPr>
            <w:tcW w:w="615" w:type="pct"/>
            <w:shd w:val="clear" w:color="auto" w:fill="auto"/>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60</w:t>
            </w:r>
          </w:p>
        </w:tc>
        <w:tc>
          <w:tcPr>
            <w:tcW w:w="1712" w:type="pct"/>
            <w:shd w:val="clear" w:color="auto" w:fill="auto"/>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Φ76mm圆管，厚度2.0mm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65" w:type="pct"/>
            <w:noWrap w:val="0"/>
            <w:vAlign w:val="center"/>
          </w:tcPr>
          <w:p>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9</w:t>
            </w:r>
          </w:p>
        </w:tc>
        <w:tc>
          <w:tcPr>
            <w:tcW w:w="593" w:type="pct"/>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塑料托盘</w:t>
            </w:r>
          </w:p>
        </w:tc>
        <w:tc>
          <w:tcPr>
            <w:tcW w:w="1468" w:type="pct"/>
            <w:noWrap w:val="0"/>
            <w:vAlign w:val="center"/>
          </w:tcPr>
          <w:p>
            <w:pPr>
              <w:pStyle w:val="94"/>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L1200*W1200（进叉）*H150</w:t>
            </w:r>
          </w:p>
        </w:tc>
        <w:tc>
          <w:tcPr>
            <w:tcW w:w="244" w:type="pct"/>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个</w:t>
            </w:r>
          </w:p>
        </w:tc>
        <w:tc>
          <w:tcPr>
            <w:tcW w:w="615"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500</w:t>
            </w:r>
          </w:p>
        </w:tc>
        <w:tc>
          <w:tcPr>
            <w:tcW w:w="1712" w:type="pct"/>
            <w:noWrap w:val="0"/>
            <w:vAlign w:val="center"/>
          </w:tcPr>
          <w:p>
            <w:pPr>
              <w:jc w:val="left"/>
              <w:rPr>
                <w:rFonts w:hint="eastAsia" w:ascii="宋体" w:hAnsi="宋体" w:eastAsia="宋体" w:cs="宋体"/>
                <w:i w:val="0"/>
                <w:iCs w:val="0"/>
                <w:sz w:val="21"/>
                <w:szCs w:val="21"/>
                <w:highlight w:val="none"/>
                <w:lang w:val="en-US" w:eastAsia="zh-CN"/>
              </w:rPr>
            </w:pPr>
            <w:r>
              <w:rPr>
                <w:rFonts w:hint="eastAsia" w:ascii="宋体" w:hAnsi="宋体" w:eastAsia="宋体" w:cs="宋体"/>
                <w:i w:val="0"/>
                <w:iCs w:val="0"/>
                <w:sz w:val="21"/>
                <w:szCs w:val="21"/>
                <w:highlight w:val="none"/>
                <w:lang w:val="en-US" w:eastAsia="zh-CN"/>
              </w:rPr>
              <w:t>全新料8根钢管，使用方式：四面进叉</w:t>
            </w:r>
          </w:p>
        </w:tc>
      </w:tr>
    </w:tbl>
    <w:p>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rPr>
        <w:t>五、技术性能及详细参数</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1.货架横梁可在立柱上任意调节其高度，而且横梁两端配有高性能不锈钢安全螺栓（禁止使用安全销代替）以防止叉车误操作抬起横梁。</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2.货架立柱柱脚的固定采用膨胀螺栓，螺栓直径不低于10mm，埋入的最小尺寸＞100mm。</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3.货架型材的强度标准（N/ mm2）GB6723—86指标</w:t>
      </w:r>
    </w:p>
    <w:tbl>
      <w:tblPr>
        <w:tblStyle w:val="33"/>
        <w:tblW w:w="9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3"/>
        <w:gridCol w:w="1692"/>
        <w:gridCol w:w="2806"/>
        <w:gridCol w:w="1274"/>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53"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钢号</w:t>
            </w:r>
          </w:p>
        </w:tc>
        <w:tc>
          <w:tcPr>
            <w:tcW w:w="1692"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钢材种类</w:t>
            </w:r>
          </w:p>
        </w:tc>
        <w:tc>
          <w:tcPr>
            <w:tcW w:w="2806"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抗拉、抗压、抗弯</w:t>
            </w:r>
          </w:p>
        </w:tc>
        <w:tc>
          <w:tcPr>
            <w:tcW w:w="1274"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抗剪</w:t>
            </w:r>
          </w:p>
        </w:tc>
        <w:tc>
          <w:tcPr>
            <w:tcW w:w="1953"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端面承压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253"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Q235（SS400）</w:t>
            </w:r>
          </w:p>
        </w:tc>
        <w:tc>
          <w:tcPr>
            <w:tcW w:w="1692"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冷弯型钢</w:t>
            </w:r>
          </w:p>
        </w:tc>
        <w:tc>
          <w:tcPr>
            <w:tcW w:w="2806"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205</w:t>
            </w:r>
          </w:p>
        </w:tc>
        <w:tc>
          <w:tcPr>
            <w:tcW w:w="1274"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120</w:t>
            </w:r>
          </w:p>
        </w:tc>
        <w:tc>
          <w:tcPr>
            <w:tcW w:w="1953"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310</w:t>
            </w:r>
          </w:p>
        </w:tc>
      </w:tr>
    </w:tbl>
    <w:p>
      <w:pPr>
        <w:pStyle w:val="31"/>
        <w:tabs>
          <w:tab w:val="left" w:pos="0"/>
        </w:tabs>
        <w:spacing w:line="360" w:lineRule="auto"/>
        <w:ind w:left="465" w:hanging="405" w:hangingChars="193"/>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color w:val="000000"/>
          <w:sz w:val="21"/>
          <w:szCs w:val="21"/>
          <w:lang w:val="en-US" w:eastAsia="zh-CN"/>
        </w:rPr>
        <w:t xml:space="preserve">  </w:t>
      </w:r>
      <w:r>
        <w:rPr>
          <w:rFonts w:hint="eastAsia" w:ascii="宋体" w:hAnsi="宋体" w:eastAsia="宋体" w:cs="宋体"/>
          <w:b w:val="0"/>
          <w:bCs/>
          <w:color w:val="000000"/>
          <w:sz w:val="24"/>
          <w:szCs w:val="24"/>
          <w:lang w:val="en-US" w:eastAsia="zh-CN"/>
        </w:rPr>
        <w:t>货架焊接强度指标：</w:t>
      </w:r>
      <w:r>
        <w:rPr>
          <w:rFonts w:hint="eastAsia" w:ascii="宋体" w:hAnsi="宋体" w:eastAsia="宋体" w:cs="宋体"/>
          <w:b w:val="0"/>
          <w:bCs w:val="0"/>
          <w:kern w:val="2"/>
          <w:sz w:val="24"/>
          <w:szCs w:val="24"/>
          <w:lang w:val="en-US" w:eastAsia="zh-CN" w:bidi="ar-SA"/>
        </w:rPr>
        <w:t>（JB/T5323—91指标N/mm2）</w:t>
      </w:r>
    </w:p>
    <w:tbl>
      <w:tblPr>
        <w:tblStyle w:val="33"/>
        <w:tblW w:w="9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1562"/>
        <w:gridCol w:w="1170"/>
        <w:gridCol w:w="1172"/>
        <w:gridCol w:w="1173"/>
        <w:gridCol w:w="2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778" w:type="dxa"/>
            <w:gridSpan w:val="2"/>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钢材</w:t>
            </w:r>
          </w:p>
        </w:tc>
        <w:tc>
          <w:tcPr>
            <w:tcW w:w="3515" w:type="dxa"/>
            <w:gridSpan w:val="3"/>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对接焊缝</w:t>
            </w:r>
          </w:p>
        </w:tc>
        <w:tc>
          <w:tcPr>
            <w:tcW w:w="2586"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角焊缝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16"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钢号</w:t>
            </w:r>
          </w:p>
        </w:tc>
        <w:tc>
          <w:tcPr>
            <w:tcW w:w="1562"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钢材种类</w:t>
            </w:r>
          </w:p>
        </w:tc>
        <w:tc>
          <w:tcPr>
            <w:tcW w:w="1170"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抗拉</w:t>
            </w:r>
          </w:p>
        </w:tc>
        <w:tc>
          <w:tcPr>
            <w:tcW w:w="1172"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抗压</w:t>
            </w:r>
          </w:p>
        </w:tc>
        <w:tc>
          <w:tcPr>
            <w:tcW w:w="1173"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抗剪</w:t>
            </w:r>
          </w:p>
        </w:tc>
        <w:tc>
          <w:tcPr>
            <w:tcW w:w="2586"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抗拉、抗压、抗弯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16"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Q235（SS400）</w:t>
            </w:r>
          </w:p>
        </w:tc>
        <w:tc>
          <w:tcPr>
            <w:tcW w:w="1562"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冷弯型钢</w:t>
            </w:r>
          </w:p>
        </w:tc>
        <w:tc>
          <w:tcPr>
            <w:tcW w:w="1170"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175</w:t>
            </w:r>
          </w:p>
        </w:tc>
        <w:tc>
          <w:tcPr>
            <w:tcW w:w="1172"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205</w:t>
            </w:r>
          </w:p>
        </w:tc>
        <w:tc>
          <w:tcPr>
            <w:tcW w:w="1173"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120</w:t>
            </w:r>
          </w:p>
        </w:tc>
        <w:tc>
          <w:tcPr>
            <w:tcW w:w="2586"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140</w:t>
            </w:r>
          </w:p>
        </w:tc>
      </w:tr>
    </w:tbl>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4.托盘供货产品技术要求：</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4.1塑料托盘颜色为蓝，色标为：CMYK: C100  M80  Y0  K10 或RGB: R0  G59  B144。</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4.2产品材质：无回填料的全新聚乙烯（HDPE）新料（无刺激性气味，无毒无害气体散发），所用材料需耐腐蚀，不得添加再生料。质保期两年，质保期内由于质量问题导致的损坏，按一个损坏托盘换一个新托盘比例给予免费更换。更换的运费由厂家承担，如不符合要求，使用方有权要求退换货。</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4.3托盘外观：托盘表面应平整无飞边、无影响使用的裂纹和变形，单个托盘上不得有明显色差，同批产品色泽一致。</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4.4托盘置钢管示意图：8根镀锌钢管，钢管厚度1.5mm。</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4.5托盘使用温度范围温度要求：零上40度至零下20度的温度范围内正常使用。</w:t>
      </w:r>
    </w:p>
    <w:p>
      <w:pPr>
        <w:spacing w:line="420" w:lineRule="exact"/>
        <w:ind w:firstLine="480" w:firstLineChars="200"/>
        <w:rPr>
          <w:rFonts w:hint="eastAsia" w:ascii="宋体" w:hAnsi="宋体"/>
          <w:b w:val="0"/>
          <w:bCs/>
          <w:color w:val="000000"/>
          <w:sz w:val="24"/>
          <w:szCs w:val="24"/>
          <w:highlight w:val="none"/>
          <w:lang w:val="en-US" w:eastAsia="zh-CN"/>
        </w:rPr>
      </w:pPr>
      <w:r>
        <w:rPr>
          <w:rFonts w:hint="eastAsia" w:ascii="宋体" w:hAnsi="宋体"/>
          <w:b w:val="0"/>
          <w:bCs/>
          <w:color w:val="000000"/>
          <w:sz w:val="24"/>
          <w:szCs w:val="24"/>
          <w:highlight w:val="none"/>
          <w:lang w:val="en-US" w:eastAsia="zh-CN"/>
        </w:rPr>
        <w:t>4.6托盘总重量：23.7±0.5公斤，托盘聚乙烯重量：16.5±0.5公斤。</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4.7技术标准：托盘技术标准参照国家标准GB/T15234-94中的要求。</w:t>
      </w:r>
    </w:p>
    <w:p>
      <w:pPr>
        <w:spacing w:line="420" w:lineRule="exact"/>
        <w:ind w:firstLine="480" w:firstLineChars="200"/>
        <w:rPr>
          <w:rFonts w:hint="default" w:ascii="宋体" w:hAnsi="宋体"/>
          <w:b w:val="0"/>
          <w:bCs/>
          <w:color w:val="000000"/>
          <w:sz w:val="24"/>
          <w:szCs w:val="24"/>
          <w:lang w:val="en-US" w:eastAsia="zh-CN"/>
        </w:rPr>
      </w:pPr>
      <w:r>
        <w:rPr>
          <w:rFonts w:hint="eastAsia" w:ascii="宋体" w:hAnsi="宋体"/>
          <w:b w:val="0"/>
          <w:bCs/>
          <w:color w:val="000000"/>
          <w:sz w:val="24"/>
          <w:szCs w:val="24"/>
          <w:lang w:val="en-US" w:eastAsia="zh-CN"/>
        </w:rPr>
        <w:t>5.产品示意图:</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5.1货架示意图样</w:t>
      </w:r>
    </w:p>
    <w:p>
      <w:pPr>
        <w:spacing w:line="360" w:lineRule="auto"/>
        <w:ind w:firstLine="480" w:firstLineChars="200"/>
        <w:rPr>
          <w:rFonts w:hint="eastAsia" w:eastAsia="仿宋"/>
          <w:szCs w:val="21"/>
          <w:lang w:val="en-US" w:eastAsia="zh-CN"/>
        </w:rPr>
      </w:pPr>
      <w:r>
        <w:rPr>
          <w:rFonts w:hint="eastAsia" w:ascii="宋体" w:hAnsi="宋体"/>
          <w:b w:val="0"/>
          <w:bCs/>
          <w:color w:val="000000"/>
          <w:sz w:val="24"/>
          <w:szCs w:val="24"/>
          <w:lang w:val="en-US" w:eastAsia="zh-CN"/>
        </w:rPr>
        <w:drawing>
          <wp:anchor distT="0" distB="0" distL="114300" distR="114300" simplePos="0" relativeHeight="251659264" behindDoc="0" locked="0" layoutInCell="1" allowOverlap="1">
            <wp:simplePos x="0" y="0"/>
            <wp:positionH relativeFrom="column">
              <wp:posOffset>915035</wp:posOffset>
            </wp:positionH>
            <wp:positionV relativeFrom="paragraph">
              <wp:posOffset>38735</wp:posOffset>
            </wp:positionV>
            <wp:extent cx="4185920" cy="2506980"/>
            <wp:effectExtent l="0" t="0" r="5080" b="762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rcRect t="21477"/>
                    <a:stretch>
                      <a:fillRect/>
                    </a:stretch>
                  </pic:blipFill>
                  <pic:spPr>
                    <a:xfrm>
                      <a:off x="0" y="0"/>
                      <a:ext cx="4185920" cy="2506980"/>
                    </a:xfrm>
                    <a:prstGeom prst="rect">
                      <a:avLst/>
                    </a:prstGeom>
                    <a:noFill/>
                    <a:ln>
                      <a:noFill/>
                    </a:ln>
                  </pic:spPr>
                </pic:pic>
              </a:graphicData>
            </a:graphic>
          </wp:anchor>
        </w:drawing>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5.2塑料托盘示意图样</w:t>
      </w:r>
    </w:p>
    <w:p>
      <w:pPr>
        <w:pStyle w:val="31"/>
        <w:tabs>
          <w:tab w:val="left" w:pos="0"/>
        </w:tabs>
        <w:spacing w:line="360" w:lineRule="auto"/>
        <w:ind w:left="479" w:leftChars="228" w:firstLine="15" w:firstLineChars="7"/>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sz w:val="21"/>
          <w:szCs w:val="21"/>
        </w:rPr>
        <w:drawing>
          <wp:anchor distT="0" distB="0" distL="114300" distR="114300" simplePos="0" relativeHeight="251660288" behindDoc="0" locked="0" layoutInCell="1" allowOverlap="1">
            <wp:simplePos x="0" y="0"/>
            <wp:positionH relativeFrom="column">
              <wp:posOffset>1249045</wp:posOffset>
            </wp:positionH>
            <wp:positionV relativeFrom="paragraph">
              <wp:posOffset>38100</wp:posOffset>
            </wp:positionV>
            <wp:extent cx="3802380" cy="2837815"/>
            <wp:effectExtent l="0" t="0" r="7620" b="635"/>
            <wp:wrapTopAndBottom/>
            <wp:docPr id="3" name="图片 5" descr="托盘置钢管实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托盘置钢管实例图"/>
                    <pic:cNvPicPr>
                      <a:picLocks noChangeAspect="1"/>
                    </pic:cNvPicPr>
                  </pic:nvPicPr>
                  <pic:blipFill>
                    <a:blip r:embed="rId31"/>
                    <a:stretch>
                      <a:fillRect/>
                    </a:stretch>
                  </pic:blipFill>
                  <pic:spPr>
                    <a:xfrm>
                      <a:off x="0" y="0"/>
                      <a:ext cx="3802380" cy="2837815"/>
                    </a:xfrm>
                    <a:prstGeom prst="rect">
                      <a:avLst/>
                    </a:prstGeom>
                    <a:noFill/>
                    <a:ln>
                      <a:noFill/>
                    </a:ln>
                  </pic:spPr>
                </pic:pic>
              </a:graphicData>
            </a:graphic>
          </wp:anchor>
        </w:drawing>
      </w:r>
    </w:p>
    <w:p>
      <w:pPr>
        <w:spacing w:line="360" w:lineRule="auto"/>
        <w:ind w:firstLine="480" w:firstLineChars="200"/>
        <w:rPr>
          <w:rFonts w:hint="eastAsia" w:ascii="宋体" w:hAnsi="宋体" w:eastAsia="宋体" w:cs="宋体"/>
          <w:sz w:val="24"/>
          <w:szCs w:val="24"/>
          <w:lang w:val="en-US" w:eastAsia="zh-CN"/>
        </w:rPr>
      </w:pPr>
    </w:p>
    <w:p>
      <w:pPr>
        <w:spacing w:line="360" w:lineRule="auto"/>
        <w:ind w:firstLine="480" w:firstLineChars="200"/>
        <w:rPr>
          <w:rFonts w:hint="eastAsia" w:ascii="宋体" w:hAnsi="宋体" w:eastAsia="宋体" w:cs="宋体"/>
          <w:sz w:val="24"/>
          <w:szCs w:val="24"/>
          <w:lang w:val="en-US" w:eastAsia="zh-CN"/>
        </w:rPr>
      </w:pP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5.3防撞护栏示意图样</w:t>
      </w:r>
    </w:p>
    <w:p>
      <w:pPr>
        <w:rPr>
          <w:rFonts w:eastAsia="仿宋"/>
          <w:b/>
          <w:szCs w:val="21"/>
        </w:rPr>
      </w:pPr>
      <w:r>
        <w:drawing>
          <wp:anchor distT="0" distB="0" distL="114300" distR="114300" simplePos="0" relativeHeight="251661312" behindDoc="1" locked="0" layoutInCell="1" allowOverlap="1">
            <wp:simplePos x="0" y="0"/>
            <wp:positionH relativeFrom="column">
              <wp:posOffset>1090295</wp:posOffset>
            </wp:positionH>
            <wp:positionV relativeFrom="paragraph">
              <wp:posOffset>161290</wp:posOffset>
            </wp:positionV>
            <wp:extent cx="3594100" cy="1466215"/>
            <wp:effectExtent l="0" t="0" r="6350" b="63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2"/>
                    <a:stretch>
                      <a:fillRect/>
                    </a:stretch>
                  </pic:blipFill>
                  <pic:spPr>
                    <a:xfrm>
                      <a:off x="0" y="0"/>
                      <a:ext cx="3594100" cy="1466215"/>
                    </a:xfrm>
                    <a:prstGeom prst="rect">
                      <a:avLst/>
                    </a:prstGeom>
                    <a:noFill/>
                    <a:ln>
                      <a:noFill/>
                    </a:ln>
                  </pic:spPr>
                </pic:pic>
              </a:graphicData>
            </a:graphic>
          </wp:anchor>
        </w:drawing>
      </w:r>
    </w:p>
    <w:p>
      <w:pPr>
        <w:spacing w:line="420" w:lineRule="exact"/>
        <w:ind w:firstLine="480" w:firstLineChars="200"/>
        <w:rPr>
          <w:rFonts w:hint="eastAsia" w:ascii="宋体" w:hAnsi="宋体"/>
          <w:b/>
          <w:color w:val="000000"/>
          <w:sz w:val="24"/>
          <w:szCs w:val="24"/>
          <w:lang w:val="en-US" w:eastAsia="zh-CN"/>
        </w:rPr>
      </w:pPr>
    </w:p>
    <w:p>
      <w:pPr>
        <w:spacing w:line="420" w:lineRule="exact"/>
        <w:ind w:firstLine="480" w:firstLineChars="200"/>
        <w:rPr>
          <w:rFonts w:hint="eastAsia" w:ascii="宋体" w:hAnsi="宋体"/>
          <w:b/>
          <w:color w:val="000000"/>
          <w:sz w:val="24"/>
          <w:szCs w:val="24"/>
          <w:lang w:val="en-US" w:eastAsia="zh-CN"/>
        </w:rPr>
      </w:pPr>
    </w:p>
    <w:p>
      <w:pPr>
        <w:spacing w:line="420" w:lineRule="exact"/>
        <w:ind w:firstLine="480" w:firstLineChars="200"/>
        <w:rPr>
          <w:rFonts w:hint="eastAsia" w:ascii="宋体" w:hAnsi="宋体"/>
          <w:b/>
          <w:color w:val="000000"/>
          <w:sz w:val="24"/>
          <w:szCs w:val="24"/>
          <w:lang w:val="en-US" w:eastAsia="zh-CN"/>
        </w:rPr>
      </w:pPr>
    </w:p>
    <w:p>
      <w:pPr>
        <w:spacing w:line="420" w:lineRule="exact"/>
        <w:ind w:firstLine="480" w:firstLineChars="200"/>
        <w:rPr>
          <w:rFonts w:hint="eastAsia" w:ascii="宋体" w:hAnsi="宋体"/>
          <w:b/>
          <w:color w:val="000000"/>
          <w:sz w:val="24"/>
          <w:szCs w:val="24"/>
          <w:lang w:val="en-US" w:eastAsia="zh-CN"/>
        </w:rPr>
      </w:pPr>
    </w:p>
    <w:p>
      <w:pPr>
        <w:spacing w:line="420" w:lineRule="exact"/>
        <w:ind w:firstLine="480" w:firstLineChars="200"/>
        <w:rPr>
          <w:rFonts w:hint="eastAsia" w:ascii="宋体" w:hAnsi="宋体"/>
          <w:b/>
          <w:color w:val="000000"/>
          <w:sz w:val="24"/>
          <w:szCs w:val="24"/>
          <w:lang w:val="en-US" w:eastAsia="zh-CN"/>
        </w:rPr>
      </w:pPr>
    </w:p>
    <w:p>
      <w:pPr>
        <w:spacing w:line="420" w:lineRule="exact"/>
        <w:ind w:firstLine="480" w:firstLineChars="200"/>
        <w:rPr>
          <w:rFonts w:hint="eastAsia" w:ascii="宋体" w:hAnsi="宋体"/>
          <w:b/>
          <w:color w:val="000000"/>
          <w:sz w:val="24"/>
          <w:szCs w:val="24"/>
          <w:lang w:val="en-US" w:eastAsia="zh-CN"/>
        </w:rPr>
      </w:pPr>
    </w:p>
    <w:p>
      <w:pPr>
        <w:spacing w:line="420" w:lineRule="exact"/>
        <w:ind w:firstLine="480" w:firstLineChars="200"/>
        <w:rPr>
          <w:rFonts w:hint="default" w:ascii="宋体" w:hAnsi="宋体"/>
          <w:b/>
          <w:color w:val="000000"/>
          <w:sz w:val="24"/>
          <w:szCs w:val="24"/>
          <w:lang w:val="en-US" w:eastAsia="zh-CN"/>
        </w:rPr>
      </w:pPr>
      <w:r>
        <w:rPr>
          <w:rFonts w:hint="eastAsia" w:ascii="宋体" w:hAnsi="宋体"/>
          <w:b w:val="0"/>
          <w:bCs/>
          <w:color w:val="000000"/>
          <w:sz w:val="24"/>
          <w:szCs w:val="24"/>
          <w:lang w:val="en-US" w:eastAsia="zh-CN"/>
        </w:rPr>
        <w:t>5.4</w:t>
      </w:r>
      <w:r>
        <w:rPr>
          <w:rFonts w:hint="eastAsia" w:ascii="宋体" w:hAnsi="宋体" w:eastAsia="宋体" w:cs="宋体"/>
          <w:sz w:val="24"/>
          <w:szCs w:val="24"/>
          <w:lang w:val="en-US" w:eastAsia="zh-CN"/>
        </w:rPr>
        <w:t>防撞护</w:t>
      </w:r>
      <w:r>
        <w:rPr>
          <w:rFonts w:hint="eastAsia" w:ascii="宋体" w:hAnsi="宋体" w:cs="宋体"/>
          <w:sz w:val="24"/>
          <w:szCs w:val="24"/>
          <w:lang w:val="en-US" w:eastAsia="zh-CN"/>
        </w:rPr>
        <w:t>角</w:t>
      </w:r>
      <w:r>
        <w:rPr>
          <w:rFonts w:hint="eastAsia" w:ascii="宋体" w:hAnsi="宋体" w:eastAsia="宋体" w:cs="宋体"/>
          <w:sz w:val="24"/>
          <w:szCs w:val="24"/>
          <w:lang w:val="en-US" w:eastAsia="zh-CN"/>
        </w:rPr>
        <w:t>意图样</w:t>
      </w:r>
    </w:p>
    <w:p>
      <w:pPr>
        <w:spacing w:line="420" w:lineRule="exact"/>
        <w:ind w:firstLine="480" w:firstLineChars="200"/>
        <w:rPr>
          <w:rFonts w:hint="eastAsia" w:ascii="宋体" w:hAnsi="宋体"/>
          <w:b/>
          <w:color w:val="000000"/>
          <w:sz w:val="24"/>
          <w:szCs w:val="24"/>
          <w:lang w:val="en-US" w:eastAsia="zh-CN"/>
        </w:rPr>
      </w:pPr>
      <w:r>
        <w:rPr>
          <w:rFonts w:hint="eastAsia" w:ascii="宋体" w:hAnsi="宋体"/>
          <w:b/>
          <w:color w:val="000000"/>
          <w:sz w:val="24"/>
          <w:szCs w:val="24"/>
          <w:lang w:val="en-US" w:eastAsia="zh-CN"/>
        </w:rPr>
        <w:drawing>
          <wp:anchor distT="0" distB="0" distL="114300" distR="114300" simplePos="0" relativeHeight="251661312" behindDoc="0" locked="0" layoutInCell="1" allowOverlap="1">
            <wp:simplePos x="0" y="0"/>
            <wp:positionH relativeFrom="column">
              <wp:posOffset>1125220</wp:posOffset>
            </wp:positionH>
            <wp:positionV relativeFrom="paragraph">
              <wp:posOffset>174625</wp:posOffset>
            </wp:positionV>
            <wp:extent cx="3585210" cy="2306955"/>
            <wp:effectExtent l="0" t="0" r="5715" b="7620"/>
            <wp:wrapTopAndBottom/>
            <wp:docPr id="2" name="图片 2" descr="44de8cfaa303299e675c768420b1f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4de8cfaa303299e675c768420b1fac3"/>
                    <pic:cNvPicPr>
                      <a:picLocks noChangeAspect="1"/>
                    </pic:cNvPicPr>
                  </pic:nvPicPr>
                  <pic:blipFill>
                    <a:blip r:embed="rId33"/>
                    <a:stretch>
                      <a:fillRect/>
                    </a:stretch>
                  </pic:blipFill>
                  <pic:spPr>
                    <a:xfrm>
                      <a:off x="0" y="0"/>
                      <a:ext cx="3585210" cy="2306955"/>
                    </a:xfrm>
                    <a:prstGeom prst="rect">
                      <a:avLst/>
                    </a:prstGeom>
                  </pic:spPr>
                </pic:pic>
              </a:graphicData>
            </a:graphic>
          </wp:anchor>
        </w:drawing>
      </w:r>
    </w:p>
    <w:p>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lang w:val="en-US" w:eastAsia="zh-CN"/>
        </w:rPr>
        <w:t>六、</w:t>
      </w:r>
      <w:r>
        <w:rPr>
          <w:rFonts w:hint="eastAsia" w:ascii="宋体" w:hAnsi="宋体"/>
          <w:b/>
          <w:color w:val="000000"/>
          <w:sz w:val="24"/>
          <w:szCs w:val="24"/>
        </w:rPr>
        <w:t>采购货物特别说明</w:t>
      </w:r>
    </w:p>
    <w:p>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招标方所列货物的名称和规格型号，如为某一供应商所特有，则该名称和规格型号可作参考；但要求投标方所提供的货物必须满足本技术标书实质性要求。</w:t>
      </w:r>
    </w:p>
    <w:p>
      <w:pPr>
        <w:pStyle w:val="59"/>
        <w:rPr>
          <w:rFonts w:hint="eastAsia"/>
        </w:rPr>
      </w:pPr>
      <w:r>
        <w:rPr>
          <w:rFonts w:ascii="宋体" w:hAnsi="宋体"/>
        </w:rPr>
        <w:br w:type="page"/>
      </w:r>
      <w:bookmarkStart w:id="25" w:name="_Toc465187641"/>
      <w:r>
        <w:rPr>
          <w:rFonts w:hint="eastAsia"/>
        </w:rPr>
        <w:t>第</w:t>
      </w:r>
      <w:r>
        <w:rPr>
          <w:rFonts w:hint="eastAsia"/>
          <w:lang w:val="en-US" w:eastAsia="zh-CN"/>
        </w:rPr>
        <w:t>三</w:t>
      </w:r>
      <w:r>
        <w:rPr>
          <w:rFonts w:hint="eastAsia"/>
        </w:rPr>
        <w:t>章  技术要求</w:t>
      </w:r>
    </w:p>
    <w:p>
      <w:pPr>
        <w:pStyle w:val="81"/>
      </w:pPr>
      <w:r>
        <w:rPr>
          <w:rFonts w:hint="eastAsia"/>
        </w:rPr>
        <w:t>一、特别提示</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ascii="黑体" w:hAnsi="宋体" w:eastAsia="黑体"/>
          <w:color w:val="000000"/>
          <w:sz w:val="24"/>
          <w:szCs w:val="24"/>
        </w:rPr>
      </w:pPr>
      <w:r>
        <w:rPr>
          <w:rFonts w:hint="eastAsia" w:ascii="宋体" w:hAnsi="宋体"/>
          <w:color w:val="000000"/>
          <w:sz w:val="24"/>
          <w:szCs w:val="24"/>
        </w:rPr>
        <w:t>2、本技术要求所使用的标准、规范等，如与投标方所执行的标准、规范不一致时，应按高于本技术要求所列的标准、规范执行。</w:t>
      </w:r>
    </w:p>
    <w:p>
      <w:pPr>
        <w:spacing w:line="360" w:lineRule="auto"/>
        <w:ind w:firstLine="480" w:firstLineChars="200"/>
        <w:rPr>
          <w:rFonts w:hint="eastAsia" w:ascii="黑体" w:hAnsi="宋体" w:eastAsia="黑体"/>
          <w:color w:val="000000"/>
          <w:sz w:val="24"/>
          <w:szCs w:val="24"/>
        </w:rPr>
      </w:pPr>
      <w:r>
        <w:rPr>
          <w:rFonts w:hint="eastAsia" w:ascii="宋体" w:hAnsi="宋体"/>
          <w:color w:val="000000"/>
          <w:sz w:val="24"/>
          <w:szCs w:val="24"/>
        </w:rPr>
        <w:t>3、投标方认为所供货物必需由招标方配备、解决或提供的其它要求，如设备基础隔振和减振设施、软化水、洁净气源等，均应在投标文件“技术偏离”中予以充分说明。</w:t>
      </w:r>
    </w:p>
    <w:p>
      <w:pPr>
        <w:spacing w:line="360" w:lineRule="auto"/>
        <w:ind w:firstLine="480" w:firstLineChars="200"/>
        <w:rPr>
          <w:rFonts w:ascii="宋体" w:hAnsi="宋体"/>
          <w:color w:val="000000"/>
          <w:sz w:val="24"/>
          <w:szCs w:val="24"/>
        </w:rPr>
      </w:pPr>
      <w:r>
        <w:rPr>
          <w:rFonts w:hint="eastAsia" w:ascii="宋体" w:hAnsi="宋体"/>
          <w:bCs/>
          <w:color w:val="000000"/>
          <w:sz w:val="24"/>
          <w:szCs w:val="24"/>
        </w:rPr>
        <w:t>4、投标方应根据招投标货物具体要求，提出</w:t>
      </w:r>
      <w:r>
        <w:rPr>
          <w:rFonts w:hint="eastAsia" w:ascii="宋体" w:hAnsi="宋体"/>
          <w:color w:val="000000"/>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ascii="宋体" w:hAnsi="宋体"/>
          <w:color w:val="000000"/>
          <w:sz w:val="24"/>
          <w:szCs w:val="24"/>
        </w:rPr>
      </w:pPr>
      <w:r>
        <w:rPr>
          <w:rFonts w:hint="eastAsia"/>
          <w:color w:val="000000"/>
          <w:sz w:val="24"/>
          <w:szCs w:val="24"/>
        </w:rPr>
        <w:t>5、无论是否有技术偏离，投标方均应在投标文件“技术偏离”中明确</w:t>
      </w:r>
      <w:r>
        <w:rPr>
          <w:rFonts w:hint="eastAsia" w:ascii="宋体" w:hAnsi="宋体"/>
          <w:color w:val="000000"/>
          <w:sz w:val="24"/>
          <w:szCs w:val="24"/>
        </w:rPr>
        <w:t>作出有无说明。</w:t>
      </w:r>
      <w:r>
        <w:rPr>
          <w:rFonts w:hint="eastAsia"/>
          <w:color w:val="000000"/>
          <w:sz w:val="24"/>
          <w:szCs w:val="24"/>
        </w:rPr>
        <w:t>若有异议，不管是多么微小，</w:t>
      </w:r>
      <w:r>
        <w:rPr>
          <w:rFonts w:hint="eastAsia" w:ascii="宋体" w:hAnsi="宋体"/>
          <w:color w:val="000000"/>
          <w:sz w:val="24"/>
          <w:szCs w:val="24"/>
        </w:rPr>
        <w:t>投标方必须予以明确和详细的说明或澄清。</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6、为避免投标方优势在招标评审时漏项，质保期超出本技术标书要求的，应当在投标文件“技术偏离”中特别注明。</w:t>
      </w:r>
    </w:p>
    <w:p>
      <w:pPr>
        <w:pStyle w:val="81"/>
        <w:rPr>
          <w:rFonts w:hint="eastAsia"/>
        </w:rPr>
      </w:pPr>
      <w:r>
        <w:rPr>
          <w:rFonts w:hint="eastAsia"/>
        </w:rPr>
        <w:t>二、基本要求</w:t>
      </w:r>
    </w:p>
    <w:bookmarkEnd w:id="25"/>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设计、制造、安装、检验标准：按中华人民共和国国家标准及相应的全国性行业标准或者国际通用标准进行。适用标准包括但不仅限于以下清单所列标准：</w:t>
      </w:r>
    </w:p>
    <w:tbl>
      <w:tblPr>
        <w:tblStyle w:val="33"/>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2300"/>
        <w:gridCol w:w="5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1</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JB/T5323-91</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立体仓库焊接式钢结构货架设计技术条件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2</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CECS23：90</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钢货架结构设计规范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3</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GB50017–2003</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钢结构设计规范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4</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GB50018–2002</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冷弯薄壁型钢结构技术规范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5</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Q/ZB74</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焊接通用技术条件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6</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GB700</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碳素结构钢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7</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GJ12–1973</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机械加工通用技术条件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8</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GB1804</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公差与配合默契 线性尺寸的未注公差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9</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GB1184</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形状和位置公差 未注公差的规定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10</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GB50011</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建筑抗震设计规范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11</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JIS S1040–1994</w:t>
            </w:r>
          </w:p>
        </w:tc>
        <w:tc>
          <w:tcPr>
            <w:tcW w:w="5913" w:type="dxa"/>
            <w:noWrap w:val="0"/>
            <w:vAlign w:val="center"/>
          </w:tcPr>
          <w:p>
            <w:pPr>
              <w:spacing w:line="420" w:lineRule="auto"/>
              <w:jc w:val="left"/>
              <w:rPr>
                <w:rFonts w:hint="eastAsia" w:ascii="宋体" w:hAnsi="宋体" w:eastAsia="宋体" w:cs="宋体"/>
                <w:sz w:val="22"/>
                <w:szCs w:val="22"/>
              </w:rPr>
            </w:pPr>
            <w:r>
              <w:rPr>
                <w:rFonts w:hint="eastAsia" w:ascii="宋体" w:hAnsi="宋体" w:eastAsia="宋体" w:cs="宋体"/>
                <w:sz w:val="22"/>
                <w:szCs w:val="22"/>
              </w:rPr>
              <w:t>钢制货架</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等效采用的国际标准：</w:t>
      </w:r>
    </w:p>
    <w:tbl>
      <w:tblPr>
        <w:tblStyle w:val="33"/>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2287"/>
        <w:gridCol w:w="5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3"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1</w:t>
            </w:r>
          </w:p>
        </w:tc>
        <w:tc>
          <w:tcPr>
            <w:tcW w:w="2287" w:type="dxa"/>
            <w:noWrap w:val="0"/>
            <w:vAlign w:val="center"/>
          </w:tcPr>
          <w:p>
            <w:pPr>
              <w:jc w:val="left"/>
              <w:rPr>
                <w:rFonts w:hint="eastAsia" w:ascii="宋体" w:hAnsi="宋体" w:eastAsia="宋体" w:cs="宋体"/>
                <w:sz w:val="22"/>
                <w:szCs w:val="22"/>
              </w:rPr>
            </w:pPr>
            <w:r>
              <w:rPr>
                <w:rFonts w:hint="eastAsia" w:ascii="宋体" w:hAnsi="宋体" w:eastAsia="宋体" w:cs="宋体"/>
                <w:sz w:val="22"/>
                <w:szCs w:val="22"/>
              </w:rPr>
              <w:t>FEM9.831</w:t>
            </w:r>
          </w:p>
        </w:tc>
        <w:tc>
          <w:tcPr>
            <w:tcW w:w="5967" w:type="dxa"/>
            <w:noWrap w:val="0"/>
            <w:vAlign w:val="center"/>
          </w:tcPr>
          <w:p>
            <w:pPr>
              <w:jc w:val="left"/>
              <w:rPr>
                <w:rFonts w:hint="eastAsia" w:ascii="宋体" w:hAnsi="宋体" w:eastAsia="宋体" w:cs="宋体"/>
                <w:sz w:val="22"/>
                <w:szCs w:val="22"/>
              </w:rPr>
            </w:pPr>
            <w:r>
              <w:rPr>
                <w:rFonts w:hint="eastAsia" w:ascii="宋体" w:hAnsi="宋体" w:eastAsia="宋体" w:cs="宋体"/>
                <w:sz w:val="22"/>
                <w:szCs w:val="22"/>
              </w:rPr>
              <w:t>欧洲物料搬运协会钢结构货架设计规范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3"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2</w:t>
            </w:r>
          </w:p>
        </w:tc>
        <w:tc>
          <w:tcPr>
            <w:tcW w:w="2287" w:type="dxa"/>
            <w:noWrap w:val="0"/>
            <w:vAlign w:val="center"/>
          </w:tcPr>
          <w:p>
            <w:pPr>
              <w:jc w:val="left"/>
              <w:rPr>
                <w:rFonts w:hint="eastAsia" w:ascii="宋体" w:hAnsi="宋体" w:eastAsia="宋体" w:cs="宋体"/>
                <w:sz w:val="22"/>
                <w:szCs w:val="22"/>
              </w:rPr>
            </w:pPr>
            <w:r>
              <w:rPr>
                <w:rFonts w:hint="eastAsia" w:ascii="宋体" w:hAnsi="宋体" w:eastAsia="宋体" w:cs="宋体"/>
                <w:sz w:val="22"/>
                <w:szCs w:val="22"/>
              </w:rPr>
              <w:t>FEM10.2.02</w:t>
            </w:r>
          </w:p>
        </w:tc>
        <w:tc>
          <w:tcPr>
            <w:tcW w:w="5967" w:type="dxa"/>
            <w:noWrap w:val="0"/>
            <w:vAlign w:val="center"/>
          </w:tcPr>
          <w:p>
            <w:pPr>
              <w:jc w:val="left"/>
              <w:rPr>
                <w:rFonts w:hint="eastAsia" w:ascii="宋体" w:hAnsi="宋体" w:eastAsia="宋体" w:cs="宋体"/>
                <w:sz w:val="22"/>
                <w:szCs w:val="22"/>
              </w:rPr>
            </w:pPr>
            <w:r>
              <w:rPr>
                <w:rFonts w:hint="eastAsia" w:ascii="宋体" w:hAnsi="宋体" w:eastAsia="宋体" w:cs="宋体"/>
                <w:sz w:val="22"/>
                <w:szCs w:val="22"/>
              </w:rPr>
              <w:t>欧洲物料搬运协会钢结构货架设计规范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543"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3</w:t>
            </w:r>
          </w:p>
        </w:tc>
        <w:tc>
          <w:tcPr>
            <w:tcW w:w="2287" w:type="dxa"/>
            <w:noWrap w:val="0"/>
            <w:vAlign w:val="center"/>
          </w:tcPr>
          <w:p>
            <w:pPr>
              <w:jc w:val="left"/>
              <w:rPr>
                <w:rFonts w:hint="eastAsia" w:ascii="宋体" w:hAnsi="宋体" w:eastAsia="宋体" w:cs="宋体"/>
                <w:sz w:val="22"/>
                <w:szCs w:val="22"/>
              </w:rPr>
            </w:pPr>
            <w:r>
              <w:rPr>
                <w:rFonts w:hint="eastAsia" w:ascii="宋体" w:hAnsi="宋体" w:eastAsia="宋体" w:cs="宋体"/>
                <w:sz w:val="22"/>
                <w:szCs w:val="22"/>
              </w:rPr>
              <w:t>ANSI/MH16.1–2004</w:t>
            </w:r>
          </w:p>
        </w:tc>
        <w:tc>
          <w:tcPr>
            <w:tcW w:w="5967" w:type="dxa"/>
            <w:noWrap w:val="0"/>
            <w:vAlign w:val="center"/>
          </w:tcPr>
          <w:p>
            <w:pPr>
              <w:jc w:val="left"/>
              <w:rPr>
                <w:rFonts w:hint="eastAsia" w:ascii="宋体" w:hAnsi="宋体" w:eastAsia="宋体" w:cs="宋体"/>
                <w:sz w:val="22"/>
                <w:szCs w:val="22"/>
              </w:rPr>
            </w:pPr>
            <w:r>
              <w:rPr>
                <w:rFonts w:hint="eastAsia" w:ascii="宋体" w:hAnsi="宋体" w:eastAsia="宋体" w:cs="宋体"/>
                <w:sz w:val="22"/>
                <w:szCs w:val="22"/>
              </w:rPr>
              <w:t>美国工业存储货架规范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3"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4</w:t>
            </w:r>
          </w:p>
        </w:tc>
        <w:tc>
          <w:tcPr>
            <w:tcW w:w="2287" w:type="dxa"/>
            <w:noWrap w:val="0"/>
            <w:vAlign w:val="center"/>
          </w:tcPr>
          <w:p>
            <w:pPr>
              <w:jc w:val="left"/>
              <w:rPr>
                <w:rFonts w:hint="eastAsia" w:ascii="宋体" w:hAnsi="宋体" w:eastAsia="宋体" w:cs="宋体"/>
                <w:sz w:val="22"/>
                <w:szCs w:val="22"/>
              </w:rPr>
            </w:pPr>
            <w:r>
              <w:rPr>
                <w:rFonts w:hint="eastAsia" w:ascii="宋体" w:hAnsi="宋体" w:eastAsia="宋体" w:cs="宋体"/>
                <w:sz w:val="22"/>
                <w:szCs w:val="22"/>
              </w:rPr>
              <w:t>RMI 2002</w:t>
            </w:r>
          </w:p>
        </w:tc>
        <w:tc>
          <w:tcPr>
            <w:tcW w:w="5967" w:type="dxa"/>
            <w:noWrap w:val="0"/>
            <w:vAlign w:val="center"/>
          </w:tcPr>
          <w:p>
            <w:pPr>
              <w:jc w:val="left"/>
              <w:rPr>
                <w:rFonts w:hint="eastAsia" w:ascii="宋体" w:hAnsi="宋体" w:eastAsia="宋体" w:cs="宋体"/>
                <w:sz w:val="22"/>
                <w:szCs w:val="22"/>
              </w:rPr>
            </w:pPr>
            <w:r>
              <w:rPr>
                <w:rFonts w:hint="eastAsia" w:ascii="宋体" w:hAnsi="宋体" w:eastAsia="宋体" w:cs="宋体"/>
                <w:sz w:val="22"/>
                <w:szCs w:val="22"/>
              </w:rPr>
              <w:t>美国货架设计标准―货架制造研究所</w:t>
            </w:r>
          </w:p>
        </w:tc>
      </w:tr>
    </w:tbl>
    <w:p>
      <w:pPr>
        <w:tabs>
          <w:tab w:val="left" w:pos="0"/>
        </w:tabs>
        <w:outlineLvl w:val="1"/>
        <w:rPr>
          <w:rFonts w:hint="eastAsia" w:ascii="宋体" w:hAnsi="宋体" w:eastAsia="宋体" w:cs="宋体"/>
          <w:b/>
          <w:color w:val="000000"/>
          <w:sz w:val="22"/>
          <w:szCs w:val="22"/>
        </w:rPr>
      </w:pPr>
      <w:r>
        <w:rPr>
          <w:rFonts w:hint="eastAsia" w:ascii="宋体" w:hAnsi="宋体" w:eastAsia="宋体" w:cs="宋体"/>
          <w:b/>
          <w:color w:val="000000"/>
          <w:sz w:val="22"/>
          <w:szCs w:val="22"/>
          <w:lang w:val="en-US" w:eastAsia="zh-CN"/>
        </w:rPr>
        <w:t>2、</w:t>
      </w:r>
      <w:r>
        <w:rPr>
          <w:rFonts w:hint="eastAsia" w:ascii="宋体" w:hAnsi="宋体" w:eastAsia="宋体" w:cs="宋体"/>
          <w:b/>
          <w:color w:val="000000"/>
          <w:sz w:val="22"/>
          <w:szCs w:val="22"/>
        </w:rPr>
        <w:t>关于文件及技术资料一般性要求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1提供合同设备的所有技术文件和图纸资料。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每套设备图纸应满足下列要求：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2.2.1</w:t>
      </w:r>
      <w:r>
        <w:rPr>
          <w:rFonts w:hint="eastAsia" w:ascii="宋体" w:hAnsi="宋体" w:eastAsia="宋体" w:cs="宋体"/>
          <w:sz w:val="24"/>
          <w:szCs w:val="24"/>
        </w:rPr>
        <w:t>标明详细的结构尺寸、材料以及其它辅助设备的重量、外形、必要的剖面图；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2.2.2</w:t>
      </w:r>
      <w:r>
        <w:rPr>
          <w:rFonts w:hint="eastAsia" w:ascii="宋体" w:hAnsi="宋体" w:eastAsia="宋体" w:cs="宋体"/>
          <w:color w:val="000000"/>
          <w:sz w:val="24"/>
          <w:szCs w:val="24"/>
        </w:rPr>
        <w:t>配套设备的合格证、质量检验报告等相关资料。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2.3</w:t>
      </w:r>
      <w:r>
        <w:rPr>
          <w:rFonts w:hint="eastAsia" w:ascii="宋体" w:hAnsi="宋体" w:eastAsia="宋体" w:cs="宋体"/>
          <w:sz w:val="24"/>
          <w:szCs w:val="24"/>
        </w:rPr>
        <w:t>中文</w:t>
      </w:r>
      <w:r>
        <w:rPr>
          <w:rFonts w:hint="eastAsia" w:ascii="宋体" w:hAnsi="宋体" w:eastAsia="宋体" w:cs="宋体"/>
          <w:color w:val="000000"/>
          <w:sz w:val="24"/>
          <w:szCs w:val="24"/>
        </w:rPr>
        <w:t>版操作和保养手册（或使用说明书）：卖方应提供所有机械、电气、特殊设备及控制系统的操作和保养手册（或使用说明书），用于指导工作人员试验、试运转、操作和保养设备，这些手册（或者使用说明书）应包括设备说明手册、维修手册、操作说明手册、简明数据手册等。</w:t>
      </w:r>
    </w:p>
    <w:p>
      <w:pPr>
        <w:pStyle w:val="31"/>
        <w:keepNext w:val="0"/>
        <w:keepLines w:val="0"/>
        <w:pageBreakBefore w:val="0"/>
        <w:widowControl w:val="0"/>
        <w:tabs>
          <w:tab w:val="left" w:pos="0"/>
        </w:tabs>
        <w:kinsoku/>
        <w:wordWrap/>
        <w:overflowPunct/>
        <w:topLinePunct w:val="0"/>
        <w:autoSpaceDE/>
        <w:autoSpaceDN/>
        <w:bidi w:val="0"/>
        <w:adjustRightInd/>
        <w:snapToGrid/>
        <w:spacing w:before="0" w:after="0" w:line="360" w:lineRule="auto"/>
        <w:ind w:left="407" w:hanging="464" w:hangingChars="193"/>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lang w:val="en-US" w:eastAsia="zh-CN"/>
        </w:rPr>
        <w:t>3</w:t>
      </w:r>
      <w:r>
        <w:rPr>
          <w:rFonts w:hint="eastAsia" w:ascii="宋体" w:hAnsi="宋体" w:eastAsia="宋体" w:cs="宋体"/>
          <w:bCs w:val="0"/>
          <w:color w:val="000000"/>
          <w:sz w:val="24"/>
          <w:szCs w:val="24"/>
        </w:rPr>
        <w:t>、交工验收一般性要求</w:t>
      </w:r>
    </w:p>
    <w:p>
      <w:pPr>
        <w:tabs>
          <w:tab w:val="left" w:pos="0"/>
        </w:tabs>
        <w:ind w:firstLine="480" w:firstLineChars="200"/>
        <w:outlineLvl w:val="1"/>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仓储货架及围栏设施</w:t>
      </w:r>
      <w:r>
        <w:rPr>
          <w:rFonts w:hint="eastAsia" w:ascii="宋体" w:hAnsi="宋体" w:eastAsia="宋体" w:cs="宋体"/>
          <w:color w:val="000000"/>
          <w:sz w:val="24"/>
          <w:szCs w:val="24"/>
        </w:rPr>
        <w:t>终验收在甲方所在地进行，验收按合同、技术协议、乙方提供的自检报告</w:t>
      </w:r>
      <w:r>
        <w:rPr>
          <w:rFonts w:hint="eastAsia" w:ascii="宋体" w:hAnsi="宋体" w:eastAsia="宋体" w:cs="宋体"/>
          <w:color w:val="000000"/>
          <w:sz w:val="24"/>
          <w:szCs w:val="24"/>
          <w:lang w:eastAsia="zh-CN"/>
        </w:rPr>
        <w:t>。</w:t>
      </w:r>
    </w:p>
    <w:p>
      <w:pPr>
        <w:tabs>
          <w:tab w:val="left" w:pos="0"/>
        </w:tabs>
        <w:outlineLvl w:val="1"/>
        <w:rPr>
          <w:rFonts w:hint="eastAsia" w:ascii="宋体" w:hAnsi="宋体" w:eastAsia="宋体" w:cs="宋体"/>
          <w:b/>
          <w:color w:val="000000"/>
          <w:sz w:val="22"/>
          <w:szCs w:val="22"/>
        </w:rPr>
      </w:pPr>
      <w:r>
        <w:rPr>
          <w:rFonts w:hint="eastAsia" w:ascii="宋体" w:hAnsi="宋体" w:eastAsia="宋体" w:cs="宋体"/>
          <w:color w:val="000000"/>
          <w:sz w:val="22"/>
          <w:szCs w:val="22"/>
          <w:lang w:val="en-US" w:eastAsia="zh-CN"/>
        </w:rPr>
        <w:t>4</w:t>
      </w:r>
      <w:r>
        <w:rPr>
          <w:rFonts w:hint="eastAsia" w:ascii="宋体" w:hAnsi="宋体" w:eastAsia="宋体" w:cs="宋体"/>
          <w:b/>
          <w:color w:val="000000"/>
          <w:sz w:val="22"/>
          <w:szCs w:val="22"/>
        </w:rPr>
        <w:t>、 备品备件和专用工具</w:t>
      </w:r>
    </w:p>
    <w:p>
      <w:pPr>
        <w:rPr>
          <w:rFonts w:hint="eastAsia" w:ascii="宋体" w:hAnsi="宋体" w:eastAsia="宋体" w:cs="宋体"/>
          <w:color w:val="000000"/>
          <w:sz w:val="22"/>
          <w:szCs w:val="22"/>
        </w:rPr>
      </w:pPr>
      <w:r>
        <w:rPr>
          <w:rFonts w:hint="eastAsia" w:ascii="宋体" w:hAnsi="宋体" w:eastAsia="宋体" w:cs="宋体"/>
          <w:color w:val="000000"/>
          <w:sz w:val="22"/>
          <w:szCs w:val="22"/>
        </w:rPr>
        <w:t xml:space="preserve">   </w:t>
      </w:r>
      <w:r>
        <w:rPr>
          <w:rFonts w:hint="eastAsia" w:ascii="宋体" w:hAnsi="宋体" w:eastAsia="宋体" w:cs="宋体"/>
          <w:color w:val="000000"/>
          <w:sz w:val="24"/>
          <w:szCs w:val="24"/>
        </w:rPr>
        <w:t xml:space="preserve"> 由供货方随机提供所有专用工具。</w:t>
      </w:r>
    </w:p>
    <w:p>
      <w:pPr>
        <w:rPr>
          <w:rFonts w:hint="eastAsia" w:ascii="宋体" w:hAnsi="宋体" w:eastAsia="宋体" w:cs="宋体"/>
          <w:sz w:val="22"/>
          <w:szCs w:val="21"/>
        </w:rPr>
      </w:pPr>
      <w:bookmarkStart w:id="26" w:name="_Toc465187642"/>
      <w:r>
        <w:rPr>
          <w:rFonts w:hint="eastAsia" w:ascii="宋体" w:hAnsi="宋体" w:eastAsia="宋体" w:cs="宋体"/>
          <w:sz w:val="22"/>
          <w:szCs w:val="21"/>
        </w:rPr>
        <w:br w:type="page"/>
      </w:r>
    </w:p>
    <w:p>
      <w:pPr>
        <w:pStyle w:val="59"/>
        <w:rPr>
          <w:rFonts w:hint="eastAsia"/>
        </w:rPr>
      </w:pPr>
      <w:r>
        <w:rPr>
          <w:rFonts w:hint="eastAsia"/>
        </w:rPr>
        <w:t>第</w:t>
      </w:r>
      <w:r>
        <w:rPr>
          <w:rFonts w:hint="eastAsia"/>
          <w:lang w:val="en-US" w:eastAsia="zh-CN"/>
        </w:rPr>
        <w:t>四</w:t>
      </w:r>
      <w:r>
        <w:rPr>
          <w:rFonts w:hint="eastAsia"/>
        </w:rPr>
        <w:t>章  供货范围及供货方式</w:t>
      </w:r>
      <w:bookmarkEnd w:id="26"/>
    </w:p>
    <w:p>
      <w:pPr>
        <w:pStyle w:val="81"/>
        <w:rPr>
          <w:rFonts w:ascii="Times New Roman" w:hAnsi="Times New Roman"/>
        </w:rPr>
      </w:pPr>
      <w:bookmarkStart w:id="27" w:name="_Toc465187643"/>
      <w:r>
        <w:rPr>
          <w:rFonts w:ascii="Times New Roman" w:hAnsi="Times New Roman"/>
        </w:rPr>
        <w:t>第一节  供货范围</w:t>
      </w:r>
      <w:bookmarkEnd w:id="27"/>
    </w:p>
    <w:p>
      <w:pPr>
        <w:spacing w:line="420" w:lineRule="exact"/>
        <w:ind w:firstLine="480" w:firstLineChars="200"/>
        <w:rPr>
          <w:rFonts w:eastAsia="黑体"/>
          <w:color w:val="000000"/>
          <w:sz w:val="24"/>
          <w:szCs w:val="24"/>
        </w:rPr>
      </w:pPr>
      <w:r>
        <w:rPr>
          <w:rFonts w:eastAsia="黑体"/>
          <w:color w:val="000000"/>
          <w:sz w:val="24"/>
          <w:szCs w:val="24"/>
        </w:rPr>
        <w:t>一、供货范围</w:t>
      </w:r>
    </w:p>
    <w:p>
      <w:pPr>
        <w:spacing w:line="420" w:lineRule="exact"/>
        <w:ind w:firstLine="480" w:firstLineChars="200"/>
        <w:rPr>
          <w:b/>
          <w:color w:val="000000"/>
          <w:sz w:val="24"/>
          <w:szCs w:val="24"/>
        </w:rPr>
      </w:pPr>
      <w:r>
        <w:rPr>
          <w:b/>
          <w:color w:val="000000"/>
          <w:sz w:val="24"/>
          <w:szCs w:val="24"/>
        </w:rPr>
        <w:t>（一）一般界定</w:t>
      </w:r>
    </w:p>
    <w:p>
      <w:pPr>
        <w:spacing w:line="420" w:lineRule="exact"/>
        <w:ind w:firstLine="480" w:firstLineChars="200"/>
        <w:rPr>
          <w:color w:val="000000"/>
          <w:sz w:val="24"/>
          <w:szCs w:val="24"/>
        </w:rPr>
      </w:pPr>
      <w:r>
        <w:rPr>
          <w:color w:val="000000"/>
          <w:sz w:val="24"/>
          <w:szCs w:val="24"/>
        </w:rPr>
        <w:t>1、包括本技术标书所列明的主要货物以及货物正常运行所必需的全套连线设备、材料等。</w:t>
      </w:r>
    </w:p>
    <w:p>
      <w:pPr>
        <w:spacing w:line="420" w:lineRule="exact"/>
        <w:ind w:firstLine="480" w:firstLineChars="200"/>
        <w:rPr>
          <w:color w:val="000000"/>
          <w:sz w:val="24"/>
          <w:szCs w:val="24"/>
        </w:rPr>
      </w:pPr>
      <w:r>
        <w:rPr>
          <w:color w:val="000000"/>
          <w:sz w:val="24"/>
          <w:szCs w:val="24"/>
        </w:rPr>
        <w:t>2、包括为保证货物正常安装、调试和验收完成及以前所必需的整套配件、附件及材料等。</w:t>
      </w:r>
    </w:p>
    <w:p>
      <w:pPr>
        <w:spacing w:line="420" w:lineRule="exact"/>
        <w:ind w:firstLine="480" w:firstLineChars="200"/>
        <w:rPr>
          <w:color w:val="000000"/>
          <w:sz w:val="24"/>
          <w:szCs w:val="24"/>
        </w:rPr>
      </w:pPr>
      <w:r>
        <w:rPr>
          <w:color w:val="000000"/>
          <w:sz w:val="24"/>
          <w:szCs w:val="24"/>
        </w:rPr>
        <w:t>如果终验收完成后，卖方有需要收回的配件、附件、材料等，应当在投标文件的技术偏离条款中，予以详细说明；否则视同包括在供货范围之内。</w:t>
      </w:r>
    </w:p>
    <w:p>
      <w:pPr>
        <w:spacing w:line="420" w:lineRule="exact"/>
        <w:ind w:firstLine="480" w:firstLineChars="200"/>
        <w:rPr>
          <w:color w:val="000000"/>
          <w:sz w:val="24"/>
          <w:szCs w:val="24"/>
        </w:rPr>
      </w:pPr>
      <w:r>
        <w:rPr>
          <w:color w:val="000000"/>
          <w:sz w:val="24"/>
          <w:szCs w:val="24"/>
        </w:rPr>
        <w:t>3、包括货物维护维修所必需的专用工具。</w:t>
      </w:r>
    </w:p>
    <w:p>
      <w:pPr>
        <w:spacing w:line="420" w:lineRule="exact"/>
        <w:ind w:firstLine="480" w:firstLineChars="200"/>
        <w:rPr>
          <w:color w:val="000000"/>
          <w:sz w:val="24"/>
          <w:szCs w:val="24"/>
        </w:rPr>
      </w:pPr>
      <w:r>
        <w:rPr>
          <w:color w:val="000000"/>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420" w:lineRule="exact"/>
        <w:ind w:firstLine="480" w:firstLineChars="200"/>
        <w:rPr>
          <w:color w:val="000000"/>
          <w:sz w:val="24"/>
          <w:szCs w:val="24"/>
        </w:rPr>
      </w:pPr>
      <w:r>
        <w:rPr>
          <w:color w:val="000000"/>
          <w:sz w:val="24"/>
          <w:szCs w:val="24"/>
        </w:rPr>
        <w:t>包括为保证货物自身正常运行所必需的、满足使用地点环境条件的通风、冷却、降温等必需设施。</w:t>
      </w:r>
    </w:p>
    <w:p>
      <w:pPr>
        <w:spacing w:line="420" w:lineRule="exact"/>
        <w:ind w:firstLine="480" w:firstLineChars="200"/>
        <w:rPr>
          <w:color w:val="000000"/>
          <w:sz w:val="24"/>
          <w:szCs w:val="24"/>
        </w:rPr>
      </w:pPr>
      <w:r>
        <w:rPr>
          <w:color w:val="000000"/>
          <w:sz w:val="24"/>
          <w:szCs w:val="24"/>
        </w:rPr>
        <w:t>如投标方难以提供或无优势提供以及属于选用配置的，则应当在投标文件的技术偏离条款中，予以详细说明并注明投标报价未包含该部分的货值。</w:t>
      </w:r>
    </w:p>
    <w:p>
      <w:pPr>
        <w:spacing w:line="420" w:lineRule="exact"/>
        <w:ind w:firstLine="480" w:firstLineChars="200"/>
        <w:rPr>
          <w:b/>
          <w:color w:val="000000"/>
          <w:sz w:val="24"/>
          <w:szCs w:val="24"/>
        </w:rPr>
      </w:pPr>
      <w:r>
        <w:rPr>
          <w:b/>
          <w:color w:val="000000"/>
          <w:sz w:val="24"/>
          <w:szCs w:val="24"/>
        </w:rPr>
        <w:t>（二）供货范围边界界定</w:t>
      </w:r>
    </w:p>
    <w:p>
      <w:pPr>
        <w:spacing w:line="420" w:lineRule="exact"/>
        <w:ind w:firstLine="480" w:firstLineChars="200"/>
        <w:rPr>
          <w:color w:val="000000"/>
          <w:sz w:val="24"/>
          <w:szCs w:val="24"/>
        </w:rPr>
      </w:pPr>
      <w:r>
        <w:rPr>
          <w:color w:val="000000"/>
          <w:sz w:val="24"/>
          <w:szCs w:val="24"/>
        </w:rPr>
        <w:t>1、买方提供货物所需的建筑物（如厂房等）和构筑物（如混凝土池、砼基础等），包含正常安装施工所需的预埋件（如穿管、预埋螺栓、螺母及垫片）。</w:t>
      </w:r>
    </w:p>
    <w:p>
      <w:pPr>
        <w:spacing w:line="420" w:lineRule="exact"/>
        <w:ind w:firstLine="480" w:firstLineChars="200"/>
        <w:rPr>
          <w:color w:val="000000"/>
          <w:sz w:val="24"/>
          <w:szCs w:val="24"/>
        </w:rPr>
      </w:pPr>
      <w:r>
        <w:rPr>
          <w:color w:val="000000"/>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420" w:lineRule="exact"/>
        <w:ind w:firstLine="480" w:firstLineChars="200"/>
        <w:rPr>
          <w:color w:val="000000"/>
          <w:sz w:val="24"/>
          <w:szCs w:val="24"/>
        </w:rPr>
      </w:pPr>
      <w:r>
        <w:rPr>
          <w:color w:val="000000"/>
          <w:sz w:val="24"/>
          <w:szCs w:val="24"/>
        </w:rPr>
        <w:t>如果投标方认为能源系统接口地点以及操控地点之间的货物数量不清或难以界定，应当以书面方式询标或以单价方式报价；否则视同满足招标方要求。</w:t>
      </w:r>
    </w:p>
    <w:p>
      <w:pPr>
        <w:spacing w:line="420" w:lineRule="exact"/>
        <w:ind w:firstLine="480" w:firstLineChars="200"/>
        <w:rPr>
          <w:color w:val="000000"/>
          <w:sz w:val="24"/>
          <w:szCs w:val="24"/>
        </w:rPr>
      </w:pPr>
      <w:r>
        <w:rPr>
          <w:color w:val="000000"/>
          <w:sz w:val="24"/>
          <w:szCs w:val="24"/>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420" w:lineRule="exact"/>
        <w:ind w:firstLine="480" w:firstLineChars="200"/>
        <w:rPr>
          <w:color w:val="000000"/>
          <w:sz w:val="24"/>
          <w:szCs w:val="24"/>
        </w:rPr>
      </w:pPr>
      <w:r>
        <w:rPr>
          <w:color w:val="000000"/>
          <w:sz w:val="24"/>
          <w:szCs w:val="24"/>
        </w:rPr>
        <w:t>4、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p>
    <w:p>
      <w:pPr>
        <w:spacing w:line="420" w:lineRule="exact"/>
        <w:ind w:firstLine="480" w:firstLineChars="200"/>
        <w:rPr>
          <w:rFonts w:eastAsia="黑体"/>
          <w:color w:val="000000"/>
          <w:sz w:val="24"/>
          <w:szCs w:val="24"/>
        </w:rPr>
      </w:pPr>
      <w:r>
        <w:rPr>
          <w:rFonts w:eastAsia="黑体"/>
          <w:color w:val="000000"/>
          <w:sz w:val="24"/>
          <w:szCs w:val="24"/>
        </w:rPr>
        <w:t>二、备品备件、易损件和专用耗材供货范围</w:t>
      </w:r>
    </w:p>
    <w:p>
      <w:pPr>
        <w:spacing w:line="420" w:lineRule="exact"/>
        <w:ind w:firstLine="480" w:firstLineChars="200"/>
        <w:rPr>
          <w:color w:val="000000"/>
          <w:sz w:val="24"/>
          <w:szCs w:val="24"/>
        </w:rPr>
      </w:pPr>
      <w:r>
        <w:rPr>
          <w:color w:val="000000"/>
          <w:sz w:val="24"/>
          <w:szCs w:val="24"/>
        </w:rPr>
        <w:t>1、备品备件、易损件和专用耗材是招标方为保证货物质保期之后正常运行一年所自备自用的备品备件、易损件和专用耗材。</w:t>
      </w:r>
    </w:p>
    <w:p>
      <w:pPr>
        <w:spacing w:line="420" w:lineRule="exact"/>
        <w:ind w:firstLine="480" w:firstLineChars="200"/>
        <w:rPr>
          <w:color w:val="000000"/>
          <w:sz w:val="24"/>
          <w:szCs w:val="24"/>
        </w:rPr>
      </w:pPr>
      <w:r>
        <w:rPr>
          <w:color w:val="000000"/>
          <w:sz w:val="24"/>
          <w:szCs w:val="24"/>
        </w:rPr>
        <w:t>质保期之内正常需要的备品备件、易损件和专用耗材全部包括在供货范围之内而不属于本条款界定的范围（应有明细）。</w:t>
      </w:r>
    </w:p>
    <w:p>
      <w:pPr>
        <w:spacing w:line="420" w:lineRule="exact"/>
        <w:ind w:firstLine="480" w:firstLineChars="200"/>
        <w:rPr>
          <w:color w:val="000000"/>
          <w:sz w:val="24"/>
          <w:szCs w:val="24"/>
        </w:rPr>
      </w:pPr>
      <w:r>
        <w:rPr>
          <w:color w:val="000000"/>
          <w:sz w:val="24"/>
          <w:szCs w:val="24"/>
        </w:rPr>
        <w:t>2、供货范围包括易损件和专用耗材的制造图纸及其技术要求等资料，如涉及专有技术或无法提供，应在投标文件中予以澄清或说明。</w:t>
      </w:r>
    </w:p>
    <w:p>
      <w:pPr>
        <w:spacing w:line="420" w:lineRule="exact"/>
        <w:ind w:firstLine="480" w:firstLineChars="200"/>
        <w:rPr>
          <w:rFonts w:eastAsia="黑体"/>
          <w:color w:val="000000"/>
          <w:sz w:val="24"/>
          <w:szCs w:val="24"/>
        </w:rPr>
      </w:pPr>
      <w:r>
        <w:rPr>
          <w:rFonts w:eastAsia="黑体"/>
          <w:color w:val="000000"/>
          <w:sz w:val="24"/>
          <w:szCs w:val="24"/>
        </w:rPr>
        <w:t>三、技术资料供货范围</w:t>
      </w:r>
    </w:p>
    <w:p>
      <w:pPr>
        <w:spacing w:line="420" w:lineRule="exact"/>
        <w:ind w:firstLine="480" w:firstLineChars="200"/>
        <w:rPr>
          <w:color w:val="000000"/>
          <w:sz w:val="24"/>
          <w:szCs w:val="24"/>
        </w:rPr>
      </w:pPr>
      <w:r>
        <w:rPr>
          <w:color w:val="000000"/>
          <w:sz w:val="24"/>
          <w:szCs w:val="24"/>
        </w:rPr>
        <w:t>技术资料供货范围包括：</w:t>
      </w:r>
    </w:p>
    <w:p>
      <w:pPr>
        <w:spacing w:line="420" w:lineRule="exact"/>
        <w:ind w:firstLine="480" w:firstLineChars="200"/>
        <w:rPr>
          <w:bCs/>
          <w:color w:val="000000"/>
          <w:sz w:val="24"/>
          <w:szCs w:val="24"/>
        </w:rPr>
      </w:pPr>
      <w:r>
        <w:rPr>
          <w:color w:val="000000"/>
          <w:sz w:val="24"/>
          <w:szCs w:val="24"/>
        </w:rPr>
        <w:t>1、在</w:t>
      </w:r>
      <w:r>
        <w:rPr>
          <w:bCs/>
          <w:color w:val="000000"/>
          <w:sz w:val="24"/>
          <w:szCs w:val="24"/>
        </w:rPr>
        <w:t>合同签订后</w:t>
      </w:r>
      <w:r>
        <w:rPr>
          <w:bCs/>
          <w:color w:val="000000"/>
          <w:sz w:val="24"/>
          <w:szCs w:val="24"/>
          <w:u w:val="single"/>
          <w:shd w:val="pct10" w:color="auto" w:fill="FFFFFF"/>
        </w:rPr>
        <w:t>30</w:t>
      </w:r>
      <w:r>
        <w:rPr>
          <w:bCs/>
          <w:color w:val="000000"/>
          <w:sz w:val="24"/>
          <w:szCs w:val="24"/>
        </w:rPr>
        <w:t>个日历日内，提供货物基础及相关的设计、制作所需的纸质及电子版资料；电子版文件应当能够使用常用版本软件可以阅读甚至使用，进口货物、设备应有中外文对照。</w:t>
      </w:r>
    </w:p>
    <w:p>
      <w:pPr>
        <w:spacing w:line="420" w:lineRule="exact"/>
        <w:ind w:firstLine="480" w:firstLineChars="200"/>
        <w:rPr>
          <w:color w:val="000000"/>
          <w:sz w:val="24"/>
          <w:szCs w:val="24"/>
        </w:rPr>
      </w:pPr>
      <w:r>
        <w:rPr>
          <w:color w:val="000000"/>
          <w:sz w:val="24"/>
          <w:szCs w:val="24"/>
        </w:rPr>
        <w:t>2、在预验收前，</w:t>
      </w:r>
      <w:r>
        <w:rPr>
          <w:bCs/>
          <w:color w:val="000000"/>
          <w:sz w:val="24"/>
          <w:szCs w:val="24"/>
        </w:rPr>
        <w:t>提供货物各部分的功能描述文件、图片、影像等资料（进口、设备应有中外文对照）。</w:t>
      </w:r>
    </w:p>
    <w:p>
      <w:pPr>
        <w:spacing w:line="420" w:lineRule="exact"/>
        <w:ind w:firstLine="480" w:firstLineChars="200"/>
        <w:rPr>
          <w:color w:val="000000"/>
          <w:sz w:val="24"/>
          <w:szCs w:val="24"/>
        </w:rPr>
      </w:pPr>
      <w:r>
        <w:rPr>
          <w:color w:val="000000"/>
          <w:sz w:val="24"/>
          <w:szCs w:val="24"/>
        </w:rPr>
        <w:t>3、在终验收前，提供为保证货物后续正常运行所需的工装、吊（挂）具明细及其图纸、具体技术要求等资料（如果供货范围包含该部分实物）。</w:t>
      </w:r>
    </w:p>
    <w:p>
      <w:pPr>
        <w:spacing w:line="420" w:lineRule="exact"/>
        <w:ind w:firstLine="480" w:firstLineChars="200"/>
        <w:rPr>
          <w:color w:val="000000"/>
          <w:sz w:val="24"/>
          <w:szCs w:val="24"/>
        </w:rPr>
      </w:pPr>
      <w:r>
        <w:rPr>
          <w:color w:val="000000"/>
          <w:sz w:val="24"/>
          <w:szCs w:val="24"/>
        </w:rPr>
        <w:t>4、在终验收前，提供确定的维修所需要且买方可以自行采购的外购件、外协件、电气元件及主要原材料的供货厂家明细表。</w:t>
      </w:r>
    </w:p>
    <w:p>
      <w:pPr>
        <w:spacing w:line="420" w:lineRule="exact"/>
        <w:ind w:firstLine="480" w:firstLineChars="200"/>
        <w:rPr>
          <w:color w:val="000000"/>
          <w:sz w:val="24"/>
          <w:szCs w:val="24"/>
        </w:rPr>
      </w:pPr>
      <w:r>
        <w:rPr>
          <w:color w:val="000000"/>
          <w:sz w:val="24"/>
          <w:szCs w:val="24"/>
        </w:rPr>
        <w:t>5、在终验收后、终验收后的第一笔货款支付日之前，提供包括货物的备品备件、易损件和专用耗材的图纸及技术参数、技术要求等资料。</w:t>
      </w:r>
    </w:p>
    <w:p>
      <w:pPr>
        <w:spacing w:line="420" w:lineRule="exact"/>
        <w:ind w:firstLine="480" w:firstLineChars="200"/>
        <w:rPr>
          <w:color w:val="000000"/>
          <w:sz w:val="24"/>
          <w:szCs w:val="24"/>
        </w:rPr>
      </w:pPr>
      <w:r>
        <w:rPr>
          <w:color w:val="000000"/>
          <w:sz w:val="24"/>
          <w:szCs w:val="24"/>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420" w:lineRule="exact"/>
        <w:ind w:firstLine="480" w:firstLineChars="200"/>
        <w:rPr>
          <w:color w:val="000000"/>
          <w:sz w:val="24"/>
          <w:szCs w:val="24"/>
        </w:rPr>
      </w:pPr>
      <w:r>
        <w:rPr>
          <w:color w:val="000000"/>
          <w:sz w:val="24"/>
          <w:szCs w:val="24"/>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420" w:lineRule="exact"/>
        <w:ind w:firstLine="480" w:firstLineChars="200"/>
        <w:rPr>
          <w:color w:val="000000"/>
          <w:sz w:val="24"/>
          <w:szCs w:val="24"/>
        </w:rPr>
      </w:pPr>
      <w:r>
        <w:rPr>
          <w:color w:val="000000"/>
          <w:sz w:val="24"/>
          <w:szCs w:val="24"/>
        </w:rPr>
        <w:t>8、本条款所列要求，如招标方认为投标方提供的资料不能满足要求时，有权要求投标方免费补充或增加。</w:t>
      </w:r>
    </w:p>
    <w:p>
      <w:pPr>
        <w:spacing w:line="420" w:lineRule="exact"/>
        <w:ind w:firstLine="480" w:firstLineChars="200"/>
        <w:rPr>
          <w:rFonts w:eastAsia="黑体"/>
          <w:color w:val="000000"/>
          <w:sz w:val="24"/>
          <w:szCs w:val="24"/>
        </w:rPr>
      </w:pPr>
      <w:r>
        <w:rPr>
          <w:rFonts w:eastAsia="黑体"/>
          <w:color w:val="000000"/>
          <w:sz w:val="24"/>
          <w:szCs w:val="24"/>
        </w:rPr>
        <w:t>四、供货范围特别提示</w:t>
      </w:r>
    </w:p>
    <w:p>
      <w:pPr>
        <w:spacing w:line="420" w:lineRule="exact"/>
        <w:ind w:firstLine="480" w:firstLineChars="200"/>
        <w:rPr>
          <w:color w:val="000000"/>
          <w:sz w:val="24"/>
          <w:szCs w:val="24"/>
        </w:rPr>
      </w:pPr>
      <w:r>
        <w:rPr>
          <w:color w:val="000000"/>
          <w:sz w:val="24"/>
          <w:szCs w:val="24"/>
        </w:rPr>
        <w:t>如果投标方认为本节所列的供货范围难以满足，则仍需要按照本要求提供，但该部分货物应当在投标报价中单独列明货物名称及品质、货值。</w:t>
      </w:r>
    </w:p>
    <w:p>
      <w:pPr>
        <w:pStyle w:val="81"/>
        <w:rPr>
          <w:rFonts w:ascii="Times New Roman" w:hAnsi="Times New Roman"/>
        </w:rPr>
      </w:pPr>
      <w:bookmarkStart w:id="28" w:name="_Toc465187644"/>
      <w:r>
        <w:rPr>
          <w:rFonts w:ascii="Times New Roman" w:hAnsi="Times New Roman"/>
        </w:rPr>
        <w:t>第二节  供货方式</w:t>
      </w:r>
      <w:bookmarkEnd w:id="28"/>
    </w:p>
    <w:p>
      <w:pPr>
        <w:spacing w:line="420" w:lineRule="exact"/>
        <w:ind w:firstLine="480" w:firstLineChars="200"/>
        <w:rPr>
          <w:b/>
          <w:color w:val="000000"/>
          <w:sz w:val="24"/>
          <w:szCs w:val="24"/>
        </w:rPr>
      </w:pPr>
      <w:r>
        <w:rPr>
          <w:b/>
          <w:color w:val="000000"/>
          <w:sz w:val="24"/>
          <w:szCs w:val="24"/>
        </w:rPr>
        <w:t>一、供货方式</w:t>
      </w:r>
    </w:p>
    <w:p>
      <w:pPr>
        <w:spacing w:line="420" w:lineRule="exact"/>
        <w:ind w:firstLine="480" w:firstLineChars="200"/>
        <w:rPr>
          <w:color w:val="000000"/>
          <w:sz w:val="24"/>
          <w:szCs w:val="24"/>
        </w:rPr>
      </w:pPr>
      <w:r>
        <w:rPr>
          <w:color w:val="000000"/>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spacing w:line="420" w:lineRule="exact"/>
        <w:ind w:firstLine="480" w:firstLineChars="200"/>
        <w:rPr>
          <w:color w:val="000000"/>
          <w:sz w:val="24"/>
          <w:szCs w:val="24"/>
        </w:rPr>
      </w:pPr>
      <w:r>
        <w:rPr>
          <w:rFonts w:eastAsia="黑体"/>
          <w:color w:val="000000"/>
          <w:sz w:val="24"/>
          <w:szCs w:val="24"/>
        </w:rPr>
        <w:t>二、供货地点：济南市</w:t>
      </w:r>
      <w:r>
        <w:rPr>
          <w:rFonts w:hint="eastAsia" w:eastAsia="黑体"/>
          <w:color w:val="000000"/>
          <w:sz w:val="24"/>
          <w:szCs w:val="24"/>
        </w:rPr>
        <w:t>莱芜</w:t>
      </w:r>
      <w:r>
        <w:rPr>
          <w:rFonts w:eastAsia="黑体"/>
          <w:color w:val="000000"/>
          <w:sz w:val="24"/>
          <w:szCs w:val="24"/>
        </w:rPr>
        <w:t>区</w:t>
      </w:r>
    </w:p>
    <w:p>
      <w:pPr>
        <w:spacing w:line="420" w:lineRule="exact"/>
        <w:ind w:firstLine="480" w:firstLineChars="200"/>
        <w:jc w:val="left"/>
        <w:rPr>
          <w:rFonts w:eastAsia="黑体"/>
          <w:color w:val="000000"/>
          <w:sz w:val="24"/>
          <w:szCs w:val="24"/>
        </w:rPr>
      </w:pPr>
      <w:r>
        <w:rPr>
          <w:rFonts w:eastAsia="黑体"/>
          <w:color w:val="000000"/>
          <w:sz w:val="24"/>
          <w:szCs w:val="24"/>
        </w:rPr>
        <w:t>三、供货时间</w:t>
      </w:r>
    </w:p>
    <w:p>
      <w:pPr>
        <w:spacing w:line="420" w:lineRule="exact"/>
        <w:ind w:firstLine="480" w:firstLineChars="200"/>
        <w:jc w:val="left"/>
        <w:rPr>
          <w:color w:val="000000"/>
          <w:sz w:val="24"/>
          <w:szCs w:val="24"/>
        </w:rPr>
      </w:pPr>
      <w:r>
        <w:rPr>
          <w:color w:val="000000"/>
          <w:sz w:val="24"/>
          <w:szCs w:val="24"/>
        </w:rPr>
        <w:t>1、自合同签定生效之日起，</w:t>
      </w:r>
      <w:r>
        <w:rPr>
          <w:rFonts w:hint="eastAsia"/>
          <w:color w:val="000000"/>
          <w:sz w:val="24"/>
          <w:szCs w:val="24"/>
          <w:lang w:val="en-US" w:eastAsia="zh-CN"/>
        </w:rPr>
        <w:t>根据招标方要求分批交货，一般交货周期在30</w:t>
      </w:r>
      <w:r>
        <w:rPr>
          <w:color w:val="000000"/>
          <w:sz w:val="24"/>
          <w:szCs w:val="24"/>
        </w:rPr>
        <w:t>个日历日之内。</w:t>
      </w:r>
    </w:p>
    <w:p>
      <w:pPr>
        <w:spacing w:line="420" w:lineRule="exact"/>
        <w:ind w:firstLine="480" w:firstLineChars="200"/>
        <w:jc w:val="left"/>
        <w:rPr>
          <w:color w:val="000000"/>
          <w:sz w:val="24"/>
          <w:szCs w:val="24"/>
        </w:rPr>
      </w:pPr>
      <w:r>
        <w:rPr>
          <w:color w:val="000000"/>
          <w:sz w:val="24"/>
          <w:szCs w:val="24"/>
        </w:rPr>
        <w:t>2、接续</w:t>
      </w:r>
      <w:r>
        <w:rPr>
          <w:rFonts w:hint="eastAsia"/>
          <w:color w:val="000000"/>
          <w:sz w:val="24"/>
          <w:szCs w:val="24"/>
          <w:u w:val="single"/>
          <w:shd w:val="pct10" w:color="auto" w:fill="FFFFFF"/>
          <w:lang w:val="en-US" w:eastAsia="zh-CN"/>
        </w:rPr>
        <w:t>15</w:t>
      </w:r>
      <w:r>
        <w:rPr>
          <w:color w:val="000000"/>
          <w:sz w:val="24"/>
          <w:szCs w:val="24"/>
        </w:rPr>
        <w:t>个日历日之内安装调试（或指导安装调试）完毕。</w:t>
      </w:r>
    </w:p>
    <w:p>
      <w:pPr>
        <w:spacing w:line="420" w:lineRule="exact"/>
        <w:ind w:firstLine="480" w:firstLineChars="200"/>
        <w:jc w:val="left"/>
        <w:rPr>
          <w:color w:val="000000"/>
          <w:sz w:val="24"/>
          <w:szCs w:val="24"/>
        </w:rPr>
      </w:pPr>
      <w:r>
        <w:rPr>
          <w:color w:val="000000"/>
          <w:sz w:val="24"/>
          <w:szCs w:val="24"/>
        </w:rPr>
        <w:t>3、终验收在</w:t>
      </w:r>
      <w:r>
        <w:rPr>
          <w:rFonts w:hint="eastAsia"/>
          <w:color w:val="000000"/>
          <w:sz w:val="24"/>
          <w:szCs w:val="24"/>
          <w:u w:val="single"/>
          <w:shd w:val="pct10" w:color="auto" w:fill="FFFFFF"/>
          <w:lang w:val="en-US" w:eastAsia="zh-CN"/>
        </w:rPr>
        <w:t>30</w:t>
      </w:r>
      <w:r>
        <w:rPr>
          <w:color w:val="000000"/>
          <w:sz w:val="24"/>
          <w:szCs w:val="24"/>
        </w:rPr>
        <w:t>个日历日之内完成（或协助完成）。</w:t>
      </w:r>
    </w:p>
    <w:p>
      <w:pPr>
        <w:spacing w:line="420" w:lineRule="exact"/>
        <w:ind w:firstLine="480" w:firstLineChars="200"/>
        <w:jc w:val="left"/>
        <w:rPr>
          <w:color w:val="000000"/>
          <w:sz w:val="24"/>
          <w:szCs w:val="24"/>
        </w:rPr>
      </w:pPr>
      <w:r>
        <w:rPr>
          <w:color w:val="000000"/>
          <w:sz w:val="24"/>
          <w:szCs w:val="24"/>
        </w:rPr>
        <w:t>安装调试工期超过1</w:t>
      </w:r>
      <w:r>
        <w:rPr>
          <w:rFonts w:hint="eastAsia"/>
          <w:color w:val="000000"/>
          <w:sz w:val="24"/>
          <w:szCs w:val="24"/>
          <w:lang w:val="en-US" w:eastAsia="zh-CN"/>
        </w:rPr>
        <w:t>5</w:t>
      </w:r>
      <w:r>
        <w:rPr>
          <w:color w:val="000000"/>
          <w:sz w:val="24"/>
          <w:szCs w:val="24"/>
        </w:rPr>
        <w:t>个日历日的，投标方应当随标书提供详细的工期计划。</w:t>
      </w:r>
    </w:p>
    <w:p>
      <w:pPr>
        <w:spacing w:line="420" w:lineRule="exact"/>
        <w:ind w:firstLine="480" w:firstLineChars="200"/>
        <w:rPr>
          <w:rFonts w:eastAsia="黑体"/>
          <w:color w:val="000000"/>
          <w:sz w:val="24"/>
          <w:szCs w:val="24"/>
        </w:rPr>
      </w:pPr>
      <w:r>
        <w:rPr>
          <w:rFonts w:eastAsia="黑体"/>
          <w:color w:val="000000"/>
          <w:sz w:val="24"/>
          <w:szCs w:val="24"/>
        </w:rPr>
        <w:t>四、包装</w:t>
      </w:r>
    </w:p>
    <w:p>
      <w:pPr>
        <w:adjustRightInd w:val="0"/>
        <w:snapToGrid w:val="0"/>
        <w:spacing w:line="420" w:lineRule="exact"/>
        <w:ind w:firstLine="480" w:firstLineChars="200"/>
        <w:rPr>
          <w:color w:val="000000"/>
          <w:sz w:val="24"/>
          <w:szCs w:val="24"/>
        </w:rPr>
      </w:pPr>
      <w:r>
        <w:rPr>
          <w:color w:val="000000"/>
          <w:sz w:val="24"/>
          <w:szCs w:val="24"/>
        </w:rPr>
        <w:t>1、所提供货物（或设备）的包装，应遵照国家标准和有关包装、包皮的技术条件，或按照最好的商业惯例进行包装。</w:t>
      </w:r>
    </w:p>
    <w:p>
      <w:pPr>
        <w:adjustRightInd w:val="0"/>
        <w:snapToGrid w:val="0"/>
        <w:spacing w:line="420" w:lineRule="exact"/>
        <w:ind w:firstLine="480" w:firstLineChars="200"/>
        <w:rPr>
          <w:color w:val="000000"/>
          <w:sz w:val="24"/>
          <w:szCs w:val="24"/>
        </w:rPr>
      </w:pPr>
      <w:r>
        <w:rPr>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20" w:lineRule="exact"/>
        <w:ind w:firstLine="480" w:firstLineChars="200"/>
        <w:rPr>
          <w:color w:val="000000"/>
          <w:sz w:val="24"/>
          <w:szCs w:val="24"/>
        </w:rPr>
      </w:pPr>
      <w:r>
        <w:rPr>
          <w:color w:val="000000"/>
          <w:sz w:val="24"/>
          <w:szCs w:val="24"/>
        </w:rPr>
        <w:t>3、所提供货物（或设备）的包装，应能防止其一般性被窃或受外力破坏；一般不得采用有大缝隙的板条包装。</w:t>
      </w:r>
    </w:p>
    <w:p>
      <w:pPr>
        <w:adjustRightInd w:val="0"/>
        <w:snapToGrid w:val="0"/>
        <w:spacing w:line="420" w:lineRule="exact"/>
        <w:ind w:firstLine="480" w:firstLineChars="200"/>
        <w:rPr>
          <w:color w:val="000000"/>
          <w:sz w:val="24"/>
          <w:szCs w:val="24"/>
        </w:rPr>
      </w:pPr>
      <w:r>
        <w:rPr>
          <w:color w:val="000000"/>
          <w:sz w:val="24"/>
          <w:szCs w:val="24"/>
        </w:rPr>
        <w:t>4、应对包装件做必要的加固和固定，以防止运输可能造成的损坏。</w:t>
      </w:r>
    </w:p>
    <w:p>
      <w:pPr>
        <w:adjustRightInd w:val="0"/>
        <w:snapToGrid w:val="0"/>
        <w:spacing w:line="420" w:lineRule="exact"/>
        <w:ind w:firstLine="480" w:firstLineChars="200"/>
        <w:rPr>
          <w:color w:val="000000"/>
          <w:sz w:val="24"/>
          <w:szCs w:val="24"/>
        </w:rPr>
      </w:pPr>
      <w:r>
        <w:rPr>
          <w:color w:val="000000"/>
          <w:sz w:val="24"/>
          <w:szCs w:val="24"/>
        </w:rPr>
        <w:t>5、每个包装件应有装箱单，并至少标明名称、型号规格、数量、净重和毛重、投标方（或供货商）名称和制造日期等相关内容。</w:t>
      </w:r>
    </w:p>
    <w:p>
      <w:pPr>
        <w:adjustRightInd w:val="0"/>
        <w:snapToGrid w:val="0"/>
        <w:spacing w:line="420" w:lineRule="exact"/>
        <w:ind w:firstLine="480" w:firstLineChars="200"/>
        <w:rPr>
          <w:color w:val="000000"/>
          <w:sz w:val="24"/>
          <w:szCs w:val="24"/>
        </w:rPr>
      </w:pPr>
      <w:r>
        <w:rPr>
          <w:color w:val="000000"/>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420" w:lineRule="exact"/>
        <w:ind w:firstLine="480" w:firstLineChars="200"/>
        <w:rPr>
          <w:color w:val="000000"/>
          <w:sz w:val="24"/>
          <w:szCs w:val="24"/>
        </w:rPr>
      </w:pPr>
      <w:r>
        <w:rPr>
          <w:color w:val="000000"/>
          <w:sz w:val="24"/>
          <w:szCs w:val="24"/>
        </w:rPr>
        <w:t>7、应按照不同的装运要求在包装箱上标明“小心轻放”、“箭头向上”、“防潮”、“防磁”、“不准平放”等标志，以及其它适用的国标通用标志。</w:t>
      </w:r>
    </w:p>
    <w:p>
      <w:pPr>
        <w:adjustRightInd w:val="0"/>
        <w:snapToGrid w:val="0"/>
        <w:spacing w:line="420" w:lineRule="exact"/>
        <w:ind w:firstLine="480" w:firstLineChars="200"/>
        <w:rPr>
          <w:color w:val="000000"/>
          <w:sz w:val="24"/>
          <w:szCs w:val="24"/>
        </w:rPr>
      </w:pPr>
      <w:r>
        <w:rPr>
          <w:color w:val="000000"/>
          <w:sz w:val="24"/>
          <w:szCs w:val="24"/>
        </w:rPr>
        <w:t>8、包装箱应连续编号，不应出现重复编号。</w:t>
      </w:r>
    </w:p>
    <w:p>
      <w:pPr>
        <w:adjustRightInd w:val="0"/>
        <w:snapToGrid w:val="0"/>
        <w:spacing w:line="420" w:lineRule="exact"/>
        <w:ind w:firstLine="480" w:firstLineChars="200"/>
        <w:rPr>
          <w:color w:val="000000"/>
          <w:sz w:val="24"/>
          <w:szCs w:val="24"/>
        </w:rPr>
      </w:pPr>
      <w:r>
        <w:rPr>
          <w:color w:val="000000"/>
          <w:sz w:val="24"/>
          <w:szCs w:val="24"/>
        </w:rPr>
        <w:t>9、在不受到外界破坏情况下，包装应保证自交货日起一年内货物（或设备）完好无损。</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五、运输</w:t>
      </w:r>
    </w:p>
    <w:p>
      <w:pPr>
        <w:adjustRightInd w:val="0"/>
        <w:snapToGrid w:val="0"/>
        <w:spacing w:line="420" w:lineRule="exact"/>
        <w:ind w:firstLine="480" w:firstLineChars="200"/>
        <w:rPr>
          <w:color w:val="000000"/>
          <w:sz w:val="24"/>
          <w:szCs w:val="24"/>
        </w:rPr>
      </w:pPr>
      <w:r>
        <w:rPr>
          <w:color w:val="000000"/>
          <w:sz w:val="24"/>
          <w:szCs w:val="24"/>
        </w:rPr>
        <w:t>1、应负责将货物（或设备）运到目的地，并必须做到货物（或设备）在任何运输过程中不受损坏和遗失。</w:t>
      </w:r>
    </w:p>
    <w:p>
      <w:pPr>
        <w:adjustRightInd w:val="0"/>
        <w:snapToGrid w:val="0"/>
        <w:spacing w:line="420" w:lineRule="exact"/>
        <w:ind w:firstLine="480" w:firstLineChars="200"/>
        <w:rPr>
          <w:color w:val="000000"/>
          <w:sz w:val="24"/>
          <w:szCs w:val="24"/>
        </w:rPr>
      </w:pPr>
      <w:r>
        <w:rPr>
          <w:color w:val="000000"/>
          <w:sz w:val="24"/>
          <w:szCs w:val="24"/>
        </w:rPr>
        <w:t>2、同批货物（或设备）应统一包装、编号运输。</w:t>
      </w:r>
    </w:p>
    <w:p>
      <w:pPr>
        <w:adjustRightInd w:val="0"/>
        <w:snapToGrid w:val="0"/>
        <w:spacing w:line="420" w:lineRule="exact"/>
        <w:ind w:firstLine="480" w:firstLineChars="200"/>
        <w:rPr>
          <w:color w:val="000000"/>
          <w:sz w:val="24"/>
          <w:szCs w:val="24"/>
        </w:rPr>
      </w:pPr>
      <w:r>
        <w:rPr>
          <w:color w:val="000000"/>
          <w:sz w:val="24"/>
          <w:szCs w:val="24"/>
        </w:rPr>
        <w:t>3、一般情况下，经由铁路、公路运输的包装件尺寸和重量不应超过国家所规定的尺寸限制。特殊情况应予以说明。</w:t>
      </w:r>
    </w:p>
    <w:p>
      <w:pPr>
        <w:adjustRightInd w:val="0"/>
        <w:snapToGrid w:val="0"/>
        <w:spacing w:line="420" w:lineRule="exact"/>
        <w:ind w:firstLine="480" w:firstLineChars="200"/>
        <w:rPr>
          <w:color w:val="000000"/>
          <w:sz w:val="24"/>
          <w:szCs w:val="24"/>
        </w:rPr>
      </w:pPr>
      <w:r>
        <w:rPr>
          <w:color w:val="000000"/>
          <w:sz w:val="24"/>
          <w:szCs w:val="24"/>
        </w:rPr>
        <w:t>4、在每批货物（或设备）发出后，应立即通知买方；通知中应指明：合同号、货运单号、件数、重量和货物（或设备）发出日期等相关内容。</w:t>
      </w:r>
    </w:p>
    <w:p>
      <w:pPr>
        <w:adjustRightInd w:val="0"/>
        <w:snapToGrid w:val="0"/>
        <w:spacing w:line="420" w:lineRule="exact"/>
        <w:ind w:firstLine="480" w:firstLineChars="200"/>
        <w:rPr>
          <w:color w:val="000000"/>
          <w:sz w:val="24"/>
          <w:szCs w:val="24"/>
        </w:rPr>
      </w:pPr>
      <w:r>
        <w:rPr>
          <w:color w:val="000000"/>
          <w:sz w:val="24"/>
          <w:szCs w:val="24"/>
        </w:rPr>
        <w:t>5、货物（或设备）运抵交货地点后，应负责货物（或设备）的卸货、搬运、保管等事宜；</w:t>
      </w:r>
    </w:p>
    <w:p>
      <w:pPr>
        <w:pStyle w:val="59"/>
      </w:pPr>
      <w:r>
        <w:rPr>
          <w:rFonts w:ascii="宋体" w:hAnsi="宋体"/>
        </w:rPr>
        <w:br w:type="page"/>
      </w:r>
      <w:bookmarkStart w:id="29" w:name="_Toc465187645"/>
      <w:r>
        <w:t>第</w:t>
      </w:r>
      <w:r>
        <w:rPr>
          <w:rFonts w:hint="eastAsia"/>
          <w:lang w:val="en-US" w:eastAsia="zh-CN"/>
        </w:rPr>
        <w:t>五</w:t>
      </w:r>
      <w:r>
        <w:t>章  质保期及售后服务</w:t>
      </w:r>
      <w:bookmarkEnd w:id="29"/>
    </w:p>
    <w:p>
      <w:pPr>
        <w:spacing w:line="420" w:lineRule="exact"/>
        <w:ind w:firstLine="480" w:firstLineChars="200"/>
        <w:jc w:val="left"/>
        <w:rPr>
          <w:rFonts w:eastAsia="黑体"/>
          <w:color w:val="000000"/>
          <w:sz w:val="24"/>
          <w:szCs w:val="24"/>
        </w:rPr>
      </w:pPr>
      <w:r>
        <w:rPr>
          <w:rFonts w:eastAsia="黑体"/>
          <w:color w:val="000000"/>
          <w:sz w:val="24"/>
          <w:szCs w:val="24"/>
        </w:rPr>
        <w:t>一、质保期及质保要求</w:t>
      </w:r>
    </w:p>
    <w:p>
      <w:pPr>
        <w:spacing w:line="420" w:lineRule="exact"/>
        <w:ind w:firstLine="480" w:firstLineChars="200"/>
        <w:jc w:val="left"/>
        <w:rPr>
          <w:color w:val="000000"/>
          <w:sz w:val="24"/>
          <w:szCs w:val="24"/>
        </w:rPr>
      </w:pPr>
      <w:r>
        <w:rPr>
          <w:color w:val="000000"/>
          <w:sz w:val="24"/>
          <w:szCs w:val="24"/>
        </w:rPr>
        <w:t>1、全部供货范围内的设备、材料、零配件和工器具等，除合同特别约定外，其质保期均自终验收签字生效之</w:t>
      </w:r>
      <w:r>
        <w:rPr>
          <w:color w:val="000000"/>
          <w:sz w:val="24"/>
          <w:szCs w:val="24"/>
          <w:highlight w:val="none"/>
        </w:rPr>
        <w:t>日起</w:t>
      </w:r>
      <w:r>
        <w:rPr>
          <w:color w:val="000000"/>
          <w:sz w:val="24"/>
          <w:szCs w:val="24"/>
          <w:highlight w:val="none"/>
          <w:u w:val="single"/>
        </w:rPr>
        <w:t xml:space="preserve"> </w:t>
      </w:r>
      <w:r>
        <w:rPr>
          <w:rFonts w:hint="eastAsia"/>
          <w:color w:val="000000"/>
          <w:sz w:val="24"/>
          <w:szCs w:val="24"/>
          <w:highlight w:val="none"/>
          <w:u w:val="single"/>
          <w:lang w:val="en-US" w:eastAsia="zh-CN"/>
        </w:rPr>
        <w:t>12</w:t>
      </w:r>
      <w:r>
        <w:rPr>
          <w:color w:val="000000"/>
          <w:sz w:val="24"/>
          <w:szCs w:val="24"/>
          <w:highlight w:val="none"/>
        </w:rPr>
        <w:t>个月。</w:t>
      </w:r>
    </w:p>
    <w:p>
      <w:pPr>
        <w:spacing w:line="420" w:lineRule="exact"/>
        <w:ind w:firstLine="480" w:firstLineChars="200"/>
        <w:jc w:val="left"/>
        <w:rPr>
          <w:color w:val="000000"/>
          <w:sz w:val="24"/>
          <w:szCs w:val="24"/>
        </w:rPr>
      </w:pPr>
      <w:r>
        <w:rPr>
          <w:color w:val="000000"/>
          <w:sz w:val="24"/>
          <w:szCs w:val="24"/>
        </w:rPr>
        <w:t>投标货物或涉及的关键总成和零件，如果有更长时间质保期，允许更改并说明，此将有利于投标方。</w:t>
      </w:r>
    </w:p>
    <w:p>
      <w:pPr>
        <w:spacing w:line="420" w:lineRule="exact"/>
        <w:ind w:firstLine="480" w:firstLineChars="200"/>
        <w:jc w:val="left"/>
        <w:rPr>
          <w:color w:val="000000"/>
          <w:sz w:val="24"/>
          <w:szCs w:val="24"/>
        </w:rPr>
      </w:pPr>
      <w:r>
        <w:rPr>
          <w:color w:val="000000"/>
          <w:sz w:val="24"/>
          <w:szCs w:val="24"/>
        </w:rPr>
        <w:t>设计使用寿命短于质保期的易损件除外，但属于易损件的，应当有明确说明。</w:t>
      </w:r>
    </w:p>
    <w:p>
      <w:pPr>
        <w:spacing w:line="420" w:lineRule="exact"/>
        <w:ind w:firstLine="480" w:firstLineChars="200"/>
        <w:jc w:val="left"/>
        <w:rPr>
          <w:color w:val="000000"/>
          <w:sz w:val="24"/>
          <w:szCs w:val="24"/>
        </w:rPr>
      </w:pPr>
      <w:r>
        <w:rPr>
          <w:color w:val="000000"/>
          <w:sz w:val="24"/>
          <w:szCs w:val="24"/>
        </w:rPr>
        <w:t>2、质保期之内，如果货物出现设备、总成、关键零部件或者多处一般零部件的二次以上的更换或维修行为，则质保期自更换或维修行为结束、货物重新正常运行使用之日起重新计算。</w:t>
      </w:r>
    </w:p>
    <w:p>
      <w:pPr>
        <w:spacing w:line="420" w:lineRule="exact"/>
        <w:ind w:firstLine="480" w:firstLineChars="200"/>
        <w:jc w:val="left"/>
        <w:rPr>
          <w:color w:val="000000"/>
          <w:sz w:val="24"/>
          <w:szCs w:val="24"/>
        </w:rPr>
      </w:pPr>
      <w:r>
        <w:rPr>
          <w:color w:val="000000"/>
          <w:sz w:val="24"/>
          <w:szCs w:val="24"/>
        </w:rPr>
        <w:t>3、质保期内免费提供零部件和及时有效的服务。质保期内因货物本身缺陷造成的各种故障，卖方应负责免费维修和服务。</w:t>
      </w:r>
    </w:p>
    <w:p>
      <w:pPr>
        <w:spacing w:line="420" w:lineRule="exact"/>
        <w:ind w:firstLine="480" w:firstLineChars="200"/>
        <w:jc w:val="left"/>
        <w:rPr>
          <w:color w:val="000000"/>
          <w:sz w:val="24"/>
          <w:szCs w:val="24"/>
        </w:rPr>
      </w:pPr>
      <w:r>
        <w:rPr>
          <w:color w:val="000000"/>
          <w:sz w:val="24"/>
          <w:szCs w:val="24"/>
        </w:rPr>
        <w:t>4、质保期终止之日起一年内重复出现的质保期之内出现的故障，仍属质保范围而且应当免费。</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二、技术及培训服务</w:t>
      </w:r>
    </w:p>
    <w:p>
      <w:pPr>
        <w:adjustRightInd w:val="0"/>
        <w:snapToGrid w:val="0"/>
        <w:spacing w:line="420" w:lineRule="exact"/>
        <w:ind w:firstLine="480" w:firstLineChars="200"/>
        <w:rPr>
          <w:color w:val="000000"/>
          <w:sz w:val="24"/>
          <w:szCs w:val="24"/>
        </w:rPr>
      </w:pPr>
      <w:r>
        <w:rPr>
          <w:color w:val="000000"/>
          <w:sz w:val="24"/>
          <w:szCs w:val="24"/>
        </w:rPr>
        <w:t>1、应负责在买方货物使用现场，对技术、维修和操作人员提供免费的理论、技术和操作、维修等方面的技术指导和培训，并接受买方有关人员的技术咨询。培训工作日不少于</w:t>
      </w:r>
      <w:r>
        <w:rPr>
          <w:color w:val="000000"/>
          <w:sz w:val="24"/>
          <w:szCs w:val="24"/>
          <w:u w:val="single"/>
          <w:shd w:val="pct10" w:color="auto" w:fill="FFFFFF"/>
        </w:rPr>
        <w:t xml:space="preserve">2 </w:t>
      </w:r>
      <w:r>
        <w:rPr>
          <w:color w:val="000000"/>
          <w:sz w:val="24"/>
          <w:szCs w:val="24"/>
        </w:rPr>
        <w:t>个日历日。</w:t>
      </w:r>
    </w:p>
    <w:p>
      <w:pPr>
        <w:adjustRightInd w:val="0"/>
        <w:snapToGrid w:val="0"/>
        <w:spacing w:line="420" w:lineRule="exact"/>
        <w:ind w:firstLine="480" w:firstLineChars="200"/>
        <w:rPr>
          <w:color w:val="000000"/>
          <w:sz w:val="24"/>
          <w:szCs w:val="24"/>
        </w:rPr>
      </w:pPr>
      <w:r>
        <w:rPr>
          <w:color w:val="000000"/>
          <w:sz w:val="24"/>
          <w:szCs w:val="24"/>
        </w:rPr>
        <w:t>2、应免费提供一定数量的培训资料。</w:t>
      </w:r>
    </w:p>
    <w:p>
      <w:pPr>
        <w:adjustRightInd w:val="0"/>
        <w:snapToGrid w:val="0"/>
        <w:spacing w:line="420" w:lineRule="exact"/>
        <w:ind w:firstLine="480" w:firstLineChars="200"/>
        <w:rPr>
          <w:color w:val="000000"/>
          <w:sz w:val="24"/>
          <w:szCs w:val="24"/>
        </w:rPr>
      </w:pPr>
      <w:r>
        <w:rPr>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420" w:lineRule="exact"/>
        <w:ind w:firstLine="480" w:firstLineChars="200"/>
        <w:rPr>
          <w:color w:val="000000"/>
          <w:sz w:val="24"/>
          <w:szCs w:val="24"/>
        </w:rPr>
      </w:pPr>
      <w:r>
        <w:rPr>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420" w:lineRule="exact"/>
        <w:ind w:firstLine="480" w:firstLineChars="200"/>
        <w:rPr>
          <w:color w:val="000000"/>
          <w:sz w:val="24"/>
          <w:szCs w:val="24"/>
        </w:rPr>
      </w:pPr>
      <w:r>
        <w:rPr>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三、安装调试及验收服务</w:t>
      </w:r>
    </w:p>
    <w:p>
      <w:pPr>
        <w:adjustRightInd w:val="0"/>
        <w:snapToGrid w:val="0"/>
        <w:spacing w:line="420" w:lineRule="exact"/>
        <w:ind w:firstLine="480" w:firstLineChars="200"/>
        <w:rPr>
          <w:color w:val="000000"/>
          <w:sz w:val="24"/>
          <w:szCs w:val="24"/>
        </w:rPr>
      </w:pPr>
      <w:r>
        <w:rPr>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80" w:firstLineChars="200"/>
        <w:rPr>
          <w:color w:val="000000"/>
          <w:sz w:val="24"/>
          <w:szCs w:val="24"/>
        </w:rPr>
      </w:pPr>
      <w:r>
        <w:rPr>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420" w:lineRule="exact"/>
        <w:ind w:firstLine="480" w:firstLineChars="200"/>
        <w:rPr>
          <w:color w:val="000000"/>
          <w:sz w:val="24"/>
          <w:szCs w:val="24"/>
        </w:rPr>
      </w:pPr>
      <w:r>
        <w:rPr>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420" w:lineRule="exact"/>
        <w:ind w:firstLine="480" w:firstLineChars="200"/>
        <w:rPr>
          <w:color w:val="000000"/>
          <w:sz w:val="24"/>
          <w:szCs w:val="24"/>
        </w:rPr>
      </w:pPr>
      <w:r>
        <w:rPr>
          <w:color w:val="000000"/>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420" w:lineRule="exact"/>
        <w:ind w:firstLine="480" w:firstLineChars="200"/>
        <w:rPr>
          <w:color w:val="000000"/>
          <w:sz w:val="24"/>
          <w:szCs w:val="24"/>
        </w:rPr>
      </w:pPr>
      <w:r>
        <w:rPr>
          <w:color w:val="000000"/>
          <w:sz w:val="24"/>
          <w:szCs w:val="24"/>
        </w:rPr>
        <w:t>5、卖方应当向买方提供货物试验、验收的有关标准、规范和方法，同时提供货物涉及并使用的软件合法性证明。</w:t>
      </w:r>
    </w:p>
    <w:p>
      <w:pPr>
        <w:adjustRightInd w:val="0"/>
        <w:snapToGrid w:val="0"/>
        <w:spacing w:line="420" w:lineRule="exact"/>
        <w:ind w:firstLine="480" w:firstLineChars="200"/>
        <w:rPr>
          <w:color w:val="000000"/>
          <w:sz w:val="24"/>
          <w:szCs w:val="24"/>
        </w:rPr>
      </w:pPr>
      <w:r>
        <w:rPr>
          <w:color w:val="000000"/>
          <w:sz w:val="24"/>
          <w:szCs w:val="24"/>
        </w:rPr>
        <w:t>6、服务缺陷视同货物缺陷和履约延期。</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四、售后服务</w:t>
      </w:r>
    </w:p>
    <w:p>
      <w:pPr>
        <w:adjustRightInd w:val="0"/>
        <w:snapToGrid w:val="0"/>
        <w:spacing w:line="420" w:lineRule="exact"/>
        <w:ind w:firstLine="480" w:firstLineChars="200"/>
        <w:rPr>
          <w:color w:val="000000"/>
          <w:sz w:val="24"/>
          <w:szCs w:val="24"/>
        </w:rPr>
      </w:pPr>
      <w:r>
        <w:rPr>
          <w:color w:val="000000"/>
          <w:sz w:val="24"/>
          <w:szCs w:val="24"/>
        </w:rPr>
        <w:t>1、卖方提供的货物涉及的所有售后服务均由卖方负责。如果发生问题并且收到通知，卖方应当在2小时内予以答复。</w:t>
      </w:r>
    </w:p>
    <w:p>
      <w:pPr>
        <w:adjustRightInd w:val="0"/>
        <w:snapToGrid w:val="0"/>
        <w:spacing w:line="420" w:lineRule="exact"/>
        <w:ind w:firstLine="480" w:firstLineChars="200"/>
        <w:rPr>
          <w:color w:val="000000"/>
          <w:sz w:val="24"/>
          <w:szCs w:val="24"/>
        </w:rPr>
      </w:pPr>
      <w:r>
        <w:rPr>
          <w:color w:val="000000"/>
          <w:sz w:val="24"/>
          <w:szCs w:val="24"/>
        </w:rPr>
        <w:t>2、如发现所提供的货物存在问题，需要卖方解决或配合解决时：在质保期之内，应在接到通知后</w:t>
      </w:r>
      <w:r>
        <w:rPr>
          <w:color w:val="000000"/>
          <w:sz w:val="24"/>
          <w:szCs w:val="24"/>
          <w:u w:val="single"/>
          <w:shd w:val="pct10" w:color="auto" w:fill="FFFFFF"/>
        </w:rPr>
        <w:t xml:space="preserve">  24   </w:t>
      </w:r>
      <w:r>
        <w:rPr>
          <w:color w:val="000000"/>
          <w:sz w:val="24"/>
          <w:szCs w:val="24"/>
        </w:rPr>
        <w:t>小时内派有关人员到达现场；在质保期之外，应在接到通知后</w:t>
      </w:r>
      <w:r>
        <w:rPr>
          <w:color w:val="000000"/>
          <w:sz w:val="24"/>
          <w:szCs w:val="24"/>
          <w:u w:val="single"/>
          <w:shd w:val="pct10" w:color="auto" w:fill="FFFFFF"/>
        </w:rPr>
        <w:t xml:space="preserve">  72   </w:t>
      </w:r>
      <w:r>
        <w:rPr>
          <w:color w:val="000000"/>
          <w:sz w:val="24"/>
          <w:szCs w:val="24"/>
        </w:rPr>
        <w:t>小时内派有关人员到达现场。</w:t>
      </w:r>
    </w:p>
    <w:p>
      <w:pPr>
        <w:adjustRightInd w:val="0"/>
        <w:snapToGrid w:val="0"/>
        <w:spacing w:line="420" w:lineRule="exact"/>
        <w:ind w:firstLine="480" w:firstLineChars="200"/>
        <w:rPr>
          <w:color w:val="000000"/>
          <w:sz w:val="24"/>
          <w:szCs w:val="24"/>
        </w:rPr>
      </w:pPr>
      <w:r>
        <w:rPr>
          <w:color w:val="000000"/>
          <w:sz w:val="24"/>
          <w:szCs w:val="24"/>
        </w:rPr>
        <w:t>3、卖方派往买方使用现场的人员，应具有较高的业务素质；现场解决问题时，不得无故拖延或推迟，应为买方提供最佳的服务。</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五、其它服务</w:t>
      </w:r>
    </w:p>
    <w:p>
      <w:pPr>
        <w:adjustRightInd w:val="0"/>
        <w:snapToGrid w:val="0"/>
        <w:spacing w:line="420" w:lineRule="exact"/>
        <w:ind w:firstLine="480" w:firstLineChars="200"/>
        <w:rPr>
          <w:color w:val="000000"/>
          <w:sz w:val="24"/>
          <w:szCs w:val="24"/>
        </w:rPr>
      </w:pPr>
      <w:r>
        <w:rPr>
          <w:color w:val="000000"/>
          <w:sz w:val="24"/>
          <w:szCs w:val="24"/>
        </w:rPr>
        <w:t>1、若卖方所提供货物有需要进口的，卖方一般应自行、自费办理；必要时，买卖双方共同办理。</w:t>
      </w:r>
    </w:p>
    <w:p>
      <w:pPr>
        <w:adjustRightInd w:val="0"/>
        <w:snapToGrid w:val="0"/>
        <w:spacing w:line="420" w:lineRule="exact"/>
        <w:ind w:firstLine="480" w:firstLineChars="200"/>
        <w:rPr>
          <w:color w:val="000000"/>
          <w:sz w:val="24"/>
          <w:szCs w:val="24"/>
        </w:rPr>
      </w:pPr>
      <w:r>
        <w:rPr>
          <w:color w:val="000000"/>
          <w:sz w:val="24"/>
          <w:szCs w:val="24"/>
        </w:rPr>
        <w:t>2、除招标文件、投标文件、答疑文件、技术协议、合同等约定之外，卖方应免费负责必要的或强制性的货物的检验、试验、化验等直接费用。</w:t>
      </w:r>
    </w:p>
    <w:p>
      <w:pPr>
        <w:spacing w:line="420" w:lineRule="exact"/>
        <w:ind w:firstLine="480" w:firstLineChars="200"/>
        <w:rPr>
          <w:color w:val="000000"/>
          <w:sz w:val="24"/>
          <w:szCs w:val="24"/>
        </w:rPr>
      </w:pPr>
      <w:r>
        <w:rPr>
          <w:color w:val="000000"/>
          <w:sz w:val="24"/>
          <w:szCs w:val="24"/>
        </w:rPr>
        <w:t>3、本章节条款所列“免费”，并非指定不可收费，而是指招标文件、投标文件、答疑文件、技术交流文件、技术协议书和合同等范围之外，投标方不可另行收取的费用。</w:t>
      </w:r>
    </w:p>
    <w:p>
      <w:pPr>
        <w:pStyle w:val="59"/>
        <w:rPr>
          <w:rFonts w:hint="eastAsia"/>
        </w:rPr>
      </w:pPr>
      <w:r>
        <w:rPr>
          <w:rFonts w:ascii="宋体" w:hAnsi="宋体"/>
        </w:rPr>
        <w:br w:type="page"/>
      </w:r>
      <w:bookmarkStart w:id="30" w:name="_Toc465187646"/>
      <w:r>
        <w:rPr>
          <w:rFonts w:hint="eastAsia"/>
        </w:rPr>
        <w:t>第</w:t>
      </w:r>
      <w:r>
        <w:rPr>
          <w:rFonts w:hint="eastAsia"/>
          <w:lang w:val="en-US" w:eastAsia="zh-CN"/>
        </w:rPr>
        <w:t>六</w:t>
      </w:r>
      <w:r>
        <w:rPr>
          <w:rFonts w:hint="eastAsia"/>
        </w:rPr>
        <w:t>章  预验收和终验收</w:t>
      </w:r>
      <w:bookmarkEnd w:id="30"/>
    </w:p>
    <w:p>
      <w:pPr>
        <w:spacing w:line="420" w:lineRule="exact"/>
        <w:ind w:firstLine="480" w:firstLineChars="200"/>
        <w:rPr>
          <w:rFonts w:eastAsia="黑体"/>
          <w:color w:val="000000"/>
          <w:sz w:val="24"/>
          <w:szCs w:val="24"/>
        </w:rPr>
      </w:pPr>
      <w:r>
        <w:rPr>
          <w:rFonts w:eastAsia="黑体"/>
          <w:color w:val="000000"/>
          <w:sz w:val="24"/>
          <w:szCs w:val="24"/>
        </w:rPr>
        <w:t>一、验收依据和验收标准</w:t>
      </w:r>
    </w:p>
    <w:p>
      <w:pPr>
        <w:spacing w:line="420" w:lineRule="exact"/>
        <w:ind w:firstLine="480" w:firstLineChars="200"/>
        <w:rPr>
          <w:color w:val="000000"/>
          <w:sz w:val="24"/>
          <w:szCs w:val="24"/>
        </w:rPr>
      </w:pPr>
      <w:r>
        <w:rPr>
          <w:color w:val="000000"/>
          <w:sz w:val="24"/>
          <w:szCs w:val="24"/>
        </w:rPr>
        <w:t>1、验收标准一般以技术协议书和合同规定验收。无论技术协议书和合同，是否全部并准确列明验收所涉及的相关标准，均作为验收标准之一。</w:t>
      </w:r>
    </w:p>
    <w:p>
      <w:pPr>
        <w:adjustRightInd w:val="0"/>
        <w:snapToGrid w:val="0"/>
        <w:spacing w:line="420" w:lineRule="exact"/>
        <w:ind w:firstLine="480" w:firstLineChars="200"/>
        <w:rPr>
          <w:color w:val="000000"/>
          <w:sz w:val="24"/>
          <w:szCs w:val="24"/>
        </w:rPr>
      </w:pPr>
      <w:r>
        <w:rPr>
          <w:color w:val="000000"/>
          <w:sz w:val="24"/>
          <w:szCs w:val="24"/>
        </w:rPr>
        <w:t>2、如果验收过程中，发现招标文件、投标文件、答疑文件、技术交流文件等与技术协议书、合同存在差异，原则上以涉及条款中对买方最有利条款为验收依据。</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二、检验</w:t>
      </w:r>
    </w:p>
    <w:p>
      <w:pPr>
        <w:adjustRightInd w:val="0"/>
        <w:snapToGrid w:val="0"/>
        <w:spacing w:line="420" w:lineRule="exact"/>
        <w:ind w:firstLine="480" w:firstLineChars="200"/>
        <w:rPr>
          <w:color w:val="000000"/>
          <w:sz w:val="24"/>
          <w:szCs w:val="24"/>
        </w:rPr>
      </w:pPr>
      <w:r>
        <w:rPr>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420" w:lineRule="exact"/>
        <w:ind w:firstLine="480" w:firstLineChars="200"/>
        <w:rPr>
          <w:color w:val="000000"/>
          <w:sz w:val="24"/>
          <w:szCs w:val="24"/>
        </w:rPr>
      </w:pPr>
      <w:r>
        <w:rPr>
          <w:color w:val="000000"/>
          <w:sz w:val="24"/>
          <w:szCs w:val="24"/>
        </w:rPr>
        <w:t>1、国产货物的检验一般由买卖双方共同进行或按照合同要求进行。</w:t>
      </w:r>
    </w:p>
    <w:p>
      <w:pPr>
        <w:adjustRightInd w:val="0"/>
        <w:snapToGrid w:val="0"/>
        <w:spacing w:line="420" w:lineRule="exact"/>
        <w:ind w:firstLine="480" w:firstLineChars="200"/>
        <w:rPr>
          <w:color w:val="000000"/>
          <w:sz w:val="24"/>
          <w:szCs w:val="24"/>
        </w:rPr>
      </w:pPr>
      <w:r>
        <w:rPr>
          <w:color w:val="000000"/>
          <w:sz w:val="24"/>
          <w:szCs w:val="24"/>
        </w:rPr>
        <w:t>2、进口货物的检验，卖方需要按照下述要求进行：</w:t>
      </w:r>
    </w:p>
    <w:p>
      <w:pPr>
        <w:adjustRightInd w:val="0"/>
        <w:snapToGrid w:val="0"/>
        <w:spacing w:line="420" w:lineRule="exact"/>
        <w:ind w:firstLine="480" w:firstLineChars="200"/>
        <w:rPr>
          <w:color w:val="000000"/>
          <w:sz w:val="24"/>
          <w:szCs w:val="24"/>
        </w:rPr>
      </w:pPr>
      <w:r>
        <w:rPr>
          <w:color w:val="000000"/>
          <w:sz w:val="24"/>
          <w:szCs w:val="24"/>
        </w:rPr>
        <w:t>2.1  进口货物发货前，应对货物的质量、型号、规格、性能和数量/重量作精密、全面的检验，并出具证明书，证明所供货物符合合同规定。</w:t>
      </w:r>
    </w:p>
    <w:p>
      <w:pPr>
        <w:adjustRightInd w:val="0"/>
        <w:snapToGrid w:val="0"/>
        <w:spacing w:line="420" w:lineRule="exact"/>
        <w:ind w:firstLine="480" w:firstLineChars="200"/>
        <w:rPr>
          <w:color w:val="000000"/>
          <w:sz w:val="24"/>
          <w:szCs w:val="24"/>
        </w:rPr>
      </w:pPr>
      <w:r>
        <w:rPr>
          <w:color w:val="000000"/>
          <w:sz w:val="24"/>
          <w:szCs w:val="24"/>
        </w:rPr>
        <w:t>2.2  应依据合同规定的要求，提供买卖双方达成一致的货物的验收标准和装箱单，作为买方检验的依据。</w:t>
      </w:r>
    </w:p>
    <w:p>
      <w:pPr>
        <w:adjustRightInd w:val="0"/>
        <w:snapToGrid w:val="0"/>
        <w:spacing w:line="420" w:lineRule="exact"/>
        <w:ind w:firstLine="480" w:firstLineChars="200"/>
        <w:rPr>
          <w:color w:val="000000"/>
          <w:sz w:val="24"/>
          <w:szCs w:val="24"/>
        </w:rPr>
      </w:pPr>
      <w:r>
        <w:rPr>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adjustRightInd w:val="0"/>
        <w:snapToGrid w:val="0"/>
        <w:spacing w:line="420" w:lineRule="exact"/>
        <w:ind w:firstLine="480" w:firstLineChars="200"/>
        <w:rPr>
          <w:rFonts w:hint="eastAsia" w:ascii="黑体" w:hAnsi="宋体" w:eastAsia="黑体"/>
          <w:color w:val="000000"/>
          <w:sz w:val="24"/>
          <w:szCs w:val="24"/>
        </w:rPr>
      </w:pPr>
      <w:r>
        <w:rPr>
          <w:rFonts w:hint="eastAsia" w:ascii="黑体" w:hAnsi="宋体" w:eastAsia="黑体"/>
          <w:color w:val="000000"/>
          <w:sz w:val="24"/>
          <w:szCs w:val="24"/>
        </w:rPr>
        <w:t>三、验收基本条件</w:t>
      </w:r>
    </w:p>
    <w:p>
      <w:pPr>
        <w:adjustRightInd w:val="0"/>
        <w:snapToGrid w:val="0"/>
        <w:spacing w:line="360" w:lineRule="auto"/>
        <w:ind w:firstLine="480" w:firstLineChars="200"/>
        <w:rPr>
          <w:rFonts w:cs="宋体"/>
          <w:color w:val="000000"/>
          <w:sz w:val="24"/>
          <w:szCs w:val="24"/>
        </w:rPr>
      </w:pPr>
      <w:r>
        <w:rPr>
          <w:rFonts w:hint="eastAsia" w:hAnsi="宋体" w:cs="宋体"/>
          <w:color w:val="000000"/>
          <w:sz w:val="24"/>
          <w:szCs w:val="24"/>
        </w:rPr>
        <w:t>买卖双方按照合同约定执行了合同，同时货物完成了试运行并经检验合格，则具备验收条件。</w:t>
      </w:r>
    </w:p>
    <w:p>
      <w:pPr>
        <w:spacing w:line="360" w:lineRule="auto"/>
        <w:ind w:firstLine="480" w:firstLineChars="200"/>
        <w:rPr>
          <w:rFonts w:hint="eastAsia"/>
          <w:sz w:val="24"/>
          <w:szCs w:val="24"/>
        </w:rPr>
      </w:pPr>
      <w:r>
        <w:rPr>
          <w:rFonts w:hint="eastAsia"/>
          <w:sz w:val="24"/>
          <w:szCs w:val="24"/>
        </w:rPr>
        <w:t>1、验收一般条件</w:t>
      </w:r>
    </w:p>
    <w:p>
      <w:pPr>
        <w:spacing w:line="360" w:lineRule="auto"/>
        <w:ind w:firstLine="480" w:firstLineChars="200"/>
        <w:rPr>
          <w:rFonts w:hint="eastAsia"/>
          <w:sz w:val="24"/>
          <w:szCs w:val="24"/>
        </w:rPr>
      </w:pPr>
      <w:r>
        <w:rPr>
          <w:rFonts w:hint="eastAsia"/>
          <w:sz w:val="24"/>
          <w:szCs w:val="24"/>
        </w:rPr>
        <w:t>1.1  卖方已经按照“供货范围”要求提供了验收资料，并且资料齐全、完整和有效。</w:t>
      </w:r>
    </w:p>
    <w:p>
      <w:pPr>
        <w:spacing w:line="360" w:lineRule="auto"/>
        <w:ind w:firstLine="480" w:firstLineChars="200"/>
        <w:rPr>
          <w:rFonts w:hint="eastAsia"/>
          <w:sz w:val="24"/>
          <w:szCs w:val="24"/>
        </w:rPr>
      </w:pPr>
      <w:r>
        <w:rPr>
          <w:rFonts w:hint="eastAsia"/>
          <w:sz w:val="24"/>
          <w:szCs w:val="24"/>
        </w:rPr>
        <w:t>1.2  货物安装调试完毕，</w:t>
      </w:r>
      <w:r>
        <w:rPr>
          <w:rFonts w:hint="eastAsia"/>
          <w:sz w:val="24"/>
          <w:szCs w:val="24"/>
          <w:lang w:val="en-US" w:eastAsia="zh-CN"/>
        </w:rPr>
        <w:t>在正常工况下运行30日</w:t>
      </w:r>
      <w:r>
        <w:rPr>
          <w:rFonts w:hint="eastAsia"/>
          <w:sz w:val="24"/>
          <w:szCs w:val="24"/>
        </w:rPr>
        <w:t>。</w:t>
      </w:r>
    </w:p>
    <w:p>
      <w:pPr>
        <w:spacing w:line="360" w:lineRule="auto"/>
        <w:ind w:firstLine="480" w:firstLineChars="200"/>
        <w:rPr>
          <w:rFonts w:hint="eastAsia"/>
          <w:sz w:val="24"/>
          <w:szCs w:val="24"/>
        </w:rPr>
      </w:pPr>
      <w:r>
        <w:rPr>
          <w:rFonts w:hint="eastAsia"/>
          <w:sz w:val="24"/>
          <w:szCs w:val="24"/>
        </w:rPr>
        <w:t>1.3  货物正常运行时，噪声等环境影响因素满足国家和当地环保主管部门规定，安全措施落实、有效。</w:t>
      </w:r>
    </w:p>
    <w:p>
      <w:pPr>
        <w:spacing w:line="360" w:lineRule="auto"/>
        <w:ind w:firstLine="480" w:firstLineChars="200"/>
        <w:rPr>
          <w:rFonts w:hint="eastAsia"/>
          <w:sz w:val="24"/>
          <w:szCs w:val="24"/>
        </w:rPr>
      </w:pPr>
      <w:r>
        <w:rPr>
          <w:rFonts w:hint="eastAsia"/>
          <w:sz w:val="24"/>
          <w:szCs w:val="24"/>
        </w:rPr>
        <w:t>1.</w:t>
      </w:r>
      <w:r>
        <w:rPr>
          <w:rFonts w:hint="eastAsia"/>
          <w:sz w:val="24"/>
          <w:szCs w:val="24"/>
          <w:lang w:val="en-US" w:eastAsia="zh-CN"/>
        </w:rPr>
        <w:t>4</w:t>
      </w:r>
      <w:r>
        <w:rPr>
          <w:rFonts w:hint="eastAsia"/>
          <w:sz w:val="24"/>
          <w:szCs w:val="24"/>
        </w:rPr>
        <w:t xml:space="preserve">  试运行期间或之后无维修、调整等行为（特殊情况除外）。</w:t>
      </w:r>
    </w:p>
    <w:p>
      <w:pPr>
        <w:spacing w:line="360" w:lineRule="auto"/>
        <w:ind w:firstLine="480" w:firstLineChars="200"/>
        <w:rPr>
          <w:rFonts w:hint="eastAsia"/>
          <w:sz w:val="24"/>
          <w:szCs w:val="24"/>
        </w:rPr>
      </w:pPr>
      <w:r>
        <w:rPr>
          <w:rFonts w:hint="eastAsia"/>
          <w:sz w:val="24"/>
          <w:szCs w:val="24"/>
        </w:rPr>
        <w:t>1.</w:t>
      </w:r>
      <w:r>
        <w:rPr>
          <w:rFonts w:hint="eastAsia"/>
          <w:sz w:val="24"/>
          <w:szCs w:val="24"/>
          <w:lang w:val="en-US" w:eastAsia="zh-CN"/>
        </w:rPr>
        <w:t>5</w:t>
      </w:r>
      <w:r>
        <w:rPr>
          <w:rFonts w:hint="eastAsia"/>
          <w:sz w:val="24"/>
          <w:szCs w:val="24"/>
        </w:rPr>
        <w:t xml:space="preserve">  货物</w:t>
      </w:r>
      <w:r>
        <w:rPr>
          <w:rFonts w:hint="eastAsia"/>
          <w:sz w:val="24"/>
          <w:szCs w:val="24"/>
          <w:lang w:val="en-US" w:eastAsia="zh-CN"/>
        </w:rPr>
        <w:t>规格型号</w:t>
      </w:r>
      <w:r>
        <w:rPr>
          <w:rFonts w:hint="eastAsia"/>
          <w:sz w:val="24"/>
          <w:szCs w:val="24"/>
        </w:rPr>
        <w:t>、技术性能等，达到签定的技术协议书和合同规定的终验收标准。</w:t>
      </w:r>
    </w:p>
    <w:p>
      <w:pPr>
        <w:spacing w:line="360" w:lineRule="auto"/>
        <w:ind w:firstLine="480" w:firstLineChars="200"/>
        <w:rPr>
          <w:rFonts w:hint="eastAsia"/>
          <w:sz w:val="24"/>
          <w:szCs w:val="24"/>
        </w:rPr>
      </w:pPr>
      <w:r>
        <w:rPr>
          <w:rFonts w:hint="eastAsia"/>
          <w:sz w:val="24"/>
          <w:szCs w:val="24"/>
        </w:rPr>
        <w:t>2、验收基本要求</w:t>
      </w:r>
    </w:p>
    <w:p>
      <w:pPr>
        <w:spacing w:line="360" w:lineRule="auto"/>
        <w:ind w:firstLine="480" w:firstLineChars="200"/>
        <w:rPr>
          <w:rFonts w:hint="eastAsia"/>
          <w:sz w:val="24"/>
          <w:szCs w:val="24"/>
        </w:rPr>
      </w:pPr>
      <w:r>
        <w:rPr>
          <w:rFonts w:hint="eastAsia"/>
          <w:sz w:val="24"/>
          <w:szCs w:val="24"/>
        </w:rPr>
        <w:t>2.1  货物允许情况下，一般先进行</w:t>
      </w:r>
      <w:r>
        <w:rPr>
          <w:rFonts w:hint="eastAsia"/>
          <w:sz w:val="24"/>
          <w:szCs w:val="24"/>
          <w:lang w:val="en-US" w:eastAsia="zh-CN"/>
        </w:rPr>
        <w:t>试装</w:t>
      </w:r>
      <w:r>
        <w:rPr>
          <w:rFonts w:hint="eastAsia"/>
          <w:sz w:val="24"/>
          <w:szCs w:val="24"/>
        </w:rPr>
        <w:t>，</w:t>
      </w:r>
      <w:r>
        <w:rPr>
          <w:rFonts w:hint="eastAsia"/>
          <w:sz w:val="24"/>
          <w:szCs w:val="24"/>
          <w:lang w:val="en-US" w:eastAsia="zh-CN"/>
        </w:rPr>
        <w:t>验证各个货位的载荷能力</w:t>
      </w:r>
      <w:r>
        <w:rPr>
          <w:rFonts w:hint="eastAsia"/>
          <w:sz w:val="24"/>
          <w:szCs w:val="24"/>
        </w:rPr>
        <w:t>。</w:t>
      </w:r>
    </w:p>
    <w:p>
      <w:pPr>
        <w:spacing w:line="360" w:lineRule="auto"/>
        <w:ind w:firstLine="480" w:firstLineChars="200"/>
        <w:rPr>
          <w:rFonts w:hint="eastAsia"/>
          <w:sz w:val="24"/>
          <w:szCs w:val="24"/>
        </w:rPr>
      </w:pPr>
      <w:r>
        <w:rPr>
          <w:rFonts w:hint="eastAsia"/>
          <w:sz w:val="24"/>
          <w:szCs w:val="24"/>
        </w:rPr>
        <w:t>2.2  出现下列问题之一，视作验收失败：</w:t>
      </w:r>
    </w:p>
    <w:p>
      <w:pPr>
        <w:spacing w:line="360" w:lineRule="auto"/>
        <w:ind w:firstLine="480" w:firstLineChars="200"/>
        <w:rPr>
          <w:rFonts w:hint="eastAsia"/>
          <w:sz w:val="24"/>
          <w:szCs w:val="24"/>
        </w:rPr>
      </w:pPr>
      <w:r>
        <w:rPr>
          <w:rFonts w:hint="eastAsia"/>
          <w:sz w:val="24"/>
          <w:szCs w:val="24"/>
        </w:rPr>
        <w:t>2.2.1  在整个验收过程中发生关键零部件损坏或重大故障；</w:t>
      </w:r>
    </w:p>
    <w:p>
      <w:pPr>
        <w:spacing w:line="360" w:lineRule="auto"/>
        <w:ind w:firstLine="480" w:firstLineChars="200"/>
        <w:rPr>
          <w:rFonts w:hint="eastAsia"/>
          <w:sz w:val="24"/>
          <w:szCs w:val="24"/>
        </w:rPr>
      </w:pPr>
      <w:r>
        <w:rPr>
          <w:rFonts w:hint="eastAsia"/>
          <w:sz w:val="24"/>
          <w:szCs w:val="24"/>
        </w:rPr>
        <w:t>2.2.2  一般性故障超过 2 次；</w:t>
      </w:r>
    </w:p>
    <w:p>
      <w:pPr>
        <w:spacing w:line="360" w:lineRule="auto"/>
        <w:ind w:firstLine="480" w:firstLineChars="200"/>
        <w:rPr>
          <w:rFonts w:hint="eastAsia"/>
          <w:sz w:val="24"/>
          <w:szCs w:val="24"/>
        </w:rPr>
      </w:pPr>
      <w:r>
        <w:rPr>
          <w:rFonts w:hint="eastAsia"/>
          <w:sz w:val="24"/>
          <w:szCs w:val="24"/>
        </w:rPr>
        <w:t>2.2.3  所有出现的维修调整，每次时间均超过90分钟；所有维修调整时间的总和超过总运行时间的 5%；</w:t>
      </w:r>
    </w:p>
    <w:p>
      <w:pPr>
        <w:spacing w:line="360" w:lineRule="auto"/>
        <w:ind w:firstLine="480" w:firstLineChars="200"/>
        <w:rPr>
          <w:rFonts w:hint="eastAsia"/>
          <w:sz w:val="24"/>
          <w:szCs w:val="24"/>
        </w:rPr>
      </w:pPr>
      <w:r>
        <w:rPr>
          <w:rFonts w:hint="eastAsia"/>
          <w:sz w:val="24"/>
          <w:szCs w:val="24"/>
        </w:rPr>
        <w:t>2.2.4  更换的零部件货值超过总货值的3%。</w:t>
      </w:r>
    </w:p>
    <w:p>
      <w:pPr>
        <w:spacing w:line="360" w:lineRule="auto"/>
        <w:ind w:firstLine="480" w:firstLineChars="200"/>
        <w:rPr>
          <w:rFonts w:hint="eastAsia"/>
          <w:sz w:val="24"/>
          <w:szCs w:val="24"/>
        </w:rPr>
      </w:pPr>
      <w:r>
        <w:rPr>
          <w:rFonts w:hint="eastAsia"/>
          <w:sz w:val="24"/>
          <w:szCs w:val="24"/>
        </w:rPr>
        <w:t>2.3  累计负载运行实际性能（或生产率）达到合同规定；</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2.4  验收原则上要求一次完成。若一次验收不成功，最多允许两次；如果出现第三次验收失败，重新作价或退货；</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w:t>
      </w:r>
      <w:r>
        <w:rPr>
          <w:rFonts w:hint="eastAsia"/>
          <w:sz w:val="24"/>
          <w:szCs w:val="24"/>
          <w:lang w:val="en-US" w:eastAsia="zh-CN"/>
        </w:rPr>
        <w:t>5</w:t>
      </w:r>
      <w:r>
        <w:rPr>
          <w:rFonts w:hint="eastAsia"/>
          <w:sz w:val="24"/>
          <w:szCs w:val="24"/>
        </w:rPr>
        <w:t xml:space="preserve">  验收通过后买卖双方共同签署终验收报告，并移交、核对全部供货范围内物品。</w:t>
      </w:r>
    </w:p>
    <w:p>
      <w:pPr>
        <w:pStyle w:val="59"/>
        <w:rPr>
          <w:rFonts w:hint="eastAsia"/>
        </w:rPr>
      </w:pPr>
      <w:r>
        <w:rPr>
          <w:rFonts w:ascii="宋体" w:hAnsi="宋体"/>
        </w:rPr>
        <w:br w:type="page"/>
      </w:r>
      <w:bookmarkStart w:id="31" w:name="_Toc465187647"/>
      <w:r>
        <w:rPr>
          <w:rFonts w:hint="eastAsia"/>
        </w:rPr>
        <w:t>第</w:t>
      </w:r>
      <w:r>
        <w:rPr>
          <w:rFonts w:hint="eastAsia"/>
          <w:lang w:val="en-US" w:eastAsia="zh-CN"/>
        </w:rPr>
        <w:t>七</w:t>
      </w:r>
      <w:r>
        <w:rPr>
          <w:rFonts w:hint="eastAsia"/>
        </w:rPr>
        <w:t>章  投标技术文件一般要求</w:t>
      </w:r>
      <w:bookmarkEnd w:id="31"/>
    </w:p>
    <w:p>
      <w:pPr>
        <w:pStyle w:val="81"/>
        <w:rPr>
          <w:rFonts w:ascii="Times New Roman" w:hAnsi="Times New Roman"/>
        </w:rPr>
      </w:pPr>
      <w:r>
        <w:rPr>
          <w:rFonts w:ascii="Times New Roman" w:hAnsi="Times New Roman"/>
        </w:rPr>
        <w:t>一、技术文件一般内容要求</w:t>
      </w:r>
    </w:p>
    <w:p>
      <w:pPr>
        <w:adjustRightInd w:val="0"/>
        <w:snapToGrid w:val="0"/>
        <w:spacing w:line="420" w:lineRule="exact"/>
        <w:ind w:firstLine="480" w:firstLineChars="200"/>
        <w:rPr>
          <w:color w:val="000000"/>
          <w:sz w:val="24"/>
          <w:szCs w:val="24"/>
        </w:rPr>
      </w:pPr>
      <w:r>
        <w:rPr>
          <w:color w:val="000000"/>
          <w:sz w:val="24"/>
          <w:szCs w:val="24"/>
        </w:rPr>
        <w:t>1、投标方应认真阅读招标文件和本技术标书，并按要求编写投标技术文件。</w:t>
      </w:r>
    </w:p>
    <w:p>
      <w:pPr>
        <w:adjustRightInd w:val="0"/>
        <w:snapToGrid w:val="0"/>
        <w:spacing w:line="420" w:lineRule="exact"/>
        <w:ind w:firstLine="480" w:firstLineChars="200"/>
        <w:rPr>
          <w:color w:val="000000"/>
          <w:sz w:val="24"/>
          <w:szCs w:val="24"/>
        </w:rPr>
      </w:pPr>
      <w:r>
        <w:rPr>
          <w:color w:val="000000"/>
          <w:sz w:val="24"/>
          <w:szCs w:val="24"/>
        </w:rPr>
        <w:t>2、投标技术文件至少应对投标货物的功能用途、技术性能、质量标准、技术参数等作出详细说明。</w:t>
      </w:r>
    </w:p>
    <w:p>
      <w:pPr>
        <w:adjustRightInd w:val="0"/>
        <w:snapToGrid w:val="0"/>
        <w:spacing w:line="420" w:lineRule="exact"/>
        <w:ind w:firstLine="480" w:firstLineChars="200"/>
        <w:rPr>
          <w:color w:val="000000"/>
          <w:sz w:val="24"/>
          <w:szCs w:val="24"/>
        </w:rPr>
      </w:pPr>
      <w:r>
        <w:rPr>
          <w:color w:val="000000"/>
          <w:sz w:val="24"/>
          <w:szCs w:val="24"/>
        </w:rPr>
        <w:t>3、投标技术文件至少应根据投标货物的关键设备、总成、零部件或系统作出满足或优于招标文件要求的详细说明。</w:t>
      </w:r>
    </w:p>
    <w:p>
      <w:pPr>
        <w:spacing w:line="420" w:lineRule="exact"/>
        <w:ind w:firstLine="480" w:firstLineChars="200"/>
        <w:rPr>
          <w:color w:val="000000"/>
          <w:sz w:val="24"/>
          <w:szCs w:val="24"/>
        </w:rPr>
      </w:pPr>
      <w:r>
        <w:rPr>
          <w:color w:val="000000"/>
          <w:sz w:val="24"/>
          <w:szCs w:val="24"/>
        </w:rPr>
        <w:t>4、投标技术文件至少应按照招标文件要求（或投标方建议）列明备品备件、易损件和专用耗材明细。</w:t>
      </w:r>
    </w:p>
    <w:p>
      <w:pPr>
        <w:spacing w:line="420" w:lineRule="exact"/>
        <w:ind w:firstLine="480" w:firstLineChars="200"/>
        <w:rPr>
          <w:color w:val="000000"/>
          <w:sz w:val="24"/>
          <w:szCs w:val="24"/>
        </w:rPr>
      </w:pPr>
      <w:r>
        <w:rPr>
          <w:color w:val="000000"/>
          <w:sz w:val="24"/>
          <w:szCs w:val="24"/>
        </w:rPr>
        <w:t>5、投标方应当而且必须分别说明所列备品备件、易损件和专用耗材的使用寿命（以有效工作小时数说明）。</w:t>
      </w:r>
    </w:p>
    <w:p>
      <w:pPr>
        <w:adjustRightInd w:val="0"/>
        <w:snapToGrid w:val="0"/>
        <w:spacing w:line="420" w:lineRule="exact"/>
        <w:ind w:firstLine="480" w:firstLineChars="200"/>
        <w:rPr>
          <w:color w:val="000000"/>
          <w:sz w:val="24"/>
          <w:szCs w:val="24"/>
        </w:rPr>
      </w:pPr>
      <w:r>
        <w:rPr>
          <w:color w:val="000000"/>
          <w:sz w:val="24"/>
          <w:szCs w:val="24"/>
        </w:rPr>
        <w:t>6、投标的货物，应当根据其配置和备品备件、易损件、专用耗材情况，尽可能详细且分类填入下表：</w:t>
      </w:r>
    </w:p>
    <w:p>
      <w:pPr>
        <w:adjustRightInd w:val="0"/>
        <w:snapToGrid w:val="0"/>
        <w:spacing w:line="420" w:lineRule="exact"/>
        <w:ind w:firstLine="480" w:firstLineChars="200"/>
        <w:rPr>
          <w:color w:val="000000"/>
          <w:sz w:val="24"/>
          <w:szCs w:val="24"/>
        </w:rPr>
      </w:pPr>
      <w:r>
        <w:rPr>
          <w:color w:val="000000"/>
          <w:sz w:val="24"/>
          <w:szCs w:val="24"/>
        </w:rPr>
        <w:t>6.1  备品备件、易损件和专用耗材明细表：</w:t>
      </w:r>
    </w:p>
    <w:p>
      <w:pPr>
        <w:adjustRightInd w:val="0"/>
        <w:snapToGrid w:val="0"/>
        <w:spacing w:line="420" w:lineRule="exact"/>
        <w:ind w:firstLine="1890" w:firstLineChars="900"/>
        <w:rPr>
          <w:color w:val="000000"/>
        </w:rPr>
      </w:pPr>
      <w:r>
        <w:rPr>
          <w:color w:val="000000"/>
        </w:rPr>
        <w:t>备品备件、易损件和专用耗材明细表             单位：元</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r>
              <w:rPr>
                <w:color w:val="000000"/>
              </w:rPr>
              <w:t>序号</w:t>
            </w:r>
          </w:p>
        </w:tc>
        <w:tc>
          <w:tcPr>
            <w:tcW w:w="1924" w:type="dxa"/>
          </w:tcPr>
          <w:p>
            <w:pPr>
              <w:adjustRightInd w:val="0"/>
              <w:snapToGrid w:val="0"/>
              <w:spacing w:line="360" w:lineRule="exact"/>
              <w:jc w:val="center"/>
              <w:rPr>
                <w:color w:val="000000"/>
              </w:rPr>
            </w:pPr>
            <w:r>
              <w:rPr>
                <w:color w:val="000000"/>
              </w:rPr>
              <w:t>名称</w:t>
            </w:r>
          </w:p>
        </w:tc>
        <w:tc>
          <w:tcPr>
            <w:tcW w:w="1236" w:type="dxa"/>
          </w:tcPr>
          <w:p>
            <w:pPr>
              <w:adjustRightInd w:val="0"/>
              <w:snapToGrid w:val="0"/>
              <w:spacing w:line="360" w:lineRule="exact"/>
              <w:jc w:val="center"/>
              <w:rPr>
                <w:color w:val="000000"/>
              </w:rPr>
            </w:pPr>
            <w:r>
              <w:rPr>
                <w:color w:val="000000"/>
              </w:rPr>
              <w:t>型号规格</w:t>
            </w:r>
          </w:p>
        </w:tc>
        <w:tc>
          <w:tcPr>
            <w:tcW w:w="720" w:type="dxa"/>
          </w:tcPr>
          <w:p>
            <w:pPr>
              <w:adjustRightInd w:val="0"/>
              <w:snapToGrid w:val="0"/>
              <w:spacing w:line="360" w:lineRule="exact"/>
              <w:jc w:val="center"/>
              <w:rPr>
                <w:color w:val="000000"/>
              </w:rPr>
            </w:pPr>
            <w:r>
              <w:rPr>
                <w:color w:val="000000"/>
              </w:rPr>
              <w:t>单位</w:t>
            </w:r>
          </w:p>
        </w:tc>
        <w:tc>
          <w:tcPr>
            <w:tcW w:w="720" w:type="dxa"/>
          </w:tcPr>
          <w:p>
            <w:pPr>
              <w:adjustRightInd w:val="0"/>
              <w:snapToGrid w:val="0"/>
              <w:spacing w:line="360" w:lineRule="exact"/>
              <w:jc w:val="center"/>
              <w:rPr>
                <w:color w:val="000000"/>
              </w:rPr>
            </w:pPr>
            <w:r>
              <w:rPr>
                <w:color w:val="000000"/>
              </w:rPr>
              <w:t>数量</w:t>
            </w:r>
          </w:p>
        </w:tc>
        <w:tc>
          <w:tcPr>
            <w:tcW w:w="720" w:type="dxa"/>
          </w:tcPr>
          <w:p>
            <w:pPr>
              <w:adjustRightInd w:val="0"/>
              <w:snapToGrid w:val="0"/>
              <w:spacing w:line="360" w:lineRule="exact"/>
              <w:jc w:val="center"/>
              <w:rPr>
                <w:color w:val="000000"/>
              </w:rPr>
            </w:pPr>
            <w:r>
              <w:rPr>
                <w:color w:val="000000"/>
              </w:rPr>
              <w:t>单价</w:t>
            </w:r>
          </w:p>
        </w:tc>
        <w:tc>
          <w:tcPr>
            <w:tcW w:w="720" w:type="dxa"/>
          </w:tcPr>
          <w:p>
            <w:pPr>
              <w:adjustRightInd w:val="0"/>
              <w:snapToGrid w:val="0"/>
              <w:spacing w:line="360" w:lineRule="exact"/>
              <w:jc w:val="center"/>
              <w:rPr>
                <w:color w:val="000000"/>
              </w:rPr>
            </w:pPr>
            <w:r>
              <w:rPr>
                <w:color w:val="000000"/>
              </w:rPr>
              <w:t>总价</w:t>
            </w:r>
          </w:p>
        </w:tc>
        <w:tc>
          <w:tcPr>
            <w:tcW w:w="2235" w:type="dxa"/>
          </w:tcPr>
          <w:p>
            <w:pPr>
              <w:adjustRightInd w:val="0"/>
              <w:snapToGrid w:val="0"/>
              <w:spacing w:line="360" w:lineRule="exact"/>
              <w:jc w:val="center"/>
              <w:rPr>
                <w:color w:val="000000"/>
              </w:rPr>
            </w:pPr>
            <w:r>
              <w:rPr>
                <w:color w:val="000000"/>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bl>
    <w:p>
      <w:pPr>
        <w:spacing w:line="420" w:lineRule="exact"/>
        <w:ind w:firstLine="480" w:firstLineChars="200"/>
        <w:rPr>
          <w:color w:val="000000"/>
          <w:sz w:val="24"/>
          <w:szCs w:val="24"/>
        </w:rPr>
      </w:pPr>
      <w:r>
        <w:rPr>
          <w:color w:val="000000"/>
          <w:sz w:val="24"/>
          <w:szCs w:val="24"/>
        </w:rPr>
        <w:t>6.2  “开标一览表”和“明细表”仅作为投标方编制投标技术文件的一般格式。其中序号编写应当便于招标方了解分类或分项货物之间的所属关系，如1、1.1、1.2。</w:t>
      </w:r>
    </w:p>
    <w:p>
      <w:pPr>
        <w:spacing w:line="420" w:lineRule="exact"/>
        <w:ind w:firstLine="480" w:firstLineChars="200"/>
        <w:rPr>
          <w:color w:val="000000"/>
          <w:sz w:val="24"/>
          <w:szCs w:val="24"/>
        </w:rPr>
      </w:pPr>
      <w:r>
        <w:rPr>
          <w:color w:val="000000"/>
          <w:sz w:val="24"/>
          <w:szCs w:val="24"/>
        </w:rPr>
        <w:t>6.3  应当尽可能将货物的配置列全、列细，这将有助于投标方胜出。</w:t>
      </w:r>
    </w:p>
    <w:p>
      <w:pPr>
        <w:spacing w:line="420" w:lineRule="exact"/>
        <w:ind w:firstLine="480" w:firstLineChars="200"/>
        <w:rPr>
          <w:color w:val="000000"/>
          <w:sz w:val="24"/>
          <w:szCs w:val="24"/>
        </w:rPr>
      </w:pPr>
      <w:r>
        <w:rPr>
          <w:color w:val="000000"/>
          <w:sz w:val="24"/>
          <w:szCs w:val="24"/>
        </w:rPr>
        <w:t>6.4  单价与总价之间、总价与分类小计价之间、分类小计价与合计价之间数据应当齐全而且准确。</w:t>
      </w:r>
    </w:p>
    <w:p>
      <w:pPr>
        <w:spacing w:line="420" w:lineRule="exact"/>
        <w:ind w:firstLine="480" w:firstLineChars="200"/>
        <w:rPr>
          <w:color w:val="000000"/>
          <w:sz w:val="24"/>
          <w:szCs w:val="24"/>
        </w:rPr>
      </w:pPr>
      <w:r>
        <w:rPr>
          <w:color w:val="000000"/>
          <w:sz w:val="24"/>
          <w:szCs w:val="24"/>
        </w:rPr>
        <w:t>6.5  本条款表格中的制造商，应当为全称或公认的简称。</w:t>
      </w:r>
    </w:p>
    <w:p>
      <w:pPr>
        <w:pStyle w:val="81"/>
        <w:rPr>
          <w:rFonts w:ascii="Times New Roman" w:hAnsi="Times New Roman"/>
        </w:rPr>
      </w:pPr>
      <w:r>
        <w:rPr>
          <w:rFonts w:ascii="Times New Roman" w:hAnsi="Times New Roman"/>
        </w:rPr>
        <w:t>二、技术文件中货物报价格式要求</w:t>
      </w:r>
    </w:p>
    <w:p>
      <w:pPr>
        <w:spacing w:line="420" w:lineRule="exact"/>
        <w:ind w:firstLine="480" w:firstLineChars="200"/>
        <w:rPr>
          <w:color w:val="000000"/>
          <w:sz w:val="24"/>
          <w:szCs w:val="24"/>
        </w:rPr>
      </w:pPr>
      <w:r>
        <w:rPr>
          <w:color w:val="000000"/>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80" w:firstLineChars="200"/>
        <w:rPr>
          <w:color w:val="000000"/>
          <w:sz w:val="24"/>
          <w:szCs w:val="24"/>
        </w:rPr>
      </w:pPr>
      <w:r>
        <w:rPr>
          <w:color w:val="000000"/>
          <w:sz w:val="24"/>
          <w:szCs w:val="24"/>
        </w:rPr>
        <w:t>2、如果投标总报价与其它价格出现错误或不一致，将有可能导致废标。</w:t>
      </w:r>
    </w:p>
    <w:p>
      <w:pPr>
        <w:spacing w:line="420" w:lineRule="exact"/>
        <w:ind w:firstLine="480" w:firstLineChars="200"/>
        <w:rPr>
          <w:color w:val="000000"/>
          <w:sz w:val="24"/>
          <w:szCs w:val="24"/>
        </w:rPr>
      </w:pPr>
      <w:r>
        <w:rPr>
          <w:color w:val="000000"/>
          <w:sz w:val="24"/>
          <w:szCs w:val="24"/>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80" w:firstLineChars="200"/>
        <w:rPr>
          <w:color w:val="000000"/>
          <w:sz w:val="24"/>
          <w:szCs w:val="24"/>
        </w:rPr>
      </w:pPr>
      <w:r>
        <w:rPr>
          <w:color w:val="000000"/>
          <w:sz w:val="24"/>
          <w:szCs w:val="24"/>
        </w:rPr>
        <w:t>4、备品备件、易损件和专用耗材，招标方将可能与投标方按照投标价格另行签署供货合同。</w:t>
      </w:r>
    </w:p>
    <w:p>
      <w:pPr>
        <w:spacing w:line="420" w:lineRule="exact"/>
        <w:ind w:firstLine="480" w:firstLineChars="200"/>
        <w:rPr>
          <w:color w:val="000000"/>
          <w:sz w:val="24"/>
          <w:szCs w:val="24"/>
        </w:rPr>
      </w:pPr>
      <w:r>
        <w:rPr>
          <w:color w:val="000000"/>
          <w:sz w:val="24"/>
          <w:szCs w:val="24"/>
        </w:rPr>
        <w:t>5、要求投标总报价、分项报价、明细报价之间应当具有相互间对应关系以及填报分项和明细报价，仅为便于评标而不妨碍投标人以最合适的形式签署合同。</w:t>
      </w:r>
    </w:p>
    <w:p>
      <w:pPr>
        <w:pStyle w:val="81"/>
        <w:rPr>
          <w:rFonts w:ascii="Times New Roman" w:hAnsi="Times New Roman"/>
        </w:rPr>
      </w:pPr>
      <w:r>
        <w:rPr>
          <w:rFonts w:ascii="Times New Roman" w:hAnsi="Times New Roman"/>
        </w:rPr>
        <w:t>三、验收标准及内容要求</w:t>
      </w:r>
    </w:p>
    <w:p>
      <w:pPr>
        <w:adjustRightInd w:val="0"/>
        <w:snapToGrid w:val="0"/>
        <w:spacing w:line="420" w:lineRule="exact"/>
        <w:ind w:firstLine="480" w:firstLineChars="200"/>
        <w:rPr>
          <w:color w:val="000000"/>
          <w:sz w:val="24"/>
          <w:szCs w:val="24"/>
        </w:rPr>
      </w:pPr>
      <w:r>
        <w:rPr>
          <w:color w:val="000000"/>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pPr>
        <w:pStyle w:val="3"/>
        <w:spacing w:before="120" w:after="120" w:line="480" w:lineRule="exact"/>
        <w:jc w:val="center"/>
        <w:rPr>
          <w:rFonts w:eastAsia="黑体"/>
          <w:b w:val="0"/>
          <w:color w:val="000000"/>
          <w:sz w:val="24"/>
          <w:szCs w:val="24"/>
        </w:rPr>
        <w:sectPr>
          <w:headerReference r:id="rId12" w:type="first"/>
          <w:footerReference r:id="rId14" w:type="first"/>
          <w:headerReference r:id="rId11" w:type="default"/>
          <w:footerReference r:id="rId13" w:type="default"/>
          <w:pgSz w:w="11906" w:h="16838"/>
          <w:pgMar w:top="850" w:right="1134" w:bottom="850" w:left="1134" w:header="851" w:footer="992" w:gutter="0"/>
          <w:pgNumType w:fmt="numberInDash"/>
          <w:cols w:space="720" w:num="1"/>
          <w:titlePg/>
          <w:docGrid w:type="lines" w:linePitch="312" w:charSpace="0"/>
        </w:sectPr>
      </w:pPr>
      <w:bookmarkStart w:id="32" w:name="_Toc465187648"/>
    </w:p>
    <w:p>
      <w:pPr>
        <w:pStyle w:val="59"/>
        <w:rPr>
          <w:rFonts w:hint="eastAsia"/>
        </w:rPr>
      </w:pPr>
      <w:r>
        <w:rPr>
          <w:rFonts w:hint="eastAsia"/>
        </w:rPr>
        <w:t>第</w:t>
      </w:r>
      <w:r>
        <w:rPr>
          <w:rFonts w:hint="eastAsia"/>
          <w:lang w:val="en-US" w:eastAsia="zh-CN"/>
        </w:rPr>
        <w:t>八</w:t>
      </w:r>
      <w:r>
        <w:rPr>
          <w:rFonts w:hint="eastAsia"/>
        </w:rPr>
        <w:t>章  其它要求及说明</w:t>
      </w:r>
      <w:bookmarkEnd w:id="32"/>
    </w:p>
    <w:p>
      <w:pPr>
        <w:pStyle w:val="81"/>
        <w:rPr>
          <w:rFonts w:hint="eastAsia"/>
        </w:rPr>
      </w:pPr>
      <w:r>
        <w:rPr>
          <w:rFonts w:hint="eastAsia"/>
        </w:rPr>
        <w:t>一、要求</w:t>
      </w:r>
    </w:p>
    <w:p>
      <w:pPr>
        <w:spacing w:line="360" w:lineRule="auto"/>
        <w:ind w:firstLine="480" w:firstLineChars="200"/>
        <w:rPr>
          <w:rFonts w:cs="宋体"/>
          <w:color w:val="000000"/>
          <w:sz w:val="24"/>
          <w:szCs w:val="24"/>
        </w:rPr>
      </w:pPr>
      <w:r>
        <w:rPr>
          <w:rFonts w:hint="eastAsia" w:hAnsi="宋体" w:cs="宋体"/>
          <w:color w:val="000000"/>
          <w:sz w:val="24"/>
          <w:szCs w:val="24"/>
        </w:rPr>
        <w:t>为保证本技术标书所列采购货物的质量以及先进性、可靠性、经济性和实用性，要求投标方在投标文件中，至少应具备以下资格证明文件或资料：</w:t>
      </w:r>
    </w:p>
    <w:p>
      <w:pPr>
        <w:spacing w:line="360" w:lineRule="auto"/>
        <w:ind w:firstLine="480" w:firstLineChars="200"/>
        <w:rPr>
          <w:rFonts w:hint="eastAsia"/>
          <w:sz w:val="24"/>
          <w:szCs w:val="24"/>
        </w:rPr>
      </w:pPr>
      <w:r>
        <w:rPr>
          <w:rFonts w:hint="eastAsia"/>
          <w:sz w:val="24"/>
          <w:szCs w:val="24"/>
        </w:rPr>
        <w:t>1、投标方应是独立法人。应当在投标文件中提供法人营业执照（国外供应商参考该要求提供有效证明文件），并保证其真实性和有效性。</w:t>
      </w:r>
    </w:p>
    <w:p>
      <w:pPr>
        <w:spacing w:line="360" w:lineRule="auto"/>
        <w:ind w:firstLine="480" w:firstLineChars="200"/>
        <w:rPr>
          <w:rFonts w:hint="eastAsia"/>
          <w:sz w:val="24"/>
          <w:szCs w:val="24"/>
        </w:rPr>
      </w:pPr>
      <w:r>
        <w:rPr>
          <w:rFonts w:hint="eastAsia"/>
          <w:sz w:val="24"/>
          <w:szCs w:val="24"/>
        </w:rPr>
        <w:t>2、投标方应当是通过有关资格认证的法人。应当在投标文件中提供有效期内的资格认证证书，如：ISO9001、QS9000等。</w:t>
      </w:r>
    </w:p>
    <w:p>
      <w:pPr>
        <w:spacing w:line="360" w:lineRule="auto"/>
        <w:ind w:firstLine="480" w:firstLineChars="200"/>
        <w:rPr>
          <w:rFonts w:hint="eastAsia"/>
          <w:sz w:val="24"/>
          <w:szCs w:val="24"/>
        </w:rPr>
      </w:pPr>
      <w:r>
        <w:rPr>
          <w:rFonts w:hint="eastAsia"/>
          <w:sz w:val="24"/>
          <w:szCs w:val="24"/>
        </w:rPr>
        <w:t>3、应附有其它与投标单位、采购货物有关的荣誉证书或资料。</w:t>
      </w:r>
    </w:p>
    <w:p>
      <w:pPr>
        <w:spacing w:line="360" w:lineRule="auto"/>
        <w:ind w:firstLine="480" w:firstLineChars="200"/>
        <w:rPr>
          <w:rFonts w:hint="eastAsia"/>
          <w:sz w:val="24"/>
          <w:szCs w:val="24"/>
        </w:rPr>
      </w:pPr>
      <w:r>
        <w:rPr>
          <w:rFonts w:hint="eastAsia"/>
          <w:sz w:val="24"/>
          <w:szCs w:val="24"/>
        </w:rPr>
        <w:t>4、必须附有投标货物涉及产品要求的、国家或行业管理规定要求的、或者投标方认为能够体现其投标货物合法性及先进性的最高级别的证明材料（投标货物不涉及的除外）：</w:t>
      </w:r>
    </w:p>
    <w:p>
      <w:pPr>
        <w:spacing w:line="360" w:lineRule="auto"/>
        <w:ind w:firstLine="480" w:firstLineChars="200"/>
        <w:rPr>
          <w:rFonts w:hint="eastAsia"/>
          <w:sz w:val="24"/>
          <w:szCs w:val="24"/>
        </w:rPr>
      </w:pPr>
      <w:r>
        <w:rPr>
          <w:rFonts w:hint="eastAsia"/>
          <w:sz w:val="24"/>
          <w:szCs w:val="24"/>
        </w:rPr>
        <w:t>4.1  国家相关机构颁发的有效期之内所必需的《生产许可证》。</w:t>
      </w:r>
    </w:p>
    <w:p>
      <w:pPr>
        <w:spacing w:line="360" w:lineRule="auto"/>
        <w:ind w:firstLine="480" w:firstLineChars="200"/>
        <w:rPr>
          <w:rFonts w:hint="eastAsia"/>
          <w:sz w:val="24"/>
          <w:szCs w:val="24"/>
        </w:rPr>
      </w:pPr>
      <w:r>
        <w:rPr>
          <w:rFonts w:hint="eastAsia"/>
          <w:sz w:val="24"/>
          <w:szCs w:val="24"/>
        </w:rPr>
        <w:t>4.2  产品（或技术）鉴定报告/证书、专利证书或专利许可证书、新技术成果证书等。</w:t>
      </w:r>
    </w:p>
    <w:p>
      <w:pPr>
        <w:spacing w:line="360" w:lineRule="auto"/>
        <w:ind w:firstLine="480" w:firstLineChars="200"/>
        <w:rPr>
          <w:rFonts w:hint="eastAsia"/>
          <w:sz w:val="24"/>
          <w:szCs w:val="24"/>
        </w:rPr>
      </w:pPr>
      <w:r>
        <w:rPr>
          <w:rFonts w:hint="eastAsia"/>
          <w:sz w:val="24"/>
          <w:szCs w:val="24"/>
        </w:rPr>
        <w:t>4.3  产品相关检验、试验报告，如：型式试验检验报告、安全试验检验报告、电弧效应试验报告、噪声检测报告等</w:t>
      </w:r>
    </w:p>
    <w:p>
      <w:pPr>
        <w:spacing w:line="360" w:lineRule="auto"/>
        <w:ind w:firstLine="480" w:firstLineChars="200"/>
        <w:rPr>
          <w:rFonts w:hint="eastAsia"/>
          <w:sz w:val="24"/>
          <w:szCs w:val="24"/>
        </w:rPr>
      </w:pPr>
      <w:r>
        <w:rPr>
          <w:rFonts w:hint="eastAsia"/>
          <w:sz w:val="24"/>
          <w:szCs w:val="24"/>
        </w:rPr>
        <w:t>4.4  其它能够证明所供货物的质量水平、技术水平、安全性水平、节能性水平、环保性水平等相关的其它证明文件或资料、报告等。</w:t>
      </w:r>
    </w:p>
    <w:p>
      <w:pPr>
        <w:spacing w:line="360" w:lineRule="auto"/>
        <w:ind w:firstLine="480" w:firstLineChars="200"/>
        <w:rPr>
          <w:rFonts w:hint="eastAsia"/>
          <w:sz w:val="24"/>
          <w:szCs w:val="24"/>
        </w:rPr>
      </w:pPr>
      <w:r>
        <w:rPr>
          <w:rFonts w:hint="eastAsia"/>
          <w:sz w:val="24"/>
          <w:szCs w:val="24"/>
        </w:rPr>
        <w:t>5、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pPr>
        <w:pStyle w:val="81"/>
        <w:rPr>
          <w:rFonts w:hint="eastAsia"/>
        </w:rPr>
      </w:pPr>
      <w:r>
        <w:rPr>
          <w:rFonts w:hint="eastAsia"/>
        </w:rPr>
        <w:t>二、说明</w:t>
      </w:r>
    </w:p>
    <w:p>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2、即使有建议意见或建议方案，仍应依据招标文件和本技术标书要求，编写符合要求的投标文件。建议方案或建议意见，应以单独篇章或文件，予以说明和报价。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4、招标文件、投标文件、答疑文件、技术交流文件、技术协议书等，在采购过程全部为有效文件，如有差异，以对招标方最有利的条款为准。</w:t>
      </w:r>
    </w:p>
    <w:p>
      <w:pPr>
        <w:spacing w:line="420" w:lineRule="exact"/>
        <w:ind w:firstLine="480" w:firstLineChars="200"/>
        <w:rPr>
          <w:rFonts w:ascii="等线" w:hAnsi="等线" w:eastAsia="等线"/>
          <w:sz w:val="24"/>
          <w:szCs w:val="24"/>
        </w:rPr>
      </w:pPr>
      <w:r>
        <w:rPr>
          <w:rFonts w:hint="eastAsia" w:ascii="宋体" w:hAnsi="宋体"/>
          <w:color w:val="000000"/>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pPr>
        <w:rPr>
          <w:rFonts w:hint="eastAsia" w:ascii="宋体" w:hAnsi="宋体" w:eastAsia="宋体" w:cs="宋体"/>
        </w:rPr>
      </w:pPr>
    </w:p>
    <w:sectPr>
      <w:headerReference r:id="rId15" w:type="default"/>
      <w:footerReference r:id="rId16"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仿宋">
    <w:altName w:val="汉仪仿宋KW"/>
    <w:panose1 w:val="02010609060101010101"/>
    <w:charset w:val="86"/>
    <w:family w:val="modern"/>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2 -</w:t>
    </w:r>
    <w:r>
      <w:fldChar w:fldCharType="end"/>
    </w:r>
  </w:p>
  <w:p>
    <w:pPr>
      <w:pStyle w:val="21"/>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1 -</w:t>
    </w:r>
    <w:r>
      <w:fldChar w:fldCharType="end"/>
    </w:r>
  </w:p>
  <w:p>
    <w:pPr>
      <w:pStyle w:val="21"/>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eastAsia="zh-CN"/>
      </w:rPr>
      <w:t>-</w:t>
    </w:r>
    <w:r>
      <w:rPr>
        <w:lang w:val="en-US" w:eastAsia="zh-CN"/>
      </w:rPr>
      <w:t xml:space="preserve"> 8 -</w:t>
    </w:r>
    <w:r>
      <w:fldChar w:fldCharType="end"/>
    </w:r>
  </w:p>
  <w:p>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eastAsia="zh-CN"/>
      </w:rPr>
      <w:t>-</w:t>
    </w:r>
    <w:r>
      <w:rPr>
        <w:lang w:val="en-US" w:eastAsia="zh-CN"/>
      </w:rPr>
      <w:t xml:space="preserve"> 5 -</w:t>
    </w:r>
    <w:r>
      <w:fldChar w:fldCharType="end"/>
    </w:r>
  </w:p>
  <w:p>
    <w:pPr>
      <w:pStyle w:val="21"/>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56D20133"/>
    <w:multiLevelType w:val="multilevel"/>
    <w:tmpl w:val="56D20133"/>
    <w:lvl w:ilvl="0" w:tentative="0">
      <w:start w:val="1"/>
      <w:numFmt w:val="chineseCountingThousand"/>
      <w:pStyle w:val="16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8"/>
  </w:num>
  <w:num w:numId="2">
    <w:abstractNumId w:val="7"/>
  </w:num>
  <w:num w:numId="3">
    <w:abstractNumId w:val="3"/>
  </w:num>
  <w:num w:numId="4">
    <w:abstractNumId w:val="2"/>
  </w:num>
  <w:num w:numId="5">
    <w:abstractNumId w:val="6"/>
  </w:num>
  <w:num w:numId="6">
    <w:abstractNumId w:val="1"/>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7E57C0D"/>
    <w:rsid w:val="099C5159"/>
    <w:rsid w:val="118B17C0"/>
    <w:rsid w:val="14A15C19"/>
    <w:rsid w:val="17EC378B"/>
    <w:rsid w:val="2EB771D0"/>
    <w:rsid w:val="347E0C7B"/>
    <w:rsid w:val="34F7633C"/>
    <w:rsid w:val="3A1A26FD"/>
    <w:rsid w:val="3DFFBC2C"/>
    <w:rsid w:val="41212D5E"/>
    <w:rsid w:val="4C3A530E"/>
    <w:rsid w:val="519B637D"/>
    <w:rsid w:val="520D3BC4"/>
    <w:rsid w:val="564B737E"/>
    <w:rsid w:val="60AE53F2"/>
    <w:rsid w:val="60EE4022"/>
    <w:rsid w:val="636F4F70"/>
    <w:rsid w:val="64D3442A"/>
    <w:rsid w:val="65AD6236"/>
    <w:rsid w:val="699A3928"/>
    <w:rsid w:val="70221C74"/>
    <w:rsid w:val="720E4873"/>
    <w:rsid w:val="73E3796C"/>
    <w:rsid w:val="77EF6C01"/>
    <w:rsid w:val="7D4635F6"/>
    <w:rsid w:val="7F21134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8"/>
    <w:unhideWhenUsed/>
    <w:qFormat/>
    <w:uiPriority w:val="0"/>
    <w:pPr>
      <w:jc w:val="left"/>
    </w:pPr>
  </w:style>
  <w:style w:type="paragraph" w:styleId="12">
    <w:name w:val="Body Text"/>
    <w:basedOn w:val="1"/>
    <w:link w:val="99"/>
    <w:qFormat/>
    <w:uiPriority w:val="0"/>
    <w:rPr>
      <w:rFonts w:ascii="仿宋_GB2312" w:eastAsia="仿宋_GB2312"/>
      <w:sz w:val="32"/>
      <w:lang w:val="zh-CN" w:eastAsia="zh-CN"/>
    </w:rPr>
  </w:style>
  <w:style w:type="paragraph" w:styleId="13">
    <w:name w:val="Body Text Indent"/>
    <w:basedOn w:val="1"/>
    <w:link w:val="91"/>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1"/>
    <w:next w:val="11"/>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4"/>
    <w:qFormat/>
    <w:uiPriority w:val="0"/>
    <w:rPr>
      <w:rFonts w:ascii="Arial" w:hAnsi="Arial" w:eastAsia="黑体" w:cs="Times New Roman"/>
      <w:b/>
      <w:bCs/>
      <w:sz w:val="32"/>
      <w:szCs w:val="32"/>
      <w:lang w:val="zh-CN" w:eastAsia="zh-CN"/>
    </w:rPr>
  </w:style>
  <w:style w:type="character" w:customStyle="1" w:styleId="43">
    <w:name w:val="标题 3 字符"/>
    <w:basedOn w:val="35"/>
    <w:link w:val="5"/>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6"/>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1"/>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9"/>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4"/>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5"/>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2"/>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6"/>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7">
    <w:name w:val="（二）级标题"/>
    <w:basedOn w:val="16"/>
    <w:qFormat/>
    <w:uiPriority w:val="2"/>
    <w:pPr>
      <w:numPr>
        <w:ilvl w:val="0"/>
        <w:numId w:val="1"/>
      </w:numPr>
      <w:spacing w:line="360" w:lineRule="auto"/>
      <w:outlineLvl w:val="2"/>
    </w:pPr>
    <w:rPr>
      <w:b/>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6.jpeg"/><Relationship Id="rId32" Type="http://schemas.openxmlformats.org/officeDocument/2006/relationships/image" Target="media/image15.png"/><Relationship Id="rId31" Type="http://schemas.openxmlformats.org/officeDocument/2006/relationships/image" Target="media/image14.jpe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48</Pages>
  <Words>8965</Words>
  <Characters>9363</Characters>
  <Lines>247</Lines>
  <Paragraphs>69</Paragraphs>
  <TotalTime>0</TotalTime>
  <ScaleCrop>false</ScaleCrop>
  <LinksUpToDate>false</LinksUpToDate>
  <CharactersWithSpaces>13622</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2026-01-20T10:09:58Z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