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科技中心园区东一门、西二门道闸改造</w:t>
      </w:r>
    </w:p>
    <w:p>
      <w:pPr>
        <w:jc w:val="center"/>
        <w:rPr>
          <w:rFonts w:hint="eastAsia" w:ascii="宋体" w:hAnsi="宋体" w:cs="Times New Roman"/>
          <w:b w:val="0"/>
          <w:bCs/>
          <w:sz w:val="50"/>
          <w:highlight w:val="none"/>
          <w:lang w:val="en-US" w:eastAsia="zh-CN"/>
        </w:rPr>
      </w:pPr>
      <w:r>
        <w:rPr>
          <w:rFonts w:hint="eastAsia" w:ascii="宋体" w:hAnsi="宋体" w:cs="Times New Roman"/>
          <w:b w:val="0"/>
          <w:bCs/>
          <w:sz w:val="50"/>
          <w:highlight w:val="none"/>
          <w:lang w:val="en-US" w:eastAsia="zh-CN"/>
        </w:rPr>
        <w:t>项目</w:t>
      </w:r>
    </w:p>
    <w:p>
      <w:pPr>
        <w:pStyle w:val="2"/>
        <w:rPr>
          <w:rFonts w:hint="eastAsia"/>
          <w:highlight w:val="none"/>
          <w:lang w:val="en-US" w:eastAsia="zh-CN"/>
        </w:rPr>
      </w:pP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trike w:val="0"/>
          <w:dstrike w:val="0"/>
          <w:sz w:val="32"/>
          <w:szCs w:val="32"/>
          <w:highlight w:val="none"/>
          <w:u w:val="single"/>
          <w:lang w:eastAsia="zh-CN"/>
        </w:rPr>
        <w:t>ZBGL2026010297</w:t>
      </w:r>
    </w:p>
    <w:p>
      <w:pPr>
        <w:spacing w:line="276" w:lineRule="auto"/>
        <w:rPr>
          <w:rFonts w:hint="eastAsia" w:ascii="宋体" w:hAnsi="宋体"/>
          <w:sz w:val="28"/>
          <w:szCs w:val="28"/>
          <w:highlight w:val="none"/>
        </w:rPr>
      </w:pPr>
    </w:p>
    <w:p>
      <w:pPr>
        <w:pStyle w:val="10"/>
        <w:rPr>
          <w:rFonts w:hint="eastAsia" w:ascii="宋体" w:hAnsi="宋体"/>
          <w:sz w:val="28"/>
          <w:szCs w:val="28"/>
          <w:highlight w:val="none"/>
        </w:rPr>
      </w:pPr>
    </w:p>
    <w:p>
      <w:pPr>
        <w:pStyle w:val="10"/>
        <w:rPr>
          <w:rFonts w:hint="eastAsia" w:ascii="宋体" w:hAnsi="宋体"/>
          <w:sz w:val="28"/>
          <w:szCs w:val="28"/>
          <w:highlight w:val="none"/>
        </w:rPr>
      </w:pPr>
    </w:p>
    <w:p>
      <w:pPr>
        <w:spacing w:line="276" w:lineRule="auto"/>
        <w:rPr>
          <w:rFonts w:hint="eastAsia" w:ascii="宋体" w:hAnsi="宋体"/>
          <w:sz w:val="28"/>
          <w:szCs w:val="28"/>
          <w:highlight w:val="none"/>
        </w:rPr>
      </w:pPr>
    </w:p>
    <w:p>
      <w:pPr>
        <w:pStyle w:val="2"/>
        <w:rPr>
          <w:rFonts w:hint="eastAsia" w:ascii="宋体" w:hAnsi="宋体"/>
          <w:sz w:val="28"/>
          <w:szCs w:val="28"/>
          <w:highlight w:val="none"/>
        </w:rPr>
      </w:pPr>
    </w:p>
    <w:p>
      <w:pPr>
        <w:pStyle w:val="4"/>
        <w:rPr>
          <w:rFonts w:hint="eastAsia"/>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六</w:t>
      </w:r>
      <w:r>
        <w:rPr>
          <w:rFonts w:hint="eastAsia" w:ascii="宋体" w:hAnsi="宋体"/>
          <w:sz w:val="36"/>
          <w:szCs w:val="36"/>
          <w:highlight w:val="none"/>
        </w:rPr>
        <w:t>年</w:t>
      </w:r>
      <w:r>
        <w:rPr>
          <w:rFonts w:hint="eastAsia" w:ascii="宋体" w:hAnsi="宋体"/>
          <w:sz w:val="36"/>
          <w:szCs w:val="36"/>
          <w:highlight w:val="none"/>
          <w:lang w:val="en-US" w:eastAsia="zh-CN"/>
        </w:rPr>
        <w:t>一</w:t>
      </w:r>
      <w:r>
        <w:rPr>
          <w:rFonts w:hint="eastAsia" w:ascii="宋体" w:hAnsi="宋体"/>
          <w:sz w:val="36"/>
          <w:szCs w:val="36"/>
          <w:highlight w:val="none"/>
        </w:rPr>
        <w:t>月</w:t>
      </w:r>
    </w:p>
    <w:p>
      <w:pPr>
        <w:pStyle w:val="18"/>
        <w:rPr>
          <w:rFonts w:hint="eastAsia" w:eastAsia="宋体"/>
          <w:sz w:val="44"/>
          <w:szCs w:val="44"/>
          <w:highlight w:val="none"/>
          <w:lang w:eastAsia="zh-CN"/>
        </w:rPr>
      </w:pPr>
      <w:bookmarkStart w:id="0" w:name="_Toc18114"/>
      <w:bookmarkStart w:id="1" w:name="_Toc54267469"/>
      <w:r>
        <w:rPr>
          <w:rFonts w:hint="eastAsia"/>
          <w:sz w:val="44"/>
          <w:szCs w:val="44"/>
          <w:highlight w:val="none"/>
        </w:rPr>
        <w:t xml:space="preserve">第一章  </w:t>
      </w:r>
      <w:bookmarkEnd w:id="0"/>
      <w:bookmarkEnd w:id="1"/>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科技中心园区东一门、西二门道闸改造项目</w:t>
      </w:r>
    </w:p>
    <w:p>
      <w:pPr>
        <w:pStyle w:val="12"/>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2" w:name="_Toc152045514"/>
      <w:bookmarkEnd w:id="2"/>
      <w:bookmarkStart w:id="3" w:name="_Toc179632530"/>
      <w:bookmarkEnd w:id="3"/>
      <w:bookmarkStart w:id="4" w:name="_Toc285809451"/>
      <w:bookmarkEnd w:id="4"/>
      <w:bookmarkStart w:id="5" w:name="_Toc144974482"/>
      <w:bookmarkEnd w:id="5"/>
      <w:bookmarkStart w:id="6" w:name="_Toc152042290"/>
      <w:bookmarkEnd w:id="6"/>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科技中心园区东一门、西二门道闸改造项目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szCs w:val="21"/>
          <w:highlight w:val="none"/>
          <w:u w:val="single"/>
          <w:lang w:val="en-US" w:eastAsia="zh-CN"/>
        </w:rPr>
        <w:t>中国重汽集团</w:t>
      </w:r>
      <w:r>
        <w:rPr>
          <w:rFonts w:hint="eastAsia" w:ascii="宋体" w:hAnsi="宋体" w:cs="宋体"/>
          <w:b w:val="0"/>
          <w:bCs w:val="0"/>
          <w:color w:val="000000"/>
          <w:kern w:val="2"/>
          <w:sz w:val="21"/>
          <w:szCs w:val="21"/>
          <w:highlight w:val="none"/>
          <w:u w:val="single"/>
          <w:lang w:val="en-US" w:eastAsia="zh-CN" w:bidi="ar-SA"/>
        </w:rPr>
        <w:t>科技中心园区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highlight w:val="none"/>
          <w:lang w:val="en-US"/>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cs="宋体"/>
          <w:kern w:val="2"/>
          <w:sz w:val="21"/>
          <w:szCs w:val="21"/>
          <w:highlight w:val="none"/>
          <w:u w:val="single"/>
          <w:lang w:val="en-US" w:eastAsia="zh-CN" w:bidi="ar-SA"/>
        </w:rPr>
        <w:t>为提高东一门、西二门道闸通行效率：将东一门现有人行滚闸系统拆除，更换为1套双通道摆闸系统。将西二门现有人行滚闸系统拆除，更换为1套单通道人行摆闸系统。更换下来的滚闸设备调剂给有需求的二级生产单位使用。</w:t>
      </w:r>
    </w:p>
    <w:p>
      <w:pPr>
        <w:pStyle w:val="19"/>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12</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2"/>
        <w:rPr>
          <w:rFonts w:hint="eastAsia" w:ascii="黑体" w:eastAsia="黑体"/>
          <w:b/>
          <w:bCs/>
          <w:sz w:val="28"/>
          <w:highlight w:val="none"/>
        </w:rPr>
      </w:pPr>
      <w:r>
        <w:rPr>
          <w:rFonts w:hint="eastAsia" w:ascii="黑体" w:eastAsia="黑体"/>
          <w:b/>
          <w:bCs/>
          <w:sz w:val="28"/>
          <w:highlight w:val="none"/>
        </w:rPr>
        <w:t>三、招标形式</w:t>
      </w:r>
    </w:p>
    <w:p>
      <w:pPr>
        <w:pStyle w:val="1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strike w:val="0"/>
          <w:dstrike w:val="0"/>
          <w:kern w:val="2"/>
          <w:sz w:val="21"/>
          <w:szCs w:val="21"/>
          <w:highlight w:val="none"/>
          <w:u w:val="single"/>
          <w:lang w:val="en-US" w:eastAsia="zh-CN" w:bidi="ar-SA"/>
        </w:rPr>
        <w:t>ZBGL2026010297</w:t>
      </w:r>
    </w:p>
    <w:p>
      <w:pPr>
        <w:pStyle w:val="12"/>
        <w:rPr>
          <w:rFonts w:hint="eastAsia" w:ascii="黑体" w:eastAsia="黑体"/>
          <w:b/>
          <w:bCs/>
          <w:sz w:val="28"/>
          <w:highlight w:val="none"/>
        </w:rPr>
      </w:pPr>
      <w:r>
        <w:rPr>
          <w:rFonts w:hint="eastAsia" w:ascii="黑体" w:eastAsia="黑体"/>
          <w:b/>
          <w:bCs/>
          <w:sz w:val="28"/>
          <w:highlight w:val="none"/>
        </w:rPr>
        <w:t>四、议程安排</w:t>
      </w:r>
    </w:p>
    <w:p>
      <w:pPr>
        <w:pStyle w:val="12"/>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1.公告时间：</w:t>
      </w:r>
      <w:r>
        <w:rPr>
          <w:rFonts w:hint="eastAsia" w:hAnsi="宋体" w:cs="Times New Roman"/>
          <w:kern w:val="2"/>
          <w:sz w:val="21"/>
          <w:szCs w:val="21"/>
          <w:highlight w:val="none"/>
          <w:u w:val="single"/>
          <w:lang w:val="en-US" w:eastAsia="zh-CN" w:bidi="ar-SA"/>
        </w:rPr>
        <w:t>2026年1月23日</w:t>
      </w:r>
    </w:p>
    <w:p>
      <w:pPr>
        <w:pStyle w:val="12"/>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2.应标（报名）截止时间：</w:t>
      </w:r>
      <w:r>
        <w:rPr>
          <w:rFonts w:hint="eastAsia" w:hAnsi="宋体" w:cs="Times New Roman"/>
          <w:kern w:val="2"/>
          <w:sz w:val="21"/>
          <w:szCs w:val="21"/>
          <w:highlight w:val="none"/>
          <w:u w:val="single"/>
          <w:lang w:val="en-US" w:eastAsia="zh-CN" w:bidi="ar-SA"/>
        </w:rPr>
        <w:t>2026年1月28日17时（e采通）</w:t>
      </w:r>
    </w:p>
    <w:p>
      <w:pPr>
        <w:pStyle w:val="12"/>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3.现场勘察时间：</w:t>
      </w:r>
      <w:r>
        <w:rPr>
          <w:rFonts w:hint="eastAsia" w:hAnsi="宋体" w:cs="Times New Roman"/>
          <w:kern w:val="2"/>
          <w:sz w:val="21"/>
          <w:szCs w:val="21"/>
          <w:highlight w:val="none"/>
          <w:u w:val="single"/>
          <w:lang w:val="en-US" w:eastAsia="zh-CN" w:bidi="ar-SA"/>
        </w:rPr>
        <w:t>2026年1月29日9时</w:t>
      </w:r>
    </w:p>
    <w:p>
      <w:pPr>
        <w:pStyle w:val="12"/>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4．投标保证金收取截止时间：</w:t>
      </w:r>
      <w:r>
        <w:rPr>
          <w:rFonts w:hint="eastAsia" w:hAnsi="宋体" w:cs="Times New Roman"/>
          <w:kern w:val="2"/>
          <w:sz w:val="21"/>
          <w:szCs w:val="21"/>
          <w:highlight w:val="none"/>
          <w:u w:val="single"/>
          <w:lang w:val="en-US" w:eastAsia="zh-CN" w:bidi="ar-SA"/>
        </w:rPr>
        <w:t>2026年2月2日17时</w:t>
      </w:r>
    </w:p>
    <w:p>
      <w:pPr>
        <w:pStyle w:val="12"/>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5.e采通投标截止时间：</w:t>
      </w:r>
      <w:r>
        <w:rPr>
          <w:rFonts w:hint="eastAsia" w:hAnsi="宋体" w:cs="Times New Roman"/>
          <w:kern w:val="2"/>
          <w:sz w:val="21"/>
          <w:szCs w:val="21"/>
          <w:highlight w:val="none"/>
          <w:u w:val="single"/>
          <w:lang w:val="en-US" w:eastAsia="zh-CN" w:bidi="ar-SA"/>
        </w:rPr>
        <w:t>2026年2月2日17时（e采通）</w:t>
      </w:r>
    </w:p>
    <w:p>
      <w:pPr>
        <w:pStyle w:val="12"/>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6.开标时间：</w:t>
      </w:r>
      <w:r>
        <w:rPr>
          <w:rFonts w:hint="eastAsia" w:hAnsi="宋体" w:cs="Times New Roman"/>
          <w:kern w:val="2"/>
          <w:sz w:val="21"/>
          <w:szCs w:val="21"/>
          <w:highlight w:val="none"/>
          <w:u w:val="single"/>
          <w:lang w:val="en-US" w:eastAsia="zh-CN" w:bidi="ar-SA"/>
        </w:rPr>
        <w:t>2026年2月3日9时（e采通）</w:t>
      </w:r>
    </w:p>
    <w:p>
      <w:pPr>
        <w:pStyle w:val="12"/>
        <w:ind w:firstLine="420" w:firstLineChars="200"/>
        <w:rPr>
          <w:rFonts w:hint="eastAsia"/>
          <w:b w:val="0"/>
          <w:bCs w:val="0"/>
          <w:highlight w:val="none"/>
        </w:rPr>
      </w:pPr>
      <w:r>
        <w:rPr>
          <w:rFonts w:hint="eastAsia"/>
          <w:b w:val="0"/>
          <w:bCs w:val="0"/>
          <w:highlight w:val="none"/>
          <w:lang w:val="en-US" w:eastAsia="zh-CN"/>
        </w:rPr>
        <w:t>7</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2"/>
        <w:ind w:firstLine="420" w:firstLineChars="200"/>
        <w:rPr>
          <w:rFonts w:hint="eastAsia"/>
          <w:highlight w:val="none"/>
        </w:rPr>
      </w:pPr>
      <w:r>
        <w:rPr>
          <w:rFonts w:hint="eastAsia"/>
          <w:highlight w:val="none"/>
          <w:lang w:val="en-US" w:eastAsia="zh-CN"/>
        </w:rPr>
        <w:t>8</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2026年2月2日17时</w:t>
      </w:r>
    </w:p>
    <w:p>
      <w:pPr>
        <w:pStyle w:val="12"/>
        <w:ind w:firstLine="630" w:firstLineChars="300"/>
        <w:rPr>
          <w:rFonts w:hint="eastAsia"/>
          <w:highlight w:val="none"/>
        </w:rPr>
      </w:pPr>
      <w:r>
        <w:rPr>
          <w:rFonts w:hint="eastAsia"/>
          <w:highlight w:val="none"/>
        </w:rPr>
        <w:t>答疑方式：电子邮件答疑</w:t>
      </w:r>
    </w:p>
    <w:p>
      <w:pPr>
        <w:pStyle w:val="12"/>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杨善卿 15966323321</w:t>
      </w:r>
    </w:p>
    <w:p>
      <w:pPr>
        <w:pStyle w:val="12"/>
        <w:ind w:firstLine="630" w:firstLineChars="300"/>
        <w:rPr>
          <w:rFonts w:hint="eastAsia"/>
          <w:highlight w:val="none"/>
        </w:rPr>
      </w:pPr>
      <w:r>
        <w:rPr>
          <w:rFonts w:hint="eastAsia"/>
          <w:highlight w:val="none"/>
        </w:rPr>
        <w:t>电子邮箱：</w:t>
      </w:r>
      <w:r>
        <w:rPr>
          <w:rFonts w:hint="eastAsia"/>
          <w:highlight w:val="none"/>
          <w:lang w:val="en-US" w:eastAsia="zh-CN"/>
        </w:rPr>
        <w:t>15966323321</w:t>
      </w:r>
      <w:r>
        <w:rPr>
          <w:rFonts w:hint="eastAsia"/>
          <w:highlight w:val="none"/>
        </w:rPr>
        <w:t>@</w:t>
      </w:r>
      <w:r>
        <w:rPr>
          <w:rFonts w:hint="eastAsia"/>
          <w:highlight w:val="none"/>
          <w:lang w:val="en-US" w:eastAsia="zh-CN"/>
        </w:rPr>
        <w:t>163</w:t>
      </w:r>
      <w:r>
        <w:rPr>
          <w:rFonts w:hint="eastAsia"/>
          <w:highlight w:val="none"/>
        </w:rPr>
        <w:t>.com</w:t>
      </w:r>
    </w:p>
    <w:p>
      <w:pPr>
        <w:pStyle w:val="12"/>
        <w:numPr>
          <w:ilvl w:val="0"/>
          <w:numId w:val="0"/>
        </w:numPr>
        <w:ind w:firstLine="420" w:firstLineChars="200"/>
        <w:rPr>
          <w:rFonts w:hint="default"/>
          <w:highlight w:val="none"/>
          <w:lang w:val="en-US"/>
        </w:rPr>
      </w:pPr>
      <w:r>
        <w:rPr>
          <w:rFonts w:hint="eastAsia"/>
          <w:highlight w:val="none"/>
          <w:lang w:val="en-US" w:eastAsia="zh-CN"/>
        </w:rPr>
        <w:t>9.</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杨善卿 15966323321</w:t>
      </w:r>
    </w:p>
    <w:p>
      <w:pPr>
        <w:pStyle w:val="12"/>
        <w:numPr>
          <w:ilvl w:val="0"/>
          <w:numId w:val="0"/>
        </w:numPr>
        <w:ind w:firstLine="422" w:firstLineChars="200"/>
        <w:rPr>
          <w:rFonts w:hint="default"/>
          <w:highlight w:val="none"/>
          <w:lang w:val="en-US"/>
        </w:rPr>
      </w:pPr>
      <w:r>
        <w:rPr>
          <w:rFonts w:hint="eastAsia"/>
          <w:b/>
          <w:bCs/>
          <w:highlight w:val="none"/>
          <w:lang w:val="en-US" w:eastAsia="zh-CN"/>
        </w:rPr>
        <w:t>10.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pStyle w:val="12"/>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3"/>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、山东阳光采购平台发布。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8"/>
          <w:rFonts w:hint="eastAsia"/>
          <w:b/>
          <w:bCs/>
          <w:highlight w:val="none"/>
        </w:rPr>
      </w:pPr>
      <w:r>
        <w:rPr>
          <w:rStyle w:val="28"/>
          <w:rFonts w:hint="eastAsia"/>
          <w:b/>
          <w:bCs/>
          <w:highlight w:val="none"/>
        </w:rPr>
        <w:t>本项目实行资格后审，报名成功不代表资格审查通过，以最终通过资格审查委员会的审查为准。</w:t>
      </w:r>
    </w:p>
    <w:p>
      <w:pPr>
        <w:pStyle w:val="12"/>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default" w:ascii="宋体" w:hAnsi="宋体" w:eastAsia="宋体"/>
          <w:sz w:val="21"/>
          <w:szCs w:val="21"/>
          <w:highlight w:val="none"/>
          <w:lang w:val="en-US" w:eastAsia="zh-CN"/>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hint="eastAsia" w:ascii="宋体" w:hAnsi="宋体"/>
          <w:b/>
          <w:bCs/>
          <w:sz w:val="28"/>
          <w:szCs w:val="28"/>
          <w:highlight w:val="none"/>
          <w:u w:val="single"/>
          <w:lang w:val="en-US" w:eastAsia="zh-CN"/>
        </w:rPr>
        <w:t xml:space="preserve"> 5000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7"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kern w:val="2"/>
          <w:sz w:val="21"/>
          <w:szCs w:val="21"/>
          <w:highlight w:val="none"/>
          <w:u w:val="single"/>
          <w:lang w:val="en-US" w:eastAsia="zh-CN" w:bidi="ar-SA"/>
        </w:rPr>
        <w:t>东一门、西二门道闸</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7"/>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pStyle w:val="12"/>
        <w:ind w:left="420" w:leftChars="200" w:firstLine="0" w:firstLineChars="0"/>
        <w:rPr>
          <w:rFonts w:ascii="黑体" w:eastAsia="黑体"/>
          <w:b/>
          <w:bCs/>
          <w:sz w:val="28"/>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r>
        <w:rPr>
          <w:rFonts w:hint="eastAsia" w:ascii="仿宋_GB2312" w:hAnsi="仿宋_GB2312" w:eastAsia="仿宋_GB2312" w:cs="仿宋_GB2312"/>
          <w:color w:val="000000"/>
          <w:sz w:val="21"/>
          <w:szCs w:val="21"/>
          <w:highlight w:val="none"/>
        </w:rPr>
        <w:br w:type="textWrapping"/>
      </w: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highlight w:val="none"/>
        </w:rPr>
      </w:pPr>
      <w:r>
        <w:rPr>
          <w:rFonts w:hint="eastAsia" w:ascii="宋体" w:hAnsi="宋体"/>
          <w:sz w:val="21"/>
          <w:szCs w:val="21"/>
          <w:highlight w:val="none"/>
          <w:lang w:val="en-US" w:eastAsia="zh-CN"/>
        </w:rPr>
        <w:t>2. 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3.</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2"/>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2"/>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2"/>
        <w:ind w:firstLine="422" w:firstLineChars="200"/>
        <w:rPr>
          <w:rFonts w:hint="eastAsia"/>
          <w:b/>
          <w:highlight w:val="none"/>
        </w:rPr>
      </w:pPr>
      <w:r>
        <w:rPr>
          <w:rFonts w:hint="eastAsia"/>
          <w:b/>
          <w:highlight w:val="none"/>
        </w:rPr>
        <w:t>1.合格投标人：</w:t>
      </w:r>
    </w:p>
    <w:p>
      <w:pPr>
        <w:pStyle w:val="12"/>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2"/>
        <w:ind w:firstLine="420" w:firstLineChars="200"/>
        <w:rPr>
          <w:rFonts w:hint="eastAsia" w:cs="Times New Roman"/>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w:t>
      </w:r>
      <w:r>
        <w:rPr>
          <w:rFonts w:hint="eastAsia"/>
          <w:highlight w:val="none"/>
          <w:u w:val="single"/>
          <w:lang w:val="en-US" w:eastAsia="zh-CN"/>
        </w:rPr>
        <w:t>500万元</w:t>
      </w:r>
      <w:r>
        <w:rPr>
          <w:rFonts w:hint="eastAsia"/>
          <w:highlight w:val="none"/>
          <w:u w:val="single"/>
          <w:lang w:val="en-US" w:eastAsia="zh-CN"/>
        </w:rPr>
        <w:t>，投标人注册资金不符条件但却属优秀的，经项目实施单位和业务主管部门负责人会签后，可接受其投标。企业营业执照经营范围满足招标内容。</w:t>
      </w:r>
      <w:r>
        <w:rPr>
          <w:rFonts w:hint="eastAsia" w:cs="Times New Roman"/>
          <w:highlight w:val="none"/>
          <w:u w:val="single"/>
          <w:lang w:val="en-US" w:eastAsia="zh-CN"/>
        </w:rPr>
        <w:t>具备有效的安全生产许可证。</w:t>
      </w:r>
    </w:p>
    <w:p>
      <w:pPr>
        <w:pStyle w:val="12"/>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2"/>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2"/>
        <w:ind w:firstLine="420" w:firstLineChars="200"/>
        <w:rPr>
          <w:rFonts w:hint="eastAsia"/>
          <w:highlight w:val="none"/>
        </w:rPr>
      </w:pPr>
      <w:r>
        <w:rPr>
          <w:rFonts w:hint="eastAsia"/>
          <w:highlight w:val="none"/>
          <w:lang w:val="en-US" w:eastAsia="zh-CN"/>
        </w:rPr>
        <w:t xml:space="preserve">（5）投标人之间必须具有充分的竞争关系； </w:t>
      </w:r>
    </w:p>
    <w:p>
      <w:pPr>
        <w:pStyle w:val="12"/>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2"/>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2"/>
        <w:ind w:firstLine="420" w:firstLineChars="200"/>
        <w:rPr>
          <w:rFonts w:hint="eastAsia"/>
          <w:highlight w:val="none"/>
        </w:rPr>
      </w:pPr>
      <w:r>
        <w:rPr>
          <w:rFonts w:hint="eastAsia"/>
          <w:highlight w:val="none"/>
          <w:lang w:val="en-US" w:eastAsia="zh-CN"/>
        </w:rPr>
        <w:t xml:space="preserve">（8）没有被公司列入黑名单； </w:t>
      </w:r>
    </w:p>
    <w:p>
      <w:pPr>
        <w:pStyle w:val="12"/>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2"/>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2"/>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2"/>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2"/>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2"/>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2"/>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2"/>
        <w:ind w:firstLine="422" w:firstLineChars="200"/>
        <w:rPr>
          <w:rFonts w:hint="eastAsia"/>
          <w:b/>
          <w:szCs w:val="21"/>
          <w:highlight w:val="none"/>
        </w:rPr>
      </w:pPr>
      <w:r>
        <w:rPr>
          <w:rFonts w:hint="eastAsia"/>
          <w:b/>
          <w:szCs w:val="21"/>
          <w:highlight w:val="none"/>
        </w:rPr>
        <w:t>2.投标文件格式</w:t>
      </w:r>
    </w:p>
    <w:p>
      <w:pPr>
        <w:pStyle w:val="12"/>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2"/>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eastAsia="宋体"/>
          <w:b/>
          <w:bCs/>
          <w:sz w:val="28"/>
          <w:szCs w:val="28"/>
          <w:highlight w:val="none"/>
          <w:u w:val="single"/>
          <w:lang w:eastAsia="zh-CN"/>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lang w:eastAsia="zh-CN"/>
        </w:rPr>
        <w:t>。</w:t>
      </w:r>
    </w:p>
    <w:p>
      <w:pPr>
        <w:pStyle w:val="12"/>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2"/>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如国家出台新政策对增值税率进行了调整，则不含税价款不变，本合同含税总价在不含税价基础上根据国家最新税率进行相应的调整），经甲方审核无误后付款至合同价款的</w:t>
      </w:r>
      <w:r>
        <w:rPr>
          <w:rFonts w:hint="eastAsia" w:ascii="宋体" w:hAnsi="Courier New" w:eastAsia="宋体" w:cs="Times New Roman"/>
          <w:kern w:val="2"/>
          <w:sz w:val="21"/>
          <w:szCs w:val="21"/>
          <w:highlight w:val="none"/>
          <w:u w:val="single"/>
          <w:lang w:val="en-US" w:eastAsia="zh-CN" w:bidi="ar-SA"/>
        </w:rPr>
        <w:t>9</w:t>
      </w:r>
      <w:r>
        <w:rPr>
          <w:rFonts w:hint="eastAsia" w:ascii="宋体" w:hAnsi="Courier New" w:cs="Times New Roman"/>
          <w:kern w:val="2"/>
          <w:sz w:val="21"/>
          <w:szCs w:val="21"/>
          <w:highlight w:val="none"/>
          <w:u w:val="single"/>
          <w:lang w:val="en-US" w:eastAsia="zh-CN" w:bidi="ar-SA"/>
        </w:rPr>
        <w:t>0</w:t>
      </w:r>
      <w:r>
        <w:rPr>
          <w:rFonts w:hint="eastAsia" w:ascii="宋体" w:hAnsi="Courier New" w:eastAsia="宋体" w:cs="Times New Roman"/>
          <w:kern w:val="2"/>
          <w:sz w:val="21"/>
          <w:szCs w:val="21"/>
          <w:highlight w:val="none"/>
          <w:u w:val="single"/>
          <w:lang w:val="en-US" w:eastAsia="zh-CN" w:bidi="ar-SA"/>
        </w:rPr>
        <w:t>%</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cs="Times New Roman"/>
          <w:kern w:val="2"/>
          <w:sz w:val="21"/>
          <w:szCs w:val="21"/>
          <w:highlight w:val="none"/>
          <w:lang w:val="en-US" w:eastAsia="zh-CN" w:bidi="ar-SA"/>
        </w:rPr>
        <w:t>10</w:t>
      </w:r>
      <w:r>
        <w:rPr>
          <w:rFonts w:hint="eastAsia" w:ascii="宋体" w:hAnsi="Courier New" w:eastAsia="宋体" w:cs="Times New Roman"/>
          <w:kern w:val="2"/>
          <w:sz w:val="21"/>
          <w:szCs w:val="21"/>
          <w:highlight w:val="none"/>
          <w:u w:val="single"/>
          <w:lang w:val="en-US" w:eastAsia="zh-CN" w:bidi="ar-SA"/>
        </w:rPr>
        <w:t>%</w:t>
      </w:r>
      <w:r>
        <w:rPr>
          <w:rFonts w:hint="eastAsia" w:ascii="宋体" w:hAnsi="Courier New" w:eastAsia="宋体" w:cs="Times New Roman"/>
          <w:kern w:val="2"/>
          <w:sz w:val="21"/>
          <w:szCs w:val="21"/>
          <w:highlight w:val="none"/>
          <w:lang w:val="en-US" w:eastAsia="zh-CN" w:bidi="ar-SA"/>
        </w:rPr>
        <w:t>作为质保金，质保期</w:t>
      </w:r>
      <w:r>
        <w:rPr>
          <w:rFonts w:hint="eastAsia" w:ascii="宋体" w:hAnsi="Courier New" w:cs="Times New Roman"/>
          <w:kern w:val="2"/>
          <w:sz w:val="21"/>
          <w:szCs w:val="21"/>
          <w:highlight w:val="none"/>
          <w:lang w:val="en-US" w:eastAsia="zh-CN" w:bidi="ar-SA"/>
        </w:rPr>
        <w:t>满一年</w:t>
      </w:r>
      <w:r>
        <w:rPr>
          <w:rFonts w:hint="eastAsia" w:ascii="宋体" w:hAnsi="Courier New" w:eastAsia="宋体" w:cs="Times New Roman"/>
          <w:kern w:val="2"/>
          <w:sz w:val="21"/>
          <w:szCs w:val="21"/>
          <w:highlight w:val="none"/>
          <w:lang w:val="en-US" w:eastAsia="zh-CN" w:bidi="ar-SA"/>
        </w:rPr>
        <w:t>后无质量问题进行支付。</w:t>
      </w:r>
    </w:p>
    <w:p>
      <w:pPr>
        <w:pStyle w:val="12"/>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2"/>
        <w:ind w:firstLine="422" w:firstLineChars="200"/>
        <w:rPr>
          <w:rFonts w:hint="eastAsia"/>
          <w:b/>
          <w:szCs w:val="21"/>
          <w:highlight w:val="none"/>
        </w:rPr>
      </w:pPr>
      <w:r>
        <w:rPr>
          <w:rFonts w:hint="eastAsia"/>
          <w:b/>
          <w:szCs w:val="21"/>
          <w:highlight w:val="none"/>
        </w:rPr>
        <w:t>4.技术规范及服务</w:t>
      </w:r>
    </w:p>
    <w:p>
      <w:pPr>
        <w:pStyle w:val="12"/>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2"/>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2"/>
        <w:ind w:firstLine="422" w:firstLineChars="200"/>
        <w:rPr>
          <w:rFonts w:hint="eastAsia"/>
          <w:b/>
          <w:szCs w:val="21"/>
          <w:highlight w:val="none"/>
        </w:rPr>
      </w:pPr>
      <w:r>
        <w:rPr>
          <w:rFonts w:hint="eastAsia"/>
          <w:b/>
          <w:szCs w:val="21"/>
          <w:highlight w:val="none"/>
        </w:rPr>
        <w:t>5.其他</w:t>
      </w:r>
    </w:p>
    <w:p>
      <w:pPr>
        <w:pStyle w:val="12"/>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2"/>
        <w:ind w:firstLine="420" w:firstLineChars="200"/>
        <w:rPr>
          <w:rFonts w:hint="eastAsia"/>
          <w:szCs w:val="21"/>
          <w:highlight w:val="none"/>
        </w:rPr>
      </w:pPr>
      <w:r>
        <w:rPr>
          <w:rFonts w:hint="eastAsia"/>
          <w:szCs w:val="21"/>
          <w:highlight w:val="none"/>
        </w:rPr>
        <w:t>其余未尽事宜，均以双方最终签订的合同版本为准。</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lang w:val="en-US" w:eastAsia="zh-CN"/>
        </w:rPr>
      </w:pPr>
      <w:r>
        <w:rPr>
          <w:rFonts w:hint="eastAsia" w:ascii="黑体" w:eastAsia="黑体"/>
          <w:b/>
          <w:bCs/>
          <w:sz w:val="28"/>
          <w:highlight w:val="none"/>
          <w:lang w:val="en-US" w:eastAsia="zh-CN"/>
        </w:rPr>
        <w:t>九</w:t>
      </w:r>
      <w:r>
        <w:rPr>
          <w:rFonts w:hint="eastAsia" w:ascii="黑体" w:eastAsia="黑体"/>
          <w:b/>
          <w:bCs/>
          <w:sz w:val="28"/>
          <w:highlight w:val="none"/>
        </w:rPr>
        <w:t>、</w:t>
      </w:r>
      <w:r>
        <w:rPr>
          <w:rFonts w:hint="eastAsia" w:ascii="黑体" w:eastAsia="黑体"/>
          <w:b/>
          <w:bCs/>
          <w:sz w:val="28"/>
          <w:highlight w:val="none"/>
          <w:lang w:val="en-US" w:eastAsia="zh-CN"/>
        </w:rPr>
        <w:t>评标规则</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2"/>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2"/>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2"/>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p>
    <w:p>
      <w:pPr>
        <w:pStyle w:val="2"/>
        <w:rPr>
          <w:rFonts w:hint="default" w:ascii="宋体" w:hAnsi="宋体" w:eastAsia="宋体" w:cs="宋体"/>
          <w:highlight w:val="none"/>
          <w:lang w:val="en-US" w:eastAsia="zh-CN"/>
        </w:rPr>
      </w:pPr>
      <w:r>
        <w:rPr>
          <w:rFonts w:hint="eastAsia" w:ascii="宋体" w:hAnsi="宋体" w:cs="宋体"/>
          <w:highlight w:val="none"/>
          <w:lang w:val="en-US" w:eastAsia="zh-CN"/>
        </w:rPr>
        <w:t>本项目采用</w:t>
      </w:r>
      <w:r>
        <w:rPr>
          <w:rFonts w:hint="eastAsia" w:ascii="宋体" w:hAnsi="宋体" w:cs="宋体"/>
          <w:highlight w:val="none"/>
          <w:lang w:val="en-US" w:eastAsia="zh-CN"/>
        </w:rPr>
        <w:t>综合评标法</w:t>
      </w:r>
      <w:r>
        <w:rPr>
          <w:rFonts w:hint="eastAsia" w:ascii="宋体" w:hAnsi="宋体" w:cs="宋体"/>
          <w:highlight w:val="none"/>
          <w:lang w:val="en-US" w:eastAsia="zh-CN"/>
        </w:rPr>
        <w:t>，</w:t>
      </w:r>
      <w:r>
        <w:rPr>
          <w:rFonts w:hint="eastAsia" w:ascii="宋体" w:hAnsi="宋体" w:cs="宋体"/>
          <w:highlight w:val="none"/>
          <w:lang w:val="en-US" w:eastAsia="zh-CN"/>
        </w:rPr>
        <w:t>技术部分在总分值占比70%，商务部分占比30</w:t>
      </w:r>
      <w:r>
        <w:rPr>
          <w:rFonts w:hint="eastAsia" w:ascii="宋体" w:hAnsi="宋体" w:cs="宋体"/>
          <w:highlight w:val="none"/>
          <w:lang w:val="en-US" w:eastAsia="zh-CN"/>
        </w:rPr>
        <w:t>%。</w:t>
      </w:r>
    </w:p>
    <w:p>
      <w:pPr>
        <w:keepNext w:val="0"/>
        <w:keepLines w:val="0"/>
        <w:widowControl/>
        <w:suppressLineNumbers w:val="0"/>
        <w:ind w:firstLine="630" w:firstLineChars="300"/>
        <w:jc w:val="left"/>
        <w:rPr>
          <w:rFonts w:hint="eastAsia" w:ascii="宋体" w:hAnsi="宋体" w:cs="宋体"/>
          <w:b/>
          <w:sz w:val="24"/>
          <w:szCs w:val="24"/>
          <w:highlight w:val="none"/>
          <w:lang w:eastAsia="zh-CN"/>
        </w:rPr>
      </w:pPr>
      <w:r>
        <w:rPr>
          <w:rFonts w:hint="eastAsia" w:ascii="宋体" w:hAnsi="宋体" w:eastAsia="宋体" w:cs="宋体"/>
          <w:highlight w:val="none"/>
          <w:lang w:val="en-US" w:eastAsia="zh-CN"/>
        </w:rPr>
        <w:t>第一轮：</w:t>
      </w:r>
      <w:r>
        <w:rPr>
          <w:rFonts w:hint="eastAsia" w:ascii="宋体" w:hAnsi="宋体" w:eastAsia="宋体" w:cs="宋体"/>
          <w:b w:val="0"/>
          <w:bCs/>
          <w:sz w:val="21"/>
          <w:szCs w:val="21"/>
          <w:highlight w:val="none"/>
          <w:lang w:eastAsia="zh-CN"/>
        </w:rPr>
        <w:t>评标小组组织评/议标，</w:t>
      </w:r>
      <w:r>
        <w:rPr>
          <w:rFonts w:hint="eastAsia" w:ascii="宋体" w:hAnsi="宋体" w:eastAsia="宋体" w:cs="宋体"/>
          <w:b w:val="0"/>
          <w:bCs/>
          <w:sz w:val="21"/>
          <w:szCs w:val="21"/>
          <w:highlight w:val="none"/>
          <w:lang w:val="en-US" w:eastAsia="zh-CN"/>
        </w:rPr>
        <w:t>对各家投标单位的技术进行评审并进行技术标评分，</w:t>
      </w:r>
      <w:r>
        <w:rPr>
          <w:rFonts w:hint="eastAsia" w:ascii="宋体" w:hAnsi="宋体" w:eastAsia="宋体" w:cs="宋体"/>
          <w:b w:val="0"/>
          <w:bCs/>
          <w:sz w:val="21"/>
          <w:szCs w:val="21"/>
          <w:highlight w:val="none"/>
        </w:rPr>
        <w:t>具体</w:t>
      </w:r>
      <w:r>
        <w:rPr>
          <w:rFonts w:hint="eastAsia" w:ascii="宋体" w:hAnsi="宋体" w:eastAsia="宋体" w:cs="宋体"/>
          <w:b w:val="0"/>
          <w:bCs/>
          <w:color w:val="000000"/>
          <w:sz w:val="21"/>
          <w:szCs w:val="21"/>
          <w:highlight w:val="none"/>
        </w:rPr>
        <w:t>技术标评分标准见附件1</w:t>
      </w:r>
      <w:r>
        <w:rPr>
          <w:rFonts w:hint="eastAsia" w:ascii="宋体" w:hAnsi="宋体" w:eastAsia="宋体" w:cs="宋体"/>
          <w:b w:val="0"/>
          <w:bCs/>
          <w:color w:val="000000"/>
          <w:sz w:val="21"/>
          <w:szCs w:val="21"/>
          <w:highlight w:val="none"/>
          <w:lang w:val="en-US" w:eastAsia="zh-CN"/>
        </w:rPr>
        <w:t>4</w:t>
      </w:r>
      <w:r>
        <w:rPr>
          <w:rFonts w:hint="eastAsia" w:ascii="宋体" w:hAnsi="宋体" w:eastAsia="宋体" w:cs="宋体"/>
          <w:b w:val="0"/>
          <w:bCs/>
          <w:color w:val="000000"/>
          <w:sz w:val="21"/>
          <w:szCs w:val="21"/>
          <w:highlight w:val="none"/>
        </w:rPr>
        <w:t>。</w:t>
      </w:r>
      <w:r>
        <w:rPr>
          <w:rFonts w:hint="eastAsia" w:ascii="宋体" w:hAnsi="宋体" w:eastAsia="宋体" w:cs="宋体"/>
          <w:b w:val="0"/>
          <w:bCs/>
          <w:color w:val="000000"/>
          <w:sz w:val="21"/>
          <w:szCs w:val="21"/>
          <w:highlight w:val="none"/>
          <w:lang w:val="en-US" w:eastAsia="zh-CN"/>
        </w:rPr>
        <w:t>随后</w:t>
      </w:r>
      <w:r>
        <w:rPr>
          <w:rFonts w:hint="eastAsia" w:ascii="宋体" w:hAnsi="宋体" w:eastAsia="宋体" w:cs="宋体"/>
          <w:b w:val="0"/>
          <w:bCs/>
          <w:sz w:val="21"/>
          <w:szCs w:val="21"/>
          <w:highlight w:val="none"/>
          <w:lang w:eastAsia="zh-CN"/>
        </w:rPr>
        <w:t>在其报价的基础上开展谈判，根据谈判结果择优推荐至少 2 家入围的候选中标人</w:t>
      </w:r>
    </w:p>
    <w:p>
      <w:pPr>
        <w:keepNext w:val="0"/>
        <w:keepLines w:val="0"/>
        <w:widowControl/>
        <w:suppressLineNumbers w:val="0"/>
        <w:ind w:firstLine="630" w:firstLineChars="300"/>
        <w:jc w:val="left"/>
        <w:rPr>
          <w:rFonts w:hint="eastAsia" w:ascii="宋体" w:hAnsi="宋体" w:eastAsia="宋体" w:cs="宋体"/>
          <w:highlight w:val="none"/>
          <w:lang w:val="en-US" w:eastAsia="zh-CN"/>
        </w:rPr>
      </w:pPr>
      <w:r>
        <w:rPr>
          <w:rFonts w:hint="eastAsia" w:ascii="宋体" w:hAnsi="宋体" w:eastAsia="宋体" w:cs="宋体"/>
          <w:highlight w:val="none"/>
          <w:lang w:val="en-US" w:eastAsia="zh-CN"/>
        </w:rPr>
        <w:t>第二轮：</w:t>
      </w:r>
      <w:r>
        <w:rPr>
          <w:rFonts w:hint="eastAsia" w:ascii="宋体" w:hAnsi="宋体" w:eastAsia="宋体" w:cs="宋体"/>
          <w:highlight w:val="none"/>
          <w:lang w:val="en-US" w:eastAsia="zh-CN"/>
        </w:rPr>
        <w:t>评标小组与第一轮入围的候选中标人开展谈判，择优推荐中标人。</w:t>
      </w:r>
    </w:p>
    <w:p>
      <w:pPr>
        <w:ind w:firstLine="420" w:firstLineChars="200"/>
        <w:rPr>
          <w:rFonts w:hint="eastAsia" w:ascii="宋体" w:hAnsi="宋体"/>
          <w:szCs w:val="21"/>
          <w:highlight w:val="none"/>
          <w:lang w:val="en-US" w:eastAsia="zh-CN"/>
        </w:rPr>
      </w:pP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w:t>
      </w:r>
      <w:r>
        <w:rPr>
          <w:rFonts w:hint="eastAsia" w:ascii="宋体" w:hAnsi="Courier New" w:cs="Times New Roman"/>
          <w:kern w:val="2"/>
          <w:sz w:val="21"/>
          <w:highlight w:val="none"/>
          <w:lang w:val="en-US" w:eastAsia="zh-CN" w:bidi="ar-SA"/>
        </w:rPr>
        <w:t>技术标对</w:t>
      </w:r>
      <w:r>
        <w:rPr>
          <w:rFonts w:hint="eastAsia" w:ascii="宋体" w:hAnsi="宋体" w:cs="宋体"/>
          <w:color w:val="000000"/>
          <w:sz w:val="20"/>
          <w:szCs w:val="20"/>
          <w:highlight w:val="none"/>
        </w:rPr>
        <w:t>合同履约能力</w:t>
      </w:r>
      <w:r>
        <w:rPr>
          <w:rFonts w:hint="eastAsia" w:ascii="宋体" w:hAnsi="宋体" w:cs="宋体"/>
          <w:color w:val="000000"/>
          <w:sz w:val="20"/>
          <w:szCs w:val="20"/>
          <w:highlight w:val="none"/>
          <w:lang w:eastAsia="zh-CN"/>
        </w:rPr>
        <w:t>、</w:t>
      </w:r>
      <w:r>
        <w:rPr>
          <w:rFonts w:hint="eastAsia"/>
          <w:sz w:val="20"/>
          <w:szCs w:val="18"/>
          <w:highlight w:val="none"/>
        </w:rPr>
        <w:t>供货周期</w:t>
      </w:r>
      <w:r>
        <w:rPr>
          <w:rFonts w:hint="eastAsia"/>
          <w:sz w:val="20"/>
          <w:szCs w:val="18"/>
          <w:highlight w:val="none"/>
          <w:lang w:eastAsia="zh-CN"/>
        </w:rPr>
        <w:t>、</w:t>
      </w:r>
      <w:r>
        <w:rPr>
          <w:rFonts w:hint="eastAsia" w:ascii="宋体" w:hAnsi="宋体" w:cs="宋体"/>
          <w:sz w:val="20"/>
          <w:szCs w:val="20"/>
          <w:highlight w:val="none"/>
        </w:rPr>
        <w:t>售后服务</w:t>
      </w:r>
      <w:r>
        <w:rPr>
          <w:rFonts w:hint="eastAsia" w:ascii="宋体" w:hAnsi="宋体" w:cs="宋体"/>
          <w:sz w:val="20"/>
          <w:szCs w:val="20"/>
          <w:highlight w:val="none"/>
          <w:lang w:eastAsia="zh-CN"/>
        </w:rPr>
        <w:t>、</w:t>
      </w:r>
      <w:r>
        <w:rPr>
          <w:rFonts w:hint="eastAsia" w:ascii="宋体" w:hAnsi="宋体" w:cs="宋体"/>
          <w:color w:val="000000"/>
          <w:sz w:val="20"/>
          <w:szCs w:val="20"/>
          <w:highlight w:val="none"/>
        </w:rPr>
        <w:t>现场答疑</w:t>
      </w:r>
      <w:r>
        <w:rPr>
          <w:rFonts w:hint="eastAsia" w:ascii="宋体" w:hAnsi="宋体" w:cs="宋体"/>
          <w:color w:val="000000"/>
          <w:sz w:val="20"/>
          <w:szCs w:val="20"/>
          <w:highlight w:val="none"/>
          <w:lang w:eastAsia="zh-CN"/>
        </w:rPr>
        <w:t>、</w:t>
      </w:r>
      <w:r>
        <w:rPr>
          <w:rFonts w:hint="eastAsia" w:ascii="宋体" w:hAnsi="宋体" w:cs="宋体"/>
          <w:sz w:val="20"/>
          <w:szCs w:val="20"/>
          <w:highlight w:val="none"/>
        </w:rPr>
        <w:t>响应及偏离</w:t>
      </w:r>
      <w:r>
        <w:rPr>
          <w:rFonts w:hint="eastAsia" w:ascii="宋体" w:hAnsi="宋体"/>
          <w:szCs w:val="21"/>
          <w:highlight w:val="none"/>
          <w:lang w:val="en-US" w:eastAsia="zh-CN"/>
        </w:rPr>
        <w:t>进行评分。</w:t>
      </w:r>
    </w:p>
    <w:p>
      <w:pPr>
        <w:pStyle w:val="2"/>
        <w:rPr>
          <w:rFonts w:hint="eastAsia" w:ascii="宋体" w:hAnsi="宋体" w:cs="宋体"/>
          <w:color w:val="000000"/>
          <w:sz w:val="20"/>
          <w:szCs w:val="20"/>
          <w:highlight w:val="none"/>
          <w:lang w:eastAsia="zh-CN"/>
        </w:rPr>
      </w:pPr>
      <w:r>
        <w:rPr>
          <w:rFonts w:hint="eastAsia" w:ascii="宋体" w:hAnsi="宋体" w:cs="宋体"/>
          <w:color w:val="000000"/>
          <w:sz w:val="20"/>
          <w:szCs w:val="20"/>
          <w:highlight w:val="none"/>
          <w:lang w:val="en-US" w:eastAsia="zh-CN"/>
        </w:rPr>
        <w:t>A.</w:t>
      </w:r>
      <w:r>
        <w:rPr>
          <w:rFonts w:hint="eastAsia" w:ascii="宋体" w:hAnsi="宋体" w:cs="宋体"/>
          <w:color w:val="000000"/>
          <w:sz w:val="20"/>
          <w:szCs w:val="20"/>
          <w:highlight w:val="none"/>
        </w:rPr>
        <w:t>合同履约能力</w:t>
      </w:r>
      <w:r>
        <w:rPr>
          <w:rFonts w:hint="eastAsia" w:ascii="宋体" w:hAnsi="宋体" w:cs="宋体"/>
          <w:color w:val="000000"/>
          <w:sz w:val="20"/>
          <w:szCs w:val="20"/>
          <w:highlight w:val="none"/>
          <w:lang w:eastAsia="zh-CN"/>
        </w:rPr>
        <w:t>（</w:t>
      </w:r>
      <w:r>
        <w:rPr>
          <w:rFonts w:hint="eastAsia" w:ascii="宋体" w:hAnsi="宋体" w:cs="宋体"/>
          <w:color w:val="000000"/>
          <w:sz w:val="20"/>
          <w:szCs w:val="20"/>
          <w:highlight w:val="none"/>
          <w:lang w:val="en-US" w:eastAsia="zh-CN"/>
        </w:rPr>
        <w:t>40分</w:t>
      </w:r>
      <w:r>
        <w:rPr>
          <w:rFonts w:hint="eastAsia" w:ascii="宋体" w:hAnsi="宋体" w:cs="宋体"/>
          <w:color w:val="000000"/>
          <w:sz w:val="20"/>
          <w:szCs w:val="20"/>
          <w:highlight w:val="none"/>
          <w:lang w:eastAsia="zh-CN"/>
        </w:rPr>
        <w:t>）</w:t>
      </w:r>
    </w:p>
    <w:p>
      <w:pPr>
        <w:spacing w:line="360" w:lineRule="auto"/>
        <w:ind w:firstLine="600" w:firstLineChars="300"/>
        <w:rPr>
          <w:rFonts w:hint="eastAsia" w:ascii="宋体" w:hAnsi="宋体" w:cs="宋体"/>
          <w:sz w:val="20"/>
          <w:szCs w:val="20"/>
          <w:highlight w:val="none"/>
        </w:rPr>
      </w:pPr>
      <w:r>
        <w:rPr>
          <w:rFonts w:hint="eastAsia" w:ascii="宋体" w:hAnsi="宋体" w:cs="宋体"/>
          <w:sz w:val="20"/>
          <w:szCs w:val="20"/>
          <w:highlight w:val="none"/>
        </w:rPr>
        <w:t>依据投标人的运营状况、经营业绩、以往合同履约情况（如有）、采购合同、财务状况、生产能力和服务体系评分，满分</w:t>
      </w:r>
      <w:r>
        <w:rPr>
          <w:rFonts w:ascii="宋体" w:hAnsi="宋体" w:cs="宋体"/>
          <w:sz w:val="20"/>
          <w:szCs w:val="20"/>
          <w:highlight w:val="none"/>
        </w:rPr>
        <w:t>2</w:t>
      </w:r>
      <w:r>
        <w:rPr>
          <w:rFonts w:hint="eastAsia" w:ascii="宋体" w:hAnsi="宋体" w:cs="宋体"/>
          <w:sz w:val="20"/>
          <w:szCs w:val="20"/>
          <w:highlight w:val="none"/>
        </w:rPr>
        <w:t>0分，每缺少一项扣除2分。</w:t>
      </w:r>
    </w:p>
    <w:p>
      <w:pPr>
        <w:pStyle w:val="2"/>
        <w:rPr>
          <w:rFonts w:hint="eastAsia"/>
          <w:sz w:val="20"/>
          <w:szCs w:val="18"/>
          <w:highlight w:val="none"/>
          <w:lang w:eastAsia="zh-CN"/>
        </w:rPr>
      </w:pPr>
      <w:r>
        <w:rPr>
          <w:rFonts w:hint="eastAsia"/>
          <w:sz w:val="20"/>
          <w:szCs w:val="18"/>
          <w:highlight w:val="none"/>
          <w:lang w:val="en-US" w:eastAsia="zh-CN"/>
        </w:rPr>
        <w:t>B.</w:t>
      </w:r>
      <w:r>
        <w:rPr>
          <w:rFonts w:hint="eastAsia"/>
          <w:sz w:val="20"/>
          <w:szCs w:val="18"/>
          <w:highlight w:val="none"/>
        </w:rPr>
        <w:t>供货周期</w:t>
      </w:r>
      <w:r>
        <w:rPr>
          <w:rFonts w:hint="eastAsia"/>
          <w:sz w:val="20"/>
          <w:szCs w:val="18"/>
          <w:highlight w:val="none"/>
          <w:lang w:eastAsia="zh-CN"/>
        </w:rPr>
        <w:t>（</w:t>
      </w:r>
      <w:r>
        <w:rPr>
          <w:rFonts w:hint="eastAsia"/>
          <w:sz w:val="20"/>
          <w:szCs w:val="18"/>
          <w:highlight w:val="none"/>
          <w:lang w:val="en-US" w:eastAsia="zh-CN"/>
        </w:rPr>
        <w:t>20分</w:t>
      </w:r>
      <w:r>
        <w:rPr>
          <w:rFonts w:hint="eastAsia"/>
          <w:sz w:val="20"/>
          <w:szCs w:val="18"/>
          <w:highlight w:val="none"/>
          <w:lang w:eastAsia="zh-CN"/>
        </w:rPr>
        <w:t>）</w:t>
      </w:r>
    </w:p>
    <w:p>
      <w:pPr>
        <w:pStyle w:val="2"/>
        <w:rPr>
          <w:rFonts w:hint="eastAsia" w:eastAsia="宋体"/>
          <w:b w:val="0"/>
          <w:bCs/>
          <w:sz w:val="20"/>
          <w:szCs w:val="18"/>
          <w:highlight w:val="none"/>
          <w:lang w:eastAsia="zh-CN"/>
        </w:rPr>
      </w:pPr>
      <w:r>
        <w:rPr>
          <w:rFonts w:hint="eastAsia" w:ascii="宋体" w:hAnsi="宋体" w:cs="宋体"/>
          <w:b w:val="0"/>
          <w:bCs/>
          <w:sz w:val="20"/>
          <w:szCs w:val="20"/>
          <w:highlight w:val="none"/>
        </w:rPr>
        <w:t>视供货周期长短在0-</w:t>
      </w:r>
      <w:r>
        <w:rPr>
          <w:rFonts w:ascii="宋体" w:hAnsi="宋体" w:cs="宋体"/>
          <w:b w:val="0"/>
          <w:bCs/>
          <w:sz w:val="20"/>
          <w:szCs w:val="20"/>
          <w:highlight w:val="none"/>
        </w:rPr>
        <w:t>20</w:t>
      </w:r>
      <w:r>
        <w:rPr>
          <w:rFonts w:hint="eastAsia" w:ascii="宋体" w:hAnsi="宋体" w:cs="宋体"/>
          <w:b w:val="0"/>
          <w:bCs/>
          <w:sz w:val="20"/>
          <w:szCs w:val="20"/>
          <w:highlight w:val="none"/>
        </w:rPr>
        <w:t>之间进行赋分，</w:t>
      </w:r>
      <w:r>
        <w:rPr>
          <w:rFonts w:hint="eastAsia" w:ascii="宋体" w:hAnsi="宋体" w:cs="宋体"/>
          <w:b w:val="0"/>
          <w:bCs/>
          <w:sz w:val="20"/>
          <w:szCs w:val="20"/>
          <w:highlight w:val="none"/>
          <w:lang w:val="en-US" w:eastAsia="zh-CN"/>
        </w:rPr>
        <w:t>5</w:t>
      </w:r>
      <w:r>
        <w:rPr>
          <w:rFonts w:hint="eastAsia" w:ascii="宋体" w:hAnsi="宋体" w:cs="宋体"/>
          <w:b w:val="0"/>
          <w:bCs/>
          <w:sz w:val="20"/>
          <w:szCs w:val="20"/>
          <w:highlight w:val="none"/>
        </w:rPr>
        <w:t>天以内送达者</w:t>
      </w:r>
      <w:r>
        <w:rPr>
          <w:rFonts w:ascii="宋体" w:hAnsi="宋体" w:cs="宋体"/>
          <w:b w:val="0"/>
          <w:bCs/>
          <w:sz w:val="20"/>
          <w:szCs w:val="20"/>
          <w:highlight w:val="none"/>
        </w:rPr>
        <w:t>15</w:t>
      </w:r>
      <w:r>
        <w:rPr>
          <w:rFonts w:hint="eastAsia" w:ascii="宋体" w:hAnsi="宋体" w:cs="宋体"/>
          <w:b w:val="0"/>
          <w:bCs/>
          <w:sz w:val="20"/>
          <w:szCs w:val="20"/>
          <w:highlight w:val="none"/>
        </w:rPr>
        <w:t>-</w:t>
      </w:r>
      <w:r>
        <w:rPr>
          <w:rFonts w:ascii="宋体" w:hAnsi="宋体" w:cs="宋体"/>
          <w:b w:val="0"/>
          <w:bCs/>
          <w:sz w:val="20"/>
          <w:szCs w:val="20"/>
          <w:highlight w:val="none"/>
        </w:rPr>
        <w:t>20</w:t>
      </w:r>
      <w:r>
        <w:rPr>
          <w:rFonts w:hint="eastAsia" w:ascii="宋体" w:hAnsi="宋体" w:cs="宋体"/>
          <w:b w:val="0"/>
          <w:bCs/>
          <w:sz w:val="20"/>
          <w:szCs w:val="20"/>
          <w:highlight w:val="none"/>
        </w:rPr>
        <w:t>分，</w:t>
      </w:r>
      <w:r>
        <w:rPr>
          <w:rFonts w:hint="eastAsia" w:ascii="宋体" w:hAnsi="宋体" w:cs="宋体"/>
          <w:b w:val="0"/>
          <w:bCs/>
          <w:sz w:val="20"/>
          <w:szCs w:val="20"/>
          <w:highlight w:val="none"/>
          <w:lang w:val="en-US" w:eastAsia="zh-CN"/>
        </w:rPr>
        <w:t>5</w:t>
      </w:r>
      <w:r>
        <w:rPr>
          <w:rFonts w:hint="eastAsia" w:ascii="宋体" w:hAnsi="宋体" w:cs="宋体"/>
          <w:b w:val="0"/>
          <w:bCs/>
          <w:sz w:val="20"/>
          <w:szCs w:val="20"/>
          <w:highlight w:val="none"/>
        </w:rPr>
        <w:t>天至</w:t>
      </w:r>
      <w:r>
        <w:rPr>
          <w:rFonts w:hint="eastAsia" w:ascii="宋体" w:hAnsi="宋体" w:cs="宋体"/>
          <w:b w:val="0"/>
          <w:bCs/>
          <w:sz w:val="20"/>
          <w:szCs w:val="20"/>
          <w:highlight w:val="none"/>
          <w:lang w:val="en-US" w:eastAsia="zh-CN"/>
        </w:rPr>
        <w:t>10</w:t>
      </w:r>
      <w:r>
        <w:rPr>
          <w:rFonts w:hint="eastAsia" w:ascii="宋体" w:hAnsi="宋体" w:cs="宋体"/>
          <w:b w:val="0"/>
          <w:bCs/>
          <w:sz w:val="20"/>
          <w:szCs w:val="20"/>
          <w:highlight w:val="none"/>
        </w:rPr>
        <w:t>天送达者</w:t>
      </w:r>
      <w:r>
        <w:rPr>
          <w:rFonts w:ascii="宋体" w:hAnsi="宋体" w:cs="宋体"/>
          <w:b w:val="0"/>
          <w:bCs/>
          <w:sz w:val="20"/>
          <w:szCs w:val="20"/>
          <w:highlight w:val="none"/>
        </w:rPr>
        <w:t>10</w:t>
      </w:r>
      <w:r>
        <w:rPr>
          <w:rFonts w:hint="eastAsia" w:ascii="宋体" w:hAnsi="宋体" w:cs="宋体"/>
          <w:b w:val="0"/>
          <w:bCs/>
          <w:sz w:val="20"/>
          <w:szCs w:val="20"/>
          <w:highlight w:val="none"/>
        </w:rPr>
        <w:t>-</w:t>
      </w:r>
      <w:r>
        <w:rPr>
          <w:rFonts w:ascii="宋体" w:hAnsi="宋体" w:cs="宋体"/>
          <w:b w:val="0"/>
          <w:bCs/>
          <w:sz w:val="20"/>
          <w:szCs w:val="20"/>
          <w:highlight w:val="none"/>
        </w:rPr>
        <w:t>15</w:t>
      </w:r>
      <w:r>
        <w:rPr>
          <w:rFonts w:hint="eastAsia" w:ascii="宋体" w:hAnsi="宋体" w:cs="宋体"/>
          <w:b w:val="0"/>
          <w:bCs/>
          <w:sz w:val="20"/>
          <w:szCs w:val="20"/>
          <w:highlight w:val="none"/>
        </w:rPr>
        <w:t>分，</w:t>
      </w:r>
      <w:r>
        <w:rPr>
          <w:rFonts w:hint="eastAsia" w:ascii="宋体" w:hAnsi="宋体" w:cs="宋体"/>
          <w:b w:val="0"/>
          <w:bCs/>
          <w:sz w:val="20"/>
          <w:szCs w:val="20"/>
          <w:highlight w:val="none"/>
          <w:lang w:val="en-US" w:eastAsia="zh-CN"/>
        </w:rPr>
        <w:t>7</w:t>
      </w:r>
      <w:r>
        <w:rPr>
          <w:rFonts w:hint="eastAsia" w:ascii="宋体" w:hAnsi="宋体" w:cs="宋体"/>
          <w:b w:val="0"/>
          <w:bCs/>
          <w:sz w:val="20"/>
          <w:szCs w:val="20"/>
          <w:highlight w:val="none"/>
        </w:rPr>
        <w:t>天至</w:t>
      </w:r>
      <w:r>
        <w:rPr>
          <w:rFonts w:hint="eastAsia" w:ascii="宋体" w:hAnsi="宋体" w:cs="宋体"/>
          <w:b w:val="0"/>
          <w:bCs/>
          <w:sz w:val="20"/>
          <w:szCs w:val="20"/>
          <w:highlight w:val="none"/>
          <w:lang w:val="en-US" w:eastAsia="zh-CN"/>
        </w:rPr>
        <w:t>13</w:t>
      </w:r>
      <w:r>
        <w:rPr>
          <w:rFonts w:hint="eastAsia" w:ascii="宋体" w:hAnsi="宋体" w:cs="宋体"/>
          <w:b w:val="0"/>
          <w:bCs/>
          <w:sz w:val="20"/>
          <w:szCs w:val="20"/>
          <w:highlight w:val="none"/>
        </w:rPr>
        <w:t>天送达者0-1</w:t>
      </w:r>
      <w:r>
        <w:rPr>
          <w:rFonts w:ascii="宋体" w:hAnsi="宋体" w:cs="宋体"/>
          <w:b w:val="0"/>
          <w:bCs/>
          <w:sz w:val="20"/>
          <w:szCs w:val="20"/>
          <w:highlight w:val="none"/>
        </w:rPr>
        <w:t>0</w:t>
      </w:r>
      <w:r>
        <w:rPr>
          <w:rFonts w:hint="eastAsia" w:ascii="宋体" w:hAnsi="宋体" w:cs="宋体"/>
          <w:b w:val="0"/>
          <w:bCs/>
          <w:sz w:val="20"/>
          <w:szCs w:val="20"/>
          <w:highlight w:val="none"/>
        </w:rPr>
        <w:t>分。</w:t>
      </w:r>
    </w:p>
    <w:p>
      <w:pPr>
        <w:pStyle w:val="2"/>
        <w:rPr>
          <w:rFonts w:hint="eastAsia" w:ascii="宋体" w:hAnsi="宋体" w:cs="宋体"/>
          <w:b w:val="0"/>
          <w:bCs/>
          <w:sz w:val="20"/>
          <w:szCs w:val="20"/>
          <w:highlight w:val="none"/>
          <w:lang w:eastAsia="zh-CN"/>
        </w:rPr>
      </w:pPr>
      <w:r>
        <w:rPr>
          <w:rFonts w:hint="eastAsia" w:ascii="宋体" w:hAnsi="宋体" w:cs="宋体"/>
          <w:b w:val="0"/>
          <w:bCs/>
          <w:sz w:val="20"/>
          <w:szCs w:val="20"/>
          <w:highlight w:val="none"/>
          <w:lang w:val="en-US" w:eastAsia="zh-CN"/>
        </w:rPr>
        <w:t>C.</w:t>
      </w:r>
      <w:r>
        <w:rPr>
          <w:rFonts w:hint="eastAsia" w:ascii="宋体" w:hAnsi="宋体" w:cs="宋体"/>
          <w:b w:val="0"/>
          <w:bCs/>
          <w:sz w:val="20"/>
          <w:szCs w:val="20"/>
          <w:highlight w:val="none"/>
        </w:rPr>
        <w:t>售后服务</w:t>
      </w:r>
      <w:r>
        <w:rPr>
          <w:rFonts w:hint="eastAsia" w:ascii="宋体" w:hAnsi="宋体" w:cs="宋体"/>
          <w:b w:val="0"/>
          <w:bCs/>
          <w:sz w:val="20"/>
          <w:szCs w:val="20"/>
          <w:highlight w:val="none"/>
          <w:lang w:eastAsia="zh-CN"/>
        </w:rPr>
        <w:t>（</w:t>
      </w:r>
      <w:r>
        <w:rPr>
          <w:rFonts w:hint="eastAsia" w:ascii="宋体" w:hAnsi="宋体" w:cs="宋体"/>
          <w:b w:val="0"/>
          <w:bCs/>
          <w:sz w:val="20"/>
          <w:szCs w:val="20"/>
          <w:highlight w:val="none"/>
          <w:lang w:val="en-US" w:eastAsia="zh-CN"/>
        </w:rPr>
        <w:t>10分</w:t>
      </w:r>
      <w:r>
        <w:rPr>
          <w:rFonts w:hint="eastAsia" w:ascii="宋体" w:hAnsi="宋体" w:cs="宋体"/>
          <w:b w:val="0"/>
          <w:bCs/>
          <w:sz w:val="20"/>
          <w:szCs w:val="20"/>
          <w:highlight w:val="none"/>
          <w:lang w:eastAsia="zh-CN"/>
        </w:rPr>
        <w:t>）</w:t>
      </w:r>
    </w:p>
    <w:p>
      <w:pPr>
        <w:pStyle w:val="2"/>
        <w:rPr>
          <w:rFonts w:hint="eastAsia" w:ascii="宋体" w:hAnsi="宋体" w:eastAsia="宋体" w:cs="宋体"/>
          <w:b w:val="0"/>
          <w:bCs/>
          <w:sz w:val="20"/>
          <w:szCs w:val="20"/>
          <w:highlight w:val="none"/>
          <w:lang w:eastAsia="zh-CN"/>
        </w:rPr>
      </w:pPr>
      <w:r>
        <w:rPr>
          <w:rFonts w:hint="eastAsia" w:ascii="宋体" w:hAnsi="宋体" w:cs="宋体"/>
          <w:b w:val="0"/>
          <w:bCs/>
          <w:sz w:val="20"/>
          <w:szCs w:val="20"/>
          <w:highlight w:val="none"/>
        </w:rPr>
        <w:t>针对投标方的运营状况、经营范围、投标方近三年来同类产品销售业绩（具体案例以提供合同复印件为准）、在集团内服务质量情况进行考核。</w:t>
      </w:r>
    </w:p>
    <w:p>
      <w:pPr>
        <w:pStyle w:val="2"/>
        <w:rPr>
          <w:rFonts w:hint="eastAsia" w:ascii="宋体" w:hAnsi="宋体" w:cs="宋体"/>
          <w:b w:val="0"/>
          <w:bCs/>
          <w:color w:val="000000"/>
          <w:sz w:val="20"/>
          <w:szCs w:val="20"/>
          <w:highlight w:val="none"/>
          <w:lang w:eastAsia="zh-CN"/>
        </w:rPr>
      </w:pPr>
      <w:r>
        <w:rPr>
          <w:rFonts w:hint="eastAsia" w:ascii="宋体" w:hAnsi="宋体" w:cs="宋体"/>
          <w:b w:val="0"/>
          <w:bCs/>
          <w:color w:val="000000"/>
          <w:sz w:val="20"/>
          <w:szCs w:val="20"/>
          <w:highlight w:val="none"/>
          <w:lang w:val="en-US" w:eastAsia="zh-CN"/>
        </w:rPr>
        <w:t>D.</w:t>
      </w:r>
      <w:r>
        <w:rPr>
          <w:rFonts w:hint="eastAsia" w:ascii="宋体" w:hAnsi="宋体" w:cs="宋体"/>
          <w:b w:val="0"/>
          <w:bCs/>
          <w:color w:val="000000"/>
          <w:sz w:val="20"/>
          <w:szCs w:val="20"/>
          <w:highlight w:val="none"/>
        </w:rPr>
        <w:t>现场答疑</w:t>
      </w:r>
      <w:r>
        <w:rPr>
          <w:rFonts w:hint="eastAsia" w:ascii="宋体" w:hAnsi="宋体" w:cs="宋体"/>
          <w:b w:val="0"/>
          <w:bCs/>
          <w:color w:val="000000"/>
          <w:sz w:val="20"/>
          <w:szCs w:val="20"/>
          <w:highlight w:val="none"/>
          <w:lang w:eastAsia="zh-CN"/>
        </w:rPr>
        <w:t>（</w:t>
      </w:r>
      <w:r>
        <w:rPr>
          <w:rFonts w:hint="eastAsia" w:ascii="宋体" w:hAnsi="宋体" w:cs="宋体"/>
          <w:b w:val="0"/>
          <w:bCs/>
          <w:color w:val="000000"/>
          <w:sz w:val="20"/>
          <w:szCs w:val="20"/>
          <w:highlight w:val="none"/>
          <w:lang w:val="en-US" w:eastAsia="zh-CN"/>
        </w:rPr>
        <w:t>20分</w:t>
      </w:r>
      <w:r>
        <w:rPr>
          <w:rFonts w:hint="eastAsia" w:ascii="宋体" w:hAnsi="宋体" w:cs="宋体"/>
          <w:b w:val="0"/>
          <w:bCs/>
          <w:color w:val="000000"/>
          <w:sz w:val="20"/>
          <w:szCs w:val="20"/>
          <w:highlight w:val="none"/>
          <w:lang w:eastAsia="zh-CN"/>
        </w:rPr>
        <w:t>）</w:t>
      </w:r>
    </w:p>
    <w:p>
      <w:pPr>
        <w:pStyle w:val="4"/>
        <w:rPr>
          <w:rFonts w:hint="default"/>
          <w:b w:val="0"/>
          <w:bCs/>
          <w:highlight w:val="none"/>
          <w:lang w:val="en-US" w:eastAsia="zh-CN"/>
        </w:rPr>
      </w:pPr>
      <w:r>
        <w:rPr>
          <w:rFonts w:hint="eastAsia" w:ascii="宋体" w:hAnsi="宋体" w:cs="宋体"/>
          <w:b w:val="0"/>
          <w:bCs/>
          <w:color w:val="000000"/>
          <w:sz w:val="20"/>
          <w:szCs w:val="20"/>
          <w:highlight w:val="none"/>
          <w:lang w:val="en-US" w:eastAsia="zh-CN"/>
        </w:rPr>
        <w:t>投标人代表对道闸项目质量、安全及进度进行讲解，以及就该项目亮点回答评标专家现场提问，打分0-20分。</w:t>
      </w:r>
    </w:p>
    <w:p>
      <w:pPr>
        <w:pStyle w:val="2"/>
        <w:rPr>
          <w:rFonts w:hint="eastAsia" w:ascii="宋体" w:hAnsi="宋体" w:cs="宋体"/>
          <w:b w:val="0"/>
          <w:bCs/>
          <w:sz w:val="20"/>
          <w:szCs w:val="20"/>
          <w:highlight w:val="none"/>
          <w:lang w:val="en-US" w:eastAsia="zh-CN"/>
        </w:rPr>
      </w:pPr>
      <w:r>
        <w:rPr>
          <w:rFonts w:hint="eastAsia" w:ascii="宋体" w:hAnsi="宋体" w:cs="宋体"/>
          <w:b w:val="0"/>
          <w:bCs/>
          <w:sz w:val="20"/>
          <w:szCs w:val="20"/>
          <w:highlight w:val="none"/>
          <w:lang w:val="en-US" w:eastAsia="zh-CN"/>
        </w:rPr>
        <w:t>E.</w:t>
      </w:r>
      <w:r>
        <w:rPr>
          <w:rFonts w:hint="eastAsia" w:ascii="宋体" w:hAnsi="宋体" w:cs="宋体"/>
          <w:b w:val="0"/>
          <w:bCs/>
          <w:sz w:val="20"/>
          <w:szCs w:val="20"/>
          <w:highlight w:val="none"/>
        </w:rPr>
        <w:t>响应及偏离</w:t>
      </w:r>
      <w:r>
        <w:rPr>
          <w:rFonts w:hint="eastAsia" w:ascii="宋体" w:hAnsi="宋体" w:cs="宋体"/>
          <w:b w:val="0"/>
          <w:bCs/>
          <w:sz w:val="20"/>
          <w:szCs w:val="20"/>
          <w:highlight w:val="none"/>
          <w:lang w:val="en-US" w:eastAsia="zh-CN"/>
        </w:rPr>
        <w:t>(10分）</w:t>
      </w:r>
    </w:p>
    <w:p>
      <w:pPr>
        <w:pStyle w:val="4"/>
        <w:ind w:firstLine="400" w:firstLineChars="200"/>
        <w:rPr>
          <w:rFonts w:hint="default"/>
          <w:b w:val="0"/>
          <w:bCs/>
          <w:highlight w:val="none"/>
          <w:lang w:val="en-US" w:eastAsia="zh-CN"/>
        </w:rPr>
      </w:pPr>
      <w:r>
        <w:rPr>
          <w:rFonts w:hint="eastAsia" w:ascii="宋体" w:hAnsi="宋体" w:cs="宋体"/>
          <w:b w:val="0"/>
          <w:bCs/>
          <w:sz w:val="20"/>
          <w:szCs w:val="20"/>
          <w:highlight w:val="none"/>
        </w:rPr>
        <w:t>由评标委员会成员独立进行客观、公正的评价，根据各投标单位的核心产品的配置参数、技术偏离情况，在满足我司技术基本要求的前提下偏离，无偏离得满分</w:t>
      </w:r>
      <w:r>
        <w:rPr>
          <w:rFonts w:ascii="宋体" w:hAnsi="宋体" w:cs="宋体"/>
          <w:b w:val="0"/>
          <w:bCs/>
          <w:sz w:val="20"/>
          <w:szCs w:val="20"/>
          <w:highlight w:val="none"/>
        </w:rPr>
        <w:t>10</w:t>
      </w:r>
      <w:r>
        <w:rPr>
          <w:rFonts w:hint="eastAsia" w:ascii="宋体" w:hAnsi="宋体" w:cs="宋体"/>
          <w:b w:val="0"/>
          <w:bCs/>
          <w:sz w:val="20"/>
          <w:szCs w:val="20"/>
          <w:highlight w:val="none"/>
        </w:rPr>
        <w:t>分，较大偏离每一项扣2分，一般偏离每一项扣1分，最低0分。</w:t>
      </w:r>
    </w:p>
    <w:p>
      <w:pPr>
        <w:pStyle w:val="12"/>
        <w:spacing w:line="360" w:lineRule="auto"/>
        <w:ind w:firstLine="422" w:firstLineChars="200"/>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5</w:t>
      </w:r>
      <w:r>
        <w:rPr>
          <w:rFonts w:hint="eastAsia" w:ascii="宋体" w:hAnsi="Courier New" w:eastAsia="宋体" w:cs="Times New Roman"/>
          <w:b/>
          <w:bCs/>
          <w:color w:val="auto"/>
          <w:kern w:val="2"/>
          <w:sz w:val="21"/>
          <w:highlight w:val="none"/>
          <w:lang w:val="en-US" w:eastAsia="zh-CN" w:bidi="ar-SA"/>
        </w:rPr>
        <w:t>）</w:t>
      </w:r>
      <w:r>
        <w:rPr>
          <w:rFonts w:hint="eastAsia" w:hAnsi="宋体" w:cs="宋体"/>
          <w:b w:val="0"/>
          <w:bCs/>
          <w:color w:val="000000"/>
          <w:sz w:val="21"/>
          <w:szCs w:val="21"/>
          <w:highlight w:val="none"/>
        </w:rPr>
        <w:t>招标人有权根据项目情况，采取</w:t>
      </w:r>
      <w:r>
        <w:rPr>
          <w:rFonts w:hint="eastAsia" w:hAnsi="宋体" w:cs="宋体"/>
          <w:b/>
          <w:bCs w:val="0"/>
          <w:color w:val="000000"/>
          <w:sz w:val="21"/>
          <w:szCs w:val="21"/>
          <w:highlight w:val="none"/>
        </w:rPr>
        <w:t>多级评标模式</w:t>
      </w:r>
      <w:r>
        <w:rPr>
          <w:rFonts w:hint="eastAsia" w:hAnsi="宋体" w:cs="宋体"/>
          <w:b w:val="0"/>
          <w:bCs/>
          <w:color w:val="000000"/>
          <w:sz w:val="21"/>
          <w:szCs w:val="21"/>
          <w:highlight w:val="none"/>
        </w:rPr>
        <w:t>。评标流程以及规则详细见评标规则。</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6</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综合评标法确认一家中标人</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2"/>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2"/>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2"/>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2"/>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履约保证金元</w:t>
      </w:r>
      <w:r>
        <w:rPr>
          <w:rFonts w:hint="eastAsia" w:hAnsi="宋体"/>
          <w:highlight w:val="none"/>
        </w:rPr>
        <w:t>（</w:t>
      </w:r>
      <w:r>
        <w:rPr>
          <w:rFonts w:hint="eastAsia" w:hAnsi="宋体"/>
          <w:highlight w:val="none"/>
          <w:lang w:val="en-US" w:eastAsia="zh-CN"/>
        </w:rPr>
        <w:t>由投标保证金转为履约保证金，</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2"/>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2"/>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2"/>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2"/>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（1）</w:t>
      </w:r>
      <w:r>
        <w:rPr>
          <w:rFonts w:hint="eastAsia"/>
          <w:highlight w:val="none"/>
        </w:rPr>
        <w:t>出现影响</w:t>
      </w:r>
      <w:r>
        <w:rPr>
          <w:rFonts w:hint="eastAsia"/>
          <w:highlight w:val="none"/>
          <w:lang w:val="en-US" w:eastAsia="zh-CN"/>
        </w:rPr>
        <w:t>招标</w:t>
      </w:r>
      <w:r>
        <w:rPr>
          <w:rFonts w:hint="eastAsia"/>
          <w:highlight w:val="none"/>
        </w:rPr>
        <w:t>公正的违法、违规行为的。</w:t>
      </w:r>
    </w:p>
    <w:p>
      <w:pPr>
        <w:ind w:firstLine="420" w:firstLineChars="200"/>
        <w:rPr>
          <w:rFonts w:hint="eastAsia"/>
          <w:highlight w:val="none"/>
        </w:rPr>
      </w:pPr>
      <w:r>
        <w:rPr>
          <w:rFonts w:hint="eastAsia" w:ascii="宋体" w:hAnsi="宋体" w:cs="Times New Roman"/>
          <w:kern w:val="2"/>
          <w:sz w:val="21"/>
          <w:szCs w:val="21"/>
          <w:highlight w:val="none"/>
          <w:lang w:val="en-US" w:eastAsia="zh-CN" w:bidi="ar-SA"/>
        </w:rPr>
        <w:t>（2）</w:t>
      </w:r>
      <w:r>
        <w:rPr>
          <w:rFonts w:hint="eastAsia"/>
          <w:highlight w:val="none"/>
        </w:rPr>
        <w:t>因重大变故，施工任务取消的。</w:t>
      </w:r>
    </w:p>
    <w:p>
      <w:pPr>
        <w:ind w:firstLine="420" w:firstLineChars="200"/>
        <w:rPr>
          <w:rFonts w:hint="eastAsia" w:hAnsi="宋体"/>
          <w:highlight w:val="none"/>
        </w:rPr>
      </w:pPr>
      <w:r>
        <w:rPr>
          <w:rFonts w:hint="eastAsia" w:ascii="宋体" w:hAnsi="宋体" w:cs="Times New Roman"/>
          <w:kern w:val="2"/>
          <w:sz w:val="21"/>
          <w:szCs w:val="21"/>
          <w:highlight w:val="none"/>
          <w:lang w:val="en-US" w:eastAsia="zh-CN" w:bidi="ar-SA"/>
        </w:rPr>
        <w:t>（3）</w:t>
      </w:r>
      <w:r>
        <w:rPr>
          <w:rFonts w:hint="eastAsia" w:hAnsi="宋体"/>
          <w:highlight w:val="none"/>
        </w:rPr>
        <w:t>招标人认为其他应终止招标的情形。</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（4）符合条件的投标人或者对招标文件做实质响应的投标人不足三家的。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（5）评标委员会经评审，认为所有投标都不符合招标文件要求的。</w:t>
      </w:r>
    </w:p>
    <w:p>
      <w:pPr>
        <w:ind w:firstLine="420" w:firstLineChars="200"/>
        <w:rPr>
          <w:rFonts w:hint="eastAsia" w:eastAsia="宋体"/>
          <w:highlight w:val="none"/>
          <w:lang w:eastAsia="zh-CN"/>
        </w:rPr>
      </w:pPr>
      <w:r>
        <w:rPr>
          <w:rFonts w:hint="eastAsia" w:ascii="宋体" w:hAnsi="宋体" w:cs="Times New Roman"/>
          <w:kern w:val="2"/>
          <w:sz w:val="21"/>
          <w:szCs w:val="21"/>
          <w:highlight w:val="none"/>
          <w:lang w:val="en-US" w:eastAsia="zh-CN" w:bidi="ar-SA"/>
        </w:rPr>
        <w:t>（6）</w:t>
      </w:r>
      <w:r>
        <w:rPr>
          <w:rFonts w:hint="eastAsia"/>
          <w:highlight w:val="none"/>
        </w:rPr>
        <w:t>投标人报价均超过采购预算的</w:t>
      </w:r>
      <w:r>
        <w:rPr>
          <w:rFonts w:hint="eastAsia"/>
          <w:highlight w:val="none"/>
          <w:lang w:eastAsia="zh-CN"/>
        </w:rPr>
        <w:t>。</w:t>
      </w:r>
    </w:p>
    <w:p>
      <w:pPr>
        <w:keepNext w:val="0"/>
        <w:keepLines w:val="0"/>
        <w:widowControl/>
        <w:suppressLineNumbers w:val="0"/>
        <w:ind w:firstLine="420" w:firstLineChars="200"/>
        <w:jc w:val="left"/>
        <w:rPr>
          <w:rFonts w:hint="default"/>
          <w:highlight w:val="none"/>
          <w:lang w:val="en-US"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ascii="宋体" w:hAnsi="宋体" w:cs="Times New Roman"/>
          <w:kern w:val="2"/>
          <w:sz w:val="21"/>
          <w:szCs w:val="21"/>
          <w:highlight w:val="none"/>
          <w:lang w:val="en-US" w:eastAsia="zh-CN" w:bidi="ar-SA"/>
        </w:rPr>
        <w:t>不同投标人的投标文件异常一致或者投标报价呈规律性差异的。</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 xml:space="preserve"> 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2"/>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8"/>
        <w:rPr>
          <w:rFonts w:hint="eastAsia"/>
          <w:sz w:val="44"/>
          <w:szCs w:val="44"/>
          <w:highlight w:val="none"/>
        </w:rPr>
      </w:pPr>
      <w:bookmarkStart w:id="8" w:name="_Toc29554"/>
      <w:bookmarkStart w:id="9" w:name="_Toc54267470"/>
    </w:p>
    <w:p>
      <w:pPr>
        <w:rPr>
          <w:rFonts w:hint="eastAsia"/>
          <w:sz w:val="44"/>
          <w:szCs w:val="44"/>
          <w:highlight w:val="none"/>
        </w:rPr>
      </w:pPr>
      <w:r>
        <w:rPr>
          <w:rFonts w:hint="eastAsia"/>
          <w:sz w:val="44"/>
          <w:szCs w:val="44"/>
          <w:highlight w:val="none"/>
        </w:rPr>
        <w:br w:type="page"/>
      </w:r>
    </w:p>
    <w:p>
      <w:pPr>
        <w:pStyle w:val="18"/>
        <w:rPr>
          <w:rFonts w:hint="eastAsia"/>
          <w:sz w:val="44"/>
          <w:szCs w:val="44"/>
          <w:highlight w:val="none"/>
        </w:rPr>
      </w:pPr>
      <w:r>
        <w:rPr>
          <w:rFonts w:hint="eastAsia"/>
          <w:sz w:val="44"/>
          <w:szCs w:val="44"/>
          <w:highlight w:val="none"/>
        </w:rPr>
        <w:t>第二章  投标文件编制</w:t>
      </w:r>
      <w:bookmarkEnd w:id="8"/>
      <w:bookmarkEnd w:id="9"/>
    </w:p>
    <w:p>
      <w:pPr>
        <w:pStyle w:val="12"/>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2"/>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2"/>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2"/>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rPr>
        <w:t>投标文件技术部分和投标文件商务部分</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eastAsia="宋体" w:cs="宋体"/>
          <w:b/>
          <w:bCs/>
          <w:sz w:val="30"/>
          <w:szCs w:val="30"/>
          <w:highlight w:val="none"/>
          <w:lang w:val="en-US" w:eastAsia="zh-CN"/>
        </w:rPr>
        <w:t>单独包封。</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0"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0"/>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1）营业执照副本复印件；</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2）投标函（附件1）；</w:t>
      </w:r>
    </w:p>
    <w:p>
      <w:pPr>
        <w:spacing w:line="360" w:lineRule="auto"/>
        <w:ind w:firstLine="420" w:firstLineChars="200"/>
        <w:rPr>
          <w:rFonts w:hint="eastAsia" w:ascii="宋体" w:hAnsi="宋体" w:cs="宋体"/>
          <w:b/>
          <w:color w:val="000000"/>
          <w:sz w:val="21"/>
          <w:szCs w:val="21"/>
          <w:highlight w:val="none"/>
        </w:rPr>
      </w:pPr>
      <w:r>
        <w:rPr>
          <w:rFonts w:hint="eastAsia" w:ascii="宋体" w:hAnsi="宋体" w:cs="宋体"/>
          <w:color w:val="000000"/>
          <w:sz w:val="21"/>
          <w:szCs w:val="21"/>
          <w:highlight w:val="none"/>
        </w:rPr>
        <w:t>3）法定代表人授权书（附件2）；法定代表人参加投标的，提供法人身份证明文件即可；被授权人参加投标的，需提供法定代表人授权委托书</w:t>
      </w:r>
      <w:r>
        <w:rPr>
          <w:rFonts w:hint="eastAsia" w:ascii="宋体" w:hAnsi="宋体" w:cs="宋体"/>
          <w:b/>
          <w:color w:val="000000"/>
          <w:sz w:val="21"/>
          <w:szCs w:val="21"/>
          <w:highlight w:val="none"/>
        </w:rPr>
        <w:t>（含法人身份证和被授权人身份证正反面复印件）</w:t>
      </w:r>
      <w:r>
        <w:rPr>
          <w:rFonts w:hint="eastAsia" w:ascii="宋体" w:hAnsi="宋体" w:cs="宋体"/>
          <w:bCs/>
          <w:color w:val="000000"/>
          <w:sz w:val="21"/>
          <w:szCs w:val="21"/>
          <w:highlight w:val="none"/>
        </w:rPr>
        <w:t>和</w:t>
      </w:r>
      <w:r>
        <w:rPr>
          <w:rFonts w:hint="eastAsia" w:ascii="宋体" w:hAnsi="宋体" w:cs="宋体"/>
          <w:sz w:val="21"/>
          <w:szCs w:val="21"/>
          <w:highlight w:val="none"/>
        </w:rPr>
        <w:t>被授权人</w:t>
      </w:r>
      <w:r>
        <w:rPr>
          <w:rFonts w:hint="eastAsia" w:ascii="宋体" w:hAnsi="宋体" w:cs="宋体"/>
          <w:kern w:val="0"/>
          <w:sz w:val="21"/>
          <w:szCs w:val="21"/>
          <w:highlight w:val="none"/>
          <w:lang w:bidi="en-US"/>
        </w:rPr>
        <w:t>近</w:t>
      </w:r>
      <w:r>
        <w:rPr>
          <w:rFonts w:hint="eastAsia" w:ascii="宋体" w:hAnsi="宋体" w:cs="宋体"/>
          <w:kern w:val="0"/>
          <w:sz w:val="21"/>
          <w:szCs w:val="21"/>
          <w:highlight w:val="none"/>
          <w:u w:val="single"/>
          <w:lang w:bidi="en-US"/>
        </w:rPr>
        <w:t>6个月及以上</w:t>
      </w:r>
      <w:r>
        <w:rPr>
          <w:rFonts w:hint="eastAsia" w:ascii="宋体" w:hAnsi="宋体" w:cs="宋体"/>
          <w:kern w:val="0"/>
          <w:sz w:val="21"/>
          <w:szCs w:val="21"/>
          <w:highlight w:val="none"/>
          <w:lang w:bidi="en-US"/>
        </w:rPr>
        <w:t>社保缴纳证明</w:t>
      </w:r>
      <w:r>
        <w:rPr>
          <w:rFonts w:hint="eastAsia" w:ascii="宋体" w:hAnsi="宋体" w:cs="宋体"/>
          <w:b/>
          <w:color w:val="000000"/>
          <w:sz w:val="21"/>
          <w:szCs w:val="21"/>
          <w:highlight w:val="none"/>
        </w:rPr>
        <w:t>；</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bCs/>
          <w:color w:val="000000"/>
          <w:sz w:val="21"/>
          <w:szCs w:val="21"/>
          <w:highlight w:val="none"/>
        </w:rPr>
        <w:t>4）</w:t>
      </w:r>
      <w:r>
        <w:rPr>
          <w:rFonts w:hint="eastAsia" w:ascii="宋体" w:hAnsi="宋体" w:cs="宋体"/>
          <w:color w:val="000000"/>
          <w:sz w:val="21"/>
          <w:szCs w:val="21"/>
          <w:highlight w:val="none"/>
        </w:rPr>
        <w:t>近三年经第三方机构审计的财务报表（资产负债表、损益表、现金流量表）复印件，必须连续；对于境外投标人，若没有财务审计报告，需提供资产负债表、利润表、现金流量表（加盖公章版），且未显示异常；</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5）近三年内在经营活动中没有违法违纪行为的声明；</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6）投标单位在国家企业信用信息公示系统中无与本项目有关的行政处罚、经营异常和失信信息的声明；</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7）</w:t>
      </w:r>
      <w:r>
        <w:rPr>
          <w:rFonts w:ascii="宋体" w:hAnsi="宋体" w:cs="宋体"/>
          <w:sz w:val="21"/>
          <w:szCs w:val="21"/>
          <w:highlight w:val="none"/>
        </w:rPr>
        <w:t>企业最近半年完税证明</w:t>
      </w:r>
      <w:r>
        <w:rPr>
          <w:rFonts w:hint="eastAsia" w:ascii="宋体" w:hAnsi="宋体" w:cs="宋体"/>
          <w:sz w:val="21"/>
          <w:szCs w:val="21"/>
          <w:highlight w:val="none"/>
        </w:rPr>
        <w:t>、</w:t>
      </w:r>
      <w:r>
        <w:rPr>
          <w:rFonts w:hint="eastAsia" w:ascii="宋体" w:hAnsi="宋体" w:cs="宋体"/>
          <w:color w:val="000000"/>
          <w:sz w:val="21"/>
          <w:szCs w:val="21"/>
          <w:highlight w:val="none"/>
        </w:rPr>
        <w:t>企业信用证明材料（中国人民银行出具的征信报告）；</w:t>
      </w:r>
    </w:p>
    <w:p>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rPr>
        <w:t>8)</w:t>
      </w:r>
      <w:r>
        <w:rPr>
          <w:rFonts w:hint="eastAsia" w:ascii="宋体" w:hAnsi="宋体" w:cs="宋体"/>
          <w:color w:val="000000"/>
          <w:sz w:val="21"/>
          <w:szCs w:val="21"/>
          <w:highlight w:val="none"/>
          <w:lang w:val="en-US" w:eastAsia="zh-CN"/>
        </w:rPr>
        <w:t>本项目不允许</w:t>
      </w:r>
      <w:r>
        <w:rPr>
          <w:rFonts w:hint="eastAsia" w:ascii="宋体" w:hAnsi="宋体" w:cs="宋体"/>
          <w:color w:val="000000"/>
          <w:sz w:val="21"/>
          <w:szCs w:val="21"/>
          <w:highlight w:val="none"/>
        </w:rPr>
        <w:t>代理商投标</w:t>
      </w:r>
      <w:r>
        <w:rPr>
          <w:rFonts w:hint="eastAsia" w:ascii="宋体" w:hAnsi="宋体" w:cs="宋体"/>
          <w:color w:val="000000"/>
          <w:sz w:val="21"/>
          <w:szCs w:val="21"/>
          <w:highlight w:val="none"/>
          <w:lang w:eastAsia="zh-CN"/>
        </w:rPr>
        <w:t>；</w:t>
      </w:r>
    </w:p>
    <w:p>
      <w:pPr>
        <w:spacing w:line="360" w:lineRule="auto"/>
        <w:ind w:firstLine="420" w:firstLineChars="200"/>
        <w:rPr>
          <w:rFonts w:hint="eastAsia" w:ascii="宋体" w:hAnsi="宋体" w:cs="宋体"/>
          <w:sz w:val="21"/>
          <w:szCs w:val="21"/>
          <w:highlight w:val="none"/>
        </w:rPr>
      </w:pPr>
      <w:r>
        <w:rPr>
          <w:rFonts w:hint="eastAsia" w:ascii="宋体" w:hAnsi="宋体" w:cs="宋体"/>
          <w:color w:val="000000"/>
          <w:sz w:val="21"/>
          <w:szCs w:val="21"/>
          <w:highlight w:val="none"/>
        </w:rPr>
        <w:t>9)</w:t>
      </w:r>
      <w:r>
        <w:rPr>
          <w:rFonts w:ascii="宋体" w:hAnsi="宋体" w:cs="宋体"/>
          <w:sz w:val="21"/>
          <w:szCs w:val="21"/>
          <w:highlight w:val="none"/>
        </w:rPr>
        <w:t>年度纳税信用评价信息（可从电子税务局查询截图，需加盖公章）；</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sz w:val="21"/>
          <w:szCs w:val="21"/>
          <w:highlight w:val="none"/>
        </w:rPr>
        <w:t>10）</w:t>
      </w:r>
      <w:r>
        <w:rPr>
          <w:rFonts w:ascii="宋体" w:hAnsi="宋体" w:cs="宋体"/>
          <w:sz w:val="21"/>
          <w:szCs w:val="21"/>
          <w:highlight w:val="none"/>
        </w:rPr>
        <w:t>企业对外担保说明（写明贵单位对外有无对外担保和质押业务，需加盖公章）</w:t>
      </w:r>
      <w:r>
        <w:rPr>
          <w:rFonts w:hint="eastAsia" w:ascii="宋体" w:hAnsi="宋体" w:cs="宋体"/>
          <w:color w:val="000000"/>
          <w:sz w:val="21"/>
          <w:szCs w:val="21"/>
          <w:highlight w:val="none"/>
        </w:rPr>
        <w:t>；</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11)保密承诺函（附件3）；</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12)企业近三年同类项目业绩证明；</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13)投标保证金缴纳凭证。</w:t>
      </w:r>
    </w:p>
    <w:p>
      <w:pPr>
        <w:ind w:firstLine="422" w:firstLineChars="200"/>
        <w:rPr>
          <w:rFonts w:hint="eastAsia" w:ascii="宋体" w:hAnsi="宋体"/>
          <w:b/>
          <w:bCs/>
          <w:sz w:val="21"/>
          <w:szCs w:val="21"/>
          <w:highlight w:val="none"/>
          <w:lang w:val="en-US" w:eastAsia="zh-CN"/>
        </w:rPr>
      </w:pPr>
      <w:r>
        <w:rPr>
          <w:rFonts w:hint="eastAsia" w:ascii="宋体" w:hAnsi="宋体"/>
          <w:b/>
          <w:bCs/>
          <w:sz w:val="21"/>
          <w:szCs w:val="21"/>
          <w:highlight w:val="none"/>
          <w:lang w:val="en-US" w:eastAsia="zh-CN"/>
        </w:rPr>
        <w:t>2.第二部分：技术标书：</w:t>
      </w:r>
    </w:p>
    <w:p>
      <w:pPr>
        <w:spacing w:line="360" w:lineRule="auto"/>
        <w:ind w:firstLine="420" w:firstLineChars="200"/>
        <w:rPr>
          <w:rFonts w:hint="eastAsia" w:ascii="宋体" w:hAnsi="宋体" w:cs="宋体"/>
          <w:b/>
          <w:color w:val="000000"/>
          <w:sz w:val="21"/>
          <w:szCs w:val="21"/>
          <w:highlight w:val="none"/>
        </w:rPr>
      </w:pPr>
      <w:r>
        <w:rPr>
          <w:rFonts w:hint="eastAsia" w:ascii="宋体" w:hAnsi="宋体" w:cs="宋体"/>
          <w:color w:val="000000"/>
          <w:sz w:val="21"/>
          <w:szCs w:val="21"/>
          <w:highlight w:val="none"/>
        </w:rPr>
        <w:t>1）技术规格偏离表（附件4）</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若无偏离直接写无</w:t>
      </w:r>
      <w:r>
        <w:rPr>
          <w:rFonts w:hint="eastAsia" w:ascii="宋体" w:hAnsi="宋体" w:cs="宋体"/>
          <w:b/>
          <w:color w:val="000000"/>
          <w:sz w:val="21"/>
          <w:szCs w:val="21"/>
          <w:highlight w:val="none"/>
        </w:rPr>
        <w:t>；</w:t>
      </w:r>
    </w:p>
    <w:p>
      <w:pPr>
        <w:spacing w:line="360" w:lineRule="auto"/>
        <w:ind w:firstLine="420" w:firstLineChars="200"/>
        <w:rPr>
          <w:rFonts w:hint="eastAsia" w:ascii="宋体" w:hAnsi="宋体" w:eastAsia="宋体" w:cs="宋体"/>
          <w:color w:val="000000"/>
          <w:sz w:val="21"/>
          <w:szCs w:val="21"/>
          <w:highlight w:val="none"/>
          <w:lang w:eastAsia="zh-CN"/>
        </w:rPr>
      </w:pPr>
      <w:r>
        <w:rPr>
          <w:rFonts w:hint="eastAsia" w:ascii="宋体" w:hAnsi="宋体" w:cs="宋体"/>
          <w:bCs/>
          <w:color w:val="000000"/>
          <w:sz w:val="21"/>
          <w:szCs w:val="21"/>
          <w:highlight w:val="none"/>
        </w:rPr>
        <w:t>2）</w:t>
      </w:r>
      <w:r>
        <w:rPr>
          <w:rFonts w:hint="eastAsia" w:ascii="宋体" w:hAnsi="宋体" w:cs="宋体"/>
          <w:color w:val="000000"/>
          <w:sz w:val="21"/>
          <w:szCs w:val="21"/>
          <w:highlight w:val="none"/>
        </w:rPr>
        <w:t>近三年同类项目业绩一览表（附件5）及有效合同复印件</w:t>
      </w:r>
      <w:r>
        <w:rPr>
          <w:rFonts w:hint="eastAsia" w:ascii="宋体" w:hAnsi="宋体" w:cs="宋体"/>
          <w:color w:val="000000"/>
          <w:sz w:val="21"/>
          <w:szCs w:val="21"/>
          <w:highlight w:val="none"/>
          <w:lang w:eastAsia="zh-CN"/>
        </w:rPr>
        <w:t>，</w:t>
      </w:r>
      <w:r>
        <w:rPr>
          <w:rFonts w:hint="eastAsia" w:ascii="宋体" w:hAnsi="宋体" w:eastAsia="宋体" w:cs="宋体"/>
          <w:b/>
          <w:color w:val="000000"/>
          <w:sz w:val="21"/>
          <w:szCs w:val="21"/>
          <w:highlight w:val="none"/>
        </w:rPr>
        <w:t>若未提供相应业绩证明，根据技术标评分规则，将影响现场评标专家组对投标单位业绩判定打分；</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3）供货期及保证措施；</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4）产品的技术服务和售后服务内容及措施；</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5）交货进度及计划；</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6)投标产品技术支持材料；</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7)质量承诺函（附件6）；</w:t>
      </w:r>
    </w:p>
    <w:p>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8）投标人需提交的其它资料。</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w:t>
      </w:r>
      <w:r>
        <w:rPr>
          <w:rFonts w:hint="eastAsia" w:ascii="宋体" w:hAnsi="宋体"/>
          <w:b/>
          <w:bCs/>
          <w:sz w:val="21"/>
          <w:szCs w:val="21"/>
          <w:highlight w:val="none"/>
          <w:lang w:eastAsia="zh-CN"/>
        </w:rPr>
        <w:t>：</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b/>
          <w:bCs/>
          <w:sz w:val="21"/>
          <w:szCs w:val="21"/>
          <w:highlight w:val="none"/>
        </w:rPr>
        <w:t>：</w:t>
      </w:r>
    </w:p>
    <w:p>
      <w:pPr>
        <w:pStyle w:val="37"/>
        <w:ind w:firstLine="480"/>
        <w:rPr>
          <w:rFonts w:hint="eastAsia" w:eastAsia="宋体" w:cs="宋体"/>
          <w:sz w:val="21"/>
          <w:szCs w:val="21"/>
          <w:highlight w:val="none"/>
        </w:rPr>
      </w:pPr>
      <w:r>
        <w:rPr>
          <w:rFonts w:hint="eastAsia" w:eastAsia="宋体" w:cs="宋体"/>
          <w:sz w:val="21"/>
          <w:szCs w:val="21"/>
          <w:highlight w:val="none"/>
        </w:rPr>
        <w:t>1）开标一览表（附件7）；</w:t>
      </w:r>
    </w:p>
    <w:p>
      <w:pPr>
        <w:pStyle w:val="37"/>
        <w:ind w:firstLine="480"/>
        <w:rPr>
          <w:rFonts w:hint="eastAsia" w:eastAsia="宋体" w:cs="宋体"/>
          <w:b/>
          <w:sz w:val="21"/>
          <w:szCs w:val="21"/>
          <w:highlight w:val="none"/>
        </w:rPr>
      </w:pPr>
      <w:r>
        <w:rPr>
          <w:rFonts w:hint="eastAsia" w:eastAsia="宋体" w:cs="宋体"/>
          <w:sz w:val="21"/>
          <w:szCs w:val="21"/>
          <w:highlight w:val="none"/>
        </w:rPr>
        <w:t>2）投标报价明细表（附件8）</w:t>
      </w:r>
      <w:r>
        <w:rPr>
          <w:rFonts w:hint="eastAsia" w:eastAsia="宋体" w:cs="宋体"/>
          <w:b/>
          <w:sz w:val="21"/>
          <w:szCs w:val="21"/>
          <w:highlight w:val="none"/>
        </w:rPr>
        <w:t>附件7、8、9</w:t>
      </w:r>
      <w:r>
        <w:rPr>
          <w:rFonts w:hint="eastAsia" w:eastAsia="宋体" w:cs="宋体"/>
          <w:b/>
          <w:sz w:val="21"/>
          <w:szCs w:val="21"/>
          <w:highlight w:val="none"/>
          <w:lang w:eastAsia="zh-CN"/>
        </w:rPr>
        <w:t>、</w:t>
      </w:r>
      <w:r>
        <w:rPr>
          <w:rFonts w:hint="eastAsia" w:eastAsia="宋体" w:cs="宋体"/>
          <w:b/>
          <w:sz w:val="21"/>
          <w:szCs w:val="21"/>
          <w:highlight w:val="none"/>
          <w:lang w:val="en-US" w:eastAsia="zh-CN"/>
        </w:rPr>
        <w:t>10</w:t>
      </w:r>
      <w:r>
        <w:rPr>
          <w:rFonts w:hint="eastAsia" w:eastAsia="宋体" w:cs="宋体"/>
          <w:b/>
          <w:sz w:val="21"/>
          <w:szCs w:val="21"/>
          <w:highlight w:val="none"/>
        </w:rPr>
        <w:t>需要一起单独封装1份；</w:t>
      </w:r>
    </w:p>
    <w:p>
      <w:pPr>
        <w:pStyle w:val="37"/>
        <w:ind w:firstLine="480"/>
        <w:rPr>
          <w:rFonts w:hint="eastAsia" w:eastAsia="宋体" w:cs="宋体"/>
          <w:sz w:val="21"/>
          <w:szCs w:val="21"/>
          <w:highlight w:val="none"/>
        </w:rPr>
      </w:pPr>
      <w:r>
        <w:rPr>
          <w:rFonts w:hint="eastAsia" w:eastAsia="宋体" w:cs="宋体"/>
          <w:sz w:val="21"/>
          <w:szCs w:val="21"/>
          <w:highlight w:val="none"/>
        </w:rPr>
        <w:t>3）商务条款偏离表（附件9）</w:t>
      </w:r>
      <w:r>
        <w:rPr>
          <w:rFonts w:hint="eastAsia" w:eastAsia="宋体" w:cs="宋体"/>
          <w:b/>
          <w:sz w:val="21"/>
          <w:szCs w:val="21"/>
          <w:highlight w:val="none"/>
        </w:rPr>
        <w:t>付款方式不可以偏离；</w:t>
      </w:r>
    </w:p>
    <w:p>
      <w:pPr>
        <w:pStyle w:val="37"/>
        <w:ind w:firstLine="480"/>
        <w:rPr>
          <w:rFonts w:hint="eastAsia" w:eastAsia="宋体" w:cs="宋体"/>
          <w:sz w:val="21"/>
          <w:szCs w:val="21"/>
          <w:highlight w:val="none"/>
        </w:rPr>
      </w:pPr>
      <w:r>
        <w:rPr>
          <w:rFonts w:hint="eastAsia" w:eastAsia="宋体" w:cs="宋体"/>
          <w:sz w:val="21"/>
          <w:szCs w:val="21"/>
          <w:highlight w:val="none"/>
        </w:rPr>
        <w:t>4）服务承诺函(附件10)</w:t>
      </w:r>
      <w:r>
        <w:rPr>
          <w:rFonts w:hint="eastAsia" w:eastAsia="宋体" w:cs="宋体"/>
          <w:b/>
          <w:sz w:val="21"/>
          <w:szCs w:val="21"/>
          <w:highlight w:val="none"/>
        </w:rPr>
        <w:t>需写明质保期外服务费用情况；</w:t>
      </w:r>
    </w:p>
    <w:p>
      <w:pPr>
        <w:pStyle w:val="37"/>
        <w:ind w:firstLine="480"/>
        <w:rPr>
          <w:rFonts w:hint="eastAsia" w:eastAsia="宋体" w:cs="宋体"/>
          <w:highlight w:val="none"/>
        </w:rPr>
      </w:pPr>
      <w:r>
        <w:rPr>
          <w:rFonts w:hint="eastAsia" w:eastAsia="宋体" w:cs="宋体"/>
          <w:sz w:val="21"/>
          <w:szCs w:val="21"/>
          <w:highlight w:val="none"/>
        </w:rPr>
        <w:t>5）按招标文件投标人须知和技术规格书中要求提供的有关文件。</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2"/>
        <w:rPr>
          <w:rFonts w:hint="eastAsia" w:ascii="黑体" w:hAnsi="黑体" w:eastAsia="黑体"/>
          <w:b/>
          <w:bCs/>
          <w:sz w:val="28"/>
          <w:szCs w:val="28"/>
          <w:highlight w:val="none"/>
        </w:rPr>
      </w:pPr>
      <w:bookmarkStart w:id="11" w:name="_Toc212369518"/>
      <w:r>
        <w:rPr>
          <w:rFonts w:hint="eastAsia" w:ascii="黑体" w:hAnsi="黑体" w:eastAsia="黑体"/>
          <w:b/>
          <w:bCs/>
          <w:sz w:val="28"/>
          <w:szCs w:val="28"/>
          <w:highlight w:val="none"/>
        </w:rPr>
        <w:t>三、投标内容填写说明</w:t>
      </w:r>
      <w:bookmarkEnd w:id="11"/>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2"/>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2"/>
        <w:ind w:firstLine="420" w:firstLineChars="200"/>
        <w:rPr>
          <w:rFonts w:hAnsi="宋体"/>
          <w:highlight w:val="none"/>
        </w:rPr>
      </w:pPr>
      <w:r>
        <w:rPr>
          <w:rFonts w:hint="eastAsia" w:hAnsi="宋体"/>
          <w:highlight w:val="none"/>
        </w:rPr>
        <w:br w:type="page"/>
      </w:r>
    </w:p>
    <w:p>
      <w:pPr>
        <w:pStyle w:val="12"/>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pStyle w:val="38"/>
        <w:rPr>
          <w:rFonts w:hint="eastAsia" w:ascii="宋体" w:hAnsi="宋体" w:eastAsia="宋体" w:cs="宋体"/>
          <w:highlight w:val="none"/>
        </w:rPr>
      </w:pPr>
      <w:bookmarkStart w:id="12" w:name="_Toc7062"/>
      <w:bookmarkStart w:id="13" w:name="_Toc54267471"/>
      <w:r>
        <w:rPr>
          <w:rFonts w:hint="eastAsia" w:ascii="宋体" w:hAnsi="宋体" w:eastAsia="宋体" w:cs="宋体"/>
          <w:highlight w:val="none"/>
        </w:rPr>
        <w:t>附件1</w:t>
      </w:r>
      <w:bookmarkStart w:id="14" w:name="_Toc639004"/>
      <w:bookmarkStart w:id="15" w:name="_Toc212369550"/>
      <w:bookmarkStart w:id="16" w:name="_Toc25811"/>
      <w:bookmarkStart w:id="17" w:name="_Toc353881012"/>
      <w:r>
        <w:rPr>
          <w:rFonts w:hint="eastAsia" w:ascii="宋体" w:hAnsi="宋体" w:eastAsia="宋体" w:cs="宋体"/>
          <w:highlight w:val="none"/>
        </w:rPr>
        <w:t xml:space="preserve"> 投标函</w:t>
      </w:r>
      <w:bookmarkEnd w:id="14"/>
      <w:bookmarkEnd w:id="15"/>
      <w:bookmarkEnd w:id="16"/>
      <w:bookmarkEnd w:id="17"/>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致：中国重汽集团济南动力有限公司：</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根据贵方_</w:t>
      </w:r>
      <w:r>
        <w:rPr>
          <w:rFonts w:hint="eastAsia" w:ascii="宋体" w:hAnsi="宋体" w:eastAsia="宋体" w:cs="宋体"/>
          <w:b/>
          <w:bCs/>
          <w:snapToGrid w:val="0"/>
          <w:kern w:val="0"/>
          <w:sz w:val="21"/>
          <w:szCs w:val="21"/>
          <w:highlight w:val="none"/>
          <w:u w:val="single"/>
        </w:rPr>
        <w:t xml:space="preserve">        某项目招标公告   </w:t>
      </w:r>
      <w:r>
        <w:rPr>
          <w:rFonts w:hint="eastAsia" w:ascii="宋体" w:hAnsi="宋体" w:eastAsia="宋体" w:cs="宋体"/>
          <w:sz w:val="21"/>
          <w:szCs w:val="21"/>
          <w:highlight w:val="none"/>
        </w:rPr>
        <w:t>，</w:t>
      </w:r>
      <w:r>
        <w:rPr>
          <w:rFonts w:hint="eastAsia" w:ascii="宋体" w:hAnsi="宋体" w:eastAsia="宋体" w:cs="宋体"/>
          <w:sz w:val="21"/>
          <w:szCs w:val="21"/>
          <w:highlight w:val="none"/>
          <w:u w:val="single"/>
        </w:rPr>
        <w:t xml:space="preserve">    </w:t>
      </w:r>
      <w:r>
        <w:rPr>
          <w:rFonts w:hint="eastAsia" w:ascii="宋体" w:hAnsi="宋体" w:eastAsia="宋体" w:cs="宋体"/>
          <w:b/>
          <w:sz w:val="21"/>
          <w:szCs w:val="21"/>
          <w:highlight w:val="none"/>
          <w:u w:val="single"/>
        </w:rPr>
        <w:t xml:space="preserve">某投标公司名称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法人代表人</w:t>
      </w:r>
      <w:r>
        <w:rPr>
          <w:rFonts w:hint="eastAsia" w:ascii="宋体" w:hAnsi="宋体" w:eastAsia="宋体" w:cs="宋体"/>
          <w:sz w:val="21"/>
          <w:szCs w:val="21"/>
          <w:highlight w:val="none"/>
          <w:u w:val="single"/>
        </w:rPr>
        <w:t>为      法人名字</w:t>
      </w:r>
      <w:r>
        <w:rPr>
          <w:rFonts w:hint="eastAsia" w:ascii="宋体" w:hAnsi="宋体" w:eastAsia="宋体" w:cs="宋体"/>
          <w:sz w:val="21"/>
          <w:szCs w:val="21"/>
          <w:highlight w:val="none"/>
        </w:rPr>
        <w:t>，正式授权</w:t>
      </w:r>
      <w:r>
        <w:rPr>
          <w:rFonts w:hint="eastAsia" w:ascii="宋体" w:hAnsi="宋体" w:eastAsia="宋体" w:cs="宋体"/>
          <w:sz w:val="21"/>
          <w:szCs w:val="21"/>
          <w:highlight w:val="none"/>
          <w:u w:val="single"/>
        </w:rPr>
        <w:t xml:space="preserve">   被授权人名字     </w:t>
      </w:r>
      <w:r>
        <w:rPr>
          <w:rFonts w:hint="eastAsia" w:ascii="宋体" w:hAnsi="宋体" w:eastAsia="宋体" w:cs="宋体"/>
          <w:sz w:val="21"/>
          <w:szCs w:val="21"/>
          <w:highlight w:val="none"/>
        </w:rPr>
        <w:t>提交</w:t>
      </w:r>
      <w:r>
        <w:rPr>
          <w:rFonts w:hint="eastAsia" w:ascii="宋体" w:hAnsi="宋体" w:eastAsia="宋体" w:cs="宋体"/>
          <w:b/>
          <w:sz w:val="21"/>
          <w:szCs w:val="21"/>
          <w:highlight w:val="none"/>
        </w:rPr>
        <w:t>资质证明文件</w:t>
      </w:r>
      <w:r>
        <w:rPr>
          <w:rFonts w:hint="eastAsia" w:ascii="宋体" w:hAnsi="宋体" w:eastAsia="宋体" w:cs="宋体"/>
          <w:b/>
          <w:sz w:val="21"/>
          <w:szCs w:val="21"/>
          <w:highlight w:val="none"/>
          <w:u w:val="single"/>
        </w:rPr>
        <w:t xml:space="preserve">   </w:t>
      </w:r>
      <w:r>
        <w:rPr>
          <w:rFonts w:hint="eastAsia" w:ascii="宋体" w:hAnsi="宋体" w:eastAsia="宋体" w:cs="宋体"/>
          <w:b/>
          <w:sz w:val="21"/>
          <w:szCs w:val="21"/>
          <w:highlight w:val="none"/>
        </w:rPr>
        <w:t>份。电子版投标文件1份。</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据此函，签字代表宣布同意如下：</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1、投标人已详细审查全部“招标文件”，包括修改文件（如有的话）以及全部参考资料和有关附件，已经了解我方对于招标文件、采购过程、采购结果有依法进行询问、质疑、投诉的权利及相关渠道和要求。</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2、投标人在投标之前已经与贵方进行了充分的沟通，完全理解并接受招标文件的各项规定和要求，对招标文件的合理性、合法性不再有异议。</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3、本投标有效期自开标日起</w:t>
      </w:r>
      <w:r>
        <w:rPr>
          <w:rFonts w:hint="eastAsia" w:ascii="宋体" w:hAnsi="宋体" w:eastAsia="宋体" w:cs="宋体"/>
          <w:bCs/>
          <w:sz w:val="21"/>
          <w:szCs w:val="21"/>
          <w:highlight w:val="none"/>
          <w:u w:val="single"/>
        </w:rPr>
        <w:t xml:space="preserve"> 90</w:t>
      </w:r>
      <w:r>
        <w:rPr>
          <w:rFonts w:hint="eastAsia" w:ascii="宋体" w:hAnsi="宋体" w:eastAsia="宋体" w:cs="宋体"/>
          <w:sz w:val="21"/>
          <w:szCs w:val="21"/>
          <w:highlight w:val="none"/>
        </w:rPr>
        <w:t>个日历日。</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4、如中标，本投标文件至本项目合同履行完毕止均保持有效，本投标人将按“招标文件”及政府采购法律、法规的规定履行合同责任和义务。</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5、投标人同意按照贵方要求提供与投标有关的一切数据或资料。</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6、与本投标有关的一切正式往来信函请寄：</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地址：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邮编：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电话：        传真：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投标人代表姓名：__   _____职务：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银行帐号：</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w:t>
      </w:r>
      <w:r>
        <w:rPr>
          <w:rFonts w:hint="eastAsia" w:ascii="宋体" w:hAnsi="宋体" w:eastAsia="宋体" w:cs="宋体"/>
          <w:bCs/>
          <w:sz w:val="21"/>
          <w:szCs w:val="21"/>
          <w:highlight w:val="none"/>
        </w:rPr>
        <w:t>盖章）</w:t>
      </w:r>
      <w:r>
        <w:rPr>
          <w:rFonts w:hint="eastAsia" w:ascii="宋体" w:hAnsi="宋体" w:eastAsia="宋体" w:cs="宋体"/>
          <w:sz w:val="21"/>
          <w:szCs w:val="21"/>
          <w:highlight w:val="none"/>
        </w:rPr>
        <w:t xml:space="preserve">: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授权代表签字</w:t>
      </w:r>
      <w:r>
        <w:rPr>
          <w:rFonts w:hint="eastAsia" w:ascii="宋体" w:hAnsi="宋体" w:eastAsia="宋体" w:cs="宋体"/>
          <w:bCs/>
          <w:sz w:val="21"/>
          <w:szCs w:val="21"/>
          <w:highlight w:val="none"/>
        </w:rPr>
        <w:t>：</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日期：     年      月      日</w:t>
      </w:r>
    </w:p>
    <w:p>
      <w:pPr>
        <w:rPr>
          <w:rFonts w:hint="eastAsia" w:ascii="宋体" w:hAnsi="宋体" w:eastAsia="宋体" w:cs="宋体"/>
          <w:color w:val="000000"/>
          <w:sz w:val="21"/>
          <w:szCs w:val="21"/>
          <w:highlight w:val="none"/>
        </w:rPr>
      </w:pPr>
    </w:p>
    <w:p>
      <w:pPr>
        <w:rPr>
          <w:rFonts w:hint="eastAsia" w:ascii="宋体" w:hAnsi="宋体" w:eastAsia="宋体" w:cs="宋体"/>
          <w:color w:val="000000"/>
          <w:sz w:val="21"/>
          <w:szCs w:val="21"/>
          <w:highlight w:val="none"/>
        </w:rPr>
      </w:pPr>
    </w:p>
    <w:p>
      <w:pPr>
        <w:pStyle w:val="36"/>
        <w:rPr>
          <w:rFonts w:hint="eastAsia" w:ascii="宋体" w:hAnsi="宋体" w:eastAsia="宋体" w:cs="宋体"/>
          <w:sz w:val="21"/>
          <w:szCs w:val="21"/>
          <w:highlight w:val="none"/>
        </w:rPr>
        <w:sectPr>
          <w:footerReference r:id="rId10" w:type="first"/>
          <w:headerReference r:id="rId8" w:type="default"/>
          <w:footerReference r:id="rId9" w:type="default"/>
          <w:pgSz w:w="11906" w:h="16838"/>
          <w:pgMar w:top="1588" w:right="1418" w:bottom="1134" w:left="1418" w:header="851" w:footer="992" w:gutter="0"/>
          <w:pgNumType w:fmt="numberInDash" w:start="0"/>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附件2 法定代表人授权委托书</w:t>
      </w:r>
    </w:p>
    <w:p>
      <w:pPr>
        <w:pStyle w:val="10"/>
        <w:adjustRightInd w:val="0"/>
        <w:snapToGrid w:val="0"/>
        <w:spacing w:before="93" w:beforeLines="30" w:line="240" w:lineRule="exact"/>
        <w:jc w:val="center"/>
        <w:rPr>
          <w:rFonts w:hint="eastAsia" w:ascii="宋体" w:hAnsi="宋体" w:eastAsia="宋体" w:cs="宋体"/>
          <w:sz w:val="21"/>
          <w:szCs w:val="21"/>
          <w:highlight w:val="none"/>
        </w:rPr>
      </w:pP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全权代表无转委权。特此委托。</w:t>
      </w:r>
    </w:p>
    <w:tbl>
      <w:tblPr>
        <w:tblStyle w:val="2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（附法人身份证明复印件）</w:t>
            </w:r>
          </w:p>
          <w:p>
            <w:pPr>
              <w:adjustRightInd w:val="0"/>
              <w:snapToGrid w:val="0"/>
              <w:spacing w:before="93" w:beforeLines="30" w:line="312"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（附授权代理人身份证明复印件）</w:t>
            </w:r>
          </w:p>
        </w:tc>
      </w:tr>
    </w:tbl>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全权代表姓名：            性别：          年龄：</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单位：                    部门：          职务：</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法定代表人签字或盖章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被授权人签字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被授权人电话：                          </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投标人名称（公章）                       </w:t>
      </w:r>
    </w:p>
    <w:p>
      <w:pPr>
        <w:spacing w:line="460" w:lineRule="exact"/>
        <w:ind w:firstLine="4830" w:firstLineChars="23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附件3 保密承诺函</w:t>
      </w:r>
    </w:p>
    <w:p>
      <w:pPr>
        <w:spacing w:line="240" w:lineRule="exact"/>
        <w:jc w:val="center"/>
        <w:rPr>
          <w:rFonts w:hint="eastAsia" w:ascii="宋体" w:hAnsi="宋体" w:eastAsia="宋体" w:cs="宋体"/>
          <w:b/>
          <w:bCs/>
          <w:sz w:val="21"/>
          <w:szCs w:val="21"/>
          <w:highlight w:val="none"/>
        </w:rPr>
      </w:pPr>
    </w:p>
    <w:p>
      <w:pPr>
        <w:spacing w:line="360" w:lineRule="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kern w:val="0"/>
          <w:sz w:val="21"/>
          <w:szCs w:val="21"/>
          <w:highlight w:val="none"/>
          <w:u w:val="single"/>
          <w:lang w:val="en-US" w:eastAsia="zh-CN"/>
        </w:rPr>
        <w:t xml:space="preserve">                            </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我代表（</w:t>
      </w:r>
      <w:r>
        <w:rPr>
          <w:rFonts w:hint="eastAsia" w:ascii="宋体" w:hAnsi="宋体" w:eastAsia="宋体" w:cs="宋体"/>
          <w:sz w:val="21"/>
          <w:szCs w:val="21"/>
          <w:highlight w:val="none"/>
          <w:u w:val="single"/>
        </w:rPr>
        <w:t>投标单位名称</w:t>
      </w:r>
      <w:r>
        <w:rPr>
          <w:rFonts w:hint="eastAsia" w:ascii="宋体" w:hAnsi="宋体" w:eastAsia="宋体" w:cs="宋体"/>
          <w:sz w:val="21"/>
          <w:szCs w:val="21"/>
          <w:highlight w:val="none"/>
        </w:rPr>
        <w:t>）对招标人的商业秘密作如下承诺：</w:t>
      </w:r>
    </w:p>
    <w:p>
      <w:pPr>
        <w:spacing w:line="360" w:lineRule="auto"/>
        <w:ind w:left="479" w:leftChars="228"/>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投标人：（盖章）</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法定代表人（委托代理人）：（签字）</w:t>
      </w:r>
    </w:p>
    <w:p>
      <w:pPr>
        <w:spacing w:line="360" w:lineRule="auto"/>
        <w:ind w:firstLine="420" w:firstLineChars="200"/>
        <w:rPr>
          <w:rFonts w:hint="eastAsia" w:ascii="宋体" w:hAnsi="宋体" w:eastAsia="宋体" w:cs="宋体"/>
          <w:b/>
          <w:bCs/>
          <w:color w:val="000000"/>
          <w:sz w:val="21"/>
          <w:szCs w:val="21"/>
          <w:highlight w:val="none"/>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1"/>
          <w:szCs w:val="21"/>
          <w:highlight w:val="none"/>
        </w:rPr>
        <w:t>日  期：       年    月    日</w:t>
      </w: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附件4 技术规格偏离表</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项目名称：                                                           </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3535"/>
        <w:gridCol w:w="2475"/>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904" w:type="pct"/>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招标要求</w:t>
            </w:r>
          </w:p>
        </w:tc>
        <w:tc>
          <w:tcPr>
            <w:tcW w:w="1333" w:type="pct"/>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响应规格</w:t>
            </w:r>
          </w:p>
        </w:tc>
        <w:tc>
          <w:tcPr>
            <w:tcW w:w="887" w:type="pct"/>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kern w:val="2"/>
                <w:sz w:val="21"/>
                <w:szCs w:val="21"/>
                <w:highlight w:val="none"/>
                <w:lang w:val="en-US" w:eastAsia="zh-CN" w:bidi="ar-SA"/>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kern w:val="2"/>
                <w:sz w:val="21"/>
                <w:szCs w:val="21"/>
                <w:highlight w:val="none"/>
                <w:lang w:val="en-US" w:eastAsia="zh-CN" w:bidi="ar-SA"/>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lang w:eastAsia="zh-CN"/>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4" w:type="pct"/>
            <w:vAlign w:val="center"/>
          </w:tcPr>
          <w:p>
            <w:pPr>
              <w:pStyle w:val="39"/>
              <w:rPr>
                <w:rFonts w:hint="eastAsia" w:ascii="宋体" w:hAnsi="宋体" w:eastAsia="宋体" w:cs="宋体"/>
                <w:b w:val="0"/>
                <w:sz w:val="21"/>
                <w:szCs w:val="21"/>
                <w:highlight w:val="none"/>
              </w:rPr>
            </w:pPr>
          </w:p>
        </w:tc>
        <w:tc>
          <w:tcPr>
            <w:tcW w:w="1904" w:type="pct"/>
            <w:vAlign w:val="center"/>
          </w:tcPr>
          <w:p>
            <w:pPr>
              <w:pStyle w:val="39"/>
              <w:rPr>
                <w:rFonts w:hint="eastAsia" w:ascii="宋体" w:hAnsi="宋体" w:eastAsia="宋体" w:cs="宋体"/>
                <w:b w:val="0"/>
                <w:sz w:val="21"/>
                <w:szCs w:val="21"/>
                <w:highlight w:val="none"/>
              </w:rPr>
            </w:pPr>
          </w:p>
        </w:tc>
        <w:tc>
          <w:tcPr>
            <w:tcW w:w="1333" w:type="pct"/>
            <w:vAlign w:val="center"/>
          </w:tcPr>
          <w:p>
            <w:pPr>
              <w:pStyle w:val="39"/>
              <w:rPr>
                <w:rFonts w:hint="eastAsia" w:ascii="宋体" w:hAnsi="宋体" w:eastAsia="宋体" w:cs="宋体"/>
                <w:b w:val="0"/>
                <w:sz w:val="21"/>
                <w:szCs w:val="21"/>
                <w:highlight w:val="none"/>
              </w:rPr>
            </w:pPr>
          </w:p>
        </w:tc>
        <w:tc>
          <w:tcPr>
            <w:tcW w:w="887" w:type="pct"/>
          </w:tcPr>
          <w:p>
            <w:pPr>
              <w:pStyle w:val="39"/>
              <w:rPr>
                <w:rFonts w:hint="eastAsia" w:ascii="宋体" w:hAnsi="宋体" w:eastAsia="宋体" w:cs="宋体"/>
                <w:sz w:val="21"/>
                <w:szCs w:val="21"/>
                <w:highlight w:val="none"/>
              </w:rPr>
            </w:pPr>
          </w:p>
        </w:tc>
      </w:tr>
    </w:tbl>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rPr>
          <w:rFonts w:hint="eastAsia" w:ascii="宋体" w:hAnsi="宋体" w:eastAsia="宋体" w:cs="宋体"/>
          <w:color w:val="000000"/>
          <w:sz w:val="21"/>
          <w:szCs w:val="21"/>
          <w:highlight w:val="none"/>
        </w:rPr>
      </w:pPr>
    </w:p>
    <w:p>
      <w:pPr>
        <w:rPr>
          <w:rFonts w:hint="eastAsia" w:ascii="宋体" w:hAnsi="宋体" w:eastAsia="宋体" w:cs="宋体"/>
          <w:b/>
          <w:bCs/>
          <w:color w:val="000000"/>
          <w:sz w:val="21"/>
          <w:szCs w:val="21"/>
          <w:highlight w:val="none"/>
        </w:rPr>
      </w:pP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附件5 近三年同类项目业绩一览表</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1264" w:type="pct"/>
            <w:vAlign w:val="center"/>
          </w:tcPr>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服务单位</w:t>
            </w:r>
          </w:p>
        </w:tc>
        <w:tc>
          <w:tcPr>
            <w:tcW w:w="1144" w:type="pct"/>
            <w:vAlign w:val="center"/>
          </w:tcPr>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项目名称</w:t>
            </w:r>
          </w:p>
        </w:tc>
        <w:tc>
          <w:tcPr>
            <w:tcW w:w="688" w:type="pct"/>
            <w:vAlign w:val="center"/>
          </w:tcPr>
          <w:p>
            <w:pPr>
              <w:pStyle w:val="16"/>
              <w:ind w:left="0"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合同金额（万元）</w:t>
            </w:r>
          </w:p>
        </w:tc>
        <w:tc>
          <w:tcPr>
            <w:tcW w:w="611" w:type="pct"/>
            <w:vAlign w:val="center"/>
          </w:tcPr>
          <w:p>
            <w:pPr>
              <w:pStyle w:val="16"/>
              <w:ind w:left="0" w:firstLine="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合同签订时间</w:t>
            </w:r>
          </w:p>
        </w:tc>
        <w:tc>
          <w:tcPr>
            <w:tcW w:w="819" w:type="pct"/>
            <w:vAlign w:val="center"/>
          </w:tcPr>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联系人及</w:t>
            </w:r>
          </w:p>
          <w:p>
            <w:pPr>
              <w:pStyle w:val="16"/>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6"/>
              <w:rPr>
                <w:rFonts w:hint="eastAsia" w:ascii="宋体" w:hAnsi="宋体" w:eastAsia="宋体" w:cs="宋体"/>
                <w:b/>
                <w:sz w:val="21"/>
                <w:szCs w:val="21"/>
                <w:highlight w:val="none"/>
              </w:rPr>
            </w:pPr>
          </w:p>
        </w:tc>
        <w:tc>
          <w:tcPr>
            <w:tcW w:w="1264" w:type="pct"/>
          </w:tcPr>
          <w:p>
            <w:pPr>
              <w:pStyle w:val="16"/>
              <w:rPr>
                <w:rFonts w:hint="eastAsia" w:ascii="宋体" w:hAnsi="宋体" w:eastAsia="宋体" w:cs="宋体"/>
                <w:b/>
                <w:sz w:val="21"/>
                <w:szCs w:val="21"/>
                <w:highlight w:val="none"/>
              </w:rPr>
            </w:pPr>
          </w:p>
        </w:tc>
        <w:tc>
          <w:tcPr>
            <w:tcW w:w="1144" w:type="pct"/>
          </w:tcPr>
          <w:p>
            <w:pPr>
              <w:pStyle w:val="16"/>
              <w:rPr>
                <w:rFonts w:hint="eastAsia" w:ascii="宋体" w:hAnsi="宋体" w:eastAsia="宋体" w:cs="宋体"/>
                <w:b/>
                <w:sz w:val="21"/>
                <w:szCs w:val="21"/>
                <w:highlight w:val="none"/>
              </w:rPr>
            </w:pPr>
          </w:p>
        </w:tc>
        <w:tc>
          <w:tcPr>
            <w:tcW w:w="688" w:type="pct"/>
          </w:tcPr>
          <w:p>
            <w:pPr>
              <w:pStyle w:val="16"/>
              <w:rPr>
                <w:rFonts w:hint="eastAsia" w:ascii="宋体" w:hAnsi="宋体" w:eastAsia="宋体" w:cs="宋体"/>
                <w:b/>
                <w:sz w:val="21"/>
                <w:szCs w:val="21"/>
                <w:highlight w:val="none"/>
              </w:rPr>
            </w:pPr>
          </w:p>
        </w:tc>
        <w:tc>
          <w:tcPr>
            <w:tcW w:w="611" w:type="pct"/>
          </w:tcPr>
          <w:p>
            <w:pPr>
              <w:pStyle w:val="16"/>
              <w:rPr>
                <w:rFonts w:hint="eastAsia" w:ascii="宋体" w:hAnsi="宋体" w:eastAsia="宋体" w:cs="宋体"/>
                <w:b/>
                <w:sz w:val="21"/>
                <w:szCs w:val="21"/>
                <w:highlight w:val="none"/>
              </w:rPr>
            </w:pPr>
          </w:p>
        </w:tc>
        <w:tc>
          <w:tcPr>
            <w:tcW w:w="819" w:type="pct"/>
          </w:tcPr>
          <w:p>
            <w:pPr>
              <w:pStyle w:val="16"/>
              <w:rPr>
                <w:rFonts w:hint="eastAsia" w:ascii="宋体" w:hAnsi="宋体" w:eastAsia="宋体" w:cs="宋体"/>
                <w:b/>
                <w:sz w:val="21"/>
                <w:szCs w:val="21"/>
                <w:highlight w:val="none"/>
              </w:rPr>
            </w:pPr>
          </w:p>
        </w:tc>
      </w:tr>
    </w:tbl>
    <w:p>
      <w:pPr>
        <w:spacing w:line="0" w:lineRule="atLeast"/>
        <w:rPr>
          <w:rFonts w:hint="eastAsia" w:ascii="宋体" w:hAnsi="宋体" w:eastAsia="宋体" w:cs="宋体"/>
          <w:sz w:val="21"/>
          <w:szCs w:val="21"/>
          <w:highlight w:val="none"/>
        </w:rPr>
      </w:pPr>
      <w:r>
        <w:rPr>
          <w:rFonts w:hint="eastAsia" w:ascii="宋体" w:hAnsi="宋体" w:eastAsia="宋体" w:cs="宋体"/>
          <w:sz w:val="21"/>
          <w:szCs w:val="21"/>
          <w:highlight w:val="none"/>
        </w:rPr>
        <w:t>注：</w:t>
      </w:r>
      <w:r>
        <w:rPr>
          <w:rFonts w:hint="eastAsia" w:ascii="宋体" w:hAnsi="宋体" w:eastAsia="宋体" w:cs="宋体"/>
          <w:kern w:val="0"/>
          <w:sz w:val="21"/>
          <w:szCs w:val="21"/>
          <w:highlight w:val="none"/>
        </w:rPr>
        <w:t>提供近三年同类产品的制造销售业绩（用户名单、联系方式）</w:t>
      </w:r>
      <w:r>
        <w:rPr>
          <w:rFonts w:hint="eastAsia" w:ascii="宋体" w:hAnsi="宋体" w:eastAsia="宋体" w:cs="宋体"/>
          <w:sz w:val="21"/>
          <w:szCs w:val="21"/>
          <w:highlight w:val="none"/>
        </w:rPr>
        <w:t>，并附合同复印件。</w:t>
      </w:r>
    </w:p>
    <w:p>
      <w:pPr>
        <w:tabs>
          <w:tab w:val="left" w:pos="1578"/>
          <w:tab w:val="left" w:pos="10083"/>
        </w:tabs>
        <w:spacing w:line="500" w:lineRule="exact"/>
        <w:rPr>
          <w:rFonts w:hint="eastAsia" w:ascii="宋体" w:hAnsi="宋体" w:eastAsia="宋体" w:cs="宋体"/>
          <w:sz w:val="21"/>
          <w:szCs w:val="21"/>
          <w:highlight w:val="none"/>
        </w:rPr>
      </w:pP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rPr>
          <w:rFonts w:hint="eastAsia" w:ascii="宋体" w:hAnsi="宋体" w:eastAsia="宋体" w:cs="宋体"/>
          <w:b/>
          <w:bCs/>
          <w:color w:val="000000"/>
          <w:sz w:val="21"/>
          <w:szCs w:val="21"/>
          <w:highlight w:val="none"/>
        </w:rPr>
      </w:pPr>
    </w:p>
    <w:p>
      <w:pPr>
        <w:rPr>
          <w:rFonts w:hint="eastAsia" w:ascii="宋体" w:hAnsi="宋体" w:eastAsia="宋体" w:cs="宋体"/>
          <w:b/>
          <w:bCs/>
          <w:color w:val="000000"/>
          <w:sz w:val="21"/>
          <w:szCs w:val="21"/>
          <w:highlight w:val="none"/>
        </w:rPr>
      </w:pP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附件6 质量承诺函</w:t>
      </w:r>
    </w:p>
    <w:p>
      <w:pPr>
        <w:spacing w:line="24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pPr>
        <w:spacing w:line="360" w:lineRule="auto"/>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lang w:val="en-US" w:eastAsia="zh-CN"/>
        </w:rPr>
        <w:t xml:space="preserve"> </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我代表(投标单位名称)为保证中标产品的质量特作如下承诺：</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left="48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附件7 开标一览表</w:t>
      </w:r>
    </w:p>
    <w:p>
      <w:pPr>
        <w:pStyle w:val="37"/>
        <w:ind w:firstLine="482"/>
        <w:rPr>
          <w:rFonts w:hint="eastAsia" w:ascii="宋体" w:hAnsi="宋体" w:eastAsia="宋体" w:cs="宋体"/>
          <w:b/>
          <w:sz w:val="21"/>
          <w:szCs w:val="21"/>
          <w:highlight w:val="none"/>
        </w:rPr>
      </w:pPr>
      <w:r>
        <w:rPr>
          <w:rFonts w:hint="eastAsia" w:ascii="宋体" w:hAnsi="宋体" w:eastAsia="宋体" w:cs="宋体"/>
          <w:b/>
          <w:sz w:val="21"/>
          <w:szCs w:val="21"/>
          <w:highlight w:val="none"/>
        </w:rPr>
        <w:t>《开标一览表》单独封存，以备唱标使用</w:t>
      </w:r>
    </w:p>
    <w:p>
      <w:pPr>
        <w:pStyle w:val="37"/>
        <w:ind w:firstLine="48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lang w:val="en-US" w:eastAsia="zh-CN"/>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299"/>
        <w:gridCol w:w="1305"/>
        <w:gridCol w:w="1169"/>
        <w:gridCol w:w="1134"/>
        <w:gridCol w:w="1782"/>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7"/>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科技中心园区东一门、西二门道闸改造项目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1297"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99"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1305"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投标总价</w:t>
            </w:r>
          </w:p>
          <w:p>
            <w:pPr>
              <w:pStyle w:val="39"/>
              <w:spacing w:before="240"/>
              <w:rPr>
                <w:rFonts w:hint="eastAsia" w:ascii="宋体" w:hAnsi="宋体" w:eastAsia="宋体" w:cs="宋体"/>
                <w:sz w:val="21"/>
                <w:szCs w:val="21"/>
                <w:highlight w:val="none"/>
              </w:rPr>
            </w:pPr>
            <w:r>
              <w:rPr>
                <w:rFonts w:hint="eastAsia" w:ascii="宋体" w:hAnsi="宋体" w:eastAsia="宋体" w:cs="宋体"/>
                <w:sz w:val="21"/>
                <w:szCs w:val="21"/>
                <w:highlight w:val="none"/>
              </w:rPr>
              <w:t>（元）</w:t>
            </w:r>
          </w:p>
        </w:tc>
        <w:tc>
          <w:tcPr>
            <w:tcW w:w="1169"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不含税价</w:t>
            </w:r>
          </w:p>
        </w:tc>
        <w:tc>
          <w:tcPr>
            <w:tcW w:w="1134"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税率</w:t>
            </w:r>
          </w:p>
        </w:tc>
        <w:tc>
          <w:tcPr>
            <w:tcW w:w="1782"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付款方式及比例如何响应</w:t>
            </w:r>
          </w:p>
        </w:tc>
        <w:tc>
          <w:tcPr>
            <w:tcW w:w="1300"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7" w:type="dxa"/>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99" w:type="dxa"/>
            <w:vAlign w:val="center"/>
          </w:tcPr>
          <w:p>
            <w:pPr>
              <w:pStyle w:val="3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 xml:space="preserve">   </w:t>
            </w:r>
          </w:p>
          <w:p>
            <w:pPr>
              <w:pStyle w:val="39"/>
              <w:rPr>
                <w:rFonts w:hint="eastAsia" w:ascii="宋体" w:hAnsi="宋体" w:eastAsia="宋体" w:cs="宋体"/>
                <w:sz w:val="21"/>
                <w:szCs w:val="21"/>
                <w:highlight w:val="none"/>
                <w:lang w:val="en-US" w:eastAsia="zh-CN"/>
              </w:rPr>
            </w:pPr>
          </w:p>
          <w:p>
            <w:pPr>
              <w:pStyle w:val="39"/>
              <w:rPr>
                <w:rFonts w:hint="eastAsia" w:ascii="宋体" w:hAnsi="宋体" w:eastAsia="宋体" w:cs="宋体"/>
                <w:sz w:val="21"/>
                <w:szCs w:val="21"/>
                <w:highlight w:val="none"/>
                <w:lang w:val="en-US" w:eastAsia="zh-CN"/>
              </w:rPr>
            </w:pPr>
          </w:p>
          <w:p>
            <w:pPr>
              <w:pStyle w:val="39"/>
              <w:rPr>
                <w:rFonts w:hint="eastAsia" w:ascii="宋体" w:hAnsi="宋体" w:eastAsia="宋体" w:cs="宋体"/>
                <w:sz w:val="21"/>
                <w:szCs w:val="21"/>
                <w:highlight w:val="none"/>
                <w:lang w:val="en-US" w:eastAsia="zh-CN"/>
              </w:rPr>
            </w:pPr>
          </w:p>
        </w:tc>
        <w:tc>
          <w:tcPr>
            <w:tcW w:w="1305" w:type="dxa"/>
            <w:vAlign w:val="center"/>
          </w:tcPr>
          <w:p>
            <w:pPr>
              <w:pStyle w:val="39"/>
              <w:rPr>
                <w:rFonts w:hint="eastAsia" w:ascii="宋体" w:hAnsi="宋体" w:eastAsia="宋体" w:cs="宋体"/>
                <w:sz w:val="21"/>
                <w:szCs w:val="21"/>
                <w:highlight w:val="none"/>
              </w:rPr>
            </w:pPr>
          </w:p>
        </w:tc>
        <w:tc>
          <w:tcPr>
            <w:tcW w:w="1169" w:type="dxa"/>
            <w:vAlign w:val="center"/>
          </w:tcPr>
          <w:p>
            <w:pPr>
              <w:pStyle w:val="39"/>
              <w:rPr>
                <w:rFonts w:hint="eastAsia" w:ascii="宋体" w:hAnsi="宋体" w:eastAsia="宋体" w:cs="宋体"/>
                <w:sz w:val="21"/>
                <w:szCs w:val="21"/>
                <w:highlight w:val="none"/>
              </w:rPr>
            </w:pPr>
          </w:p>
        </w:tc>
        <w:tc>
          <w:tcPr>
            <w:tcW w:w="1134" w:type="dxa"/>
            <w:vAlign w:val="center"/>
          </w:tcPr>
          <w:p>
            <w:pPr>
              <w:pStyle w:val="39"/>
              <w:rPr>
                <w:rFonts w:hint="eastAsia" w:ascii="宋体" w:hAnsi="宋体" w:eastAsia="宋体" w:cs="宋体"/>
                <w:sz w:val="21"/>
                <w:szCs w:val="21"/>
                <w:highlight w:val="none"/>
              </w:rPr>
            </w:pPr>
          </w:p>
        </w:tc>
        <w:tc>
          <w:tcPr>
            <w:tcW w:w="1782" w:type="dxa"/>
            <w:vAlign w:val="center"/>
          </w:tcPr>
          <w:p>
            <w:pPr>
              <w:pStyle w:val="39"/>
              <w:rPr>
                <w:rFonts w:hint="eastAsia" w:ascii="宋体" w:hAnsi="宋体" w:eastAsia="宋体" w:cs="宋体"/>
                <w:sz w:val="21"/>
                <w:szCs w:val="21"/>
                <w:highlight w:val="none"/>
              </w:rPr>
            </w:pPr>
          </w:p>
        </w:tc>
        <w:tc>
          <w:tcPr>
            <w:tcW w:w="1300" w:type="dxa"/>
            <w:vAlign w:val="center"/>
          </w:tcPr>
          <w:p>
            <w:pPr>
              <w:pStyle w:val="39"/>
              <w:rPr>
                <w:rFonts w:hint="eastAsia" w:ascii="宋体" w:hAnsi="宋体" w:eastAsia="宋体" w:cs="宋体"/>
                <w:sz w:val="21"/>
                <w:szCs w:val="21"/>
                <w:highlight w:val="none"/>
              </w:rPr>
            </w:pPr>
          </w:p>
        </w:tc>
      </w:tr>
    </w:tbl>
    <w:p>
      <w:pPr>
        <w:pStyle w:val="37"/>
        <w:ind w:firstLine="480"/>
        <w:rPr>
          <w:rFonts w:hint="eastAsia" w:ascii="宋体" w:hAnsi="宋体" w:eastAsia="宋体" w:cs="宋体"/>
          <w:sz w:val="21"/>
          <w:szCs w:val="21"/>
          <w:highlight w:val="none"/>
        </w:rPr>
      </w:pPr>
    </w:p>
    <w:p>
      <w:pPr>
        <w:pStyle w:val="37"/>
        <w:ind w:firstLine="0" w:firstLineChars="0"/>
        <w:rPr>
          <w:rFonts w:hint="eastAsia" w:ascii="宋体" w:hAnsi="宋体" w:eastAsia="宋体" w:cs="宋体"/>
          <w:sz w:val="21"/>
          <w:szCs w:val="21"/>
          <w:highlight w:val="none"/>
        </w:rPr>
      </w:pPr>
      <w:r>
        <w:rPr>
          <w:rFonts w:hint="eastAsia" w:ascii="宋体" w:hAnsi="宋体" w:eastAsia="宋体" w:cs="宋体"/>
          <w:b/>
          <w:bCs/>
          <w:sz w:val="21"/>
          <w:szCs w:val="21"/>
          <w:highlight w:val="none"/>
        </w:rPr>
        <w:t>注：</w:t>
      </w:r>
    </w:p>
    <w:p>
      <w:pPr>
        <w:spacing w:line="520" w:lineRule="exact"/>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1、此表中的报价必须与相应的报价明细表中的报价一致。</w:t>
      </w:r>
    </w:p>
    <w:p>
      <w:pPr>
        <w:spacing w:line="30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2、附件789单独封装一份，否则不予唱标。</w:t>
      </w:r>
    </w:p>
    <w:p>
      <w:pPr>
        <w:spacing w:line="30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3、需写明含税价、不含税价格、税率，总价按照预计数量计算。</w:t>
      </w:r>
    </w:p>
    <w:p>
      <w:pPr>
        <w:pStyle w:val="6"/>
        <w:spacing w:before="0" w:after="0" w:line="360" w:lineRule="auto"/>
        <w:rPr>
          <w:rFonts w:hint="eastAsia" w:ascii="宋体" w:hAnsi="宋体" w:eastAsia="宋体" w:cs="宋体"/>
          <w:sz w:val="21"/>
          <w:szCs w:val="21"/>
          <w:highlight w:val="none"/>
        </w:rPr>
      </w:pPr>
    </w:p>
    <w:p>
      <w:pPr>
        <w:spacing w:line="660" w:lineRule="exact"/>
        <w:rPr>
          <w:rFonts w:hint="eastAsia" w:ascii="宋体" w:hAnsi="宋体" w:eastAsia="宋体" w:cs="宋体"/>
          <w:sz w:val="21"/>
          <w:szCs w:val="21"/>
          <w:highlight w:val="none"/>
        </w:rPr>
      </w:pPr>
    </w:p>
    <w:p>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spacing w:line="660" w:lineRule="exact"/>
        <w:ind w:firstLine="2940" w:firstLineChars="1400"/>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ind w:firstLine="480"/>
        <w:rPr>
          <w:rFonts w:hint="eastAsia" w:ascii="宋体" w:hAnsi="宋体" w:eastAsia="宋体" w:cs="宋体"/>
          <w:color w:val="000000"/>
          <w:sz w:val="21"/>
          <w:szCs w:val="21"/>
          <w:highlight w:val="none"/>
        </w:rPr>
      </w:pPr>
    </w:p>
    <w:p>
      <w:pPr>
        <w:ind w:firstLine="480"/>
        <w:rPr>
          <w:rFonts w:hint="eastAsia" w:ascii="宋体" w:hAnsi="宋体" w:eastAsia="宋体" w:cs="宋体"/>
          <w:b/>
          <w:color w:val="000000"/>
          <w:sz w:val="21"/>
          <w:szCs w:val="21"/>
          <w:highlight w:val="none"/>
        </w:rPr>
        <w:sectPr>
          <w:pgSz w:w="11906" w:h="16838"/>
          <w:pgMar w:top="1588" w:right="1418" w:bottom="1134" w:left="1418" w:header="851" w:footer="992" w:gutter="0"/>
          <w:pgNumType w:fmt="numberInDash" w:start="0"/>
          <w:cols w:space="720" w:num="1"/>
          <w:titlePg/>
          <w:docGrid w:type="lines" w:linePitch="312" w:charSpace="0"/>
        </w:sectPr>
      </w:pPr>
    </w:p>
    <w:p>
      <w:pPr>
        <w:pStyle w:val="38"/>
        <w:rPr>
          <w:rFonts w:hint="eastAsia" w:ascii="宋体" w:hAnsi="宋体" w:eastAsia="宋体" w:cs="宋体"/>
          <w:sz w:val="21"/>
          <w:szCs w:val="21"/>
          <w:highlight w:val="none"/>
        </w:rPr>
      </w:pPr>
      <w:bookmarkStart w:id="18" w:name="_Toc639008"/>
      <w:bookmarkStart w:id="19" w:name="_Toc26556"/>
      <w:bookmarkStart w:id="20" w:name="_Toc353881017"/>
      <w:r>
        <w:rPr>
          <w:rFonts w:hint="eastAsia" w:ascii="宋体" w:hAnsi="宋体" w:eastAsia="宋体" w:cs="宋体"/>
          <w:sz w:val="21"/>
          <w:szCs w:val="21"/>
          <w:highlight w:val="none"/>
        </w:rPr>
        <w:t>附件8 投标报价明细表</w:t>
      </w:r>
      <w:bookmarkEnd w:id="18"/>
      <w:bookmarkEnd w:id="19"/>
      <w:bookmarkEnd w:id="20"/>
      <w:r>
        <w:rPr>
          <w:rFonts w:hint="eastAsia" w:ascii="宋体" w:hAnsi="宋体" w:eastAsia="宋体" w:cs="宋体"/>
          <w:sz w:val="21"/>
          <w:szCs w:val="21"/>
          <w:highlight w:val="none"/>
        </w:rPr>
        <w:t>（写清各项备件价格）</w:t>
      </w:r>
    </w:p>
    <w:p>
      <w:pPr>
        <w:pStyle w:val="37"/>
        <w:ind w:firstLine="630" w:firstLineChars="300"/>
        <w:rPr>
          <w:rFonts w:hint="eastAsia" w:ascii="宋体" w:hAnsi="宋体" w:eastAsia="宋体" w:cs="宋体"/>
          <w:sz w:val="21"/>
          <w:szCs w:val="21"/>
          <w:highlight w:val="none"/>
        </w:rPr>
      </w:pPr>
    </w:p>
    <w:p>
      <w:pPr>
        <w:pStyle w:val="37"/>
        <w:ind w:firstLine="630" w:firstLineChars="3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sz w:val="21"/>
          <w:szCs w:val="21"/>
          <w:highlight w:val="none"/>
        </w:rPr>
        <w:t>项目名称：</w:t>
      </w:r>
      <w:r>
        <w:rPr>
          <w:rFonts w:hint="eastAsia" w:ascii="宋体" w:hAnsi="宋体" w:eastAsia="宋体" w:cs="宋体"/>
          <w:color w:val="auto"/>
          <w:kern w:val="0"/>
          <w:sz w:val="21"/>
          <w:szCs w:val="21"/>
          <w:highlight w:val="none"/>
          <w:u w:val="single"/>
          <w:lang w:val="en-US" w:eastAsia="zh-CN"/>
        </w:rPr>
        <w:t xml:space="preserve">                            </w:t>
      </w:r>
    </w:p>
    <w:tbl>
      <w:tblPr>
        <w:tblStyle w:val="21"/>
        <w:tblpPr w:leftFromText="180" w:rightFromText="180" w:vertAnchor="text" w:horzAnchor="page" w:tblpX="1862" w:tblpY="159"/>
        <w:tblOverlap w:val="never"/>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198"/>
        <w:gridCol w:w="987"/>
        <w:gridCol w:w="719"/>
        <w:gridCol w:w="1463"/>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615"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color w:val="000000"/>
                <w:kern w:val="0"/>
                <w:sz w:val="21"/>
                <w:szCs w:val="21"/>
                <w:highlight w:val="none"/>
                <w:lang w:val="en-US" w:eastAsia="zh-CN" w:bidi="ar"/>
              </w:rPr>
              <w:t>序号</w:t>
            </w:r>
          </w:p>
        </w:tc>
        <w:tc>
          <w:tcPr>
            <w:tcW w:w="3198" w:type="dxa"/>
            <w:vAlign w:val="top"/>
          </w:tcPr>
          <w:p>
            <w:pPr>
              <w:keepNext w:val="0"/>
              <w:keepLines w:val="0"/>
              <w:widowControl/>
              <w:suppressLineNumbers w:val="0"/>
              <w:jc w:val="center"/>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color w:val="000000"/>
                <w:kern w:val="0"/>
                <w:sz w:val="21"/>
                <w:szCs w:val="21"/>
                <w:highlight w:val="none"/>
                <w:lang w:val="en-US" w:eastAsia="zh-CN" w:bidi="ar"/>
              </w:rPr>
              <w:t>名称</w:t>
            </w:r>
          </w:p>
        </w:tc>
        <w:tc>
          <w:tcPr>
            <w:tcW w:w="987"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color w:val="000000"/>
                <w:kern w:val="0"/>
                <w:sz w:val="21"/>
                <w:szCs w:val="21"/>
                <w:highlight w:val="none"/>
                <w:lang w:val="en-US" w:eastAsia="zh-CN" w:bidi="ar"/>
              </w:rPr>
              <w:t>单位</w:t>
            </w:r>
          </w:p>
        </w:tc>
        <w:tc>
          <w:tcPr>
            <w:tcW w:w="719"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color w:val="000000"/>
                <w:kern w:val="0"/>
                <w:sz w:val="21"/>
                <w:szCs w:val="21"/>
                <w:highlight w:val="none"/>
                <w:lang w:val="en-US" w:eastAsia="zh-CN" w:bidi="ar"/>
              </w:rPr>
              <w:t>数量</w:t>
            </w:r>
          </w:p>
        </w:tc>
        <w:tc>
          <w:tcPr>
            <w:tcW w:w="1463" w:type="dxa"/>
          </w:tcPr>
          <w:p>
            <w:pPr>
              <w:keepNext w:val="0"/>
              <w:keepLines w:val="0"/>
              <w:widowControl/>
              <w:suppressLineNumbers w:val="0"/>
              <w:jc w:val="center"/>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单价</w:t>
            </w:r>
          </w:p>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color w:val="000000"/>
                <w:kern w:val="0"/>
                <w:sz w:val="21"/>
                <w:szCs w:val="21"/>
                <w:highlight w:val="none"/>
                <w:lang w:val="en-US" w:eastAsia="zh-CN" w:bidi="ar"/>
              </w:rPr>
              <w:t>（元，未税）</w:t>
            </w:r>
          </w:p>
        </w:tc>
        <w:tc>
          <w:tcPr>
            <w:tcW w:w="1475"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总价</w:t>
            </w:r>
          </w:p>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color w:val="000000"/>
                <w:kern w:val="0"/>
                <w:sz w:val="21"/>
                <w:szCs w:val="21"/>
                <w:highlight w:val="none"/>
                <w:lang w:val="en-US" w:eastAsia="zh-CN" w:bidi="ar"/>
              </w:rPr>
              <w:t>（元，未税）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615"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1</w:t>
            </w:r>
          </w:p>
        </w:tc>
        <w:tc>
          <w:tcPr>
            <w:tcW w:w="3198" w:type="dxa"/>
            <w:vAlign w:val="top"/>
          </w:tcPr>
          <w:p>
            <w:pPr>
              <w:keepNext w:val="0"/>
              <w:keepLines w:val="0"/>
              <w:widowControl/>
              <w:suppressLineNumbers w:val="0"/>
              <w:jc w:val="left"/>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kern w:val="2"/>
                <w:sz w:val="21"/>
                <w:szCs w:val="21"/>
                <w:highlight w:val="none"/>
                <w:vertAlign w:val="baseline"/>
                <w:lang w:val="en-US" w:eastAsia="zh-CN" w:bidi="ar-SA"/>
              </w:rPr>
              <w:t>双通道摆闸安装</w:t>
            </w:r>
          </w:p>
          <w:p>
            <w:pPr>
              <w:keepNext w:val="0"/>
              <w:keepLines w:val="0"/>
              <w:widowControl/>
              <w:suppressLineNumbers w:val="0"/>
              <w:jc w:val="left"/>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kern w:val="2"/>
                <w:sz w:val="21"/>
                <w:szCs w:val="21"/>
                <w:highlight w:val="none"/>
                <w:vertAlign w:val="baseline"/>
                <w:lang w:val="en-US" w:eastAsia="zh-CN" w:bidi="ar-SA"/>
              </w:rPr>
              <w:t>1、通道口宽度：2110mm</w:t>
            </w:r>
          </w:p>
          <w:p>
            <w:pPr>
              <w:keepNext w:val="0"/>
              <w:keepLines w:val="0"/>
              <w:widowControl/>
              <w:suppressLineNumbers w:val="0"/>
              <w:jc w:val="left"/>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kern w:val="2"/>
                <w:sz w:val="21"/>
                <w:szCs w:val="21"/>
                <w:highlight w:val="none"/>
                <w:vertAlign w:val="baseline"/>
                <w:lang w:val="en-US" w:eastAsia="zh-CN" w:bidi="ar-SA"/>
              </w:rPr>
              <w:t>2、含地面处理、配电系统安装</w:t>
            </w:r>
          </w:p>
        </w:tc>
        <w:tc>
          <w:tcPr>
            <w:tcW w:w="987"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套</w:t>
            </w:r>
          </w:p>
        </w:tc>
        <w:tc>
          <w:tcPr>
            <w:tcW w:w="719"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1</w:t>
            </w:r>
          </w:p>
        </w:tc>
        <w:tc>
          <w:tcPr>
            <w:tcW w:w="1463"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c>
          <w:tcPr>
            <w:tcW w:w="1475" w:type="dxa"/>
            <w:vAlign w:val="top"/>
          </w:tcPr>
          <w:p>
            <w:pPr>
              <w:keepNext w:val="0"/>
              <w:keepLines w:val="0"/>
              <w:widowControl/>
              <w:suppressLineNumbers w:val="0"/>
              <w:jc w:val="right"/>
              <w:rPr>
                <w:rFonts w:hint="eastAsia" w:ascii="宋体" w:hAnsi="宋体" w:eastAsia="宋体" w:cs="宋体"/>
                <w:b w:val="0"/>
                <w:bCs w:val="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615"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ind w:firstLine="210" w:firstLineChars="10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2</w:t>
            </w:r>
          </w:p>
        </w:tc>
        <w:tc>
          <w:tcPr>
            <w:tcW w:w="3198" w:type="dxa"/>
            <w:tcBorders>
              <w:left w:val="single" w:color="auto" w:sz="4" w:space="0"/>
            </w:tcBorders>
          </w:tcPr>
          <w:p>
            <w:pPr>
              <w:keepNext w:val="0"/>
              <w:keepLines w:val="0"/>
              <w:widowControl/>
              <w:suppressLineNumbers w:val="0"/>
              <w:jc w:val="left"/>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单通道摆闸安装</w:t>
            </w:r>
          </w:p>
          <w:p>
            <w:pPr>
              <w:keepNext w:val="0"/>
              <w:keepLines w:val="0"/>
              <w:widowControl/>
              <w:suppressLineNumbers w:val="0"/>
              <w:jc w:val="left"/>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kern w:val="2"/>
                <w:sz w:val="21"/>
                <w:szCs w:val="21"/>
                <w:highlight w:val="none"/>
                <w:vertAlign w:val="baseline"/>
                <w:lang w:val="en-US" w:eastAsia="zh-CN" w:bidi="ar-SA"/>
              </w:rPr>
              <w:t>1、通道口宽度：1400mm</w:t>
            </w:r>
          </w:p>
          <w:p>
            <w:pPr>
              <w:keepNext w:val="0"/>
              <w:keepLines w:val="0"/>
              <w:widowControl/>
              <w:suppressLineNumbers w:val="0"/>
              <w:jc w:val="left"/>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kern w:val="2"/>
                <w:sz w:val="21"/>
                <w:szCs w:val="21"/>
                <w:highlight w:val="none"/>
                <w:vertAlign w:val="baseline"/>
                <w:lang w:val="en-US" w:eastAsia="zh-CN" w:bidi="ar-SA"/>
              </w:rPr>
              <w:t>2、含地面处理、配电系统安装</w:t>
            </w:r>
          </w:p>
        </w:tc>
        <w:tc>
          <w:tcPr>
            <w:tcW w:w="987" w:type="dxa"/>
            <w:vAlign w:val="top"/>
          </w:tcPr>
          <w:p>
            <w:pPr>
              <w:keepNext w:val="0"/>
              <w:keepLines w:val="0"/>
              <w:widowControl/>
              <w:suppressLineNumbers w:val="0"/>
              <w:jc w:val="center"/>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sz w:val="21"/>
                <w:szCs w:val="21"/>
                <w:highlight w:val="none"/>
                <w:vertAlign w:val="baseline"/>
                <w:lang w:val="en-US" w:eastAsia="zh-CN"/>
              </w:rPr>
              <w:t>套</w:t>
            </w:r>
          </w:p>
        </w:tc>
        <w:tc>
          <w:tcPr>
            <w:tcW w:w="719" w:type="dxa"/>
            <w:vAlign w:val="top"/>
          </w:tcPr>
          <w:p>
            <w:pPr>
              <w:keepNext w:val="0"/>
              <w:keepLines w:val="0"/>
              <w:widowControl/>
              <w:suppressLineNumbers w:val="0"/>
              <w:jc w:val="center"/>
              <w:rPr>
                <w:rFonts w:hint="eastAsia" w:ascii="宋体" w:hAnsi="宋体" w:eastAsia="宋体" w:cs="宋体"/>
                <w:b w:val="0"/>
                <w:bCs w:val="0"/>
                <w:kern w:val="2"/>
                <w:sz w:val="21"/>
                <w:szCs w:val="21"/>
                <w:highlight w:val="none"/>
                <w:vertAlign w:val="baseline"/>
                <w:lang w:val="en-US" w:eastAsia="zh-CN" w:bidi="ar-SA"/>
              </w:rPr>
            </w:pPr>
            <w:r>
              <w:rPr>
                <w:rFonts w:hint="eastAsia" w:ascii="宋体" w:hAnsi="宋体" w:eastAsia="宋体" w:cs="宋体"/>
                <w:b w:val="0"/>
                <w:bCs w:val="0"/>
                <w:sz w:val="21"/>
                <w:szCs w:val="21"/>
                <w:highlight w:val="none"/>
                <w:vertAlign w:val="baseline"/>
                <w:lang w:val="en-US" w:eastAsia="zh-CN"/>
              </w:rPr>
              <w:t>1</w:t>
            </w:r>
          </w:p>
        </w:tc>
        <w:tc>
          <w:tcPr>
            <w:tcW w:w="1463"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c>
          <w:tcPr>
            <w:tcW w:w="1475" w:type="dxa"/>
            <w:vAlign w:val="top"/>
          </w:tcPr>
          <w:p>
            <w:pPr>
              <w:keepNext w:val="0"/>
              <w:keepLines w:val="0"/>
              <w:widowControl/>
              <w:suppressLineNumbers w:val="0"/>
              <w:jc w:val="right"/>
              <w:rPr>
                <w:rFonts w:hint="eastAsia" w:ascii="宋体" w:hAnsi="宋体" w:eastAsia="宋体" w:cs="宋体"/>
                <w:b w:val="0"/>
                <w:bCs w:val="0"/>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trPr>
        <w:tc>
          <w:tcPr>
            <w:tcW w:w="615" w:type="dxa"/>
            <w:tcBorders>
              <w:top w:val="single" w:color="auto" w:sz="4" w:space="0"/>
              <w:left w:val="single" w:color="auto" w:sz="4" w:space="0"/>
              <w:bottom w:val="single" w:color="auto" w:sz="4" w:space="0"/>
              <w:right w:val="single" w:color="auto" w:sz="4" w:space="0"/>
            </w:tcBorders>
          </w:tcPr>
          <w:p>
            <w:pPr>
              <w:keepNext w:val="0"/>
              <w:keepLines w:val="0"/>
              <w:widowControl/>
              <w:suppressLineNumbers w:val="0"/>
              <w:ind w:firstLine="210" w:firstLineChars="10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3</w:t>
            </w:r>
          </w:p>
        </w:tc>
        <w:tc>
          <w:tcPr>
            <w:tcW w:w="3198" w:type="dxa"/>
            <w:tcBorders>
              <w:left w:val="single" w:color="auto" w:sz="4" w:space="0"/>
            </w:tcBorders>
          </w:tcPr>
          <w:p>
            <w:pPr>
              <w:keepNext w:val="0"/>
              <w:keepLines w:val="0"/>
              <w:widowControl/>
              <w:suppressLineNumbers w:val="0"/>
              <w:jc w:val="left"/>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原旋转闸拆除及外运</w:t>
            </w:r>
          </w:p>
          <w:p>
            <w:pPr>
              <w:keepNext w:val="0"/>
              <w:keepLines w:val="0"/>
              <w:widowControl/>
              <w:suppressLineNumbers w:val="0"/>
              <w:jc w:val="left"/>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1、原旋转闸拆除</w:t>
            </w:r>
          </w:p>
          <w:p>
            <w:pPr>
              <w:keepNext w:val="0"/>
              <w:keepLines w:val="0"/>
              <w:widowControl/>
              <w:suppressLineNumbers w:val="0"/>
              <w:jc w:val="left"/>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2、旋转闸运输至章丘园区（运距35km）</w:t>
            </w:r>
          </w:p>
        </w:tc>
        <w:tc>
          <w:tcPr>
            <w:tcW w:w="987"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套</w:t>
            </w:r>
          </w:p>
        </w:tc>
        <w:tc>
          <w:tcPr>
            <w:tcW w:w="719" w:type="dxa"/>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2</w:t>
            </w:r>
          </w:p>
        </w:tc>
        <w:tc>
          <w:tcPr>
            <w:tcW w:w="1463"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c>
          <w:tcPr>
            <w:tcW w:w="1475"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982" w:type="dxa"/>
            <w:gridSpan w:val="5"/>
            <w:tcBorders>
              <w:top w:val="single" w:color="auto" w:sz="4" w:space="0"/>
              <w:left w:val="single" w:color="auto" w:sz="4" w:space="0"/>
              <w:bottom w:val="single" w:color="auto" w:sz="4" w:space="0"/>
            </w:tcBorders>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合计（未税）</w:t>
            </w:r>
          </w:p>
        </w:tc>
        <w:tc>
          <w:tcPr>
            <w:tcW w:w="1475"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982" w:type="dxa"/>
            <w:gridSpan w:val="5"/>
            <w:tcBorders>
              <w:top w:val="single" w:color="auto" w:sz="4" w:space="0"/>
              <w:left w:val="single" w:color="auto" w:sz="4" w:space="0"/>
              <w:bottom w:val="single" w:color="auto" w:sz="4" w:space="0"/>
            </w:tcBorders>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税额（税率：</w:t>
            </w:r>
            <w:r>
              <w:rPr>
                <w:rFonts w:hint="eastAsia" w:ascii="宋体" w:hAnsi="宋体" w:eastAsia="宋体" w:cs="宋体"/>
                <w:b w:val="0"/>
                <w:bCs w:val="0"/>
                <w:sz w:val="21"/>
                <w:szCs w:val="21"/>
                <w:highlight w:val="none"/>
                <w:u w:val="single"/>
                <w:vertAlign w:val="baseline"/>
                <w:lang w:val="en-US" w:eastAsia="zh-CN"/>
              </w:rPr>
              <w:t xml:space="preserve">    </w:t>
            </w:r>
            <w:r>
              <w:rPr>
                <w:rFonts w:hint="eastAsia" w:ascii="宋体" w:hAnsi="宋体" w:eastAsia="宋体" w:cs="宋体"/>
                <w:b w:val="0"/>
                <w:bCs w:val="0"/>
                <w:sz w:val="21"/>
                <w:szCs w:val="21"/>
                <w:highlight w:val="none"/>
                <w:vertAlign w:val="baseline"/>
                <w:lang w:val="en-US" w:eastAsia="zh-CN"/>
              </w:rPr>
              <w:t>%）</w:t>
            </w:r>
          </w:p>
        </w:tc>
        <w:tc>
          <w:tcPr>
            <w:tcW w:w="1475"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982" w:type="dxa"/>
            <w:gridSpan w:val="5"/>
            <w:tcBorders>
              <w:top w:val="single" w:color="auto" w:sz="4" w:space="0"/>
              <w:left w:val="single" w:color="auto" w:sz="4" w:space="0"/>
              <w:bottom w:val="single" w:color="auto" w:sz="4" w:space="0"/>
            </w:tcBorders>
          </w:tcPr>
          <w:p>
            <w:pPr>
              <w:keepNext w:val="0"/>
              <w:keepLines w:val="0"/>
              <w:widowControl/>
              <w:suppressLineNumbers w:val="0"/>
              <w:jc w:val="center"/>
              <w:rPr>
                <w:rFonts w:hint="eastAsia" w:ascii="宋体" w:hAnsi="宋体" w:eastAsia="宋体" w:cs="宋体"/>
                <w:b w:val="0"/>
                <w:bCs w:val="0"/>
                <w:sz w:val="21"/>
                <w:szCs w:val="21"/>
                <w:highlight w:val="none"/>
                <w:vertAlign w:val="baseline"/>
                <w:lang w:val="en-US" w:eastAsia="zh-CN"/>
              </w:rPr>
            </w:pPr>
            <w:r>
              <w:rPr>
                <w:rFonts w:hint="eastAsia" w:ascii="宋体" w:hAnsi="宋体" w:eastAsia="宋体" w:cs="宋体"/>
                <w:b w:val="0"/>
                <w:bCs w:val="0"/>
                <w:sz w:val="21"/>
                <w:szCs w:val="21"/>
                <w:highlight w:val="none"/>
                <w:vertAlign w:val="baseline"/>
                <w:lang w:val="en-US" w:eastAsia="zh-CN"/>
              </w:rPr>
              <w:t>合计（含税）</w:t>
            </w:r>
          </w:p>
        </w:tc>
        <w:tc>
          <w:tcPr>
            <w:tcW w:w="1475" w:type="dxa"/>
          </w:tcPr>
          <w:p>
            <w:pPr>
              <w:keepNext w:val="0"/>
              <w:keepLines w:val="0"/>
              <w:widowControl/>
              <w:suppressLineNumbers w:val="0"/>
              <w:jc w:val="right"/>
              <w:rPr>
                <w:rFonts w:hint="eastAsia" w:ascii="宋体" w:hAnsi="宋体" w:eastAsia="宋体" w:cs="宋体"/>
                <w:b w:val="0"/>
                <w:bCs w:val="0"/>
                <w:sz w:val="21"/>
                <w:szCs w:val="21"/>
                <w:highlight w:val="none"/>
                <w:vertAlign w:val="baseline"/>
                <w:lang w:val="en-US" w:eastAsia="zh-CN"/>
              </w:rPr>
            </w:pPr>
          </w:p>
        </w:tc>
      </w:tr>
    </w:tbl>
    <w:p>
      <w:pPr>
        <w:pStyle w:val="37"/>
        <w:ind w:left="482" w:hanging="422" w:hangingChars="200"/>
        <w:rPr>
          <w:rFonts w:hint="eastAsia" w:ascii="宋体" w:hAnsi="宋体" w:eastAsia="宋体" w:cs="宋体"/>
          <w:b/>
          <w:sz w:val="21"/>
          <w:szCs w:val="21"/>
          <w:highlight w:val="none"/>
        </w:rPr>
      </w:pPr>
    </w:p>
    <w:p>
      <w:pPr>
        <w:pStyle w:val="37"/>
        <w:ind w:firstLine="482"/>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注：1、需写明含税价、不含税价格、税率。</w:t>
      </w:r>
    </w:p>
    <w:p>
      <w:pPr>
        <w:pStyle w:val="37"/>
        <w:ind w:firstLine="843" w:firstLineChars="400"/>
        <w:rPr>
          <w:rFonts w:hint="default" w:ascii="宋体" w:hAnsi="宋体" w:eastAsia="宋体" w:cs="宋体"/>
          <w:b/>
          <w:bCs w:val="0"/>
          <w:sz w:val="21"/>
          <w:szCs w:val="21"/>
          <w:highlight w:val="none"/>
          <w:u w:val="single"/>
          <w:lang w:val="en-US" w:eastAsia="zh-CN"/>
        </w:rPr>
      </w:pPr>
      <w:r>
        <w:rPr>
          <w:rFonts w:hint="eastAsia" w:ascii="宋体" w:hAnsi="宋体" w:eastAsia="宋体" w:cs="宋体"/>
          <w:b/>
          <w:bCs w:val="0"/>
          <w:sz w:val="21"/>
          <w:szCs w:val="21"/>
          <w:highlight w:val="none"/>
          <w:lang w:val="en-US" w:eastAsia="zh-CN"/>
        </w:rPr>
        <w:t>2、</w:t>
      </w:r>
      <w:r>
        <w:rPr>
          <w:rFonts w:hint="eastAsia" w:ascii="宋体" w:hAnsi="宋体" w:eastAsia="宋体" w:cs="宋体"/>
          <w:b/>
          <w:bCs w:val="0"/>
          <w:sz w:val="21"/>
          <w:szCs w:val="21"/>
          <w:highlight w:val="none"/>
          <w:vertAlign w:val="baseline"/>
          <w:lang w:val="en-US" w:eastAsia="zh-CN"/>
        </w:rPr>
        <w:t>我公司采用的品牌是：</w:t>
      </w:r>
      <w:r>
        <w:rPr>
          <w:rFonts w:hint="eastAsia" w:ascii="宋体" w:hAnsi="宋体" w:eastAsia="宋体" w:cs="宋体"/>
          <w:b/>
          <w:bCs w:val="0"/>
          <w:sz w:val="21"/>
          <w:szCs w:val="21"/>
          <w:highlight w:val="none"/>
          <w:u w:val="single"/>
          <w:vertAlign w:val="baseline"/>
          <w:lang w:val="en-US" w:eastAsia="zh-CN"/>
        </w:rPr>
        <w:t xml:space="preserve">            .</w:t>
      </w:r>
      <w:r>
        <w:rPr>
          <w:rFonts w:hint="eastAsia" w:ascii="宋体" w:hAnsi="宋体" w:eastAsia="宋体" w:cs="宋体"/>
          <w:b/>
          <w:bCs w:val="0"/>
          <w:sz w:val="21"/>
          <w:szCs w:val="21"/>
          <w:highlight w:val="none"/>
          <w:vertAlign w:val="baseline"/>
          <w:lang w:val="en-US" w:eastAsia="zh-CN"/>
        </w:rPr>
        <w:t>推荐品牌：海康、大华、宇视、金三立。</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spacing w:line="66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日  期：</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日</w:t>
      </w: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附件9 商务条款偏离表</w:t>
      </w:r>
    </w:p>
    <w:tbl>
      <w:tblPr>
        <w:tblStyle w:val="20"/>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w:t>
            </w:r>
          </w:p>
        </w:tc>
        <w:tc>
          <w:tcPr>
            <w:tcW w:w="158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招标文件要求</w:t>
            </w:r>
          </w:p>
        </w:tc>
        <w:tc>
          <w:tcPr>
            <w:tcW w:w="1594"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是否偏离</w:t>
            </w: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tcPr>
          <w:p>
            <w:pPr>
              <w:pStyle w:val="37"/>
              <w:ind w:firstLine="0" w:firstLineChars="0"/>
              <w:jc w:val="center"/>
              <w:rPr>
                <w:rFonts w:hint="eastAsia" w:ascii="宋体" w:hAnsi="宋体" w:eastAsia="宋体" w:cs="宋体"/>
                <w:b/>
                <w:color w:val="auto"/>
                <w:sz w:val="21"/>
                <w:szCs w:val="21"/>
                <w:highlight w:val="none"/>
                <w:lang w:val="en-US" w:eastAsia="zh-CN"/>
              </w:rPr>
            </w:pPr>
          </w:p>
        </w:tc>
        <w:tc>
          <w:tcPr>
            <w:tcW w:w="1594" w:type="pct"/>
            <w:tcBorders>
              <w:top w:val="single" w:color="auto" w:sz="4" w:space="0"/>
              <w:left w:val="single" w:color="auto" w:sz="4" w:space="0"/>
              <w:bottom w:val="single" w:color="auto" w:sz="4" w:space="0"/>
              <w:right w:val="single" w:color="auto" w:sz="4" w:space="0"/>
            </w:tcBorders>
          </w:tcPr>
          <w:p>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158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1594"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39"/>
              <w:rPr>
                <w:rFonts w:hint="eastAsia" w:ascii="宋体" w:hAnsi="宋体" w:eastAsia="宋体" w:cs="宋体"/>
                <w:sz w:val="21"/>
                <w:szCs w:val="21"/>
                <w:highlight w:val="none"/>
              </w:rPr>
            </w:pPr>
          </w:p>
        </w:tc>
      </w:tr>
    </w:tbl>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                   授权代表签字：            日期：</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注：为避免歧义，无偏离也应要提报该表，并注明“无”字。如无该表则即使在其它部分已反映，将也被视为“无偏离”。</w:t>
      </w:r>
    </w:p>
    <w:p>
      <w:pPr>
        <w:rPr>
          <w:rFonts w:hint="eastAsia" w:ascii="宋体" w:hAnsi="宋体" w:eastAsia="宋体" w:cs="宋体"/>
          <w:sz w:val="21"/>
          <w:szCs w:val="21"/>
          <w:highlight w:val="none"/>
        </w:rPr>
      </w:pPr>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附件10 服务承诺函</w:t>
      </w:r>
    </w:p>
    <w:p>
      <w:pPr>
        <w:spacing w:line="240" w:lineRule="exact"/>
        <w:jc w:val="center"/>
        <w:rPr>
          <w:rFonts w:hint="eastAsia" w:ascii="宋体" w:hAnsi="宋体" w:eastAsia="宋体" w:cs="宋体"/>
          <w:b/>
          <w:bCs/>
          <w:sz w:val="21"/>
          <w:szCs w:val="21"/>
          <w:highlight w:val="none"/>
        </w:rPr>
      </w:pP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中国重汽集团济南动力有限公司：</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我代表（投标单位名称）对中标合同产品的服务作如下承诺：</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u w:val="single"/>
        </w:rPr>
      </w:pP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投标人：（盖章）</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法定代表人（委托代理人）：（签字）</w:t>
      </w:r>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日  期：       年    月    日</w:t>
      </w:r>
    </w:p>
    <w:p>
      <w:pPr>
        <w:rPr>
          <w:rFonts w:hint="eastAsia" w:ascii="宋体" w:hAnsi="宋体" w:eastAsia="宋体" w:cs="宋体"/>
          <w:b/>
          <w:bCs/>
          <w:color w:val="000000"/>
          <w:sz w:val="21"/>
          <w:szCs w:val="21"/>
          <w:highlight w:val="none"/>
        </w:rPr>
      </w:pPr>
      <w:bookmarkStart w:id="21" w:name="_Toc353881022"/>
      <w:bookmarkStart w:id="22" w:name="_Toc639013"/>
      <w:bookmarkStart w:id="23" w:name="_Toc9193"/>
    </w:p>
    <w:p>
      <w:pPr>
        <w:rPr>
          <w:rFonts w:hint="eastAsia" w:ascii="宋体" w:hAnsi="宋体" w:eastAsia="宋体" w:cs="宋体"/>
          <w:b/>
          <w:bCs/>
          <w:color w:val="000000"/>
          <w:sz w:val="21"/>
          <w:szCs w:val="21"/>
          <w:highlight w:val="none"/>
        </w:rPr>
        <w:sectPr>
          <w:pgSz w:w="11906" w:h="16838"/>
          <w:pgMar w:top="1588" w:right="1418" w:bottom="1134" w:left="1418" w:header="851" w:footer="992" w:gutter="0"/>
          <w:pgNumType w:fmt="numberInDash"/>
          <w:cols w:space="720" w:num="1"/>
          <w:titlePg/>
          <w:docGrid w:type="lines" w:linePitch="312" w:charSpace="0"/>
        </w:sectPr>
      </w:pPr>
    </w:p>
    <w:bookmarkEnd w:id="21"/>
    <w:bookmarkEnd w:id="22"/>
    <w:bookmarkEnd w:id="23"/>
    <w:p>
      <w:pPr>
        <w:pStyle w:val="38"/>
        <w:rPr>
          <w:rFonts w:hint="eastAsia" w:ascii="宋体" w:hAnsi="宋体" w:eastAsia="宋体" w:cs="宋体"/>
          <w:sz w:val="21"/>
          <w:szCs w:val="21"/>
          <w:highlight w:val="none"/>
        </w:rPr>
      </w:pPr>
      <w:r>
        <w:rPr>
          <w:rFonts w:hint="eastAsia" w:ascii="宋体" w:hAnsi="宋体" w:eastAsia="宋体" w:cs="宋体"/>
          <w:sz w:val="21"/>
          <w:szCs w:val="21"/>
          <w:highlight w:val="none"/>
        </w:rPr>
        <w:t>附件1</w:t>
      </w:r>
      <w:bookmarkStart w:id="24" w:name="_Toc92678174"/>
      <w:bookmarkStart w:id="25" w:name="_Toc15535"/>
      <w:bookmarkStart w:id="26" w:name="_Toc639014"/>
      <w:bookmarkStart w:id="27" w:name="_Toc212369556"/>
      <w:bookmarkStart w:id="28" w:name="_Toc353881023"/>
      <w:r>
        <w:rPr>
          <w:rFonts w:hint="eastAsia" w:ascii="宋体" w:hAnsi="宋体" w:eastAsia="宋体" w:cs="宋体"/>
          <w:sz w:val="21"/>
          <w:szCs w:val="21"/>
          <w:highlight w:val="none"/>
        </w:rPr>
        <w:t>1投标文件封面及封口</w:t>
      </w:r>
      <w:bookmarkEnd w:id="24"/>
      <w:r>
        <w:rPr>
          <w:rFonts w:hint="eastAsia" w:ascii="宋体" w:hAnsi="宋体" w:eastAsia="宋体" w:cs="宋体"/>
          <w:sz w:val="21"/>
          <w:szCs w:val="21"/>
          <w:highlight w:val="none"/>
        </w:rPr>
        <w:t>格式</w:t>
      </w:r>
      <w:bookmarkEnd w:id="25"/>
      <w:bookmarkEnd w:id="26"/>
      <w:bookmarkEnd w:id="27"/>
      <w:bookmarkEnd w:id="28"/>
    </w:p>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封面格式：</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39"/>
              <w:rPr>
                <w:rFonts w:hint="eastAsia" w:ascii="宋体" w:hAnsi="宋体" w:eastAsia="宋体" w:cs="宋体"/>
                <w:sz w:val="21"/>
                <w:szCs w:val="21"/>
                <w:highlight w:val="none"/>
              </w:rPr>
            </w:pP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投标文件</w:t>
            </w:r>
          </w:p>
          <w:p>
            <w:pPr>
              <w:pStyle w:val="39"/>
              <w:jc w:val="both"/>
              <w:rPr>
                <w:rFonts w:hint="eastAsia" w:ascii="宋体" w:hAnsi="宋体" w:eastAsia="宋体" w:cs="宋体"/>
                <w:sz w:val="21"/>
                <w:szCs w:val="21"/>
                <w:highlight w:val="none"/>
              </w:rPr>
            </w:pP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（1正本/</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副本）</w:t>
            </w:r>
          </w:p>
          <w:p>
            <w:pPr>
              <w:pStyle w:val="39"/>
              <w:rPr>
                <w:rFonts w:hint="eastAsia" w:ascii="宋体" w:hAnsi="宋体" w:eastAsia="宋体" w:cs="宋体"/>
                <w:sz w:val="21"/>
                <w:szCs w:val="21"/>
                <w:highlight w:val="none"/>
              </w:rPr>
            </w:pPr>
          </w:p>
          <w:p>
            <w:pPr>
              <w:pStyle w:val="39"/>
              <w:rPr>
                <w:rFonts w:hint="eastAsia" w:ascii="宋体" w:hAnsi="宋体" w:eastAsia="宋体" w:cs="宋体"/>
                <w:sz w:val="21"/>
                <w:szCs w:val="21"/>
                <w:highlight w:val="none"/>
              </w:rPr>
            </w:pP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投标人名称（公章）：</w:t>
            </w: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地址：</w:t>
            </w: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授权代表电话：</w:t>
            </w:r>
          </w:p>
          <w:p>
            <w:pPr>
              <w:pStyle w:val="39"/>
              <w:rPr>
                <w:rFonts w:hint="eastAsia" w:ascii="宋体" w:hAnsi="宋体" w:eastAsia="宋体" w:cs="宋体"/>
                <w:sz w:val="21"/>
                <w:szCs w:val="21"/>
                <w:highlight w:val="none"/>
              </w:rPr>
            </w:pPr>
            <w:r>
              <w:rPr>
                <w:rFonts w:hint="eastAsia" w:ascii="宋体" w:hAnsi="宋体" w:eastAsia="宋体" w:cs="宋体"/>
                <w:sz w:val="21"/>
                <w:szCs w:val="21"/>
                <w:highlight w:val="none"/>
              </w:rPr>
              <w:t>传真：</w:t>
            </w:r>
          </w:p>
          <w:p>
            <w:pPr>
              <w:pStyle w:val="39"/>
              <w:rPr>
                <w:rFonts w:hint="eastAsia" w:ascii="宋体" w:hAnsi="宋体" w:eastAsia="宋体" w:cs="宋体"/>
                <w:sz w:val="21"/>
                <w:szCs w:val="21"/>
                <w:highlight w:val="none"/>
              </w:rPr>
            </w:pPr>
          </w:p>
          <w:p>
            <w:pPr>
              <w:pStyle w:val="39"/>
              <w:rPr>
                <w:rFonts w:hint="eastAsia" w:ascii="宋体" w:hAnsi="宋体" w:eastAsia="宋体" w:cs="宋体"/>
                <w:sz w:val="21"/>
                <w:szCs w:val="21"/>
                <w:highlight w:val="none"/>
              </w:rPr>
            </w:pPr>
          </w:p>
        </w:tc>
      </w:tr>
    </w:tbl>
    <w:p>
      <w:pPr>
        <w:pStyle w:val="37"/>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rPr>
        <w:t>投标人名称：                   授权代表签字：                  日期</w:t>
      </w:r>
    </w:p>
    <w:p>
      <w:pPr>
        <w:pStyle w:val="40"/>
        <w:rPr>
          <w:rFonts w:hint="eastAsia" w:ascii="宋体" w:hAnsi="宋体" w:eastAsia="宋体" w:cs="宋体"/>
          <w:sz w:val="21"/>
          <w:szCs w:val="21"/>
          <w:highlight w:val="none"/>
        </w:rPr>
        <w:sectPr>
          <w:headerReference r:id="rId13" w:type="default"/>
          <w:footerReference r:id="rId14" w:type="default"/>
          <w:pgSz w:w="11907" w:h="16840"/>
          <w:pgMar w:top="1785" w:right="1418" w:bottom="1418" w:left="1418" w:header="724" w:footer="851" w:gutter="0"/>
          <w:cols w:space="720" w:num="1"/>
          <w:docGrid w:linePitch="290" w:charSpace="-3931"/>
        </w:sectPr>
      </w:pPr>
      <w:bookmarkStart w:id="29" w:name="_Toc465187638"/>
    </w:p>
    <w:p>
      <w:pPr>
        <w:pStyle w:val="12"/>
        <w:ind w:firstLine="422" w:firstLineChars="200"/>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附件12 SRM非生产供应商注册操作手册</w:t>
      </w:r>
    </w:p>
    <w:p>
      <w:pPr>
        <w:adjustRightInd w:val="0"/>
        <w:snapToGrid w:val="0"/>
        <w:jc w:val="left"/>
        <w:rPr>
          <w:rFonts w:hint="eastAsia" w:ascii="宋体" w:hAnsi="宋体" w:eastAsia="宋体" w:cs="宋体"/>
          <w:sz w:val="21"/>
          <w:szCs w:val="21"/>
          <w:highlight w:val="none"/>
        </w:rPr>
      </w:pPr>
    </w:p>
    <w:p>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浏览器中输入地址;</w:t>
      </w:r>
    </w:p>
    <w:p>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\l "/login" \t "dlt"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w:t>
      </w:r>
      <w:r>
        <w:rPr>
          <w:rFonts w:hint="eastAsia" w:ascii="宋体" w:hAnsi="宋体" w:eastAsia="宋体" w:cs="宋体"/>
          <w:sz w:val="21"/>
          <w:szCs w:val="21"/>
          <w:highlight w:val="none"/>
        </w:rPr>
        <w:fldChar w:fldCharType="end"/>
      </w:r>
    </w:p>
    <w:p>
      <w:pPr>
        <w:adjustRightInd w:val="0"/>
        <w:snapToGrid w:val="0"/>
        <w:spacing w:line="360" w:lineRule="auto"/>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1.点击立即注册</w:t>
      </w:r>
    </w:p>
    <w:p>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933065"/>
            <wp:effectExtent l="0" t="0" r="12065" b="63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2.填写手机号码（没有注册过的）</w:t>
      </w:r>
    </w:p>
    <w:p>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766695"/>
            <wp:effectExtent l="0" t="0" r="12065" b="14605"/>
            <wp:docPr id="16" name="picture" descr="descript"/>
            <wp:cNvGraphicFramePr/>
            <a:graphic xmlns:a="http://schemas.openxmlformats.org/drawingml/2006/main">
              <a:graphicData uri="http://schemas.openxmlformats.org/drawingml/2006/picture">
                <pic:pic xmlns:pic="http://schemas.openxmlformats.org/drawingml/2006/picture">
                  <pic:nvPicPr>
                    <pic:cNvPr id="16" name="picture" descr="descript"/>
                    <pic:cNvPicPr/>
                  </pic:nvPicPr>
                  <pic:blipFill>
                    <a:blip r:embed="rId2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3.注册成功登录这个手机号码的账号进入系统，点击供应商注册</w:t>
      </w:r>
    </w:p>
    <w:p>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69565"/>
            <wp:effectExtent l="0" t="0" r="12065" b="698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4.点击新增</w:t>
      </w:r>
    </w:p>
    <w:p>
      <w:pPr>
        <w:snapToGrid w:val="0"/>
        <w:spacing w:line="312"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853055"/>
            <wp:effectExtent l="0" t="0" r="12065" b="444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5</w:t>
      </w:r>
      <w:r>
        <w:rPr>
          <w:rFonts w:hint="eastAsia" w:ascii="宋体" w:hAnsi="宋体" w:eastAsia="宋体" w:cs="宋体"/>
          <w:color w:val="000000"/>
          <w:sz w:val="21"/>
          <w:szCs w:val="21"/>
          <w:highlight w:val="none"/>
        </w:rPr>
        <w:t>.按要求填写所有信息，注意非生产类要填写合作单位，最后提交审批</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具体注册流程详见登录页-供应商用户手册</w:t>
      </w:r>
      <w:r>
        <w:rPr>
          <w:rFonts w:hint="eastAsia" w:ascii="宋体" w:hAnsi="宋体" w:eastAsia="宋体" w:cs="宋体"/>
          <w:color w:val="000000"/>
          <w:sz w:val="21"/>
          <w:szCs w:val="21"/>
          <w:highlight w:val="none"/>
          <w:lang w:eastAsia="zh-CN"/>
        </w:rPr>
        <w:t>）</w:t>
      </w:r>
    </w:p>
    <w:p>
      <w:pPr>
        <w:spacing w:line="360" w:lineRule="auto"/>
        <w:rPr>
          <w:rFonts w:hint="eastAsia" w:ascii="宋体" w:hAnsi="宋体" w:eastAsia="宋体" w:cs="宋体"/>
          <w:sz w:val="21"/>
          <w:szCs w:val="21"/>
          <w:highlight w:val="none"/>
        </w:rPr>
      </w:pPr>
    </w:p>
    <w:p>
      <w:pPr>
        <w:rPr>
          <w:rFonts w:hint="eastAsia" w:ascii="宋体" w:hAnsi="宋体" w:eastAsia="宋体" w:cs="宋体"/>
          <w:color w:val="000000"/>
          <w:sz w:val="21"/>
          <w:szCs w:val="21"/>
          <w:highlight w:val="none"/>
        </w:rPr>
      </w:pPr>
    </w:p>
    <w:p>
      <w:pPr>
        <w:spacing w:line="360" w:lineRule="auto"/>
        <w:rPr>
          <w:rFonts w:hint="eastAsia" w:ascii="宋体" w:hAnsi="宋体" w:eastAsia="宋体" w:cs="宋体"/>
          <w:sz w:val="21"/>
          <w:szCs w:val="21"/>
          <w:highlight w:val="none"/>
        </w:rPr>
      </w:pPr>
    </w:p>
    <w:p>
      <w:pPr>
        <w:rPr>
          <w:rFonts w:hint="eastAsia" w:ascii="宋体" w:hAnsi="宋体" w:eastAsia="宋体" w:cs="宋体"/>
          <w:color w:val="000000"/>
          <w:sz w:val="21"/>
          <w:szCs w:val="21"/>
          <w:highlight w:val="none"/>
        </w:rPr>
      </w:pPr>
    </w:p>
    <w:p>
      <w:pPr>
        <w:rPr>
          <w:rFonts w:hint="eastAsia" w:ascii="宋体" w:hAnsi="宋体" w:eastAsia="宋体" w:cs="宋体"/>
          <w:sz w:val="21"/>
          <w:szCs w:val="21"/>
          <w:highlight w:val="none"/>
        </w:rPr>
      </w:pPr>
    </w:p>
    <w:p>
      <w:pPr>
        <w:pStyle w:val="12"/>
        <w:rPr>
          <w:rFonts w:hint="eastAsia" w:ascii="宋体" w:hAnsi="宋体" w:eastAsia="宋体" w:cs="宋体"/>
          <w:sz w:val="21"/>
          <w:szCs w:val="21"/>
          <w:highlight w:val="none"/>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1"/>
          <w:szCs w:val="21"/>
          <w:highlight w:val="none"/>
        </w:rPr>
        <w:drawing>
          <wp:inline distT="0" distB="0" distL="0" distR="0">
            <wp:extent cx="5760085" cy="2820035"/>
            <wp:effectExtent l="0" t="0" r="12065" b="1841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820042"/>
                    </a:xfrm>
                    <a:prstGeom prst="rect">
                      <a:avLst/>
                    </a:prstGeom>
                  </pic:spPr>
                </pic:pic>
              </a:graphicData>
            </a:graphic>
          </wp:inline>
        </w:drawing>
      </w:r>
      <w:r>
        <w:rPr>
          <w:rFonts w:hint="eastAsia" w:ascii="宋体" w:hAnsi="宋体" w:eastAsia="宋体" w:cs="宋体"/>
          <w:sz w:val="21"/>
          <w:szCs w:val="21"/>
          <w:highlight w:val="none"/>
        </w:rPr>
        <w:drawing>
          <wp:inline distT="0" distB="0" distL="0" distR="0">
            <wp:extent cx="5760085" cy="2809875"/>
            <wp:effectExtent l="0" t="0" r="12065" b="952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5"/>
                    <a:stretch>
                      <a:fillRect/>
                    </a:stretch>
                  </pic:blipFill>
                  <pic:spPr>
                    <a:xfrm>
                      <a:off x="0" y="0"/>
                      <a:ext cx="5760085" cy="2810122"/>
                    </a:xfrm>
                    <a:prstGeom prst="rect">
                      <a:avLst/>
                    </a:prstGeom>
                  </pic:spPr>
                </pic:pic>
              </a:graphicData>
            </a:graphic>
          </wp:inline>
        </w:drawing>
      </w:r>
    </w:p>
    <w:p>
      <w:pPr>
        <w:pStyle w:val="12"/>
        <w:ind w:firstLine="422" w:firstLineChars="200"/>
        <w:outlineLvl w:val="2"/>
        <w:rPr>
          <w:rFonts w:hint="eastAsia" w:ascii="宋体" w:hAnsi="宋体" w:eastAsia="宋体" w:cs="宋体"/>
          <w:b/>
          <w:color w:val="000000"/>
          <w:sz w:val="21"/>
          <w:szCs w:val="21"/>
          <w:highlight w:val="none"/>
        </w:rPr>
      </w:pPr>
      <w:r>
        <w:rPr>
          <w:rFonts w:hint="eastAsia" w:ascii="宋体" w:hAnsi="宋体" w:eastAsia="宋体" w:cs="宋体"/>
          <w:b/>
          <w:bCs/>
          <w:color w:val="000000"/>
          <w:sz w:val="21"/>
          <w:szCs w:val="21"/>
          <w:highlight w:val="none"/>
        </w:rPr>
        <w:t xml:space="preserve">附件13 </w:t>
      </w:r>
      <w:r>
        <w:rPr>
          <w:rFonts w:hint="eastAsia" w:ascii="宋体" w:hAnsi="宋体" w:eastAsia="宋体" w:cs="宋体"/>
          <w:b/>
          <w:color w:val="000000"/>
          <w:sz w:val="21"/>
          <w:szCs w:val="21"/>
          <w:highlight w:val="none"/>
        </w:rPr>
        <w:t>SRM系统供应商用户手册</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系统网址：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 HYPERLINK "http://ecaitong.sinotruk.com:8012/" \t "dlt" </w:instrText>
      </w:r>
      <w:r>
        <w:rPr>
          <w:rFonts w:hint="eastAsia" w:ascii="宋体" w:hAnsi="宋体" w:eastAsia="宋体" w:cs="宋体"/>
          <w:sz w:val="21"/>
          <w:szCs w:val="21"/>
          <w:highlight w:val="none"/>
        </w:rPr>
        <w:fldChar w:fldCharType="separate"/>
      </w:r>
      <w:r>
        <w:rPr>
          <w:rStyle w:val="26"/>
          <w:rFonts w:hint="eastAsia" w:ascii="宋体" w:hAnsi="宋体" w:eastAsia="宋体" w:cs="宋体"/>
          <w:sz w:val="21"/>
          <w:szCs w:val="21"/>
          <w:highlight w:val="none"/>
        </w:rPr>
        <w:t>http</w:t>
      </w:r>
      <w:r>
        <w:rPr>
          <w:rStyle w:val="26"/>
          <w:rFonts w:hint="eastAsia" w:ascii="宋体" w:hAnsi="宋体" w:eastAsia="宋体" w:cs="宋体"/>
          <w:sz w:val="21"/>
          <w:szCs w:val="21"/>
          <w:highlight w:val="none"/>
          <w:lang w:val="en-US" w:eastAsia="zh-CN"/>
        </w:rPr>
        <w:t>s</w:t>
      </w:r>
      <w:r>
        <w:rPr>
          <w:rStyle w:val="26"/>
          <w:rFonts w:hint="eastAsia" w:ascii="宋体" w:hAnsi="宋体" w:eastAsia="宋体" w:cs="宋体"/>
          <w:sz w:val="21"/>
          <w:szCs w:val="21"/>
          <w:highlight w:val="none"/>
        </w:rPr>
        <w:t>://ecaitong.sinotruk.com:8012/</w:t>
      </w:r>
      <w:r>
        <w:rPr>
          <w:rStyle w:val="26"/>
          <w:rFonts w:hint="eastAsia" w:ascii="宋体" w:hAnsi="宋体" w:eastAsia="宋体" w:cs="宋体"/>
          <w:sz w:val="21"/>
          <w:szCs w:val="21"/>
          <w:highlight w:val="none"/>
        </w:rPr>
        <w:fldChar w:fldCharType="end"/>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用 户 名：gys+供应商代码</w:t>
      </w:r>
    </w:p>
    <w:p>
      <w:pPr>
        <w:spacing w:line="360" w:lineRule="auto"/>
        <w:rPr>
          <w:rFonts w:hint="eastAsia" w:ascii="宋体" w:hAnsi="宋体" w:eastAsia="宋体" w:cs="宋体"/>
          <w:b/>
          <w:bCs/>
          <w:sz w:val="21"/>
          <w:szCs w:val="21"/>
          <w:highlight w:val="none"/>
          <w:lang w:val="en-US" w:eastAsia="zh-CN"/>
        </w:rPr>
      </w:pPr>
      <w:r>
        <w:rPr>
          <w:rFonts w:hint="eastAsia" w:ascii="宋体" w:hAnsi="宋体" w:eastAsia="宋体" w:cs="宋体"/>
          <w:color w:val="000000"/>
          <w:sz w:val="21"/>
          <w:szCs w:val="21"/>
          <w:highlight w:val="none"/>
        </w:rPr>
        <w:t>初始密码：</w:t>
      </w:r>
      <w:r>
        <w:rPr>
          <w:rFonts w:hint="eastAsia" w:ascii="宋体" w:hAnsi="宋体" w:eastAsia="宋体" w:cs="宋体"/>
          <w:b/>
          <w:bCs/>
          <w:sz w:val="21"/>
          <w:szCs w:val="21"/>
          <w:highlight w:val="none"/>
          <w:lang w:val="en-US" w:eastAsia="zh-CN"/>
        </w:rPr>
        <w:t>详见注册成功后短信</w:t>
      </w:r>
    </w:p>
    <w:p>
      <w:pPr>
        <w:spacing w:line="360" w:lineRule="auto"/>
        <w:rPr>
          <w:rFonts w:hint="eastAsia" w:ascii="宋体" w:hAnsi="宋体" w:eastAsia="宋体" w:cs="宋体"/>
          <w:b/>
          <w:bCs/>
          <w:sz w:val="21"/>
          <w:szCs w:val="21"/>
          <w:highlight w:val="none"/>
        </w:rPr>
      </w:pP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1.供应商应标</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路径：招投标中心-非生产类招投标-供应商应标</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点击应标，上传文件之后点击提交。</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2269490"/>
            <wp:effectExtent l="0" t="0" r="12065" b="16510"/>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sz w:val="21"/>
          <w:szCs w:val="21"/>
          <w:highlight w:val="none"/>
        </w:rPr>
      </w:pP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2.供应商投标</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路径：招投标中心-非生产类招投标-供应商投标</w:t>
      </w:r>
    </w:p>
    <w:p>
      <w:pP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drawing>
          <wp:inline distT="0" distB="0" distL="0" distR="0">
            <wp:extent cx="5760085" cy="2125345"/>
            <wp:effectExtent l="0" t="0" r="12065" b="825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点击投标按钮，进入详情页，输入投标报价并上传相应的附件。</w:t>
      </w:r>
    </w:p>
    <w:p>
      <w:pPr>
        <w:pStyle w:val="8"/>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668905"/>
            <wp:effectExtent l="0" t="0" r="15240" b="1714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3.供应商技术标澄清函</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路径：招投标中心-非生产类招投标-供应商技术标澄清函</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点击编辑按钮进入系统，上传技术标澄清函。</w:t>
      </w:r>
    </w:p>
    <w:p>
      <w:pPr>
        <w:spacing w:line="360" w:lineRule="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开标之后所有投标的供应商都可编辑提交，技术标入围之后 都不可编辑</w:t>
      </w:r>
      <w:r>
        <w:rPr>
          <w:rFonts w:hint="eastAsia" w:ascii="宋体" w:hAnsi="宋体" w:eastAsia="宋体" w:cs="宋体"/>
          <w:color w:val="000000"/>
          <w:sz w:val="21"/>
          <w:szCs w:val="21"/>
          <w:highlight w:val="none"/>
        </w:rPr>
        <w:drawing>
          <wp:inline distT="0" distB="0" distL="0" distR="0">
            <wp:extent cx="5490210" cy="1992630"/>
            <wp:effectExtent l="0" t="0" r="15240" b="7620"/>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4.供应商报价</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路径：招投标中心-非生产类招投标-供应商报价</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点击报价按钮进入报价详情界面，请在此轮报价起止时间内报价，否则无法报价。</w:t>
      </w: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5.供应商澄清报价</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路径：招投标中心-非生产类招投标-供应商澄清报价</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招标发起人接收建议价的同时会给供应商发送澄清报价，供应商在此界面进行澄清报价，点击编辑按钮进入澄清报价详细界面，输入价格并上传澄清函，之后点击提交。</w:t>
      </w:r>
    </w:p>
    <w:p>
      <w:pPr>
        <w:pStyle w:val="8"/>
        <w:ind w:left="425" w:hanging="425"/>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rPr>
        <w:drawing>
          <wp:inline distT="0" distB="0" distL="0" distR="0">
            <wp:extent cx="5490210" cy="2544445"/>
            <wp:effectExtent l="0" t="0" r="15240" b="825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6.供应商查看中标通知</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路径：招投标中心-非生产类招投标-中标项目</w:t>
      </w:r>
    </w:p>
    <w:p>
      <w:pPr>
        <w:spacing w:line="360" w:lineRule="auto"/>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点击查看进入查看中标项目详情</w:t>
      </w:r>
    </w:p>
    <w:p>
      <w:pPr>
        <w:rPr>
          <w:rFonts w:hint="eastAsia" w:ascii="宋体" w:hAnsi="宋体" w:eastAsia="宋体" w:cs="宋体"/>
          <w:sz w:val="21"/>
          <w:szCs w:val="21"/>
          <w:highlight w:val="none"/>
        </w:rPr>
      </w:pPr>
      <w:r>
        <w:rPr>
          <w:rFonts w:hint="eastAsia" w:ascii="宋体" w:hAnsi="宋体" w:eastAsia="宋体" w:cs="宋体"/>
          <w:sz w:val="21"/>
          <w:szCs w:val="21"/>
          <w:highlight w:val="none"/>
        </w:rPr>
        <w:drawing>
          <wp:inline distT="0" distB="0" distL="0" distR="0">
            <wp:extent cx="5760085" cy="1956435"/>
            <wp:effectExtent l="0" t="0" r="12065" b="571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1"/>
                    <a:stretch>
                      <a:fillRect/>
                    </a:stretch>
                  </pic:blipFill>
                  <pic:spPr>
                    <a:xfrm>
                      <a:off x="0" y="0"/>
                      <a:ext cx="5760085" cy="1956600"/>
                    </a:xfrm>
                    <a:prstGeom prst="rect">
                      <a:avLst/>
                    </a:prstGeom>
                  </pic:spPr>
                </pic:pic>
              </a:graphicData>
            </a:graphic>
          </wp:inline>
        </w:drawing>
      </w:r>
    </w:p>
    <w:p>
      <w:pPr>
        <w:bidi w:val="0"/>
        <w:rPr>
          <w:rFonts w:hint="eastAsia" w:ascii="宋体" w:hAnsi="宋体" w:eastAsia="宋体" w:cs="宋体"/>
          <w:kern w:val="2"/>
          <w:sz w:val="21"/>
          <w:szCs w:val="21"/>
          <w:highlight w:val="none"/>
          <w:lang w:val="en-US" w:eastAsia="zh-CN" w:bidi="ar-SA"/>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bidi w:val="0"/>
        <w:rPr>
          <w:rFonts w:hint="eastAsia" w:ascii="宋体" w:hAnsi="宋体" w:eastAsia="宋体" w:cs="宋体"/>
          <w:sz w:val="21"/>
          <w:szCs w:val="21"/>
          <w:highlight w:val="none"/>
          <w:lang w:val="en-US" w:eastAsia="zh-CN"/>
        </w:rPr>
      </w:pPr>
    </w:p>
    <w:p>
      <w:pPr>
        <w:outlineLvl w:val="2"/>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附件14 技术标评分标准</w:t>
      </w:r>
    </w:p>
    <w:p>
      <w:pPr>
        <w:pStyle w:val="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技术标评审表（</w:t>
      </w:r>
      <w:r>
        <w:rPr>
          <w:rFonts w:hint="eastAsia" w:ascii="宋体" w:hAnsi="宋体" w:eastAsia="宋体" w:cs="宋体"/>
          <w:sz w:val="21"/>
          <w:szCs w:val="21"/>
          <w:highlight w:val="none"/>
          <w:lang w:val="en-US"/>
        </w:rPr>
        <w:t>100</w:t>
      </w:r>
      <w:r>
        <w:rPr>
          <w:rFonts w:hint="eastAsia" w:ascii="宋体" w:hAnsi="宋体" w:eastAsia="宋体" w:cs="宋体"/>
          <w:sz w:val="21"/>
          <w:szCs w:val="21"/>
          <w:highlight w:val="none"/>
        </w:rPr>
        <w:t>分）</w:t>
      </w:r>
    </w:p>
    <w:tbl>
      <w:tblPr>
        <w:tblStyle w:val="20"/>
        <w:tblpPr w:leftFromText="180" w:rightFromText="180" w:vertAnchor="text" w:horzAnchor="page" w:tblpX="1365" w:tblpY="288"/>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660"/>
        <w:gridCol w:w="1218"/>
        <w:gridCol w:w="850"/>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811"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评价类型</w:t>
            </w:r>
          </w:p>
        </w:tc>
        <w:tc>
          <w:tcPr>
            <w:tcW w:w="660"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218"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内   容</w:t>
            </w:r>
          </w:p>
        </w:tc>
        <w:tc>
          <w:tcPr>
            <w:tcW w:w="850"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标准分</w:t>
            </w:r>
          </w:p>
        </w:tc>
        <w:tc>
          <w:tcPr>
            <w:tcW w:w="5840"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2" w:hRule="atLeast"/>
        </w:trPr>
        <w:tc>
          <w:tcPr>
            <w:tcW w:w="811" w:type="dxa"/>
            <w:vMerge w:val="restart"/>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技术</w:t>
            </w:r>
          </w:p>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100分</w:t>
            </w:r>
          </w:p>
        </w:tc>
        <w:tc>
          <w:tcPr>
            <w:tcW w:w="660"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218"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合同履约能力</w:t>
            </w:r>
          </w:p>
        </w:tc>
        <w:tc>
          <w:tcPr>
            <w:tcW w:w="850" w:type="dxa"/>
            <w:vAlign w:val="center"/>
          </w:tcPr>
          <w:p>
            <w:pPr>
              <w:tabs>
                <w:tab w:val="left" w:pos="13965"/>
              </w:tabs>
              <w:spacing w:line="360" w:lineRule="auto"/>
              <w:ind w:right="-6"/>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40</w:t>
            </w:r>
          </w:p>
        </w:tc>
        <w:tc>
          <w:tcPr>
            <w:tcW w:w="5840" w:type="dxa"/>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依据投标人的运营状况、经营业绩、以往合同履约情况（如有）、采购合同、财务状况、生产能力和服务体系评分，满分20分，每缺少一项扣除2分。</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rPr>
              <w:t>加分项：</w:t>
            </w:r>
          </w:p>
          <w:p>
            <w:pPr>
              <w:spacing w:line="360" w:lineRule="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、对投标条件中要求的证书，对采购货物中气体浓度范围及相对扩展不确定度的要求，标准物质证书能够完全覆盖，每有一项标准物质证书加2分，满分</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11" w:type="dxa"/>
            <w:vMerge w:val="continue"/>
            <w:vAlign w:val="center"/>
          </w:tcPr>
          <w:p>
            <w:pPr>
              <w:spacing w:line="360" w:lineRule="auto"/>
              <w:jc w:val="center"/>
              <w:rPr>
                <w:rFonts w:hint="eastAsia" w:ascii="宋体" w:hAnsi="宋体" w:eastAsia="宋体" w:cs="宋体"/>
                <w:sz w:val="21"/>
                <w:szCs w:val="21"/>
                <w:highlight w:val="none"/>
              </w:rPr>
            </w:pPr>
          </w:p>
        </w:tc>
        <w:tc>
          <w:tcPr>
            <w:tcW w:w="66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218"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供货周期</w:t>
            </w:r>
          </w:p>
        </w:tc>
        <w:tc>
          <w:tcPr>
            <w:tcW w:w="85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5840" w:type="dxa"/>
            <w:vAlign w:val="center"/>
          </w:tcPr>
          <w:p>
            <w:pPr>
              <w:spacing w:line="360" w:lineRule="auto"/>
              <w:rPr>
                <w:rFonts w:hint="eastAsia" w:ascii="宋体" w:hAnsi="宋体" w:eastAsia="宋体" w:cs="宋体"/>
                <w:sz w:val="21"/>
                <w:szCs w:val="21"/>
                <w:highlight w:val="none"/>
              </w:rPr>
            </w:pPr>
            <w:r>
              <w:rPr>
                <w:rFonts w:hint="eastAsia" w:ascii="宋体" w:hAnsi="宋体" w:eastAsia="宋体" w:cs="宋体"/>
                <w:bCs/>
                <w:sz w:val="21"/>
                <w:szCs w:val="21"/>
                <w:highlight w:val="none"/>
              </w:rPr>
              <w:t>视供货周期长短在0-20之间进行赋分，</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天以内送达者15-20分，</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天至</w:t>
            </w:r>
            <w:r>
              <w:rPr>
                <w:rFonts w:hint="eastAsia" w:ascii="宋体" w:hAnsi="宋体" w:eastAsia="宋体" w:cs="宋体"/>
                <w:bCs/>
                <w:sz w:val="21"/>
                <w:szCs w:val="21"/>
                <w:highlight w:val="none"/>
                <w:lang w:val="en-US" w:eastAsia="zh-CN"/>
              </w:rPr>
              <w:t>7</w:t>
            </w:r>
            <w:r>
              <w:rPr>
                <w:rFonts w:hint="eastAsia" w:ascii="宋体" w:hAnsi="宋体" w:eastAsia="宋体" w:cs="宋体"/>
                <w:bCs/>
                <w:sz w:val="21"/>
                <w:szCs w:val="21"/>
                <w:highlight w:val="none"/>
              </w:rPr>
              <w:t>天送达者10-15分，</w:t>
            </w:r>
            <w:r>
              <w:rPr>
                <w:rFonts w:hint="eastAsia" w:ascii="宋体" w:hAnsi="宋体" w:eastAsia="宋体" w:cs="宋体"/>
                <w:bCs/>
                <w:sz w:val="21"/>
                <w:szCs w:val="21"/>
                <w:highlight w:val="none"/>
                <w:lang w:val="en-US" w:eastAsia="zh-CN"/>
              </w:rPr>
              <w:t>7</w:t>
            </w:r>
            <w:r>
              <w:rPr>
                <w:rFonts w:hint="eastAsia" w:ascii="宋体" w:hAnsi="宋体" w:eastAsia="宋体" w:cs="宋体"/>
                <w:bCs/>
                <w:sz w:val="21"/>
                <w:szCs w:val="21"/>
                <w:highlight w:val="none"/>
              </w:rPr>
              <w:t>天至</w:t>
            </w:r>
            <w:r>
              <w:rPr>
                <w:rFonts w:hint="eastAsia" w:ascii="宋体" w:hAnsi="宋体" w:eastAsia="宋体" w:cs="宋体"/>
                <w:bCs/>
                <w:sz w:val="21"/>
                <w:szCs w:val="21"/>
                <w:highlight w:val="none"/>
                <w:lang w:val="en-US" w:eastAsia="zh-CN"/>
              </w:rPr>
              <w:t>10</w:t>
            </w:r>
            <w:r>
              <w:rPr>
                <w:rFonts w:hint="eastAsia" w:ascii="宋体" w:hAnsi="宋体" w:eastAsia="宋体" w:cs="宋体"/>
                <w:bCs/>
                <w:sz w:val="21"/>
                <w:szCs w:val="21"/>
                <w:highlight w:val="none"/>
              </w:rPr>
              <w:t>天送达者0-10分。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11" w:type="dxa"/>
            <w:vMerge w:val="continue"/>
            <w:vAlign w:val="center"/>
          </w:tcPr>
          <w:p>
            <w:pPr>
              <w:spacing w:line="360" w:lineRule="auto"/>
              <w:jc w:val="center"/>
              <w:rPr>
                <w:rFonts w:hint="eastAsia" w:ascii="宋体" w:hAnsi="宋体" w:eastAsia="宋体" w:cs="宋体"/>
                <w:sz w:val="21"/>
                <w:szCs w:val="21"/>
                <w:highlight w:val="none"/>
              </w:rPr>
            </w:pPr>
          </w:p>
        </w:tc>
        <w:tc>
          <w:tcPr>
            <w:tcW w:w="66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218" w:type="dxa"/>
            <w:vAlign w:val="center"/>
          </w:tcPr>
          <w:p>
            <w:pPr>
              <w:tabs>
                <w:tab w:val="left" w:pos="7854"/>
              </w:tabs>
              <w:spacing w:line="300" w:lineRule="exac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售后服务</w:t>
            </w:r>
          </w:p>
        </w:tc>
        <w:tc>
          <w:tcPr>
            <w:tcW w:w="85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5840" w:type="dxa"/>
            <w:vAlign w:val="center"/>
          </w:tcPr>
          <w:p>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针对投标方的运营状况、经营范围、投标方近三年来同类产品销售业绩（具体案例以提供合同复印件为准）、在集团内服务质量情况进行考核。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eastAsia="宋体" w:cs="宋体"/>
                <w:sz w:val="21"/>
                <w:szCs w:val="21"/>
                <w:highlight w:val="none"/>
              </w:rPr>
            </w:pPr>
          </w:p>
        </w:tc>
        <w:tc>
          <w:tcPr>
            <w:tcW w:w="66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218" w:type="dxa"/>
            <w:vAlign w:val="center"/>
          </w:tcPr>
          <w:p>
            <w:pPr>
              <w:tabs>
                <w:tab w:val="left" w:pos="7854"/>
              </w:tabs>
              <w:spacing w:line="300" w:lineRule="exact"/>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现场答疑</w:t>
            </w:r>
          </w:p>
        </w:tc>
        <w:tc>
          <w:tcPr>
            <w:tcW w:w="85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5840" w:type="dxa"/>
            <w:vAlign w:val="center"/>
          </w:tcPr>
          <w:p>
            <w:pPr>
              <w:pStyle w:val="4"/>
              <w:ind w:left="0" w:leftChars="0" w:firstLine="0" w:firstLineChars="0"/>
              <w:rPr>
                <w:rFonts w:hint="eastAsia" w:ascii="宋体" w:hAnsi="宋体" w:eastAsia="宋体" w:cs="宋体"/>
                <w:bCs/>
                <w:sz w:val="21"/>
                <w:szCs w:val="21"/>
                <w:highlight w:val="none"/>
              </w:rPr>
            </w:pPr>
            <w:r>
              <w:rPr>
                <w:rFonts w:hint="eastAsia" w:ascii="宋体" w:hAnsi="宋体" w:cs="宋体"/>
                <w:b w:val="0"/>
                <w:bCs/>
                <w:color w:val="000000"/>
                <w:sz w:val="20"/>
                <w:szCs w:val="20"/>
                <w:highlight w:val="none"/>
                <w:lang w:val="en-US" w:eastAsia="zh-CN"/>
              </w:rPr>
              <w:t>投标人代表对道闸项目质量、安全及进度进行讲解，以及就该项目亮点回答评标专家现场提问，打分0-20分。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811" w:type="dxa"/>
            <w:vMerge w:val="continue"/>
            <w:vAlign w:val="center"/>
          </w:tcPr>
          <w:p>
            <w:pPr>
              <w:spacing w:line="360" w:lineRule="auto"/>
              <w:jc w:val="center"/>
              <w:rPr>
                <w:rFonts w:hint="eastAsia" w:ascii="宋体" w:hAnsi="宋体" w:eastAsia="宋体" w:cs="宋体"/>
                <w:sz w:val="21"/>
                <w:szCs w:val="21"/>
                <w:highlight w:val="none"/>
              </w:rPr>
            </w:pPr>
          </w:p>
        </w:tc>
        <w:tc>
          <w:tcPr>
            <w:tcW w:w="66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218" w:type="dxa"/>
            <w:vAlign w:val="center"/>
          </w:tcPr>
          <w:p>
            <w:pPr>
              <w:tabs>
                <w:tab w:val="left" w:pos="7854"/>
              </w:tabs>
              <w:spacing w:line="300" w:lineRule="exact"/>
              <w:jc w:val="center"/>
              <w:rPr>
                <w:rFonts w:hint="eastAsia" w:ascii="宋体" w:hAnsi="宋体" w:eastAsia="宋体" w:cs="宋体"/>
                <w:color w:val="000000"/>
                <w:sz w:val="21"/>
                <w:szCs w:val="21"/>
                <w:highlight w:val="none"/>
              </w:rPr>
            </w:pPr>
            <w:r>
              <w:rPr>
                <w:rFonts w:hint="eastAsia" w:ascii="宋体" w:hAnsi="宋体" w:eastAsia="宋体" w:cs="宋体"/>
                <w:sz w:val="21"/>
                <w:szCs w:val="21"/>
                <w:highlight w:val="none"/>
              </w:rPr>
              <w:t>响应及偏离</w:t>
            </w:r>
          </w:p>
        </w:tc>
        <w:tc>
          <w:tcPr>
            <w:tcW w:w="850" w:type="dxa"/>
            <w:vAlign w:val="center"/>
          </w:tcPr>
          <w:p>
            <w:pPr>
              <w:spacing w:line="36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5840" w:type="dxa"/>
            <w:vAlign w:val="center"/>
          </w:tcPr>
          <w:p>
            <w:pPr>
              <w:spacing w:line="360" w:lineRule="auto"/>
              <w:rPr>
                <w:rFonts w:hint="eastAsia" w:ascii="宋体" w:hAnsi="宋体" w:eastAsia="宋体" w:cs="宋体"/>
                <w:bCs/>
                <w:sz w:val="21"/>
                <w:szCs w:val="21"/>
                <w:highlight w:val="none"/>
              </w:rPr>
            </w:pPr>
            <w:r>
              <w:rPr>
                <w:rFonts w:hint="eastAsia" w:ascii="宋体" w:hAnsi="宋体" w:eastAsia="宋体" w:cs="宋体"/>
                <w:bCs/>
                <w:sz w:val="21"/>
                <w:szCs w:val="21"/>
                <w:highlight w:val="none"/>
              </w:rPr>
              <w:t>由评标委员会成员独立进行客观、公正的评价，根据各投标单位的核心产品的配置参数、技术偏离情况，在满足我司技术基本要求的前提下偏离，无偏离得满分10分，较大偏离每一项扣2分，一般偏离每一项扣1分，最低0分。</w:t>
            </w:r>
          </w:p>
        </w:tc>
      </w:tr>
    </w:tbl>
    <w:p>
      <w:pPr>
        <w:rPr>
          <w:rFonts w:hint="eastAsia" w:ascii="宋体" w:hAnsi="宋体" w:eastAsia="宋体" w:cs="宋体"/>
          <w:sz w:val="21"/>
          <w:szCs w:val="21"/>
          <w:highlight w:val="none"/>
          <w:lang w:val="en-US" w:eastAsia="zh-CN"/>
        </w:rPr>
        <w:sectPr>
          <w:pgSz w:w="11907" w:h="16840"/>
          <w:pgMar w:top="1785" w:right="1418" w:bottom="1418" w:left="1418" w:header="724" w:footer="851" w:gutter="0"/>
          <w:cols w:space="720" w:num="1"/>
          <w:docGrid w:linePitch="290" w:charSpace="-3931"/>
        </w:sectPr>
      </w:pPr>
    </w:p>
    <w:bookmarkEnd w:id="29"/>
    <w:p>
      <w:pPr>
        <w:rPr>
          <w:rFonts w:hint="eastAsia" w:ascii="宋体" w:hAnsi="宋体" w:eastAsia="宋体" w:cs="宋体"/>
          <w:sz w:val="21"/>
          <w:szCs w:val="21"/>
          <w:highlight w:val="none"/>
        </w:rPr>
      </w:pPr>
    </w:p>
    <w:p>
      <w:pPr>
        <w:pStyle w:val="18"/>
        <w:rPr>
          <w:rFonts w:hint="eastAsia" w:ascii="宋体" w:hAnsi="宋体" w:eastAsia="宋体" w:cs="宋体"/>
          <w:sz w:val="40"/>
          <w:szCs w:val="40"/>
          <w:highlight w:val="none"/>
        </w:rPr>
      </w:pPr>
      <w:r>
        <w:rPr>
          <w:rFonts w:hint="eastAsia" w:ascii="宋体" w:hAnsi="宋体" w:eastAsia="宋体" w:cs="宋体"/>
          <w:sz w:val="40"/>
          <w:szCs w:val="40"/>
          <w:highlight w:val="none"/>
        </w:rPr>
        <w:t>第三章  施工内容及技术要求</w:t>
      </w:r>
      <w:bookmarkEnd w:id="12"/>
      <w:bookmarkEnd w:id="13"/>
    </w:p>
    <w:p>
      <w:pPr>
        <w:numPr>
          <w:ilvl w:val="0"/>
          <w:numId w:val="0"/>
        </w:numPr>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sz w:val="21"/>
          <w:szCs w:val="21"/>
          <w:highlight w:val="none"/>
          <w:lang w:val="en-US" w:eastAsia="zh-CN"/>
        </w:rPr>
        <w:t>一、</w:t>
      </w:r>
      <w:bookmarkStart w:id="30" w:name="_Toc385411768"/>
      <w:bookmarkStart w:id="31" w:name="_Toc31558"/>
      <w:bookmarkStart w:id="32" w:name="_Toc24049"/>
      <w:bookmarkStart w:id="33" w:name="_Toc10152"/>
      <w:bookmarkStart w:id="34" w:name="_Toc26699"/>
      <w:bookmarkStart w:id="35" w:name="_Toc490750820"/>
      <w:r>
        <w:rPr>
          <w:rFonts w:hint="eastAsia" w:ascii="宋体" w:hAnsi="宋体" w:eastAsia="宋体" w:cs="宋体"/>
          <w:b/>
          <w:bCs w:val="0"/>
          <w:color w:val="auto"/>
          <w:sz w:val="21"/>
          <w:szCs w:val="21"/>
          <w:highlight w:val="none"/>
        </w:rPr>
        <w:t>技术要求</w:t>
      </w:r>
      <w:bookmarkEnd w:id="30"/>
      <w:bookmarkEnd w:id="31"/>
      <w:bookmarkEnd w:id="32"/>
      <w:bookmarkEnd w:id="33"/>
      <w:bookmarkEnd w:id="34"/>
      <w:bookmarkEnd w:id="35"/>
    </w:p>
    <w:p>
      <w:pPr>
        <w:pageBreakBefore w:val="0"/>
        <w:numPr>
          <w:ilvl w:val="0"/>
          <w:numId w:val="0"/>
        </w:numPr>
        <w:tabs>
          <w:tab w:val="left" w:pos="360"/>
        </w:tabs>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1）安全拍打式通道摆闸，180°摆动，双向通行，主机箱材质为304不锈钢，室外供电规格AC220V工作温度-30°~＋70°工作湿度10-95无凝结防护等级；不低于IP54，支持连续快速通行记忆模式，满足高频次人员进出需求具备跨主机反潜回功能，有效防止尾随通行，实时统计双向人员数量，数据可本地存储及上传，支持遥控器开门，空旷距离不低于50米。</w:t>
      </w:r>
    </w:p>
    <w:p>
      <w:pPr>
        <w:pageBreakBefore w:val="0"/>
        <w:numPr>
          <w:ilvl w:val="0"/>
          <w:numId w:val="0"/>
        </w:numPr>
        <w:tabs>
          <w:tab w:val="left" w:pos="360"/>
        </w:tabs>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亚克力挡</w:t>
      </w:r>
      <w:r>
        <w:rPr>
          <w:rFonts w:hint="eastAsia" w:ascii="宋体" w:hAnsi="宋体" w:eastAsia="宋体" w:cs="宋体"/>
          <w:b/>
          <w:bCs/>
          <w:sz w:val="21"/>
          <w:szCs w:val="21"/>
          <w:highlight w:val="none"/>
          <w:lang w:val="en-US" w:eastAsia="zh-CN"/>
        </w:rPr>
        <w:t>板厚度10mm，</w:t>
      </w:r>
      <w:r>
        <w:rPr>
          <w:rFonts w:hint="eastAsia" w:ascii="宋体" w:hAnsi="宋体" w:eastAsia="宋体" w:cs="宋体"/>
          <w:b/>
          <w:bCs/>
          <w:sz w:val="21"/>
          <w:szCs w:val="21"/>
          <w:highlight w:val="none"/>
          <w:lang w:val="en-US" w:eastAsia="zh-CN"/>
        </w:rPr>
        <w:t>双面粘贴重汽防撞条。</w:t>
      </w:r>
    </w:p>
    <w:p>
      <w:pPr>
        <w:keepNext w:val="0"/>
        <w:keepLines w:val="0"/>
        <w:pageBreakBefore w:val="0"/>
        <w:widowControl/>
        <w:suppressLineNumbers w:val="0"/>
        <w:kinsoku/>
        <w:wordWrap/>
        <w:overflowPunct/>
        <w:topLinePunct w:val="0"/>
        <w:autoSpaceDE/>
        <w:autoSpaceDN/>
        <w:bidi w:val="0"/>
        <w:snapToGrid w:val="0"/>
        <w:spacing w:line="360" w:lineRule="auto"/>
        <w:ind w:firstLine="422"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vertAlign w:val="baseline"/>
          <w:lang w:val="en-US" w:eastAsia="zh-CN"/>
        </w:rPr>
        <w:t>（2）推荐品牌：海康、大华、宇视、金三</w:t>
      </w:r>
      <w:bookmarkStart w:id="38" w:name="_GoBack"/>
      <w:bookmarkEnd w:id="38"/>
      <w:r>
        <w:rPr>
          <w:rFonts w:hint="eastAsia" w:ascii="宋体" w:hAnsi="宋体" w:eastAsia="宋体" w:cs="宋体"/>
          <w:b/>
          <w:bCs/>
          <w:sz w:val="21"/>
          <w:szCs w:val="21"/>
          <w:highlight w:val="none"/>
          <w:vertAlign w:val="baseline"/>
          <w:lang w:val="en-US" w:eastAsia="zh-CN"/>
        </w:rPr>
        <w:t>立。投标人必须在推荐品种中选择。</w:t>
      </w:r>
    </w:p>
    <w:p>
      <w:pPr>
        <w:pStyle w:val="10"/>
        <w:pageBreakBefore w:val="0"/>
        <w:kinsoku/>
        <w:wordWrap/>
        <w:overflowPunct/>
        <w:topLinePunct w:val="0"/>
        <w:autoSpaceDE/>
        <w:autoSpaceDN/>
        <w:bidi w:val="0"/>
        <w:snapToGrid w:val="0"/>
        <w:spacing w:line="360" w:lineRule="auto"/>
        <w:jc w:val="left"/>
        <w:textAlignment w:val="auto"/>
        <w:rPr>
          <w:rFonts w:hint="eastAsia" w:ascii="宋体" w:hAnsi="宋体" w:eastAsia="宋体" w:cs="宋体"/>
          <w:b/>
          <w:bCs/>
          <w:sz w:val="21"/>
          <w:szCs w:val="21"/>
          <w:highlight w:val="none"/>
          <w:lang w:val="it-IT"/>
        </w:rPr>
      </w:pPr>
      <w:r>
        <w:rPr>
          <w:rFonts w:hint="eastAsia" w:ascii="宋体" w:hAnsi="宋体" w:eastAsia="宋体" w:cs="宋体"/>
          <w:b/>
          <w:bCs/>
          <w:sz w:val="21"/>
          <w:szCs w:val="21"/>
          <w:highlight w:val="none"/>
          <w:lang w:val="it-IT"/>
        </w:rPr>
        <w:t xml:space="preserve"> </w:t>
      </w:r>
      <w:r>
        <w:rPr>
          <w:rFonts w:hint="eastAsia" w:ascii="宋体" w:hAnsi="宋体" w:eastAsia="宋体" w:cs="宋体"/>
          <w:b/>
          <w:bCs/>
          <w:kern w:val="2"/>
          <w:sz w:val="21"/>
          <w:szCs w:val="21"/>
          <w:highlight w:val="none"/>
          <w:lang w:val="it-IT" w:eastAsia="zh-CN" w:bidi="ar-SA"/>
        </w:rPr>
        <w:t xml:space="preserve">  （</w:t>
      </w:r>
      <w:r>
        <w:rPr>
          <w:rFonts w:hint="eastAsia" w:ascii="宋体" w:hAnsi="宋体" w:eastAsia="宋体" w:cs="宋体"/>
          <w:b/>
          <w:bCs/>
          <w:kern w:val="2"/>
          <w:sz w:val="21"/>
          <w:szCs w:val="21"/>
          <w:highlight w:val="none"/>
          <w:lang w:val="en-US" w:eastAsia="zh-CN" w:bidi="ar-SA"/>
        </w:rPr>
        <w:t>3</w:t>
      </w:r>
      <w:r>
        <w:rPr>
          <w:rFonts w:hint="eastAsia" w:ascii="宋体" w:hAnsi="宋体" w:eastAsia="宋体" w:cs="宋体"/>
          <w:b/>
          <w:bCs/>
          <w:kern w:val="2"/>
          <w:sz w:val="21"/>
          <w:szCs w:val="21"/>
          <w:highlight w:val="none"/>
          <w:lang w:val="it-IT" w:eastAsia="zh-CN" w:bidi="ar-SA"/>
        </w:rPr>
        <w:t>）</w:t>
      </w:r>
      <w:r>
        <w:rPr>
          <w:rFonts w:hint="eastAsia" w:ascii="宋体" w:hAnsi="宋体" w:eastAsia="宋体" w:cs="宋体"/>
          <w:b/>
          <w:bCs/>
          <w:kern w:val="2"/>
          <w:sz w:val="21"/>
          <w:szCs w:val="21"/>
          <w:highlight w:val="none"/>
          <w:lang w:val="en-US" w:eastAsia="zh-CN" w:bidi="ar-SA"/>
        </w:rPr>
        <w:t>供货周期满足招标方要求。</w:t>
      </w:r>
    </w:p>
    <w:p>
      <w:pPr>
        <w:numPr>
          <w:ilvl w:val="0"/>
          <w:numId w:val="0"/>
        </w:numPr>
        <w:ind w:firstLine="422" w:firstLineChars="200"/>
        <w:rPr>
          <w:rFonts w:hint="eastAsia" w:ascii="宋体" w:hAnsi="宋体" w:eastAsia="宋体" w:cs="宋体"/>
          <w:b/>
          <w:bCs/>
          <w:sz w:val="21"/>
          <w:szCs w:val="21"/>
          <w:highlight w:val="none"/>
          <w:lang w:val="en-US" w:eastAsia="zh-CN"/>
        </w:rPr>
      </w:pPr>
      <w:bookmarkStart w:id="36" w:name="_Toc25694_WPSOffice_Level2"/>
      <w:r>
        <w:rPr>
          <w:rFonts w:hint="eastAsia" w:ascii="宋体" w:hAnsi="宋体" w:eastAsia="宋体" w:cs="宋体"/>
          <w:b/>
          <w:bCs/>
          <w:sz w:val="21"/>
          <w:szCs w:val="21"/>
          <w:highlight w:val="none"/>
          <w:lang w:val="en-US" w:eastAsia="zh-CN"/>
        </w:rPr>
        <w:t>二、基本要求</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1、投标方所供的货物，必须符合中国最新版的法律、法规和相关标准、规范的要求，符合项目所在地政府有关特殊要求。</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2、投标方所供货物涉及的专利权技术以及知识产权保护的其它技术等，应保证招标方不因此受到任何侵权指控以及实际损失。</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3、投标方应保证所供货物的先进性、可靠性、经济性和实用性，并为全新货物（或设备）。</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4、投标方应满足招标方提出的各项技术要求，必要时应当免费提供技术承诺或担保。</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6、投标方应保证所供货物的完整性和成套性，提供货物便携转运箱，能保证货物的正常运行、使用。</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7、投标方应对招标方采购的货物所涉及的技术、产能等信息负有保密义务，招标方拥有追究投标方泄密责任的权利；招标方如有需要，投标方应无条件签署保密协议。</w:t>
      </w:r>
    </w:p>
    <w:p>
      <w:pPr>
        <w:numPr>
          <w:ilvl w:val="0"/>
          <w:numId w:val="0"/>
        </w:numPr>
        <w:ind w:firstLine="422" w:firstLineChars="200"/>
        <w:rPr>
          <w:rFonts w:hint="eastAsia"/>
          <w:highlight w:val="none"/>
        </w:rPr>
      </w:pPr>
      <w:r>
        <w:rPr>
          <w:rFonts w:hint="eastAsia" w:ascii="宋体" w:hAnsi="宋体" w:eastAsia="宋体" w:cs="宋体"/>
          <w:b/>
          <w:bCs/>
          <w:sz w:val="21"/>
          <w:szCs w:val="21"/>
          <w:highlight w:val="none"/>
          <w:lang w:val="en-US" w:eastAsia="zh-CN"/>
        </w:rPr>
        <w:t xml:space="preserve">三、其他要求： </w:t>
      </w:r>
    </w:p>
    <w:p>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1、本章技术要求，仅对功能、设计、结构、性能、转运、存放和试验检验等方面，提出了最低和一般性的技术要求，并未对一切技术细节作出规定。</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2、本技术要求所使用的标准、规范等，如与投标方所执行的标准、规范不一致时，应按高于本技术要求所列的标准、规范执行。</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3、投标方应根据招投标货物具体要求，提出对超出招标文件、投标文件、答疑文件、技术交流文件、技术协议书和合同等规定的、有特殊需要的解释、说明和要求。</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4、无论是否有技术偏离，投标方均应在投标文件“技术偏离”中明确作出有无说明。若有异议，不管是多么微小，投标方必须予以明确和详细的说明或澄清。</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5、为避免投标方优势在招标评审时漏项，质保期超出本技术标书要求的，应当在投标文件“技术偏离”中特别注明。</w:t>
      </w:r>
    </w:p>
    <w:p>
      <w:pPr>
        <w:pStyle w:val="2"/>
        <w:ind w:left="0" w:leftChars="0" w:firstLine="0" w:firstLineChars="0"/>
        <w:rPr>
          <w:rFonts w:hint="eastAsia"/>
          <w:highlight w:val="none"/>
          <w:lang w:val="en-US" w:eastAsia="zh-CN"/>
        </w:rPr>
      </w:pPr>
    </w:p>
    <w:p>
      <w:pPr>
        <w:numPr>
          <w:ilvl w:val="0"/>
          <w:numId w:val="0"/>
        </w:numPr>
        <w:ind w:firstLine="422" w:firstLineChars="20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四、执行标准</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1、招标方所列标准仅为涉及的主要标准，而且不保证其为最新版执行标准；投标方应当在投标文件中认真予以填写、补充和修改完善。</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2、投标方需要执行的标准，应当采用所供货物通过买方组织的最终验收之日已经开始执行的最新标准。</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4、采购货物没有国家或专业（部）标准的，按企业标准执行时，卖方应在合同签署之前，将所涉及的企业标准提供给买方确认。</w:t>
      </w:r>
    </w:p>
    <w:p>
      <w:pPr>
        <w:spacing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5、采购货物如果采用国际标准，其执行标准由投标方提供、招标方确认。</w:t>
      </w:r>
    </w:p>
    <w:p>
      <w:pPr>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color w:val="000000"/>
          <w:sz w:val="21"/>
          <w:szCs w:val="21"/>
          <w:highlight w:val="none"/>
        </w:rPr>
        <w:t>6、采购货物所涉及的标准不统一时，原则上按照最严格标准执行。</w:t>
      </w:r>
    </w:p>
    <w:p>
      <w:pPr>
        <w:ind w:firstLine="422" w:firstLineChars="200"/>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五、安全文明施工要求</w:t>
      </w:r>
    </w:p>
    <w:bookmarkEnd w:id="36"/>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bookmarkStart w:id="37" w:name="_Toc11939_WPSOffice_Level2"/>
      <w:r>
        <w:rPr>
          <w:rFonts w:hint="eastAsia" w:ascii="宋体" w:hAnsi="宋体" w:eastAsia="宋体" w:cs="宋体"/>
          <w:kern w:val="2"/>
          <w:sz w:val="21"/>
          <w:szCs w:val="21"/>
          <w:highlight w:val="none"/>
          <w:lang w:val="en-US" w:eastAsia="zh-CN" w:bidi="ar-SA"/>
        </w:rPr>
        <w:t>1.施工不得扰民，不得影响业主正常办公，施工方应提前与业主方沟通材料堆放场所，按照业主方要求的内容进行材料运输及堆放。</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2.施工现场周围设置封闭式围挡，并做到坚固、稳定、整洁美观，将施工区域和非施工区域封闭隔离，合理设置施工出入口。</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3.施工人员及车辆应按照业主方指定路线，不得随意进入与施工无关区域。</w:t>
      </w:r>
    </w:p>
    <w:p>
      <w:pPr>
        <w:numPr>
          <w:ilvl w:val="0"/>
          <w:numId w:val="0"/>
        </w:numPr>
        <w:ind w:firstLine="420" w:firstLineChars="200"/>
        <w:rPr>
          <w:rFonts w:hint="eastAsia" w:ascii="宋体" w:hAnsi="宋体" w:eastAsia="宋体" w:cs="宋体"/>
          <w:b w:val="0"/>
          <w:i w:val="0"/>
          <w:iCs w:val="0"/>
          <w:caps w:val="0"/>
          <w:color w:val="222222"/>
          <w:spacing w:val="0"/>
          <w:kern w:val="2"/>
          <w:sz w:val="21"/>
          <w:szCs w:val="21"/>
          <w:highlight w:val="none"/>
          <w:shd w:val="clear" w:fill="FFFFFF"/>
          <w:lang w:val="en-US" w:eastAsia="zh-CN" w:bidi="ar-SA"/>
        </w:rPr>
      </w:pPr>
      <w:r>
        <w:rPr>
          <w:rFonts w:hint="eastAsia" w:ascii="宋体" w:hAnsi="宋体" w:eastAsia="宋体" w:cs="宋体"/>
          <w:b w:val="0"/>
          <w:i w:val="0"/>
          <w:iCs w:val="0"/>
          <w:caps w:val="0"/>
          <w:color w:val="222222"/>
          <w:spacing w:val="0"/>
          <w:kern w:val="2"/>
          <w:sz w:val="21"/>
          <w:szCs w:val="21"/>
          <w:highlight w:val="none"/>
          <w:shd w:val="clear" w:fill="FFFFFF"/>
          <w:lang w:val="en-US" w:eastAsia="zh-CN" w:bidi="ar-SA"/>
        </w:rPr>
        <w:t>4.破拆作业及垃圾装运作业等易产生扬尘时，应采取洒水、喷雾等抑尘措施。破拆作业会产生噪声，施工方应事先征得业主单位同意，在指定时间段内施工。施工工地内的裸露地面采取定时洒水、覆盖等措施，防止大风起尘。车辆驶出施工工地前将车轮、车身清洗干净，不得带泥上路，工地出口外不得有泥浆、泥土和建筑垃圾。垃圾运输车辆应采取覆盖，放置道路运输时遗洒垃圾。</w:t>
      </w:r>
    </w:p>
    <w:p>
      <w:pPr>
        <w:keepNext w:val="0"/>
        <w:keepLines w:val="0"/>
        <w:widowControl/>
        <w:numPr>
          <w:ilvl w:val="0"/>
          <w:numId w:val="0"/>
        </w:numPr>
        <w:suppressLineNumbers w:val="0"/>
        <w:ind w:left="0" w:leftChars="0" w:firstLine="422" w:firstLineChars="200"/>
        <w:jc w:val="left"/>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六、其他施工要求</w:t>
      </w:r>
      <w:bookmarkEnd w:id="37"/>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施工方在施工中要严格按照国家、行业标准和企业规范，并随时接受甲方的检查。</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施工方在施工中必须严格按施工工艺要求操作，保证施工质量。</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 业主方提供水源、电源便于施工方接入。</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a)材料型号规格应符合标书要求，如有偏离只能优于标书标准。</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b)材料质量应符合国家或部颁标准。每批材料应有合格证或质保书。</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5.施工方使用代用材料或更换外购设备，必须经过业主同意，要以修改通知单为依据。</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6.对施工中完成的阶段成果（隐蔽工程、分项工程、主要部位），由施工方提出申请，业主方组织检验和验收，签署阶段成果检验验收记录。</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7.如果在施工或调试过程中发生质量事故，施工方应及时查明原因，制订解决方案，并以书面形式报告业主，并按商定的处理方案实施。</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22" w:firstLineChars="200"/>
        <w:jc w:val="left"/>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七、工程进度</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1、施工方必须听候甲方的施工安排。</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2、甲方将随时检查和监督施工方施工进度执行情况，并协调各方，使外部环境条件能满足施工要求。</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3、由于施工方原因而未能按甲方规定的时间按期交工验收，施工方要承担违约责任和经济处罚。</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4、施工方要尽可能的做好保障工期的各种预案，对于遇重污染天气，市政府要求的停产停工造成的工期延误情况，由施工方自行承担。</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5、对于甲方安排的突发性紧急抢修工作，施工方需在接到甲方通知后一小时内到场，全力配合，对于拒不执行的，甲方有权进行处罚或终止合同。</w:t>
      </w:r>
    </w:p>
    <w:p>
      <w:pPr>
        <w:ind w:firstLine="422" w:firstLineChars="200"/>
        <w:outlineLvl w:val="1"/>
        <w:rPr>
          <w:rFonts w:hint="eastAsia" w:ascii="宋体" w:hAnsi="宋体" w:eastAsia="宋体" w:cs="宋体"/>
          <w:sz w:val="21"/>
          <w:szCs w:val="21"/>
          <w:highlight w:val="none"/>
        </w:rPr>
      </w:pPr>
      <w:r>
        <w:rPr>
          <w:rFonts w:hint="eastAsia" w:ascii="宋体" w:hAnsi="宋体" w:eastAsia="宋体" w:cs="宋体"/>
          <w:b/>
          <w:bCs/>
          <w:kern w:val="0"/>
          <w:sz w:val="21"/>
          <w:szCs w:val="21"/>
          <w:highlight w:val="none"/>
          <w:lang w:val="en-US" w:eastAsia="zh-CN"/>
        </w:rPr>
        <w:t>八、文明施工</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施工方应建立文明施工管理制度，保证施工现场井然有序。</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施工方在施工过程中应负责对现场的一切设施和施工工程的成品、半成品进行保护并承担费用。</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3、施工方应有统一着装（工作服），费用由施工方负担。</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2、施工方甲方存在交叉作业的情况下，应保证甲方工作的正常进行。</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3、施工方的施工设备、工具箱和材料等不允许堆放在通道上。施工方制作的半成品、部件等未安装前应码放整齐。</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4、施工方应保持本单位施工区域内的清洁卫生，每天下午下班后必须整理、清扫干净施工的设备和场地，废料集中放置，垃圾倒在指定地方。</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5、凡使用电焊机、切割机、砂轮机等设备作业时，应注意周围环境，避免焊渣、火星乱溅而影响他人作业或损坏设备及地面。</w:t>
      </w:r>
    </w:p>
    <w:p>
      <w:pPr>
        <w:pStyle w:val="19"/>
        <w:numPr>
          <w:ilvl w:val="0"/>
          <w:numId w:val="0"/>
        </w:numPr>
        <w:ind w:leftChars="0" w:firstLine="420" w:firstLineChars="200"/>
        <w:rPr>
          <w:rFonts w:hint="eastAsia" w:ascii="宋体" w:hAnsi="宋体" w:eastAsia="宋体" w:cs="宋体"/>
          <w:spacing w:val="4"/>
          <w:sz w:val="21"/>
          <w:szCs w:val="21"/>
          <w:highlight w:val="none"/>
        </w:rPr>
      </w:pPr>
      <w:r>
        <w:rPr>
          <w:rFonts w:hint="eastAsia" w:ascii="宋体" w:hAnsi="宋体" w:eastAsia="宋体" w:cs="宋体"/>
          <w:kern w:val="2"/>
          <w:sz w:val="21"/>
          <w:szCs w:val="21"/>
          <w:highlight w:val="none"/>
          <w:lang w:val="en-US" w:eastAsia="zh-CN" w:bidi="ar-SA"/>
        </w:rPr>
        <w:t>6、施工方应安排好其施工人员的食宿，保证施工人员的身体健康，费用施工方自理。</w:t>
      </w:r>
    </w:p>
    <w:p>
      <w:pPr>
        <w:ind w:firstLine="422" w:firstLineChars="200"/>
        <w:outlineLvl w:val="1"/>
        <w:rPr>
          <w:rFonts w:hint="eastAsia" w:ascii="宋体" w:hAnsi="宋体" w:eastAsia="宋体" w:cs="宋体"/>
          <w:b/>
          <w:bCs/>
          <w:kern w:val="0"/>
          <w:sz w:val="21"/>
          <w:szCs w:val="21"/>
          <w:highlight w:val="none"/>
          <w:lang w:val="en-US" w:eastAsia="zh-CN"/>
        </w:rPr>
      </w:pPr>
      <w:r>
        <w:rPr>
          <w:rFonts w:hint="eastAsia" w:ascii="宋体" w:hAnsi="宋体" w:eastAsia="宋体" w:cs="宋体"/>
          <w:b/>
          <w:bCs/>
          <w:kern w:val="0"/>
          <w:sz w:val="21"/>
          <w:szCs w:val="21"/>
          <w:highlight w:val="none"/>
          <w:lang w:val="en-US" w:eastAsia="zh-CN"/>
        </w:rPr>
        <w:t>九、安全要求</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施工方应对其施工人员进行安全教育，并对他们的安全负责，保证施工现场的各项作业均遵守相关的国家安全标准规范，严禁违章操作。</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施工方要遵守甲方单位内部的各项规章制度，按要求办理各种安全、出入等手续，接收安全监督和考核，手续费用由施工方负担。</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3、施工单位在施工前必须到甲方有关部门办理接电、动火手续，现场施工人员必须备有接电、动火手续复印件，以备有关部门检查。</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4、工程开工前, 施工方应为项目人员生命财产办理保险，支付保险费用。如果因施工方未办理保险而造成的任何损失全部由施工方负责。</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5、施工人员进入施工现场必须穿戴安全帽、工作服和工作鞋，特殊工种要配置相应的劳保服装和工具。</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6、施工方应在其施工区域内设置安全警示标志，特殊区域、特殊位置应专门设置有针对性的安全警示标志。</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7、施工方应由专业电工负责本单位施工所用设备的临时供电和线路的安全检查。在施工现场，非电工人员不得擅自插接电源。</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10、电焊机、切割机、砂轮机、气瓶等设备应按安全标准规范合理摆放、固定和使用。</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9"/>
        <w:numPr>
          <w:ilvl w:val="0"/>
          <w:numId w:val="0"/>
        </w:numPr>
        <w:ind w:leftChars="0" w:firstLine="422"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十、环保要求</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1、现场需作降尘处理，防止扬尘污染环境。</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2、严禁将污水排放至雨水管道。</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3、施工过程中产生的固废、危废由施工方按照国家法律法规的相关要求寻找具备资质的第三方规范处置。</w:t>
      </w:r>
    </w:p>
    <w:p>
      <w:pPr>
        <w:pStyle w:val="19"/>
        <w:numPr>
          <w:ilvl w:val="0"/>
          <w:numId w:val="0"/>
        </w:numPr>
        <w:ind w:leftChars="0"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十一、质保期</w:t>
      </w:r>
    </w:p>
    <w:p>
      <w:pPr>
        <w:pStyle w:val="19"/>
        <w:numPr>
          <w:ilvl w:val="0"/>
          <w:numId w:val="0"/>
        </w:numPr>
        <w:ind w:leftChars="0" w:firstLine="422"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本工程质保期一年。</w:t>
      </w:r>
      <w:r>
        <w:rPr>
          <w:rFonts w:hint="eastAsia" w:ascii="宋体" w:hAnsi="宋体" w:eastAsia="宋体" w:cs="宋体"/>
          <w:kern w:val="2"/>
          <w:sz w:val="21"/>
          <w:szCs w:val="21"/>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9"/>
        <w:numPr>
          <w:ilvl w:val="0"/>
          <w:numId w:val="0"/>
        </w:numPr>
        <w:ind w:leftChars="0" w:firstLine="422" w:firstLineChars="200"/>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十二、其它</w:t>
      </w:r>
    </w:p>
    <w:p>
      <w:pPr>
        <w:pStyle w:val="19"/>
        <w:numPr>
          <w:ilvl w:val="0"/>
          <w:numId w:val="0"/>
        </w:numPr>
        <w:ind w:leftChars="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1.投标人承诺对参与该项目所获得的与招标人产品相关的所有信息都予以保密，并承担与此相关的所有法律责任。</w:t>
      </w:r>
    </w:p>
    <w:p>
      <w:pPr>
        <w:pStyle w:val="19"/>
        <w:numPr>
          <w:ilvl w:val="0"/>
          <w:numId w:val="0"/>
        </w:numPr>
        <w:ind w:leftChars="0" w:firstLine="420" w:firstLineChars="200"/>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2.其余未尽事宜，投标人应与招标人指派的答疑人员充分沟通，理解认可并接受相关技术规范及服务要求。</w:t>
      </w:r>
    </w:p>
    <w:sectPr>
      <w:footerReference r:id="rId18" w:type="first"/>
      <w:headerReference r:id="rId15" w:type="default"/>
      <w:footerReference r:id="rId16" w:type="default"/>
      <w:footerReference r:id="rId17"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separate"/>
    </w:r>
    <w:r>
      <w:rPr>
        <w:rStyle w:val="24"/>
      </w:rPr>
      <w:t>0</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fldChar w:fldCharType="begin"/>
    </w:r>
    <w:r>
      <w:instrText xml:space="preserve">PAGE   \* MERGEFORMAT</w:instrText>
    </w:r>
    <w:r>
      <w:fldChar w:fldCharType="separate"/>
    </w:r>
    <w:r>
      <w:rPr>
        <w:lang w:val="zh-CN"/>
      </w:rPr>
      <w:t>-</w:t>
    </w:r>
    <w:r>
      <w:t xml:space="preserve"> 9 -</w:t>
    </w:r>
    <w:r>
      <w:fldChar w:fldCharType="end"/>
    </w:r>
  </w:p>
  <w:p>
    <w:pPr>
      <w:pStyle w:val="13"/>
      <w:rPr>
        <w:rFonts w:hint="eastAsia"/>
      </w:rP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w:fldChar w:fldCharType="begin"/>
    </w:r>
    <w:r>
      <w:instrText xml:space="preserve">PAGE   \* MERGEFORMAT</w:instrText>
    </w:r>
    <w:r>
      <w:fldChar w:fldCharType="separate"/>
    </w:r>
    <w:r>
      <w:rPr>
        <w:lang w:val="zh-CN"/>
      </w:rPr>
      <w:t>-</w:t>
    </w:r>
    <w:r>
      <w:t xml:space="preserve"> 0 -</w:t>
    </w:r>
    <w:r>
      <w:fldChar w:fldCharType="end"/>
    </w:r>
  </w:p>
  <w:p>
    <w:pPr>
      <w:pStyle w:val="13"/>
      <w:jc w:val="center"/>
      <w:rPr>
        <w:rFonts w:hint="eastAsia"/>
      </w:rP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rPr>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13"/>
                      <w:rPr>
                        <w:rFonts w:hint="eastAsia"/>
                      </w:rPr>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13"/>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lear" w:pos="4153"/>
      </w:tabs>
      <w:jc w:val="center"/>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4081AA"/>
    <w:multiLevelType w:val="singleLevel"/>
    <w:tmpl w:val="C14081AA"/>
    <w:lvl w:ilvl="0" w:tentative="0">
      <w:start w:val="4"/>
      <w:numFmt w:val="decimal"/>
      <w:lvlText w:val="%1."/>
      <w:lvlJc w:val="left"/>
      <w:pPr>
        <w:tabs>
          <w:tab w:val="left" w:pos="312"/>
        </w:tabs>
      </w:pPr>
    </w:lvl>
  </w:abstractNum>
  <w:abstractNum w:abstractNumId="1">
    <w:nsid w:val="033F3A67"/>
    <w:multiLevelType w:val="singleLevel"/>
    <w:tmpl w:val="033F3A67"/>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1228AB"/>
    <w:rsid w:val="004A7F2C"/>
    <w:rsid w:val="004F2EE2"/>
    <w:rsid w:val="00631391"/>
    <w:rsid w:val="00992B65"/>
    <w:rsid w:val="00B76409"/>
    <w:rsid w:val="00B827C4"/>
    <w:rsid w:val="00C14B91"/>
    <w:rsid w:val="00CD3536"/>
    <w:rsid w:val="00CE1438"/>
    <w:rsid w:val="00D447DE"/>
    <w:rsid w:val="00D747EA"/>
    <w:rsid w:val="010A6538"/>
    <w:rsid w:val="011E3D92"/>
    <w:rsid w:val="01207CCA"/>
    <w:rsid w:val="01303E14"/>
    <w:rsid w:val="01310FE2"/>
    <w:rsid w:val="014063FE"/>
    <w:rsid w:val="016A347B"/>
    <w:rsid w:val="01762172"/>
    <w:rsid w:val="017C6106"/>
    <w:rsid w:val="018856AF"/>
    <w:rsid w:val="018B7C82"/>
    <w:rsid w:val="019078AB"/>
    <w:rsid w:val="019B53E2"/>
    <w:rsid w:val="01A74ECD"/>
    <w:rsid w:val="01B91719"/>
    <w:rsid w:val="01D4523A"/>
    <w:rsid w:val="01E06C1D"/>
    <w:rsid w:val="01F66ABD"/>
    <w:rsid w:val="021E46FE"/>
    <w:rsid w:val="02246E13"/>
    <w:rsid w:val="02322A9A"/>
    <w:rsid w:val="02370032"/>
    <w:rsid w:val="023723A1"/>
    <w:rsid w:val="023F2212"/>
    <w:rsid w:val="026A7614"/>
    <w:rsid w:val="027A149C"/>
    <w:rsid w:val="027D0954"/>
    <w:rsid w:val="02804E4A"/>
    <w:rsid w:val="028E769D"/>
    <w:rsid w:val="02BD1086"/>
    <w:rsid w:val="02C753AC"/>
    <w:rsid w:val="02DC1130"/>
    <w:rsid w:val="03140FF8"/>
    <w:rsid w:val="032441FD"/>
    <w:rsid w:val="032514D7"/>
    <w:rsid w:val="032F316C"/>
    <w:rsid w:val="03350B0D"/>
    <w:rsid w:val="03660724"/>
    <w:rsid w:val="036970F4"/>
    <w:rsid w:val="03991DF6"/>
    <w:rsid w:val="03D21C41"/>
    <w:rsid w:val="03E60F8A"/>
    <w:rsid w:val="03E941FA"/>
    <w:rsid w:val="03EF7708"/>
    <w:rsid w:val="03FF072D"/>
    <w:rsid w:val="041A70FC"/>
    <w:rsid w:val="04246808"/>
    <w:rsid w:val="046F7568"/>
    <w:rsid w:val="04921C71"/>
    <w:rsid w:val="049B18BB"/>
    <w:rsid w:val="04CC2ABA"/>
    <w:rsid w:val="04D84F29"/>
    <w:rsid w:val="04F608A4"/>
    <w:rsid w:val="0531118C"/>
    <w:rsid w:val="056B0CB0"/>
    <w:rsid w:val="057F1E89"/>
    <w:rsid w:val="058777E5"/>
    <w:rsid w:val="05A05628"/>
    <w:rsid w:val="05BE41F5"/>
    <w:rsid w:val="05DD1532"/>
    <w:rsid w:val="05EE6337"/>
    <w:rsid w:val="05FC1AF2"/>
    <w:rsid w:val="06247323"/>
    <w:rsid w:val="06281F2C"/>
    <w:rsid w:val="0649045C"/>
    <w:rsid w:val="066906E0"/>
    <w:rsid w:val="0680729D"/>
    <w:rsid w:val="068416E6"/>
    <w:rsid w:val="06C15190"/>
    <w:rsid w:val="06C90C44"/>
    <w:rsid w:val="06D0104C"/>
    <w:rsid w:val="06D56408"/>
    <w:rsid w:val="06DE555D"/>
    <w:rsid w:val="06F537E7"/>
    <w:rsid w:val="0744651C"/>
    <w:rsid w:val="07515A88"/>
    <w:rsid w:val="07533560"/>
    <w:rsid w:val="078369D4"/>
    <w:rsid w:val="07C95879"/>
    <w:rsid w:val="07DD6810"/>
    <w:rsid w:val="07E21F39"/>
    <w:rsid w:val="07E5385B"/>
    <w:rsid w:val="07FE6829"/>
    <w:rsid w:val="080A7ACF"/>
    <w:rsid w:val="080D17FF"/>
    <w:rsid w:val="08137F48"/>
    <w:rsid w:val="083D3611"/>
    <w:rsid w:val="085366AF"/>
    <w:rsid w:val="086C1F56"/>
    <w:rsid w:val="08707B51"/>
    <w:rsid w:val="0897720D"/>
    <w:rsid w:val="08A97E88"/>
    <w:rsid w:val="08CB0CA3"/>
    <w:rsid w:val="091D0DD3"/>
    <w:rsid w:val="092951B8"/>
    <w:rsid w:val="095C586C"/>
    <w:rsid w:val="0966277A"/>
    <w:rsid w:val="0966427E"/>
    <w:rsid w:val="0991077D"/>
    <w:rsid w:val="099E3CC2"/>
    <w:rsid w:val="09CB6896"/>
    <w:rsid w:val="09CE2D8D"/>
    <w:rsid w:val="09D43B87"/>
    <w:rsid w:val="0A0C1573"/>
    <w:rsid w:val="0A2E2EE2"/>
    <w:rsid w:val="0A3B7FD7"/>
    <w:rsid w:val="0A5F1181"/>
    <w:rsid w:val="0A84735B"/>
    <w:rsid w:val="0AA12430"/>
    <w:rsid w:val="0AC21E85"/>
    <w:rsid w:val="0AC42E9F"/>
    <w:rsid w:val="0AD927DA"/>
    <w:rsid w:val="0AE778EA"/>
    <w:rsid w:val="0AF20E35"/>
    <w:rsid w:val="0AF36C07"/>
    <w:rsid w:val="0B0E675C"/>
    <w:rsid w:val="0B186678"/>
    <w:rsid w:val="0B655EAA"/>
    <w:rsid w:val="0B8E7D66"/>
    <w:rsid w:val="0B982B1A"/>
    <w:rsid w:val="0BAD6D40"/>
    <w:rsid w:val="0BB72CEC"/>
    <w:rsid w:val="0BC347EF"/>
    <w:rsid w:val="0BC90AF4"/>
    <w:rsid w:val="0BD171ED"/>
    <w:rsid w:val="0BE36CD9"/>
    <w:rsid w:val="0BF978D5"/>
    <w:rsid w:val="0C175FAD"/>
    <w:rsid w:val="0C2C1B67"/>
    <w:rsid w:val="0C634800"/>
    <w:rsid w:val="0C687622"/>
    <w:rsid w:val="0C6E6236"/>
    <w:rsid w:val="0C82314B"/>
    <w:rsid w:val="0C842999"/>
    <w:rsid w:val="0CEA1BC0"/>
    <w:rsid w:val="0CEA47B8"/>
    <w:rsid w:val="0CEB6D41"/>
    <w:rsid w:val="0CFF523D"/>
    <w:rsid w:val="0D3450A6"/>
    <w:rsid w:val="0D3503A2"/>
    <w:rsid w:val="0D355BD5"/>
    <w:rsid w:val="0D3D5EE8"/>
    <w:rsid w:val="0D430A63"/>
    <w:rsid w:val="0D4E3C51"/>
    <w:rsid w:val="0D5C24F8"/>
    <w:rsid w:val="0D7116ED"/>
    <w:rsid w:val="0D8B5140"/>
    <w:rsid w:val="0DAC357C"/>
    <w:rsid w:val="0DAE649D"/>
    <w:rsid w:val="0DAF0B09"/>
    <w:rsid w:val="0DB735A4"/>
    <w:rsid w:val="0DC67D96"/>
    <w:rsid w:val="0DDE3227"/>
    <w:rsid w:val="0DED507E"/>
    <w:rsid w:val="0E0A3098"/>
    <w:rsid w:val="0E0D1416"/>
    <w:rsid w:val="0E1B1D7D"/>
    <w:rsid w:val="0E411696"/>
    <w:rsid w:val="0E503D48"/>
    <w:rsid w:val="0E63197E"/>
    <w:rsid w:val="0E873A8E"/>
    <w:rsid w:val="0E877EF9"/>
    <w:rsid w:val="0E9B50A9"/>
    <w:rsid w:val="0EBD640E"/>
    <w:rsid w:val="0EDB6947"/>
    <w:rsid w:val="0EEB1F4D"/>
    <w:rsid w:val="0F014D68"/>
    <w:rsid w:val="0F0E5336"/>
    <w:rsid w:val="0F1139A8"/>
    <w:rsid w:val="0F15109A"/>
    <w:rsid w:val="0F5827B0"/>
    <w:rsid w:val="0F5F3EF3"/>
    <w:rsid w:val="0F60615C"/>
    <w:rsid w:val="0F7E2E38"/>
    <w:rsid w:val="0F900C4F"/>
    <w:rsid w:val="0F97640B"/>
    <w:rsid w:val="0FD37BD9"/>
    <w:rsid w:val="0FDB4665"/>
    <w:rsid w:val="10995A58"/>
    <w:rsid w:val="10A510D3"/>
    <w:rsid w:val="10BB1A08"/>
    <w:rsid w:val="1134315E"/>
    <w:rsid w:val="11414485"/>
    <w:rsid w:val="11604C92"/>
    <w:rsid w:val="1169095A"/>
    <w:rsid w:val="11B2208C"/>
    <w:rsid w:val="11D706B9"/>
    <w:rsid w:val="11EA1373"/>
    <w:rsid w:val="11F5112B"/>
    <w:rsid w:val="11F9177F"/>
    <w:rsid w:val="12210BBD"/>
    <w:rsid w:val="1251201C"/>
    <w:rsid w:val="12820395"/>
    <w:rsid w:val="12D146B4"/>
    <w:rsid w:val="12D73086"/>
    <w:rsid w:val="12DA3560"/>
    <w:rsid w:val="12F44204"/>
    <w:rsid w:val="12F44864"/>
    <w:rsid w:val="12FF0144"/>
    <w:rsid w:val="13256E2C"/>
    <w:rsid w:val="13535D9B"/>
    <w:rsid w:val="13880B22"/>
    <w:rsid w:val="13A03242"/>
    <w:rsid w:val="13BB7933"/>
    <w:rsid w:val="13C03A3F"/>
    <w:rsid w:val="13C0517C"/>
    <w:rsid w:val="13CF2A82"/>
    <w:rsid w:val="13D75FE4"/>
    <w:rsid w:val="13ED651F"/>
    <w:rsid w:val="1405515F"/>
    <w:rsid w:val="140F7DA7"/>
    <w:rsid w:val="143A1985"/>
    <w:rsid w:val="144855D7"/>
    <w:rsid w:val="14492779"/>
    <w:rsid w:val="144B7979"/>
    <w:rsid w:val="14522767"/>
    <w:rsid w:val="145634FD"/>
    <w:rsid w:val="1457163D"/>
    <w:rsid w:val="14775224"/>
    <w:rsid w:val="147A1053"/>
    <w:rsid w:val="147D4ABC"/>
    <w:rsid w:val="14836151"/>
    <w:rsid w:val="149176F2"/>
    <w:rsid w:val="14A163F2"/>
    <w:rsid w:val="14C45D91"/>
    <w:rsid w:val="14D37DB8"/>
    <w:rsid w:val="15334487"/>
    <w:rsid w:val="15380A96"/>
    <w:rsid w:val="153E27FD"/>
    <w:rsid w:val="156C070E"/>
    <w:rsid w:val="15736D56"/>
    <w:rsid w:val="157C66A9"/>
    <w:rsid w:val="159F65AC"/>
    <w:rsid w:val="15B00359"/>
    <w:rsid w:val="15B60867"/>
    <w:rsid w:val="15BE0F83"/>
    <w:rsid w:val="15CA5E3E"/>
    <w:rsid w:val="15D860E5"/>
    <w:rsid w:val="15E8637F"/>
    <w:rsid w:val="15EA028F"/>
    <w:rsid w:val="15FA2BC8"/>
    <w:rsid w:val="160525B0"/>
    <w:rsid w:val="163A1C14"/>
    <w:rsid w:val="163E4FD8"/>
    <w:rsid w:val="16557DFE"/>
    <w:rsid w:val="169A051D"/>
    <w:rsid w:val="16A477CB"/>
    <w:rsid w:val="16B22503"/>
    <w:rsid w:val="16B34B25"/>
    <w:rsid w:val="16B66AC3"/>
    <w:rsid w:val="16B9425F"/>
    <w:rsid w:val="17215F32"/>
    <w:rsid w:val="172346CE"/>
    <w:rsid w:val="173405A0"/>
    <w:rsid w:val="176C775F"/>
    <w:rsid w:val="17795DCC"/>
    <w:rsid w:val="1791722F"/>
    <w:rsid w:val="17AD77C6"/>
    <w:rsid w:val="17B730F8"/>
    <w:rsid w:val="17BA1773"/>
    <w:rsid w:val="17D81CA0"/>
    <w:rsid w:val="17E210B1"/>
    <w:rsid w:val="17EF33B1"/>
    <w:rsid w:val="17F60179"/>
    <w:rsid w:val="180A74EF"/>
    <w:rsid w:val="18402807"/>
    <w:rsid w:val="184E428A"/>
    <w:rsid w:val="185C4947"/>
    <w:rsid w:val="18716A45"/>
    <w:rsid w:val="18790C37"/>
    <w:rsid w:val="188A52FE"/>
    <w:rsid w:val="188C35EE"/>
    <w:rsid w:val="188F53F8"/>
    <w:rsid w:val="18A76C55"/>
    <w:rsid w:val="18C64FE3"/>
    <w:rsid w:val="18D91D0B"/>
    <w:rsid w:val="18DE1CA8"/>
    <w:rsid w:val="18E06756"/>
    <w:rsid w:val="18F029FA"/>
    <w:rsid w:val="18FA3399"/>
    <w:rsid w:val="18FC541C"/>
    <w:rsid w:val="191373BD"/>
    <w:rsid w:val="191D30E8"/>
    <w:rsid w:val="19241D0A"/>
    <w:rsid w:val="192B7CD9"/>
    <w:rsid w:val="19621BDB"/>
    <w:rsid w:val="19715915"/>
    <w:rsid w:val="1991739F"/>
    <w:rsid w:val="1994388E"/>
    <w:rsid w:val="19A62CF8"/>
    <w:rsid w:val="19AE0FED"/>
    <w:rsid w:val="19B14317"/>
    <w:rsid w:val="19F142E2"/>
    <w:rsid w:val="1A111C52"/>
    <w:rsid w:val="1A201D29"/>
    <w:rsid w:val="1A2A2B7C"/>
    <w:rsid w:val="1A3109EA"/>
    <w:rsid w:val="1A444830"/>
    <w:rsid w:val="1A4B1C44"/>
    <w:rsid w:val="1A555BBE"/>
    <w:rsid w:val="1A646357"/>
    <w:rsid w:val="1A656AC5"/>
    <w:rsid w:val="1A6E5932"/>
    <w:rsid w:val="1A736498"/>
    <w:rsid w:val="1A8213DE"/>
    <w:rsid w:val="1A8C36D0"/>
    <w:rsid w:val="1AAD7613"/>
    <w:rsid w:val="1AC00AF1"/>
    <w:rsid w:val="1ADA0F99"/>
    <w:rsid w:val="1AE93EB4"/>
    <w:rsid w:val="1AF1095B"/>
    <w:rsid w:val="1AF277CF"/>
    <w:rsid w:val="1B11615D"/>
    <w:rsid w:val="1B546DE6"/>
    <w:rsid w:val="1B63604D"/>
    <w:rsid w:val="1B72073F"/>
    <w:rsid w:val="1B7528DA"/>
    <w:rsid w:val="1B804E3C"/>
    <w:rsid w:val="1B9C027D"/>
    <w:rsid w:val="1BAC4D32"/>
    <w:rsid w:val="1BC614A9"/>
    <w:rsid w:val="1BE0272B"/>
    <w:rsid w:val="1BE83DD7"/>
    <w:rsid w:val="1C1F4A39"/>
    <w:rsid w:val="1C2673BA"/>
    <w:rsid w:val="1C2A0960"/>
    <w:rsid w:val="1C4F60A6"/>
    <w:rsid w:val="1C7D1E5D"/>
    <w:rsid w:val="1C9978FC"/>
    <w:rsid w:val="1C9D67EC"/>
    <w:rsid w:val="1CA64593"/>
    <w:rsid w:val="1CAC2905"/>
    <w:rsid w:val="1CC95A09"/>
    <w:rsid w:val="1CCE22A6"/>
    <w:rsid w:val="1CD221A8"/>
    <w:rsid w:val="1CE40726"/>
    <w:rsid w:val="1CFA1018"/>
    <w:rsid w:val="1CFC5BC9"/>
    <w:rsid w:val="1D0D29EF"/>
    <w:rsid w:val="1D0D4019"/>
    <w:rsid w:val="1D320E99"/>
    <w:rsid w:val="1D5D36B2"/>
    <w:rsid w:val="1D6304CC"/>
    <w:rsid w:val="1D787557"/>
    <w:rsid w:val="1D9C2528"/>
    <w:rsid w:val="1DA801B1"/>
    <w:rsid w:val="1DE94132"/>
    <w:rsid w:val="1DF431D5"/>
    <w:rsid w:val="1DF57F21"/>
    <w:rsid w:val="1DFB128B"/>
    <w:rsid w:val="1DFC5003"/>
    <w:rsid w:val="1E081AD2"/>
    <w:rsid w:val="1E162438"/>
    <w:rsid w:val="1E1F230F"/>
    <w:rsid w:val="1E3C74A0"/>
    <w:rsid w:val="1E3E442F"/>
    <w:rsid w:val="1E4C7D5F"/>
    <w:rsid w:val="1E6530AD"/>
    <w:rsid w:val="1E676E3A"/>
    <w:rsid w:val="1E780C0D"/>
    <w:rsid w:val="1EB634B6"/>
    <w:rsid w:val="1EB95DF3"/>
    <w:rsid w:val="1EE310B5"/>
    <w:rsid w:val="1F0770FC"/>
    <w:rsid w:val="1F120F82"/>
    <w:rsid w:val="1F1B2E60"/>
    <w:rsid w:val="1F5016F7"/>
    <w:rsid w:val="1F570777"/>
    <w:rsid w:val="1F602E17"/>
    <w:rsid w:val="1F807CE3"/>
    <w:rsid w:val="1F856491"/>
    <w:rsid w:val="1FA140B4"/>
    <w:rsid w:val="1FB14D4C"/>
    <w:rsid w:val="1FC11EA9"/>
    <w:rsid w:val="1FEA75D2"/>
    <w:rsid w:val="202E6EC5"/>
    <w:rsid w:val="203E1903"/>
    <w:rsid w:val="203E7B55"/>
    <w:rsid w:val="206750B4"/>
    <w:rsid w:val="207829CC"/>
    <w:rsid w:val="20845366"/>
    <w:rsid w:val="20863CB7"/>
    <w:rsid w:val="208E5FEE"/>
    <w:rsid w:val="20BE2CEC"/>
    <w:rsid w:val="20CA74AA"/>
    <w:rsid w:val="20E27442"/>
    <w:rsid w:val="20FB7F86"/>
    <w:rsid w:val="21015A43"/>
    <w:rsid w:val="2134310A"/>
    <w:rsid w:val="213B5591"/>
    <w:rsid w:val="213D75A7"/>
    <w:rsid w:val="21A4203E"/>
    <w:rsid w:val="21B512F2"/>
    <w:rsid w:val="21BA320B"/>
    <w:rsid w:val="21C87FE5"/>
    <w:rsid w:val="21EE6CFA"/>
    <w:rsid w:val="21F72D73"/>
    <w:rsid w:val="2215799A"/>
    <w:rsid w:val="221D39E7"/>
    <w:rsid w:val="2224254C"/>
    <w:rsid w:val="223C1E72"/>
    <w:rsid w:val="224C1CF5"/>
    <w:rsid w:val="22513B6F"/>
    <w:rsid w:val="22615D46"/>
    <w:rsid w:val="2274785E"/>
    <w:rsid w:val="22773469"/>
    <w:rsid w:val="22B91F7C"/>
    <w:rsid w:val="22BA6FF4"/>
    <w:rsid w:val="22BE6D2B"/>
    <w:rsid w:val="22BF47B5"/>
    <w:rsid w:val="230B6ABD"/>
    <w:rsid w:val="231352C9"/>
    <w:rsid w:val="231B74DC"/>
    <w:rsid w:val="231D4366"/>
    <w:rsid w:val="235C0FB9"/>
    <w:rsid w:val="23605A2D"/>
    <w:rsid w:val="2380058C"/>
    <w:rsid w:val="23866924"/>
    <w:rsid w:val="23B61577"/>
    <w:rsid w:val="23D45DC2"/>
    <w:rsid w:val="23EC153B"/>
    <w:rsid w:val="2408233F"/>
    <w:rsid w:val="246D7FA6"/>
    <w:rsid w:val="248B2B7C"/>
    <w:rsid w:val="24AE34FB"/>
    <w:rsid w:val="24D36E41"/>
    <w:rsid w:val="24DE1906"/>
    <w:rsid w:val="24F22CA8"/>
    <w:rsid w:val="2512024E"/>
    <w:rsid w:val="252F258F"/>
    <w:rsid w:val="253A4D8F"/>
    <w:rsid w:val="25496D80"/>
    <w:rsid w:val="25670AE2"/>
    <w:rsid w:val="25733F7D"/>
    <w:rsid w:val="258C5AFE"/>
    <w:rsid w:val="25BC1216"/>
    <w:rsid w:val="25E537C6"/>
    <w:rsid w:val="26003F6F"/>
    <w:rsid w:val="26143C99"/>
    <w:rsid w:val="26291FC6"/>
    <w:rsid w:val="26297308"/>
    <w:rsid w:val="262D66A1"/>
    <w:rsid w:val="263327B8"/>
    <w:rsid w:val="264A194A"/>
    <w:rsid w:val="26644B8A"/>
    <w:rsid w:val="26801254"/>
    <w:rsid w:val="269B082B"/>
    <w:rsid w:val="26A8437A"/>
    <w:rsid w:val="26C423E8"/>
    <w:rsid w:val="26E11783"/>
    <w:rsid w:val="27006B57"/>
    <w:rsid w:val="2717462E"/>
    <w:rsid w:val="27473FB0"/>
    <w:rsid w:val="27565784"/>
    <w:rsid w:val="278F1801"/>
    <w:rsid w:val="27A04C51"/>
    <w:rsid w:val="27BD1CA7"/>
    <w:rsid w:val="27ED6C10"/>
    <w:rsid w:val="281533CB"/>
    <w:rsid w:val="28173404"/>
    <w:rsid w:val="285A74F6"/>
    <w:rsid w:val="28697A58"/>
    <w:rsid w:val="28757DED"/>
    <w:rsid w:val="287C2A5C"/>
    <w:rsid w:val="288D78CB"/>
    <w:rsid w:val="28F6717A"/>
    <w:rsid w:val="28FE0C10"/>
    <w:rsid w:val="291C2A25"/>
    <w:rsid w:val="291D0C4F"/>
    <w:rsid w:val="292F461D"/>
    <w:rsid w:val="29697377"/>
    <w:rsid w:val="298F3DBD"/>
    <w:rsid w:val="29E25DC6"/>
    <w:rsid w:val="29E452C9"/>
    <w:rsid w:val="2A1D3477"/>
    <w:rsid w:val="2A330B11"/>
    <w:rsid w:val="2A436034"/>
    <w:rsid w:val="2A4D29E9"/>
    <w:rsid w:val="2AA52955"/>
    <w:rsid w:val="2AAB5908"/>
    <w:rsid w:val="2AD26643"/>
    <w:rsid w:val="2AD72263"/>
    <w:rsid w:val="2AFE381C"/>
    <w:rsid w:val="2B0C3E73"/>
    <w:rsid w:val="2B291134"/>
    <w:rsid w:val="2B2F6A18"/>
    <w:rsid w:val="2B36455A"/>
    <w:rsid w:val="2B606BD1"/>
    <w:rsid w:val="2B7A10E2"/>
    <w:rsid w:val="2B836D64"/>
    <w:rsid w:val="2B8B0A09"/>
    <w:rsid w:val="2BAA609E"/>
    <w:rsid w:val="2BB638B4"/>
    <w:rsid w:val="2BD716F9"/>
    <w:rsid w:val="2BEB34D5"/>
    <w:rsid w:val="2BFD3BD7"/>
    <w:rsid w:val="2C1B6F9C"/>
    <w:rsid w:val="2C361AD1"/>
    <w:rsid w:val="2C3952BE"/>
    <w:rsid w:val="2C4F2094"/>
    <w:rsid w:val="2C5C4EF8"/>
    <w:rsid w:val="2C640D97"/>
    <w:rsid w:val="2C730B86"/>
    <w:rsid w:val="2C755993"/>
    <w:rsid w:val="2C850A17"/>
    <w:rsid w:val="2C956634"/>
    <w:rsid w:val="2CBA7DB9"/>
    <w:rsid w:val="2CC7011F"/>
    <w:rsid w:val="2CCF020F"/>
    <w:rsid w:val="2CED3872"/>
    <w:rsid w:val="2CFA6FE6"/>
    <w:rsid w:val="2CFF5097"/>
    <w:rsid w:val="2D0F603E"/>
    <w:rsid w:val="2D1C121E"/>
    <w:rsid w:val="2D536E8E"/>
    <w:rsid w:val="2D5D27F9"/>
    <w:rsid w:val="2D616C31"/>
    <w:rsid w:val="2D9C4F6B"/>
    <w:rsid w:val="2D9D122B"/>
    <w:rsid w:val="2D9E479A"/>
    <w:rsid w:val="2D9E4FAE"/>
    <w:rsid w:val="2DB01CD1"/>
    <w:rsid w:val="2DB80F46"/>
    <w:rsid w:val="2DC67C1B"/>
    <w:rsid w:val="2DD510E9"/>
    <w:rsid w:val="2E01095F"/>
    <w:rsid w:val="2E03010C"/>
    <w:rsid w:val="2E220AB6"/>
    <w:rsid w:val="2E3507E9"/>
    <w:rsid w:val="2E365601"/>
    <w:rsid w:val="2E3859E0"/>
    <w:rsid w:val="2E66510E"/>
    <w:rsid w:val="2E825B55"/>
    <w:rsid w:val="2EA75524"/>
    <w:rsid w:val="2EB84EF4"/>
    <w:rsid w:val="2EBB5196"/>
    <w:rsid w:val="2EE15DF5"/>
    <w:rsid w:val="2EEE1C8B"/>
    <w:rsid w:val="2EFD5C1D"/>
    <w:rsid w:val="2F0D2540"/>
    <w:rsid w:val="2F3A13A6"/>
    <w:rsid w:val="2F5408D5"/>
    <w:rsid w:val="2FD65A3F"/>
    <w:rsid w:val="2FF50D63"/>
    <w:rsid w:val="2FF8435F"/>
    <w:rsid w:val="300645B8"/>
    <w:rsid w:val="300C3A24"/>
    <w:rsid w:val="302B680E"/>
    <w:rsid w:val="304212CA"/>
    <w:rsid w:val="30542144"/>
    <w:rsid w:val="306C6018"/>
    <w:rsid w:val="30704966"/>
    <w:rsid w:val="309858B4"/>
    <w:rsid w:val="30BA4FD6"/>
    <w:rsid w:val="30CD355F"/>
    <w:rsid w:val="30DD7FC9"/>
    <w:rsid w:val="30FA3FE7"/>
    <w:rsid w:val="311D777C"/>
    <w:rsid w:val="312A215B"/>
    <w:rsid w:val="31404861"/>
    <w:rsid w:val="31442E06"/>
    <w:rsid w:val="31475660"/>
    <w:rsid w:val="316D753B"/>
    <w:rsid w:val="31787515"/>
    <w:rsid w:val="317A1445"/>
    <w:rsid w:val="318D33AD"/>
    <w:rsid w:val="319A40D3"/>
    <w:rsid w:val="31AC44CD"/>
    <w:rsid w:val="31B73294"/>
    <w:rsid w:val="31C01C77"/>
    <w:rsid w:val="31D32E7B"/>
    <w:rsid w:val="31F36A80"/>
    <w:rsid w:val="320D50ED"/>
    <w:rsid w:val="320E50AB"/>
    <w:rsid w:val="32216010"/>
    <w:rsid w:val="322F72FD"/>
    <w:rsid w:val="323414F3"/>
    <w:rsid w:val="326451ED"/>
    <w:rsid w:val="326546BE"/>
    <w:rsid w:val="326E73BC"/>
    <w:rsid w:val="32760A30"/>
    <w:rsid w:val="32760FED"/>
    <w:rsid w:val="327F0106"/>
    <w:rsid w:val="32930A79"/>
    <w:rsid w:val="329F1203"/>
    <w:rsid w:val="32BE2081"/>
    <w:rsid w:val="32DD144F"/>
    <w:rsid w:val="33045A37"/>
    <w:rsid w:val="330843A0"/>
    <w:rsid w:val="3316641B"/>
    <w:rsid w:val="333A24F6"/>
    <w:rsid w:val="334119DE"/>
    <w:rsid w:val="335039CF"/>
    <w:rsid w:val="33693853"/>
    <w:rsid w:val="33996E01"/>
    <w:rsid w:val="33BB60DF"/>
    <w:rsid w:val="33C521FE"/>
    <w:rsid w:val="33D3781A"/>
    <w:rsid w:val="33D4015C"/>
    <w:rsid w:val="33F269F0"/>
    <w:rsid w:val="34094D33"/>
    <w:rsid w:val="345C4BC4"/>
    <w:rsid w:val="345C5BF5"/>
    <w:rsid w:val="347F6C2F"/>
    <w:rsid w:val="349C5100"/>
    <w:rsid w:val="34DA5BA9"/>
    <w:rsid w:val="34F053F7"/>
    <w:rsid w:val="34FD2D47"/>
    <w:rsid w:val="34FD7B87"/>
    <w:rsid w:val="3529097C"/>
    <w:rsid w:val="35586B6B"/>
    <w:rsid w:val="35635603"/>
    <w:rsid w:val="35DE35A3"/>
    <w:rsid w:val="35E30136"/>
    <w:rsid w:val="35F268C9"/>
    <w:rsid w:val="360931ED"/>
    <w:rsid w:val="36177645"/>
    <w:rsid w:val="362E06C5"/>
    <w:rsid w:val="364148B1"/>
    <w:rsid w:val="367C127F"/>
    <w:rsid w:val="367F32BF"/>
    <w:rsid w:val="36C62C57"/>
    <w:rsid w:val="36E83F1F"/>
    <w:rsid w:val="370E5675"/>
    <w:rsid w:val="372B2027"/>
    <w:rsid w:val="37351310"/>
    <w:rsid w:val="374F3F98"/>
    <w:rsid w:val="37B85777"/>
    <w:rsid w:val="37BF7375"/>
    <w:rsid w:val="37EC3C9F"/>
    <w:rsid w:val="37FA13BA"/>
    <w:rsid w:val="380D1E8F"/>
    <w:rsid w:val="38536423"/>
    <w:rsid w:val="387C7014"/>
    <w:rsid w:val="389D2D1E"/>
    <w:rsid w:val="389E00F3"/>
    <w:rsid w:val="38D1110E"/>
    <w:rsid w:val="38DB4455"/>
    <w:rsid w:val="38DD71B9"/>
    <w:rsid w:val="38FD63A7"/>
    <w:rsid w:val="38FE5C7B"/>
    <w:rsid w:val="39047736"/>
    <w:rsid w:val="391477FF"/>
    <w:rsid w:val="39370C74"/>
    <w:rsid w:val="39372984"/>
    <w:rsid w:val="393F10AB"/>
    <w:rsid w:val="394E081F"/>
    <w:rsid w:val="39780CA7"/>
    <w:rsid w:val="397A0A14"/>
    <w:rsid w:val="39A242C2"/>
    <w:rsid w:val="39B7482F"/>
    <w:rsid w:val="39F460BA"/>
    <w:rsid w:val="3A314322"/>
    <w:rsid w:val="3A425B8B"/>
    <w:rsid w:val="3A537483"/>
    <w:rsid w:val="3A8F1410"/>
    <w:rsid w:val="3AA34D2C"/>
    <w:rsid w:val="3AC1227E"/>
    <w:rsid w:val="3AD704A6"/>
    <w:rsid w:val="3ADD1FEC"/>
    <w:rsid w:val="3AF64167"/>
    <w:rsid w:val="3B534E72"/>
    <w:rsid w:val="3B7712FB"/>
    <w:rsid w:val="3B997928"/>
    <w:rsid w:val="3B9C7911"/>
    <w:rsid w:val="3BA94143"/>
    <w:rsid w:val="3BAA5C47"/>
    <w:rsid w:val="3BB865B6"/>
    <w:rsid w:val="3BC23686"/>
    <w:rsid w:val="3BC736A9"/>
    <w:rsid w:val="3BF04906"/>
    <w:rsid w:val="3BFD126C"/>
    <w:rsid w:val="3C131A3E"/>
    <w:rsid w:val="3C526944"/>
    <w:rsid w:val="3C58317B"/>
    <w:rsid w:val="3C611848"/>
    <w:rsid w:val="3C6A3B26"/>
    <w:rsid w:val="3C73403C"/>
    <w:rsid w:val="3C7C5835"/>
    <w:rsid w:val="3CC358A1"/>
    <w:rsid w:val="3CF06E89"/>
    <w:rsid w:val="3D030D52"/>
    <w:rsid w:val="3D2739F3"/>
    <w:rsid w:val="3D2D6CED"/>
    <w:rsid w:val="3D456592"/>
    <w:rsid w:val="3D600CB3"/>
    <w:rsid w:val="3DAE1A1E"/>
    <w:rsid w:val="3DBB3E73"/>
    <w:rsid w:val="3DBF1E7D"/>
    <w:rsid w:val="3DD5415F"/>
    <w:rsid w:val="3DE22C8D"/>
    <w:rsid w:val="3DE5680E"/>
    <w:rsid w:val="3E1201FF"/>
    <w:rsid w:val="3E19763A"/>
    <w:rsid w:val="3E435A8F"/>
    <w:rsid w:val="3E456B72"/>
    <w:rsid w:val="3E54701A"/>
    <w:rsid w:val="3E762D7E"/>
    <w:rsid w:val="3E800C1E"/>
    <w:rsid w:val="3E8310FD"/>
    <w:rsid w:val="3E973DE9"/>
    <w:rsid w:val="3EAC18C2"/>
    <w:rsid w:val="3EB8732B"/>
    <w:rsid w:val="3ED731F7"/>
    <w:rsid w:val="3EDA1A42"/>
    <w:rsid w:val="3F081602"/>
    <w:rsid w:val="3F0C10F2"/>
    <w:rsid w:val="3F0D3BB8"/>
    <w:rsid w:val="3F134656"/>
    <w:rsid w:val="3F27452A"/>
    <w:rsid w:val="3F327526"/>
    <w:rsid w:val="3F6A291D"/>
    <w:rsid w:val="3F6F7EC4"/>
    <w:rsid w:val="3F7C1235"/>
    <w:rsid w:val="3F862B98"/>
    <w:rsid w:val="3F9609BC"/>
    <w:rsid w:val="3FA23E80"/>
    <w:rsid w:val="3FA806EF"/>
    <w:rsid w:val="3FAC7B6B"/>
    <w:rsid w:val="3FBA0331"/>
    <w:rsid w:val="3FD634AE"/>
    <w:rsid w:val="3FED73CA"/>
    <w:rsid w:val="3FFF0D63"/>
    <w:rsid w:val="3FFF5295"/>
    <w:rsid w:val="400D7496"/>
    <w:rsid w:val="403E177F"/>
    <w:rsid w:val="406229AA"/>
    <w:rsid w:val="407C3CE0"/>
    <w:rsid w:val="407D38D8"/>
    <w:rsid w:val="409967C5"/>
    <w:rsid w:val="40B12BC3"/>
    <w:rsid w:val="40B82BB4"/>
    <w:rsid w:val="40ED2D73"/>
    <w:rsid w:val="413A7C08"/>
    <w:rsid w:val="41455B37"/>
    <w:rsid w:val="418E5F2D"/>
    <w:rsid w:val="419C71F1"/>
    <w:rsid w:val="41AA7E94"/>
    <w:rsid w:val="41E71E7C"/>
    <w:rsid w:val="41E74AF3"/>
    <w:rsid w:val="420C31B7"/>
    <w:rsid w:val="422407FA"/>
    <w:rsid w:val="423E17B3"/>
    <w:rsid w:val="424220D4"/>
    <w:rsid w:val="42445805"/>
    <w:rsid w:val="42495E5B"/>
    <w:rsid w:val="425863FC"/>
    <w:rsid w:val="42721D10"/>
    <w:rsid w:val="427B7E0A"/>
    <w:rsid w:val="42AB25D2"/>
    <w:rsid w:val="430922DE"/>
    <w:rsid w:val="43214E84"/>
    <w:rsid w:val="432D4169"/>
    <w:rsid w:val="433C4B7C"/>
    <w:rsid w:val="43466D40"/>
    <w:rsid w:val="436D237B"/>
    <w:rsid w:val="436F4184"/>
    <w:rsid w:val="439023E7"/>
    <w:rsid w:val="43E72417"/>
    <w:rsid w:val="44112439"/>
    <w:rsid w:val="44390A1E"/>
    <w:rsid w:val="445D316D"/>
    <w:rsid w:val="445F33CE"/>
    <w:rsid w:val="44773C85"/>
    <w:rsid w:val="448C6744"/>
    <w:rsid w:val="44B862B6"/>
    <w:rsid w:val="44CB55AC"/>
    <w:rsid w:val="44D47F78"/>
    <w:rsid w:val="44E0760E"/>
    <w:rsid w:val="4505352E"/>
    <w:rsid w:val="450B04D3"/>
    <w:rsid w:val="450B2EEB"/>
    <w:rsid w:val="450D1720"/>
    <w:rsid w:val="45124F88"/>
    <w:rsid w:val="45302890"/>
    <w:rsid w:val="454D61D6"/>
    <w:rsid w:val="455065A2"/>
    <w:rsid w:val="455C6204"/>
    <w:rsid w:val="45725A27"/>
    <w:rsid w:val="459040FF"/>
    <w:rsid w:val="459B1A18"/>
    <w:rsid w:val="459C2DEA"/>
    <w:rsid w:val="459D6299"/>
    <w:rsid w:val="45B24C53"/>
    <w:rsid w:val="45CA7936"/>
    <w:rsid w:val="45CB4558"/>
    <w:rsid w:val="45EA7156"/>
    <w:rsid w:val="45FD03CB"/>
    <w:rsid w:val="46001DBB"/>
    <w:rsid w:val="460A1A42"/>
    <w:rsid w:val="461B2CEA"/>
    <w:rsid w:val="46344BC0"/>
    <w:rsid w:val="464F558D"/>
    <w:rsid w:val="46912964"/>
    <w:rsid w:val="46AA422C"/>
    <w:rsid w:val="46AB6778"/>
    <w:rsid w:val="46C41A21"/>
    <w:rsid w:val="46DF0E9A"/>
    <w:rsid w:val="4712301E"/>
    <w:rsid w:val="471D19C3"/>
    <w:rsid w:val="475A49C5"/>
    <w:rsid w:val="476D4A88"/>
    <w:rsid w:val="4776384A"/>
    <w:rsid w:val="478A5DE8"/>
    <w:rsid w:val="478E2BD5"/>
    <w:rsid w:val="47994B3E"/>
    <w:rsid w:val="47AE7191"/>
    <w:rsid w:val="47C50090"/>
    <w:rsid w:val="47CA56A6"/>
    <w:rsid w:val="47E349BA"/>
    <w:rsid w:val="47ED5331"/>
    <w:rsid w:val="47F1517F"/>
    <w:rsid w:val="48166B3E"/>
    <w:rsid w:val="482A6164"/>
    <w:rsid w:val="483D6838"/>
    <w:rsid w:val="48460BD4"/>
    <w:rsid w:val="489C0AB3"/>
    <w:rsid w:val="48B16866"/>
    <w:rsid w:val="48B9571B"/>
    <w:rsid w:val="48C1200F"/>
    <w:rsid w:val="48CD3B3B"/>
    <w:rsid w:val="48F50E49"/>
    <w:rsid w:val="48FE5E63"/>
    <w:rsid w:val="490E1333"/>
    <w:rsid w:val="49374D2F"/>
    <w:rsid w:val="493B7FA3"/>
    <w:rsid w:val="494B1C31"/>
    <w:rsid w:val="49780393"/>
    <w:rsid w:val="49CD147E"/>
    <w:rsid w:val="49E7021F"/>
    <w:rsid w:val="4A0226B2"/>
    <w:rsid w:val="4A4A20C3"/>
    <w:rsid w:val="4A4A6F73"/>
    <w:rsid w:val="4A5B5B87"/>
    <w:rsid w:val="4A6C41E8"/>
    <w:rsid w:val="4A7A2BED"/>
    <w:rsid w:val="4A87524A"/>
    <w:rsid w:val="4A876BD5"/>
    <w:rsid w:val="4A8F3747"/>
    <w:rsid w:val="4ABB28A4"/>
    <w:rsid w:val="4ACA3C0F"/>
    <w:rsid w:val="4AD90601"/>
    <w:rsid w:val="4AEC1DD8"/>
    <w:rsid w:val="4B051763"/>
    <w:rsid w:val="4B0A20CC"/>
    <w:rsid w:val="4B125CE2"/>
    <w:rsid w:val="4B130351"/>
    <w:rsid w:val="4B29095D"/>
    <w:rsid w:val="4B305EF3"/>
    <w:rsid w:val="4B6B5CA5"/>
    <w:rsid w:val="4B9B5375"/>
    <w:rsid w:val="4B9C405B"/>
    <w:rsid w:val="4BA2243C"/>
    <w:rsid w:val="4BBC15C5"/>
    <w:rsid w:val="4BE531B2"/>
    <w:rsid w:val="4BFB077B"/>
    <w:rsid w:val="4C016EB6"/>
    <w:rsid w:val="4C252316"/>
    <w:rsid w:val="4C3752D5"/>
    <w:rsid w:val="4C53598B"/>
    <w:rsid w:val="4C6C740C"/>
    <w:rsid w:val="4C8178DF"/>
    <w:rsid w:val="4C89229E"/>
    <w:rsid w:val="4C8B089A"/>
    <w:rsid w:val="4CB93B0D"/>
    <w:rsid w:val="4CFB4554"/>
    <w:rsid w:val="4D01075E"/>
    <w:rsid w:val="4D1656C9"/>
    <w:rsid w:val="4D491763"/>
    <w:rsid w:val="4D5F117A"/>
    <w:rsid w:val="4D6C0257"/>
    <w:rsid w:val="4D7022F0"/>
    <w:rsid w:val="4D73058E"/>
    <w:rsid w:val="4D9965A1"/>
    <w:rsid w:val="4D9F3131"/>
    <w:rsid w:val="4DB01573"/>
    <w:rsid w:val="4DC31516"/>
    <w:rsid w:val="4DCB3B3C"/>
    <w:rsid w:val="4DF06083"/>
    <w:rsid w:val="4DF33A40"/>
    <w:rsid w:val="4E165819"/>
    <w:rsid w:val="4E400D3E"/>
    <w:rsid w:val="4E654D68"/>
    <w:rsid w:val="4E89065F"/>
    <w:rsid w:val="4EAA4AAC"/>
    <w:rsid w:val="4EAE2AF7"/>
    <w:rsid w:val="4EC51746"/>
    <w:rsid w:val="4ED845F9"/>
    <w:rsid w:val="4EDB2A04"/>
    <w:rsid w:val="4EE5726A"/>
    <w:rsid w:val="4F2935FA"/>
    <w:rsid w:val="4F5F526E"/>
    <w:rsid w:val="4F722566"/>
    <w:rsid w:val="4F807E63"/>
    <w:rsid w:val="4FAD53F7"/>
    <w:rsid w:val="4FC15B68"/>
    <w:rsid w:val="4FCB6BB8"/>
    <w:rsid w:val="4FDC2F48"/>
    <w:rsid w:val="4FDF2F1A"/>
    <w:rsid w:val="4FE84F30"/>
    <w:rsid w:val="50002DC1"/>
    <w:rsid w:val="501A72E6"/>
    <w:rsid w:val="503C7D20"/>
    <w:rsid w:val="506121EE"/>
    <w:rsid w:val="507F7CA4"/>
    <w:rsid w:val="50993AFB"/>
    <w:rsid w:val="50A804AB"/>
    <w:rsid w:val="50BC0F04"/>
    <w:rsid w:val="50D71373"/>
    <w:rsid w:val="51025EB1"/>
    <w:rsid w:val="510E79A5"/>
    <w:rsid w:val="51203E0D"/>
    <w:rsid w:val="5126428B"/>
    <w:rsid w:val="514B171A"/>
    <w:rsid w:val="514E19D5"/>
    <w:rsid w:val="514F3B40"/>
    <w:rsid w:val="515802E8"/>
    <w:rsid w:val="516D33FB"/>
    <w:rsid w:val="518E70C9"/>
    <w:rsid w:val="51962C61"/>
    <w:rsid w:val="5197226B"/>
    <w:rsid w:val="51986D55"/>
    <w:rsid w:val="51AB289F"/>
    <w:rsid w:val="51DB26B7"/>
    <w:rsid w:val="52085A22"/>
    <w:rsid w:val="52150CE3"/>
    <w:rsid w:val="523D010F"/>
    <w:rsid w:val="52470D8A"/>
    <w:rsid w:val="525748A7"/>
    <w:rsid w:val="526A01B2"/>
    <w:rsid w:val="52905072"/>
    <w:rsid w:val="529812A1"/>
    <w:rsid w:val="52A15587"/>
    <w:rsid w:val="52AE4D6E"/>
    <w:rsid w:val="52DA23CD"/>
    <w:rsid w:val="52E651F1"/>
    <w:rsid w:val="52FE2671"/>
    <w:rsid w:val="53093B64"/>
    <w:rsid w:val="531C63D9"/>
    <w:rsid w:val="532365B3"/>
    <w:rsid w:val="53290807"/>
    <w:rsid w:val="5338205E"/>
    <w:rsid w:val="53510468"/>
    <w:rsid w:val="53527BB3"/>
    <w:rsid w:val="53675D9C"/>
    <w:rsid w:val="536D1EC6"/>
    <w:rsid w:val="537B63EF"/>
    <w:rsid w:val="53A17413"/>
    <w:rsid w:val="53B92A73"/>
    <w:rsid w:val="53C61698"/>
    <w:rsid w:val="53C9515E"/>
    <w:rsid w:val="53D27C3B"/>
    <w:rsid w:val="53DF072C"/>
    <w:rsid w:val="541D3002"/>
    <w:rsid w:val="54221C3D"/>
    <w:rsid w:val="544356C5"/>
    <w:rsid w:val="54631EC2"/>
    <w:rsid w:val="546450D5"/>
    <w:rsid w:val="546E00CE"/>
    <w:rsid w:val="547215A0"/>
    <w:rsid w:val="5474391D"/>
    <w:rsid w:val="54DF7A10"/>
    <w:rsid w:val="54E23F51"/>
    <w:rsid w:val="54E36B78"/>
    <w:rsid w:val="54F02344"/>
    <w:rsid w:val="54F40207"/>
    <w:rsid w:val="550A1892"/>
    <w:rsid w:val="551D5015"/>
    <w:rsid w:val="55200FFC"/>
    <w:rsid w:val="552564A8"/>
    <w:rsid w:val="552A05FB"/>
    <w:rsid w:val="55384597"/>
    <w:rsid w:val="554967A4"/>
    <w:rsid w:val="554C1DF1"/>
    <w:rsid w:val="55563F10"/>
    <w:rsid w:val="55670BDC"/>
    <w:rsid w:val="55833339"/>
    <w:rsid w:val="559316B9"/>
    <w:rsid w:val="55B564C7"/>
    <w:rsid w:val="55BC7B96"/>
    <w:rsid w:val="55C474C6"/>
    <w:rsid w:val="55CA6663"/>
    <w:rsid w:val="55D06994"/>
    <w:rsid w:val="55E045AF"/>
    <w:rsid w:val="55F2568F"/>
    <w:rsid w:val="55FB55C5"/>
    <w:rsid w:val="55FF05E0"/>
    <w:rsid w:val="5628772B"/>
    <w:rsid w:val="562F5E3A"/>
    <w:rsid w:val="564737B1"/>
    <w:rsid w:val="56713378"/>
    <w:rsid w:val="56737851"/>
    <w:rsid w:val="567C6706"/>
    <w:rsid w:val="569D43CC"/>
    <w:rsid w:val="56BD255D"/>
    <w:rsid w:val="56C36665"/>
    <w:rsid w:val="56CB4F97"/>
    <w:rsid w:val="56E15C15"/>
    <w:rsid w:val="56EE2853"/>
    <w:rsid w:val="57216F3E"/>
    <w:rsid w:val="57331A5F"/>
    <w:rsid w:val="574F278C"/>
    <w:rsid w:val="57545232"/>
    <w:rsid w:val="57603931"/>
    <w:rsid w:val="57651CD4"/>
    <w:rsid w:val="57680A38"/>
    <w:rsid w:val="576F626A"/>
    <w:rsid w:val="577008D3"/>
    <w:rsid w:val="577C01E6"/>
    <w:rsid w:val="57B62609"/>
    <w:rsid w:val="57BD5228"/>
    <w:rsid w:val="57C17878"/>
    <w:rsid w:val="57D7442E"/>
    <w:rsid w:val="58211E24"/>
    <w:rsid w:val="583E1204"/>
    <w:rsid w:val="58894202"/>
    <w:rsid w:val="58906498"/>
    <w:rsid w:val="58AA2D6A"/>
    <w:rsid w:val="58AD7EC6"/>
    <w:rsid w:val="58B02363"/>
    <w:rsid w:val="58E42340"/>
    <w:rsid w:val="59036C6A"/>
    <w:rsid w:val="59143BCD"/>
    <w:rsid w:val="592D0F8B"/>
    <w:rsid w:val="59331108"/>
    <w:rsid w:val="594E2BD8"/>
    <w:rsid w:val="59670478"/>
    <w:rsid w:val="596E7F89"/>
    <w:rsid w:val="596F6281"/>
    <w:rsid w:val="59722042"/>
    <w:rsid w:val="597D3EA4"/>
    <w:rsid w:val="59844F70"/>
    <w:rsid w:val="5988764A"/>
    <w:rsid w:val="59AA7659"/>
    <w:rsid w:val="59D63A74"/>
    <w:rsid w:val="59DB7B54"/>
    <w:rsid w:val="59E44CEE"/>
    <w:rsid w:val="5A03119E"/>
    <w:rsid w:val="5A0C1B4F"/>
    <w:rsid w:val="5A134117"/>
    <w:rsid w:val="5A2D0CE1"/>
    <w:rsid w:val="5A2E48FE"/>
    <w:rsid w:val="5A371CB1"/>
    <w:rsid w:val="5A3D4EC9"/>
    <w:rsid w:val="5A455061"/>
    <w:rsid w:val="5A51252E"/>
    <w:rsid w:val="5A5828FD"/>
    <w:rsid w:val="5A6C21E6"/>
    <w:rsid w:val="5A7A6C24"/>
    <w:rsid w:val="5A7D47FA"/>
    <w:rsid w:val="5A7F45F4"/>
    <w:rsid w:val="5A8E2EAB"/>
    <w:rsid w:val="5A9814A2"/>
    <w:rsid w:val="5AA66816"/>
    <w:rsid w:val="5AC52078"/>
    <w:rsid w:val="5B1C58AD"/>
    <w:rsid w:val="5B4332E6"/>
    <w:rsid w:val="5B4A15D2"/>
    <w:rsid w:val="5B7E6DA0"/>
    <w:rsid w:val="5B7E7DD1"/>
    <w:rsid w:val="5B85620A"/>
    <w:rsid w:val="5B920779"/>
    <w:rsid w:val="5BB01BF8"/>
    <w:rsid w:val="5BC546AB"/>
    <w:rsid w:val="5BC7502B"/>
    <w:rsid w:val="5BCB77E7"/>
    <w:rsid w:val="5BE14DCE"/>
    <w:rsid w:val="5BE30FD5"/>
    <w:rsid w:val="5BEE3D39"/>
    <w:rsid w:val="5BF35139"/>
    <w:rsid w:val="5C083989"/>
    <w:rsid w:val="5C0F5579"/>
    <w:rsid w:val="5C187D73"/>
    <w:rsid w:val="5C2D3BC9"/>
    <w:rsid w:val="5C353BC0"/>
    <w:rsid w:val="5C361105"/>
    <w:rsid w:val="5C370562"/>
    <w:rsid w:val="5C3F445D"/>
    <w:rsid w:val="5C4F1B7F"/>
    <w:rsid w:val="5C57280E"/>
    <w:rsid w:val="5C614EB7"/>
    <w:rsid w:val="5C683425"/>
    <w:rsid w:val="5C835883"/>
    <w:rsid w:val="5C9E0805"/>
    <w:rsid w:val="5CBF559E"/>
    <w:rsid w:val="5CC2624E"/>
    <w:rsid w:val="5CCB085E"/>
    <w:rsid w:val="5CD24647"/>
    <w:rsid w:val="5CDE01FB"/>
    <w:rsid w:val="5CEF5473"/>
    <w:rsid w:val="5D292B67"/>
    <w:rsid w:val="5D2B27E7"/>
    <w:rsid w:val="5D4E7A36"/>
    <w:rsid w:val="5D5C2B8C"/>
    <w:rsid w:val="5D6879E4"/>
    <w:rsid w:val="5D702335"/>
    <w:rsid w:val="5D9675D1"/>
    <w:rsid w:val="5DB76275"/>
    <w:rsid w:val="5DC21086"/>
    <w:rsid w:val="5DD449DE"/>
    <w:rsid w:val="5DD53A3A"/>
    <w:rsid w:val="5DF018A9"/>
    <w:rsid w:val="5E1D0EB8"/>
    <w:rsid w:val="5E211941"/>
    <w:rsid w:val="5E3706B3"/>
    <w:rsid w:val="5E6C677E"/>
    <w:rsid w:val="5E83582A"/>
    <w:rsid w:val="5EB804F7"/>
    <w:rsid w:val="5ED35BCD"/>
    <w:rsid w:val="5ED837A7"/>
    <w:rsid w:val="5EEF6FEA"/>
    <w:rsid w:val="5F02536D"/>
    <w:rsid w:val="5F227739"/>
    <w:rsid w:val="5F2E0A3F"/>
    <w:rsid w:val="5F63289D"/>
    <w:rsid w:val="5F827AE1"/>
    <w:rsid w:val="5FDE5D3B"/>
    <w:rsid w:val="5FE274DC"/>
    <w:rsid w:val="5FF53A9E"/>
    <w:rsid w:val="60335F84"/>
    <w:rsid w:val="603B7746"/>
    <w:rsid w:val="605A694F"/>
    <w:rsid w:val="6078689C"/>
    <w:rsid w:val="60A01243"/>
    <w:rsid w:val="60AE6D2D"/>
    <w:rsid w:val="60B665BB"/>
    <w:rsid w:val="60D85A3C"/>
    <w:rsid w:val="60F817F0"/>
    <w:rsid w:val="60F86642"/>
    <w:rsid w:val="61072A71"/>
    <w:rsid w:val="6110157B"/>
    <w:rsid w:val="611807AB"/>
    <w:rsid w:val="6132417C"/>
    <w:rsid w:val="617C5EFC"/>
    <w:rsid w:val="61863E03"/>
    <w:rsid w:val="619E0630"/>
    <w:rsid w:val="61A0093F"/>
    <w:rsid w:val="61A54BBF"/>
    <w:rsid w:val="61D45648"/>
    <w:rsid w:val="61F31DDA"/>
    <w:rsid w:val="61F53C4A"/>
    <w:rsid w:val="620D6DAC"/>
    <w:rsid w:val="620E0D6B"/>
    <w:rsid w:val="62100056"/>
    <w:rsid w:val="62241762"/>
    <w:rsid w:val="623E733C"/>
    <w:rsid w:val="624C4D00"/>
    <w:rsid w:val="624C5D09"/>
    <w:rsid w:val="62741411"/>
    <w:rsid w:val="628C5A67"/>
    <w:rsid w:val="62976B71"/>
    <w:rsid w:val="62B527FD"/>
    <w:rsid w:val="62CF4CB0"/>
    <w:rsid w:val="62DE42A4"/>
    <w:rsid w:val="62F03988"/>
    <w:rsid w:val="631E1955"/>
    <w:rsid w:val="63302D52"/>
    <w:rsid w:val="633D0FCB"/>
    <w:rsid w:val="63473BF7"/>
    <w:rsid w:val="634C3A6D"/>
    <w:rsid w:val="63584057"/>
    <w:rsid w:val="63634A02"/>
    <w:rsid w:val="637D1D0F"/>
    <w:rsid w:val="639F780F"/>
    <w:rsid w:val="63A42C09"/>
    <w:rsid w:val="63B62CA6"/>
    <w:rsid w:val="63D23E09"/>
    <w:rsid w:val="63D35046"/>
    <w:rsid w:val="63D44CF6"/>
    <w:rsid w:val="63DD630A"/>
    <w:rsid w:val="64015B4D"/>
    <w:rsid w:val="6442474E"/>
    <w:rsid w:val="64551B80"/>
    <w:rsid w:val="646B48B3"/>
    <w:rsid w:val="64720042"/>
    <w:rsid w:val="648D7D30"/>
    <w:rsid w:val="649F304B"/>
    <w:rsid w:val="64E0414E"/>
    <w:rsid w:val="64E22F8E"/>
    <w:rsid w:val="64E240D7"/>
    <w:rsid w:val="64FA153B"/>
    <w:rsid w:val="650637AD"/>
    <w:rsid w:val="65782887"/>
    <w:rsid w:val="657C16AB"/>
    <w:rsid w:val="659B647C"/>
    <w:rsid w:val="65E63E7D"/>
    <w:rsid w:val="65FA7647"/>
    <w:rsid w:val="65FB36BB"/>
    <w:rsid w:val="65FE2C10"/>
    <w:rsid w:val="660109D5"/>
    <w:rsid w:val="66100C18"/>
    <w:rsid w:val="66112F46"/>
    <w:rsid w:val="66154481"/>
    <w:rsid w:val="661A55F3"/>
    <w:rsid w:val="661A65B0"/>
    <w:rsid w:val="66437CA8"/>
    <w:rsid w:val="66597569"/>
    <w:rsid w:val="66611474"/>
    <w:rsid w:val="66774BF1"/>
    <w:rsid w:val="6681025D"/>
    <w:rsid w:val="66874CFB"/>
    <w:rsid w:val="6693470A"/>
    <w:rsid w:val="66976C44"/>
    <w:rsid w:val="66B12CDA"/>
    <w:rsid w:val="66B834A9"/>
    <w:rsid w:val="66D71736"/>
    <w:rsid w:val="66D9301B"/>
    <w:rsid w:val="66E25F27"/>
    <w:rsid w:val="66E46D33"/>
    <w:rsid w:val="66E738EA"/>
    <w:rsid w:val="66F343CA"/>
    <w:rsid w:val="670A5758"/>
    <w:rsid w:val="671416A5"/>
    <w:rsid w:val="671F55B7"/>
    <w:rsid w:val="67211C6F"/>
    <w:rsid w:val="67351044"/>
    <w:rsid w:val="67486456"/>
    <w:rsid w:val="674F2330"/>
    <w:rsid w:val="676E4A29"/>
    <w:rsid w:val="6780592A"/>
    <w:rsid w:val="678B4999"/>
    <w:rsid w:val="67A755AC"/>
    <w:rsid w:val="67C63C85"/>
    <w:rsid w:val="67EA12D9"/>
    <w:rsid w:val="680726BA"/>
    <w:rsid w:val="68107747"/>
    <w:rsid w:val="682C0284"/>
    <w:rsid w:val="68336E0E"/>
    <w:rsid w:val="683879EA"/>
    <w:rsid w:val="683E10BF"/>
    <w:rsid w:val="684C6BA2"/>
    <w:rsid w:val="68506E3A"/>
    <w:rsid w:val="685E5C6B"/>
    <w:rsid w:val="68710230"/>
    <w:rsid w:val="687A273F"/>
    <w:rsid w:val="68856E84"/>
    <w:rsid w:val="68921D55"/>
    <w:rsid w:val="68A613C0"/>
    <w:rsid w:val="68B22991"/>
    <w:rsid w:val="68BF5C64"/>
    <w:rsid w:val="69010363"/>
    <w:rsid w:val="69012A9A"/>
    <w:rsid w:val="696F3C02"/>
    <w:rsid w:val="697524A5"/>
    <w:rsid w:val="69912070"/>
    <w:rsid w:val="69A21587"/>
    <w:rsid w:val="69A63060"/>
    <w:rsid w:val="69C73CE4"/>
    <w:rsid w:val="69D15A6B"/>
    <w:rsid w:val="69DB3261"/>
    <w:rsid w:val="6A2269C2"/>
    <w:rsid w:val="6A286211"/>
    <w:rsid w:val="6A3053E5"/>
    <w:rsid w:val="6A446CDF"/>
    <w:rsid w:val="6AB6231D"/>
    <w:rsid w:val="6AB84A5D"/>
    <w:rsid w:val="6AD36841"/>
    <w:rsid w:val="6AEC2279"/>
    <w:rsid w:val="6B1944A5"/>
    <w:rsid w:val="6B2038ED"/>
    <w:rsid w:val="6B307E26"/>
    <w:rsid w:val="6B421F06"/>
    <w:rsid w:val="6B4A0B61"/>
    <w:rsid w:val="6B4D39D0"/>
    <w:rsid w:val="6B4E3680"/>
    <w:rsid w:val="6B643451"/>
    <w:rsid w:val="6BA52D97"/>
    <w:rsid w:val="6BF27A3D"/>
    <w:rsid w:val="6BF84629"/>
    <w:rsid w:val="6C435B90"/>
    <w:rsid w:val="6C5A07C5"/>
    <w:rsid w:val="6C5A791C"/>
    <w:rsid w:val="6C60002E"/>
    <w:rsid w:val="6C77554D"/>
    <w:rsid w:val="6C8A7920"/>
    <w:rsid w:val="6C8B40D0"/>
    <w:rsid w:val="6CA94BAE"/>
    <w:rsid w:val="6CB43CDF"/>
    <w:rsid w:val="6CB72EF1"/>
    <w:rsid w:val="6CBC22F5"/>
    <w:rsid w:val="6CC35974"/>
    <w:rsid w:val="6CD16584"/>
    <w:rsid w:val="6CD7423E"/>
    <w:rsid w:val="6CE7152D"/>
    <w:rsid w:val="6CF65B51"/>
    <w:rsid w:val="6CFD2B2E"/>
    <w:rsid w:val="6D02066A"/>
    <w:rsid w:val="6D0375D3"/>
    <w:rsid w:val="6D0E70AD"/>
    <w:rsid w:val="6D392803"/>
    <w:rsid w:val="6D4026BC"/>
    <w:rsid w:val="6D5B09CB"/>
    <w:rsid w:val="6D6B65D4"/>
    <w:rsid w:val="6D765805"/>
    <w:rsid w:val="6D9C4479"/>
    <w:rsid w:val="6DC36570"/>
    <w:rsid w:val="6DC76061"/>
    <w:rsid w:val="6DC942E7"/>
    <w:rsid w:val="6E046768"/>
    <w:rsid w:val="6E1B015A"/>
    <w:rsid w:val="6E25722B"/>
    <w:rsid w:val="6E377B4A"/>
    <w:rsid w:val="6E3A4A84"/>
    <w:rsid w:val="6E421B8B"/>
    <w:rsid w:val="6E7824A5"/>
    <w:rsid w:val="6E99562C"/>
    <w:rsid w:val="6EBF142E"/>
    <w:rsid w:val="6ECA7E4F"/>
    <w:rsid w:val="6EE52C8E"/>
    <w:rsid w:val="6F202A5D"/>
    <w:rsid w:val="6F2B5F77"/>
    <w:rsid w:val="6F466764"/>
    <w:rsid w:val="6F50730C"/>
    <w:rsid w:val="6F8921DB"/>
    <w:rsid w:val="6FD93890"/>
    <w:rsid w:val="6FDF5799"/>
    <w:rsid w:val="6FED2045"/>
    <w:rsid w:val="700510C2"/>
    <w:rsid w:val="70286C91"/>
    <w:rsid w:val="703136BE"/>
    <w:rsid w:val="704C254A"/>
    <w:rsid w:val="70514307"/>
    <w:rsid w:val="70657DB3"/>
    <w:rsid w:val="707D760B"/>
    <w:rsid w:val="70B83967"/>
    <w:rsid w:val="70D713B9"/>
    <w:rsid w:val="70F144DF"/>
    <w:rsid w:val="70F25AEA"/>
    <w:rsid w:val="71214362"/>
    <w:rsid w:val="712F289B"/>
    <w:rsid w:val="713F1985"/>
    <w:rsid w:val="7146489B"/>
    <w:rsid w:val="716024DB"/>
    <w:rsid w:val="716431D0"/>
    <w:rsid w:val="71714987"/>
    <w:rsid w:val="71E26274"/>
    <w:rsid w:val="72043351"/>
    <w:rsid w:val="721009A0"/>
    <w:rsid w:val="72362B62"/>
    <w:rsid w:val="72384CAA"/>
    <w:rsid w:val="72435ED2"/>
    <w:rsid w:val="725312BD"/>
    <w:rsid w:val="725956F5"/>
    <w:rsid w:val="7263003C"/>
    <w:rsid w:val="726447C6"/>
    <w:rsid w:val="7267095B"/>
    <w:rsid w:val="72693BAA"/>
    <w:rsid w:val="729E37F1"/>
    <w:rsid w:val="72A0751B"/>
    <w:rsid w:val="72BD3ED6"/>
    <w:rsid w:val="72C72C5E"/>
    <w:rsid w:val="72CA1FCD"/>
    <w:rsid w:val="73016C5F"/>
    <w:rsid w:val="731C0BFD"/>
    <w:rsid w:val="731F586B"/>
    <w:rsid w:val="7345352C"/>
    <w:rsid w:val="73724CC1"/>
    <w:rsid w:val="73AB0567"/>
    <w:rsid w:val="73BE0B26"/>
    <w:rsid w:val="73BE2590"/>
    <w:rsid w:val="73DA348C"/>
    <w:rsid w:val="73EB6C07"/>
    <w:rsid w:val="73F451FA"/>
    <w:rsid w:val="74016E6F"/>
    <w:rsid w:val="740B3D8A"/>
    <w:rsid w:val="74381A66"/>
    <w:rsid w:val="745E3FF9"/>
    <w:rsid w:val="74805907"/>
    <w:rsid w:val="74A16512"/>
    <w:rsid w:val="74A569D0"/>
    <w:rsid w:val="74B72109"/>
    <w:rsid w:val="74C73832"/>
    <w:rsid w:val="74C92171"/>
    <w:rsid w:val="74D214FB"/>
    <w:rsid w:val="74EC2236"/>
    <w:rsid w:val="74EE65C9"/>
    <w:rsid w:val="750E27C7"/>
    <w:rsid w:val="7513602F"/>
    <w:rsid w:val="751C693A"/>
    <w:rsid w:val="75255DEA"/>
    <w:rsid w:val="752B5127"/>
    <w:rsid w:val="755F74C6"/>
    <w:rsid w:val="756B757E"/>
    <w:rsid w:val="758E7CA8"/>
    <w:rsid w:val="75CD2919"/>
    <w:rsid w:val="75DE5505"/>
    <w:rsid w:val="75E672A0"/>
    <w:rsid w:val="75ED2186"/>
    <w:rsid w:val="76037EB7"/>
    <w:rsid w:val="76161308"/>
    <w:rsid w:val="76226AA7"/>
    <w:rsid w:val="7640715B"/>
    <w:rsid w:val="764D1319"/>
    <w:rsid w:val="766F6CE0"/>
    <w:rsid w:val="7670482A"/>
    <w:rsid w:val="767B0051"/>
    <w:rsid w:val="76851867"/>
    <w:rsid w:val="76982E7D"/>
    <w:rsid w:val="76AC04E9"/>
    <w:rsid w:val="76B455F0"/>
    <w:rsid w:val="76D20363"/>
    <w:rsid w:val="77181058"/>
    <w:rsid w:val="771C3776"/>
    <w:rsid w:val="77476464"/>
    <w:rsid w:val="774D4614"/>
    <w:rsid w:val="776C2D57"/>
    <w:rsid w:val="777A4144"/>
    <w:rsid w:val="777C6CC3"/>
    <w:rsid w:val="779E5CE1"/>
    <w:rsid w:val="77B07B65"/>
    <w:rsid w:val="77E757C4"/>
    <w:rsid w:val="77F32A79"/>
    <w:rsid w:val="77F3781A"/>
    <w:rsid w:val="77F529DD"/>
    <w:rsid w:val="78015C44"/>
    <w:rsid w:val="780F0D30"/>
    <w:rsid w:val="780F5AA2"/>
    <w:rsid w:val="781F2D35"/>
    <w:rsid w:val="7829205B"/>
    <w:rsid w:val="782F093D"/>
    <w:rsid w:val="78436C2C"/>
    <w:rsid w:val="784827D5"/>
    <w:rsid w:val="78556303"/>
    <w:rsid w:val="7863107C"/>
    <w:rsid w:val="78787ADB"/>
    <w:rsid w:val="787E1A12"/>
    <w:rsid w:val="787E71EA"/>
    <w:rsid w:val="78917997"/>
    <w:rsid w:val="78E84DF7"/>
    <w:rsid w:val="79593081"/>
    <w:rsid w:val="795B1D53"/>
    <w:rsid w:val="796B643A"/>
    <w:rsid w:val="79773031"/>
    <w:rsid w:val="797C23F5"/>
    <w:rsid w:val="798412AA"/>
    <w:rsid w:val="79850F53"/>
    <w:rsid w:val="79B553DF"/>
    <w:rsid w:val="79C57617"/>
    <w:rsid w:val="79FA1348"/>
    <w:rsid w:val="7A0C38A4"/>
    <w:rsid w:val="7A100D8F"/>
    <w:rsid w:val="7A145149"/>
    <w:rsid w:val="7A576C53"/>
    <w:rsid w:val="7A6B7986"/>
    <w:rsid w:val="7A7B710E"/>
    <w:rsid w:val="7A8016D2"/>
    <w:rsid w:val="7A861779"/>
    <w:rsid w:val="7A8C48BA"/>
    <w:rsid w:val="7AA535C1"/>
    <w:rsid w:val="7AC202DC"/>
    <w:rsid w:val="7B02475C"/>
    <w:rsid w:val="7B5D6256"/>
    <w:rsid w:val="7B5F4D1D"/>
    <w:rsid w:val="7BA335B7"/>
    <w:rsid w:val="7BAE34BE"/>
    <w:rsid w:val="7BF5086D"/>
    <w:rsid w:val="7BF546E1"/>
    <w:rsid w:val="7BFB0631"/>
    <w:rsid w:val="7C10151B"/>
    <w:rsid w:val="7C103FBF"/>
    <w:rsid w:val="7C3A66AB"/>
    <w:rsid w:val="7C4D3A13"/>
    <w:rsid w:val="7C4D58BB"/>
    <w:rsid w:val="7C601F61"/>
    <w:rsid w:val="7C9814F4"/>
    <w:rsid w:val="7CA01BE5"/>
    <w:rsid w:val="7CF27339"/>
    <w:rsid w:val="7CF37CD0"/>
    <w:rsid w:val="7CF9689B"/>
    <w:rsid w:val="7D054F48"/>
    <w:rsid w:val="7D0B583E"/>
    <w:rsid w:val="7D30787F"/>
    <w:rsid w:val="7D3D2D20"/>
    <w:rsid w:val="7D424252"/>
    <w:rsid w:val="7D42533E"/>
    <w:rsid w:val="7D68074E"/>
    <w:rsid w:val="7D733B0F"/>
    <w:rsid w:val="7DAB5C88"/>
    <w:rsid w:val="7DAC4D5F"/>
    <w:rsid w:val="7DB47DA9"/>
    <w:rsid w:val="7DCB74EA"/>
    <w:rsid w:val="7DF909B8"/>
    <w:rsid w:val="7E040C0B"/>
    <w:rsid w:val="7E0737C8"/>
    <w:rsid w:val="7E0B138E"/>
    <w:rsid w:val="7E0F1382"/>
    <w:rsid w:val="7E1917AC"/>
    <w:rsid w:val="7E2608AB"/>
    <w:rsid w:val="7E2F510B"/>
    <w:rsid w:val="7E37429F"/>
    <w:rsid w:val="7E4A1F20"/>
    <w:rsid w:val="7E8E56E5"/>
    <w:rsid w:val="7E9E3C4A"/>
    <w:rsid w:val="7EB33E0F"/>
    <w:rsid w:val="7EB937C3"/>
    <w:rsid w:val="7EC4246A"/>
    <w:rsid w:val="7EDC1B88"/>
    <w:rsid w:val="7F196534"/>
    <w:rsid w:val="7F4272B0"/>
    <w:rsid w:val="7F5A1607"/>
    <w:rsid w:val="7F810543"/>
    <w:rsid w:val="7F8518D8"/>
    <w:rsid w:val="7FA44C60"/>
    <w:rsid w:val="7FBE424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unhideWhenUsed/>
    <w:qFormat/>
    <w:uiPriority w:val="99"/>
    <w:pPr>
      <w:spacing w:after="120"/>
      <w:ind w:left="420" w:leftChars="200"/>
    </w:pPr>
    <w:rPr>
      <w:rFonts w:ascii="Calibri" w:hAnsi="Calibri"/>
      <w:szCs w:val="22"/>
    </w:rPr>
  </w:style>
  <w:style w:type="paragraph" w:styleId="4">
    <w:name w:val="toc 2"/>
    <w:basedOn w:val="1"/>
    <w:next w:val="1"/>
    <w:qFormat/>
    <w:uiPriority w:val="39"/>
    <w:pPr>
      <w:tabs>
        <w:tab w:val="right" w:leader="dot" w:pos="9629"/>
      </w:tabs>
      <w:ind w:left="480" w:leftChars="200"/>
    </w:pPr>
    <w:rPr>
      <w:b/>
    </w:rPr>
  </w:style>
  <w:style w:type="paragraph" w:styleId="9">
    <w:name w:val="annotation text"/>
    <w:basedOn w:val="1"/>
    <w:qFormat/>
    <w:uiPriority w:val="0"/>
    <w:pPr>
      <w:jc w:val="left"/>
    </w:pPr>
  </w:style>
  <w:style w:type="paragraph" w:styleId="10">
    <w:name w:val="Body Text"/>
    <w:basedOn w:val="1"/>
    <w:next w:val="11"/>
    <w:qFormat/>
    <w:uiPriority w:val="0"/>
    <w:rPr>
      <w:rFonts w:ascii="仿宋_GB2312" w:eastAsia="仿宋_GB2312"/>
      <w:sz w:val="32"/>
    </w:rPr>
  </w:style>
  <w:style w:type="paragraph" w:customStyle="1" w:styleId="11">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12">
    <w:name w:val="Plain Text"/>
    <w:basedOn w:val="1"/>
    <w:next w:val="1"/>
    <w:qFormat/>
    <w:uiPriority w:val="0"/>
    <w:rPr>
      <w:rFonts w:ascii="宋体" w:hAnsi="Courier New"/>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6">
    <w:name w:val="List"/>
    <w:basedOn w:val="1"/>
    <w:qFormat/>
    <w:uiPriority w:val="0"/>
    <w:pPr>
      <w:ind w:left="420" w:hanging="420"/>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9">
    <w:name w:val="Body Text First Indent"/>
    <w:basedOn w:val="10"/>
    <w:qFormat/>
    <w:uiPriority w:val="0"/>
    <w:pPr>
      <w:tabs>
        <w:tab w:val="left" w:pos="219"/>
        <w:tab w:val="left" w:pos="420"/>
        <w:tab w:val="left" w:pos="482"/>
        <w:tab w:val="left" w:pos="2183"/>
        <w:tab w:val="left" w:pos="3884"/>
        <w:tab w:val="left" w:pos="5585"/>
      </w:tabs>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Emphasis"/>
    <w:basedOn w:val="22"/>
    <w:qFormat/>
    <w:uiPriority w:val="0"/>
    <w:rPr>
      <w:i/>
    </w:rPr>
  </w:style>
  <w:style w:type="character" w:styleId="26">
    <w:name w:val="Hyperlink"/>
    <w:basedOn w:val="22"/>
    <w:qFormat/>
    <w:uiPriority w:val="99"/>
    <w:rPr>
      <w:rFonts w:cs="Times New Roman"/>
      <w:color w:val="1F4F88"/>
      <w:u w:val="none"/>
    </w:rPr>
  </w:style>
  <w:style w:type="character" w:styleId="27">
    <w:name w:val="annotation reference"/>
    <w:qFormat/>
    <w:uiPriority w:val="0"/>
    <w:rPr>
      <w:sz w:val="21"/>
      <w:szCs w:val="21"/>
    </w:rPr>
  </w:style>
  <w:style w:type="character" w:customStyle="1" w:styleId="28">
    <w:name w:val="NormalCharacter"/>
    <w:qFormat/>
    <w:uiPriority w:val="0"/>
  </w:style>
  <w:style w:type="paragraph" w:styleId="29">
    <w:name w:val="List Paragraph"/>
    <w:basedOn w:val="1"/>
    <w:qFormat/>
    <w:uiPriority w:val="34"/>
    <w:pPr>
      <w:ind w:firstLine="420" w:firstLineChars="200"/>
    </w:pPr>
    <w:rPr>
      <w:rFonts w:ascii="Calibri" w:hAnsi="Calibri" w:eastAsia="宋体" w:cs="Times New Roman"/>
      <w:szCs w:val="22"/>
    </w:rPr>
  </w:style>
  <w:style w:type="paragraph" w:customStyle="1" w:styleId="30">
    <w:name w:val="TOC 标题1"/>
    <w:basedOn w:val="5"/>
    <w:next w:val="1"/>
    <w:qFormat/>
    <w:uiPriority w:val="0"/>
    <w:pPr>
      <w:outlineLvl w:val="9"/>
    </w:pPr>
    <w:rPr>
      <w:rFonts w:ascii="Times New Roman" w:hAnsi="Times New Roman"/>
      <w:bCs/>
      <w:szCs w:val="44"/>
    </w:rPr>
  </w:style>
  <w:style w:type="paragraph" w:customStyle="1" w:styleId="31">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2">
    <w:name w:val="font11"/>
    <w:basedOn w:val="22"/>
    <w:qFormat/>
    <w:uiPriority w:val="0"/>
    <w:rPr>
      <w:rFonts w:hint="eastAsia" w:ascii="宋体" w:hAnsi="宋体" w:eastAsia="宋体" w:cs="宋体"/>
      <w:color w:val="000000"/>
      <w:sz w:val="24"/>
      <w:szCs w:val="24"/>
      <w:u w:val="none"/>
    </w:rPr>
  </w:style>
  <w:style w:type="character" w:customStyle="1" w:styleId="33">
    <w:name w:val="font21"/>
    <w:basedOn w:val="22"/>
    <w:qFormat/>
    <w:uiPriority w:val="0"/>
    <w:rPr>
      <w:rFonts w:hint="eastAsia" w:ascii="宋体" w:hAnsi="宋体" w:eastAsia="宋体" w:cs="宋体"/>
      <w:b/>
      <w:bCs/>
      <w:color w:val="000000"/>
      <w:sz w:val="24"/>
      <w:szCs w:val="24"/>
      <w:u w:val="none"/>
    </w:rPr>
  </w:style>
  <w:style w:type="character" w:customStyle="1" w:styleId="34">
    <w:name w:val="font61"/>
    <w:basedOn w:val="22"/>
    <w:qFormat/>
    <w:uiPriority w:val="0"/>
    <w:rPr>
      <w:rFonts w:hint="eastAsia" w:ascii="宋体" w:hAnsi="宋体" w:eastAsia="宋体" w:cs="宋体"/>
      <w:b/>
      <w:bCs/>
      <w:color w:val="000000"/>
      <w:sz w:val="24"/>
      <w:szCs w:val="24"/>
      <w:u w:val="none"/>
    </w:rPr>
  </w:style>
  <w:style w:type="character" w:customStyle="1" w:styleId="35">
    <w:name w:val="font41"/>
    <w:basedOn w:val="22"/>
    <w:qFormat/>
    <w:uiPriority w:val="0"/>
    <w:rPr>
      <w:rFonts w:hint="eastAsia" w:ascii="宋体" w:hAnsi="宋体" w:eastAsia="宋体" w:cs="宋体"/>
      <w:b/>
      <w:bCs/>
      <w:color w:val="000000"/>
      <w:sz w:val="24"/>
      <w:szCs w:val="24"/>
      <w:u w:val="none"/>
    </w:rPr>
  </w:style>
  <w:style w:type="paragraph" w:customStyle="1" w:styleId="36">
    <w:name w:val="标书二级标题"/>
    <w:basedOn w:val="6"/>
    <w:qFormat/>
    <w:uiPriority w:val="0"/>
    <w:pPr>
      <w:spacing w:before="0" w:after="0" w:line="240" w:lineRule="auto"/>
      <w:jc w:val="left"/>
    </w:pPr>
    <w:rPr>
      <w:rFonts w:ascii="宋体" w:hAnsi="宋体" w:cstheme="minorBidi"/>
      <w:b w:val="0"/>
      <w:sz w:val="28"/>
      <w:szCs w:val="30"/>
      <w:lang w:val="en-US" w:eastAsia="zh-CN"/>
    </w:rPr>
  </w:style>
  <w:style w:type="paragraph" w:customStyle="1" w:styleId="37">
    <w:name w:val="标书正文格式"/>
    <w:basedOn w:val="12"/>
    <w:qFormat/>
    <w:uiPriority w:val="0"/>
    <w:pPr>
      <w:spacing w:line="360" w:lineRule="auto"/>
      <w:ind w:firstLine="200" w:firstLineChars="200"/>
    </w:pPr>
    <w:rPr>
      <w:rFonts w:hAnsi="宋体" w:eastAsiaTheme="minorEastAsia"/>
      <w:color w:val="000000"/>
      <w:sz w:val="24"/>
      <w:szCs w:val="24"/>
    </w:rPr>
  </w:style>
  <w:style w:type="paragraph" w:customStyle="1" w:styleId="38">
    <w:name w:val="标书三级标题"/>
    <w:basedOn w:val="7"/>
    <w:next w:val="37"/>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表格"/>
    <w:basedOn w:val="1"/>
    <w:qFormat/>
    <w:uiPriority w:val="0"/>
    <w:pPr>
      <w:jc w:val="center"/>
    </w:pPr>
    <w:rPr>
      <w:rFonts w:asciiTheme="minorHAnsi" w:hAnsiTheme="minorHAnsi" w:eastAsiaTheme="minorEastAsia" w:cstheme="minorBidi"/>
      <w:b/>
      <w:szCs w:val="22"/>
    </w:rPr>
  </w:style>
  <w:style w:type="paragraph" w:customStyle="1" w:styleId="40">
    <w:name w:val="标书一级标题"/>
    <w:basedOn w:val="5"/>
    <w:qFormat/>
    <w:uiPriority w:val="0"/>
    <w:pPr>
      <w:spacing w:before="0" w:after="0" w:line="240" w:lineRule="auto"/>
      <w:jc w:val="center"/>
    </w:pPr>
    <w:rPr>
      <w:rFonts w:eastAsia="黑体" w:asciiTheme="minorHAnsi" w:hAnsiTheme="minorHAnsi" w:cstheme="minorBidi"/>
      <w:b w:val="0"/>
      <w:color w:val="000000"/>
      <w:sz w:val="30"/>
      <w:szCs w:val="24"/>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10395</Words>
  <Characters>10882</Characters>
  <Lines>0</Lines>
  <Paragraphs>0</Paragraphs>
  <TotalTime>7</TotalTime>
  <ScaleCrop>false</ScaleCrop>
  <LinksUpToDate>false</LinksUpToDate>
  <CharactersWithSpaces>11293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2026-01-23T02:13:01Z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