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AE79B">
      <w:pPr>
        <w:ind w:right="-1418" w:rightChars="-675"/>
        <w:rPr>
          <w:rFonts w:ascii="宋体" w:hAnsi="Calibri" w:eastAsia="宋体" w:cs="Times New Roman"/>
          <w:color w:val="000000"/>
          <w:sz w:val="30"/>
          <w:szCs w:val="30"/>
          <w:highlight w:val="none"/>
        </w:rPr>
      </w:pPr>
      <w:bookmarkStart w:id="0" w:name="_Toc20822"/>
    </w:p>
    <w:p w14:paraId="61131758">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5C8796C3">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电性能测试系统</w:t>
      </w:r>
    </w:p>
    <w:p w14:paraId="17681D8C">
      <w:pPr>
        <w:spacing w:line="276" w:lineRule="auto"/>
        <w:jc w:val="center"/>
        <w:rPr>
          <w:rFonts w:ascii="Calibri" w:hAnsi="Calibri" w:eastAsia="宋体" w:cs="Times New Roman"/>
          <w:color w:val="000000"/>
          <w:sz w:val="28"/>
          <w:szCs w:val="28"/>
          <w:highlight w:val="none"/>
        </w:rPr>
      </w:pPr>
      <w:r>
        <w:rPr>
          <w:rFonts w:hint="eastAsia" w:ascii="Calibri" w:hAnsi="宋体" w:eastAsia="宋体" w:cs="Times New Roman"/>
          <w:b/>
          <w:bCs/>
          <w:color w:val="000000"/>
          <w:spacing w:val="-8"/>
          <w:sz w:val="48"/>
          <w:szCs w:val="44"/>
          <w:highlight w:val="none"/>
        </w:rPr>
        <w:t>招标项目</w:t>
      </w:r>
      <w:r>
        <w:rPr>
          <w:rFonts w:ascii="Calibri" w:hAnsi="Calibri" w:eastAsia="宋体" w:cs="Times New Roman"/>
          <w:b/>
          <w:bCs/>
          <w:color w:val="000000"/>
          <w:spacing w:val="-8"/>
          <w:sz w:val="48"/>
          <w:szCs w:val="44"/>
          <w:highlight w:val="none"/>
        </w:rPr>
        <w:t xml:space="preserve"> </w:t>
      </w:r>
      <w:r>
        <w:rPr>
          <w:rFonts w:hint="eastAsia" w:ascii="Calibri" w:hAnsi="宋体" w:eastAsia="宋体" w:cs="Times New Roman"/>
          <w:b/>
          <w:bCs/>
          <w:color w:val="000000"/>
          <w:spacing w:val="-8"/>
          <w:sz w:val="48"/>
          <w:szCs w:val="44"/>
          <w:highlight w:val="none"/>
        </w:rPr>
        <w:t xml:space="preserve"> </w:t>
      </w:r>
      <w:r>
        <w:rPr>
          <w:rFonts w:ascii="Calibri" w:hAnsi="Calibri" w:eastAsia="宋体" w:cs="Times New Roman"/>
          <w:b/>
          <w:bCs/>
          <w:color w:val="000000"/>
          <w:spacing w:val="-8"/>
          <w:sz w:val="48"/>
          <w:szCs w:val="44"/>
          <w:highlight w:val="none"/>
        </w:rPr>
        <w:t xml:space="preserve"> </w:t>
      </w:r>
      <w:r>
        <w:rPr>
          <w:rFonts w:hint="eastAsia" w:ascii="Calibri" w:hAnsi="Calibri" w:eastAsia="宋体" w:cs="Times New Roman"/>
          <w:color w:val="000000"/>
          <w:sz w:val="28"/>
          <w:szCs w:val="28"/>
          <w:highlight w:val="none"/>
        </w:rPr>
        <w:t xml:space="preserve">                            </w:t>
      </w:r>
    </w:p>
    <w:p w14:paraId="4B6E0B1D">
      <w:pPr>
        <w:wordWrap w:val="0"/>
        <w:rPr>
          <w:rFonts w:ascii="Calibri" w:hAnsi="Calibri" w:eastAsia="宋体" w:cs="Times New Roman"/>
          <w:color w:val="000000"/>
          <w:sz w:val="28"/>
          <w:szCs w:val="28"/>
          <w:highlight w:val="none"/>
        </w:rPr>
      </w:pPr>
      <w:r>
        <w:rPr>
          <w:rFonts w:ascii="Calibri" w:hAnsi="Calibri" w:eastAsia="宋体" w:cs="Times New Roman"/>
          <w:color w:val="000000"/>
          <w:sz w:val="28"/>
          <w:szCs w:val="28"/>
          <w:highlight w:val="none"/>
        </w:rPr>
        <w:t xml:space="preserve">       </w:t>
      </w:r>
    </w:p>
    <w:p w14:paraId="08C74341">
      <w:pPr>
        <w:jc w:val="right"/>
        <w:rPr>
          <w:rFonts w:ascii="Calibri" w:hAnsi="Calibri" w:eastAsia="宋体" w:cs="Times New Roman"/>
          <w:color w:val="000000"/>
          <w:sz w:val="28"/>
          <w:szCs w:val="28"/>
          <w:highlight w:val="none"/>
        </w:rPr>
      </w:pPr>
    </w:p>
    <w:p w14:paraId="6DA37B45">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7985AAA4">
      <w:pPr>
        <w:jc w:val="center"/>
        <w:rPr>
          <w:rFonts w:ascii="黑体" w:hAnsi="宋体" w:eastAsia="黑体" w:cs="Times New Roman"/>
          <w:color w:val="000000"/>
          <w:sz w:val="72"/>
          <w:szCs w:val="72"/>
          <w:highlight w:val="none"/>
        </w:rPr>
      </w:pPr>
    </w:p>
    <w:p w14:paraId="524846C5">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3E35148C">
      <w:pPr>
        <w:jc w:val="center"/>
        <w:rPr>
          <w:rFonts w:ascii="黑体" w:hAnsi="宋体" w:eastAsia="黑体" w:cs="Times New Roman"/>
          <w:color w:val="000000"/>
          <w:sz w:val="72"/>
          <w:szCs w:val="72"/>
          <w:highlight w:val="none"/>
        </w:rPr>
      </w:pPr>
    </w:p>
    <w:p w14:paraId="2AB446D4">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7D680A47">
      <w:pPr>
        <w:spacing w:line="860" w:lineRule="exact"/>
        <w:rPr>
          <w:rFonts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14:paraId="242BB081">
      <w:pPr>
        <w:pStyle w:val="2"/>
        <w:rPr>
          <w:highlight w:val="none"/>
        </w:rPr>
      </w:pPr>
    </w:p>
    <w:p w14:paraId="2851ABC5">
      <w:pPr>
        <w:pStyle w:val="20"/>
        <w:rPr>
          <w:b/>
          <w:bCs/>
          <w:highlight w:val="none"/>
        </w:rPr>
      </w:pPr>
    </w:p>
    <w:p w14:paraId="60FC93B8">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13E80298">
      <w:pPr>
        <w:jc w:val="center"/>
        <w:rPr>
          <w:rFonts w:ascii="宋体" w:hAnsi="Calibri" w:eastAsia="宋体" w:cs="Times New Roman"/>
          <w:color w:val="000000"/>
          <w:sz w:val="28"/>
          <w:szCs w:val="28"/>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rPr>
        <w:t>1月</w:t>
      </w:r>
    </w:p>
    <w:p w14:paraId="47CF52BD">
      <w:pPr>
        <w:keepNext/>
        <w:keepLines/>
        <w:jc w:val="center"/>
        <w:rPr>
          <w:rFonts w:ascii="Calibri" w:hAnsi="Calibri" w:eastAsia="宋体" w:cs="Times New Roman"/>
          <w:b/>
          <w:bCs/>
          <w:kern w:val="44"/>
          <w:sz w:val="36"/>
          <w:szCs w:val="44"/>
          <w:highlight w:val="none"/>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3C7E1A33">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04E20589">
          <w:pPr>
            <w:pStyle w:val="27"/>
            <w:tabs>
              <w:tab w:val="right" w:leader="dot" w:pos="9071"/>
            </w:tabs>
            <w:rPr>
              <w:color w:val="auto"/>
              <w:highlight w:val="none"/>
            </w:rPr>
          </w:pPr>
          <w:r>
            <w:rPr>
              <w:rFonts w:hint="eastAsia" w:ascii="Calibri" w:hAnsi="Calibri"/>
              <w:bCs/>
              <w:color w:val="auto"/>
              <w:kern w:val="44"/>
              <w:sz w:val="36"/>
              <w:szCs w:val="44"/>
              <w:highlight w:val="none"/>
            </w:rPr>
            <w:fldChar w:fldCharType="begin"/>
          </w:r>
          <w:r>
            <w:rPr>
              <w:rFonts w:hint="eastAsia" w:ascii="Calibri" w:hAnsi="Calibri"/>
              <w:bCs/>
              <w:color w:val="auto"/>
              <w:kern w:val="44"/>
              <w:sz w:val="36"/>
              <w:szCs w:val="44"/>
              <w:highlight w:val="none"/>
            </w:rPr>
            <w:instrText xml:space="preserve">TOC \o "1-1" \h \u </w:instrText>
          </w:r>
          <w:r>
            <w:rPr>
              <w:rFonts w:hint="eastAsia" w:ascii="Calibri" w:hAnsi="Calibri"/>
              <w:bCs/>
              <w:color w:val="auto"/>
              <w:kern w:val="44"/>
              <w:sz w:val="36"/>
              <w:szCs w:val="44"/>
              <w:highlight w:val="none"/>
            </w:rPr>
            <w:fldChar w:fldCharType="separate"/>
          </w:r>
          <w:r>
            <w:rPr>
              <w:rFonts w:hint="eastAsia" w:ascii="Calibri" w:hAnsi="Calibri"/>
              <w:bCs/>
              <w:color w:val="auto"/>
              <w:kern w:val="44"/>
              <w:szCs w:val="44"/>
              <w:highlight w:val="none"/>
            </w:rPr>
            <w:fldChar w:fldCharType="begin"/>
          </w:r>
          <w:r>
            <w:rPr>
              <w:rFonts w:hint="eastAsia" w:ascii="Calibri" w:hAnsi="Calibri"/>
              <w:bCs/>
              <w:color w:val="auto"/>
              <w:kern w:val="44"/>
              <w:szCs w:val="44"/>
              <w:highlight w:val="none"/>
            </w:rPr>
            <w:instrText xml:space="preserve"> HYPERLINK \l _Toc23755 </w:instrText>
          </w:r>
          <w:r>
            <w:rPr>
              <w:rFonts w:hint="eastAsia" w:ascii="Calibri" w:hAnsi="Calibri"/>
              <w:bCs/>
              <w:color w:val="auto"/>
              <w:kern w:val="44"/>
              <w:szCs w:val="44"/>
              <w:highlight w:val="none"/>
            </w:rPr>
            <w:fldChar w:fldCharType="separate"/>
          </w:r>
          <w:r>
            <w:rPr>
              <w:rFonts w:hint="eastAsia" w:ascii="Calibri" w:hAnsi="Calibri" w:eastAsia="宋体" w:cs="Times New Roman"/>
              <w:bCs/>
              <w:color w:val="auto"/>
              <w:kern w:val="44"/>
              <w:szCs w:val="44"/>
              <w:highlight w:val="none"/>
            </w:rPr>
            <w:t>第一部分 投标须知前附表</w:t>
          </w:r>
          <w:r>
            <w:rPr>
              <w:color w:val="auto"/>
              <w:highlight w:val="none"/>
            </w:rPr>
            <w:tab/>
          </w:r>
          <w:r>
            <w:rPr>
              <w:color w:val="auto"/>
              <w:highlight w:val="none"/>
            </w:rPr>
            <w:fldChar w:fldCharType="begin"/>
          </w:r>
          <w:r>
            <w:rPr>
              <w:color w:val="auto"/>
              <w:highlight w:val="none"/>
            </w:rPr>
            <w:instrText xml:space="preserve"> PAGEREF _Toc23755 \h </w:instrText>
          </w:r>
          <w:r>
            <w:rPr>
              <w:color w:val="auto"/>
              <w:highlight w:val="none"/>
            </w:rPr>
            <w:fldChar w:fldCharType="separate"/>
          </w:r>
          <w:r>
            <w:rPr>
              <w:color w:val="auto"/>
              <w:highlight w:val="none"/>
            </w:rPr>
            <w:t>3</w:t>
          </w:r>
          <w:r>
            <w:rPr>
              <w:color w:val="auto"/>
              <w:highlight w:val="none"/>
            </w:rPr>
            <w:fldChar w:fldCharType="end"/>
          </w:r>
          <w:r>
            <w:rPr>
              <w:rFonts w:hint="eastAsia" w:ascii="Calibri" w:hAnsi="Calibri"/>
              <w:bCs/>
              <w:color w:val="auto"/>
              <w:kern w:val="44"/>
              <w:szCs w:val="44"/>
              <w:highlight w:val="none"/>
            </w:rPr>
            <w:fldChar w:fldCharType="end"/>
          </w:r>
        </w:p>
        <w:p w14:paraId="2B7743F2">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_Toc817 </w:instrText>
          </w:r>
          <w:r>
            <w:rPr>
              <w:rFonts w:hint="eastAsia" w:ascii="Calibri" w:hAnsi="Calibri" w:eastAsia="宋体" w:cs="Times New Roman"/>
              <w:bCs/>
              <w:color w:val="auto"/>
              <w:kern w:val="44"/>
              <w:szCs w:val="44"/>
              <w:highlight w:val="none"/>
            </w:rPr>
            <w:fldChar w:fldCharType="separate"/>
          </w:r>
          <w:r>
            <w:rPr>
              <w:rFonts w:hint="eastAsia" w:ascii="Calibri" w:hAnsi="Calibri" w:eastAsia="宋体" w:cs="Times New Roman"/>
              <w:bCs/>
              <w:color w:val="auto"/>
              <w:kern w:val="44"/>
              <w:szCs w:val="44"/>
              <w:highlight w:val="none"/>
            </w:rPr>
            <w:t>第二部分 投标须知</w:t>
          </w:r>
          <w:r>
            <w:rPr>
              <w:color w:val="auto"/>
              <w:highlight w:val="none"/>
            </w:rPr>
            <w:tab/>
          </w:r>
          <w:r>
            <w:rPr>
              <w:color w:val="auto"/>
              <w:highlight w:val="none"/>
            </w:rPr>
            <w:fldChar w:fldCharType="begin"/>
          </w:r>
          <w:r>
            <w:rPr>
              <w:color w:val="auto"/>
              <w:highlight w:val="none"/>
            </w:rPr>
            <w:instrText xml:space="preserve"> PAGEREF _Toc817 \h </w:instrText>
          </w:r>
          <w:r>
            <w:rPr>
              <w:color w:val="auto"/>
              <w:highlight w:val="none"/>
            </w:rPr>
            <w:fldChar w:fldCharType="separate"/>
          </w:r>
          <w:r>
            <w:rPr>
              <w:color w:val="auto"/>
              <w:highlight w:val="none"/>
            </w:rPr>
            <w:t>7</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0BB09960">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_Toc8232 </w:instrText>
          </w:r>
          <w:r>
            <w:rPr>
              <w:rFonts w:hint="eastAsia" w:ascii="Calibri" w:hAnsi="Calibri" w:eastAsia="宋体" w:cs="Times New Roman"/>
              <w:bCs/>
              <w:color w:val="auto"/>
              <w:kern w:val="44"/>
              <w:szCs w:val="44"/>
              <w:highlight w:val="none"/>
            </w:rPr>
            <w:fldChar w:fldCharType="separate"/>
          </w:r>
          <w:r>
            <w:rPr>
              <w:rFonts w:hint="eastAsia" w:ascii="Calibri" w:hAnsi="Calibri" w:eastAsia="宋体" w:cs="Times New Roman"/>
              <w:bCs/>
              <w:color w:val="auto"/>
              <w:kern w:val="44"/>
              <w:szCs w:val="44"/>
              <w:highlight w:val="none"/>
            </w:rPr>
            <w:t>第三部分 投标文件编制</w:t>
          </w:r>
          <w:r>
            <w:rPr>
              <w:color w:val="auto"/>
              <w:highlight w:val="none"/>
            </w:rPr>
            <w:tab/>
          </w:r>
          <w:r>
            <w:rPr>
              <w:color w:val="auto"/>
              <w:highlight w:val="none"/>
            </w:rPr>
            <w:fldChar w:fldCharType="begin"/>
          </w:r>
          <w:r>
            <w:rPr>
              <w:color w:val="auto"/>
              <w:highlight w:val="none"/>
            </w:rPr>
            <w:instrText xml:space="preserve"> PAGEREF _Toc8232 \h </w:instrText>
          </w:r>
          <w:r>
            <w:rPr>
              <w:color w:val="auto"/>
              <w:highlight w:val="none"/>
            </w:rPr>
            <w:fldChar w:fldCharType="separate"/>
          </w:r>
          <w:r>
            <w:rPr>
              <w:color w:val="auto"/>
              <w:highlight w:val="none"/>
            </w:rPr>
            <w:t>14</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4C2E8012">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_Toc25915 </w:instrText>
          </w:r>
          <w:r>
            <w:rPr>
              <w:rFonts w:hint="eastAsia" w:ascii="Calibri" w:hAnsi="Calibri" w:eastAsia="宋体" w:cs="Times New Roman"/>
              <w:bCs/>
              <w:color w:val="auto"/>
              <w:kern w:val="44"/>
              <w:szCs w:val="44"/>
              <w:highlight w:val="none"/>
            </w:rPr>
            <w:fldChar w:fldCharType="separate"/>
          </w:r>
          <w:r>
            <w:rPr>
              <w:rFonts w:hint="eastAsia" w:ascii="Times New Roman" w:hAnsi="Times New Roman" w:eastAsia="宋体" w:cs="Times New Roman"/>
              <w:bCs/>
              <w:color w:val="auto"/>
              <w:kern w:val="44"/>
              <w:szCs w:val="44"/>
              <w:highlight w:val="none"/>
            </w:rPr>
            <w:t>第四部分 技术标书</w:t>
          </w:r>
          <w:r>
            <w:rPr>
              <w:color w:val="auto"/>
              <w:highlight w:val="none"/>
            </w:rPr>
            <w:tab/>
          </w:r>
          <w:r>
            <w:rPr>
              <w:color w:val="auto"/>
              <w:highlight w:val="none"/>
            </w:rPr>
            <w:fldChar w:fldCharType="begin"/>
          </w:r>
          <w:r>
            <w:rPr>
              <w:color w:val="auto"/>
              <w:highlight w:val="none"/>
            </w:rPr>
            <w:instrText xml:space="preserve"> PAGEREF _Toc25915 \h </w:instrText>
          </w:r>
          <w:r>
            <w:rPr>
              <w:color w:val="auto"/>
              <w:highlight w:val="none"/>
            </w:rPr>
            <w:fldChar w:fldCharType="separate"/>
          </w:r>
          <w:r>
            <w:rPr>
              <w:color w:val="auto"/>
              <w:highlight w:val="none"/>
            </w:rPr>
            <w:t>17</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0A92D328">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_Toc7375 </w:instrText>
          </w:r>
          <w:r>
            <w:rPr>
              <w:rFonts w:hint="eastAsia" w:ascii="Calibri" w:hAnsi="Calibri" w:eastAsia="宋体" w:cs="Times New Roman"/>
              <w:bCs/>
              <w:color w:val="auto"/>
              <w:kern w:val="44"/>
              <w:szCs w:val="44"/>
              <w:highlight w:val="none"/>
            </w:rPr>
            <w:fldChar w:fldCharType="separate"/>
          </w:r>
          <w:r>
            <w:rPr>
              <w:rFonts w:hint="eastAsia" w:ascii="宋体" w:hAnsi="宋体" w:eastAsia="宋体" w:cs="Times New Roman"/>
              <w:color w:val="auto"/>
              <w:szCs w:val="36"/>
              <w:highlight w:val="none"/>
            </w:rPr>
            <w:t>第五部分</w:t>
          </w:r>
          <w:r>
            <w:rPr>
              <w:rFonts w:ascii="宋体" w:hAnsi="宋体" w:eastAsia="宋体" w:cs="Times New Roman"/>
              <w:color w:val="auto"/>
              <w:szCs w:val="36"/>
              <w:highlight w:val="none"/>
            </w:rPr>
            <w:t xml:space="preserve"> </w:t>
          </w:r>
          <w:r>
            <w:rPr>
              <w:rFonts w:hint="eastAsia" w:ascii="宋体" w:hAnsi="宋体" w:eastAsia="宋体" w:cs="Times New Roman"/>
              <w:color w:val="auto"/>
              <w:szCs w:val="36"/>
              <w:highlight w:val="none"/>
            </w:rPr>
            <w:t>设备采购合同</w:t>
          </w:r>
          <w:r>
            <w:rPr>
              <w:color w:val="auto"/>
              <w:highlight w:val="none"/>
            </w:rPr>
            <w:tab/>
          </w:r>
          <w:r>
            <w:rPr>
              <w:color w:val="auto"/>
              <w:highlight w:val="none"/>
            </w:rPr>
            <w:fldChar w:fldCharType="begin"/>
          </w:r>
          <w:r>
            <w:rPr>
              <w:color w:val="auto"/>
              <w:highlight w:val="none"/>
            </w:rPr>
            <w:instrText xml:space="preserve"> PAGEREF _Toc7375 \h </w:instrText>
          </w:r>
          <w:r>
            <w:rPr>
              <w:color w:val="auto"/>
              <w:highlight w:val="none"/>
            </w:rPr>
            <w:fldChar w:fldCharType="separate"/>
          </w:r>
          <w:r>
            <w:rPr>
              <w:color w:val="auto"/>
              <w:highlight w:val="none"/>
            </w:rPr>
            <w:t>44</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6AB4D46D">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_Toc4513 </w:instrText>
          </w:r>
          <w:r>
            <w:rPr>
              <w:rFonts w:hint="eastAsia" w:ascii="Calibri" w:hAnsi="Calibri" w:eastAsia="宋体" w:cs="Times New Roman"/>
              <w:bCs/>
              <w:color w:val="auto"/>
              <w:kern w:val="44"/>
              <w:szCs w:val="44"/>
              <w:highlight w:val="none"/>
            </w:rPr>
            <w:fldChar w:fldCharType="separate"/>
          </w:r>
          <w:r>
            <w:rPr>
              <w:rFonts w:hint="eastAsia" w:ascii="Calibri" w:hAnsi="Calibri" w:eastAsia="宋体" w:cs="Times New Roman"/>
              <w:bCs/>
              <w:color w:val="auto"/>
              <w:kern w:val="44"/>
              <w:szCs w:val="44"/>
              <w:highlight w:val="none"/>
            </w:rPr>
            <w:t>第六部分</w:t>
          </w:r>
          <w:r>
            <w:rPr>
              <w:rFonts w:ascii="Calibri" w:hAnsi="Calibri" w:eastAsia="宋体" w:cs="Times New Roman"/>
              <w:bCs/>
              <w:color w:val="auto"/>
              <w:kern w:val="44"/>
              <w:szCs w:val="44"/>
              <w:highlight w:val="none"/>
            </w:rPr>
            <w:t xml:space="preserve"> </w:t>
          </w:r>
          <w:r>
            <w:rPr>
              <w:rFonts w:hint="eastAsia" w:ascii="Calibri" w:hAnsi="Calibri" w:eastAsia="宋体" w:cs="Times New Roman"/>
              <w:bCs/>
              <w:color w:val="auto"/>
              <w:kern w:val="44"/>
              <w:szCs w:val="44"/>
              <w:highlight w:val="none"/>
            </w:rPr>
            <w:t>投标文件附件</w:t>
          </w:r>
          <w:r>
            <w:rPr>
              <w:color w:val="auto"/>
              <w:highlight w:val="none"/>
            </w:rPr>
            <w:tab/>
          </w:r>
          <w:r>
            <w:rPr>
              <w:color w:val="auto"/>
              <w:highlight w:val="none"/>
            </w:rPr>
            <w:fldChar w:fldCharType="begin"/>
          </w:r>
          <w:r>
            <w:rPr>
              <w:color w:val="auto"/>
              <w:highlight w:val="none"/>
            </w:rPr>
            <w:instrText xml:space="preserve"> PAGEREF _Toc4513 \h </w:instrText>
          </w:r>
          <w:r>
            <w:rPr>
              <w:color w:val="auto"/>
              <w:highlight w:val="none"/>
            </w:rPr>
            <w:fldChar w:fldCharType="separate"/>
          </w:r>
          <w:r>
            <w:rPr>
              <w:color w:val="auto"/>
              <w:highlight w:val="none"/>
            </w:rPr>
            <w:t>59</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24975247">
          <w:pPr>
            <w:pStyle w:val="20"/>
            <w:spacing w:line="480" w:lineRule="auto"/>
            <w:jc w:val="center"/>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highlight w:val="none"/>
            </w:rPr>
            <w:fldChar w:fldCharType="end"/>
          </w:r>
        </w:p>
      </w:sdtContent>
    </w:sdt>
    <w:p w14:paraId="527BD5D4">
      <w:pPr>
        <w:pStyle w:val="20"/>
        <w:numPr>
          <w:ilvl w:val="0"/>
          <w:numId w:val="6"/>
        </w:numPr>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 xml:space="preserve"> </w:t>
      </w:r>
      <w:bookmarkStart w:id="1" w:name="_Toc23755"/>
      <w:r>
        <w:rPr>
          <w:rFonts w:hint="eastAsia" w:ascii="Calibri" w:hAnsi="Calibri" w:eastAsia="宋体" w:cs="Times New Roman"/>
          <w:b/>
          <w:bCs/>
          <w:kern w:val="44"/>
          <w:sz w:val="36"/>
          <w:szCs w:val="44"/>
          <w:highlight w:val="none"/>
        </w:rPr>
        <w:t>投标须知前附表</w:t>
      </w:r>
      <w:bookmarkEnd w:id="1"/>
    </w:p>
    <w:p w14:paraId="2CC91F10">
      <w:pPr>
        <w:pStyle w:val="20"/>
        <w:jc w:val="center"/>
        <w:rPr>
          <w:rFonts w:ascii="Calibri" w:hAnsi="Calibri" w:eastAsia="宋体" w:cs="Times New Roman"/>
          <w:b/>
          <w:bCs/>
          <w:kern w:val="44"/>
          <w:sz w:val="36"/>
          <w:szCs w:val="44"/>
          <w:highlight w:val="none"/>
        </w:rPr>
      </w:pPr>
    </w:p>
    <w:p w14:paraId="15F9FC63">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42F04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97729E1">
            <w:pPr>
              <w:jc w:val="center"/>
              <w:rPr>
                <w:rStyle w:val="132"/>
                <w:rFonts w:ascii="宋体" w:hAnsi="宋体" w:eastAsia="宋体" w:cs="宋体"/>
                <w:b/>
                <w:sz w:val="28"/>
                <w:szCs w:val="28"/>
                <w:highlight w:val="none"/>
              </w:rPr>
            </w:pPr>
            <w:r>
              <w:rPr>
                <w:rStyle w:val="132"/>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3ABA7C7">
            <w:pPr>
              <w:ind w:firstLine="562" w:firstLineChars="200"/>
              <w:jc w:val="center"/>
              <w:rPr>
                <w:rFonts w:ascii="宋体" w:hAnsi="宋体" w:eastAsia="宋体" w:cs="宋体"/>
                <w:b/>
                <w:bCs/>
                <w:sz w:val="28"/>
                <w:szCs w:val="28"/>
                <w:highlight w:val="none"/>
              </w:rPr>
            </w:pPr>
            <w:r>
              <w:rPr>
                <w:rStyle w:val="132"/>
                <w:rFonts w:hint="eastAsia" w:ascii="宋体" w:hAnsi="宋体" w:eastAsia="宋体" w:cs="宋体"/>
                <w:b/>
                <w:sz w:val="28"/>
                <w:szCs w:val="28"/>
                <w:highlight w:val="none"/>
              </w:rPr>
              <w:t>编  列  内  容</w:t>
            </w:r>
          </w:p>
        </w:tc>
      </w:tr>
      <w:tr w14:paraId="5E7FFD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90EA82">
            <w:pPr>
              <w:spacing w:line="360" w:lineRule="auto"/>
              <w:ind w:left="-27"/>
              <w:jc w:val="center"/>
              <w:rPr>
                <w:rFonts w:ascii="宋体" w:hAnsi="宋体" w:eastAsia="宋体" w:cs="宋体"/>
                <w:b/>
                <w:bCs/>
                <w:sz w:val="24"/>
                <w:szCs w:val="24"/>
                <w:highlight w:val="none"/>
              </w:rPr>
            </w:pPr>
            <w:r>
              <w:rPr>
                <w:rFonts w:hint="eastAsia" w:ascii="宋体" w:hAnsi="宋体" w:eastAsia="宋体" w:cs="宋体"/>
                <w:b/>
                <w:bCs/>
                <w:sz w:val="24"/>
                <w:highlight w:val="none"/>
              </w:rPr>
              <w:t>1.项目说明</w:t>
            </w:r>
          </w:p>
        </w:tc>
      </w:tr>
      <w:tr w14:paraId="3DF472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2E2A31A">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E2EE67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ascii="宋体" w:hAnsi="宋体" w:eastAsia="宋体" w:cs="宋体"/>
                <w:sz w:val="24"/>
                <w:szCs w:val="24"/>
                <w:highlight w:val="none"/>
                <w:u w:val="single"/>
              </w:rPr>
              <w:t>汽车研究总院电性能测试系统采购项目</w:t>
            </w:r>
          </w:p>
        </w:tc>
      </w:tr>
      <w:tr w14:paraId="150D28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F8FCA77">
            <w:pPr>
              <w:ind w:firstLine="420" w:firstLineChars="200"/>
              <w:rPr>
                <w:rFonts w:ascii="宋体" w:hAnsi="宋体" w:eastAsia="宋体" w:cs="宋体"/>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C305F89">
            <w:pPr>
              <w:ind w:firstLine="482" w:firstLineChars="200"/>
              <w:rPr>
                <w:rFonts w:hint="eastAsia" w:ascii="宋体" w:hAnsi="宋体" w:cs="宋体" w:eastAsiaTheme="minorEastAsia"/>
                <w:b/>
                <w:bCs/>
                <w:sz w:val="24"/>
                <w:szCs w:val="24"/>
                <w:highlight w:val="none"/>
                <w:lang w:eastAsia="zh-CN"/>
              </w:rPr>
            </w:pPr>
            <w:r>
              <w:rPr>
                <w:rFonts w:hint="eastAsia" w:ascii="宋体" w:hAnsi="宋体" w:eastAsia="宋体" w:cs="宋体"/>
                <w:b/>
                <w:bCs/>
                <w:sz w:val="24"/>
                <w:szCs w:val="24"/>
                <w:highlight w:val="none"/>
              </w:rPr>
              <w:t>采购形式编号：ZBGL2026010240</w:t>
            </w:r>
            <w:r>
              <w:rPr>
                <w:highlight w:val="none"/>
              </w:rPr>
              <w:t xml:space="preserve"> </w:t>
            </w:r>
            <w:r>
              <w:rPr>
                <w:rFonts w:hint="eastAsia" w:ascii="宋体" w:hAnsi="宋体" w:eastAsia="宋体" w:cs="宋体"/>
                <w:b/>
                <w:bCs/>
                <w:sz w:val="24"/>
                <w:szCs w:val="24"/>
                <w:highlight w:val="none"/>
                <w:lang w:val="en-US" w:eastAsia="zh-CN"/>
              </w:rPr>
              <w:t xml:space="preserve"> </w:t>
            </w:r>
          </w:p>
        </w:tc>
      </w:tr>
      <w:tr w14:paraId="2F6DAE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2D586E4">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9FEEB62">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u w:val="single"/>
              </w:rPr>
              <w:t>便携式电性能测试系统</w:t>
            </w:r>
          </w:p>
        </w:tc>
      </w:tr>
      <w:tr w14:paraId="2204A9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D2A6F87">
            <w:pPr>
              <w:ind w:firstLine="420" w:firstLineChars="200"/>
              <w:rPr>
                <w:rFonts w:ascii="宋体" w:hAnsi="宋体" w:eastAsia="宋体" w:cs="宋体"/>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F3EC66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b/>
                <w:bCs/>
                <w:sz w:val="24"/>
                <w:szCs w:val="24"/>
                <w:highlight w:val="none"/>
                <w:u w:val="single"/>
              </w:rPr>
              <w:t>公开招标</w:t>
            </w:r>
          </w:p>
        </w:tc>
      </w:tr>
      <w:tr w14:paraId="4FCD0F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68CED5A2">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272FED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7012B16">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济南市历城区华奥路777号</w:t>
            </w:r>
            <w:r>
              <w:rPr>
                <w:rFonts w:hint="eastAsia" w:ascii="宋体" w:hAnsi="宋体" w:eastAsia="宋体" w:cs="宋体"/>
                <w:sz w:val="24"/>
                <w:szCs w:val="24"/>
                <w:highlight w:val="none"/>
              </w:rPr>
              <w:t xml:space="preserve"> </w:t>
            </w:r>
          </w:p>
          <w:p w14:paraId="21C345D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技术联系人：宋亮</w:t>
            </w:r>
          </w:p>
          <w:p w14:paraId="3209C122">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rPr>
              <w:t>15188603303</w:t>
            </w:r>
          </w:p>
          <w:p w14:paraId="5FA8B055">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rPr>
              <w:t>songliang@sinotruk.com</w:t>
            </w:r>
          </w:p>
        </w:tc>
      </w:tr>
      <w:tr w14:paraId="742B55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F5071EF">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6D61ED6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335061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8034FFC">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CB6EFBF">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如需要，由投标人自行勘察现场，进行合理报价。投标总报价应包括设备费、原厂服务费及相关配件、随机资料、保险、税费、运杂、安装调试、与其他专业配合及可预见的风险以及其它不可预见等全部费用。</w:t>
            </w:r>
          </w:p>
          <w:p w14:paraId="102433B9">
            <w:pPr>
              <w:ind w:firstLine="482" w:firstLineChars="200"/>
              <w:rPr>
                <w:rFonts w:ascii="宋体" w:hAnsi="宋体" w:cs="宋体"/>
                <w:highlight w:val="none"/>
              </w:rPr>
            </w:pPr>
            <w:r>
              <w:rPr>
                <w:rFonts w:hint="eastAsia" w:ascii="宋体" w:hAnsi="宋体" w:eastAsia="宋体" w:cs="宋体"/>
                <w:b/>
                <w:bCs/>
                <w:sz w:val="24"/>
                <w:szCs w:val="24"/>
                <w:highlight w:val="none"/>
              </w:rPr>
              <w:t>报价货币</w:t>
            </w:r>
            <w:r>
              <w:rPr>
                <w:rFonts w:hint="eastAsia" w:ascii="宋体" w:hAnsi="宋体" w:eastAsia="宋体" w:cs="宋体"/>
                <w:sz w:val="24"/>
                <w:szCs w:val="24"/>
                <w:highlight w:val="none"/>
              </w:rPr>
              <w:t>：人民币（应同时报含税价和不含税价，写明税率）或外币。</w:t>
            </w:r>
          </w:p>
        </w:tc>
      </w:tr>
      <w:tr w14:paraId="11A49F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3AD8715">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4F12860">
            <w:pPr>
              <w:pStyle w:val="20"/>
              <w:ind w:firstLine="482" w:firstLineChars="200"/>
              <w:rPr>
                <w:rFonts w:hAnsi="宋体" w:eastAsia="宋体" w:cs="宋体"/>
                <w:b/>
                <w:bCs/>
                <w:color w:val="000000"/>
                <w:sz w:val="24"/>
                <w:szCs w:val="24"/>
                <w:highlight w:val="none"/>
              </w:rPr>
            </w:pPr>
            <w:r>
              <w:rPr>
                <w:rFonts w:hint="eastAsia" w:hAnsi="宋体" w:eastAsia="宋体" w:cs="宋体"/>
                <w:b/>
                <w:bCs/>
                <w:sz w:val="24"/>
                <w:szCs w:val="24"/>
                <w:highlight w:val="none"/>
              </w:rPr>
              <w:t>Ⅰ.对于中国境内投标人，投标条件如下：</w:t>
            </w:r>
          </w:p>
          <w:p w14:paraId="6866D286">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00万人民币（或等值其他货币）；公司成立</w:t>
            </w:r>
            <w:r>
              <w:rPr>
                <w:rFonts w:hint="eastAsia" w:hAnsi="宋体" w:eastAsia="宋体" w:cs="宋体"/>
                <w:b/>
                <w:color w:val="000000"/>
                <w:sz w:val="24"/>
                <w:szCs w:val="24"/>
                <w:highlight w:val="none"/>
                <w:u w:val="single"/>
              </w:rPr>
              <w:t>三年以上</w:t>
            </w:r>
            <w:r>
              <w:rPr>
                <w:rFonts w:hint="eastAsia" w:hAnsi="宋体" w:eastAsia="宋体" w:cs="宋体"/>
                <w:color w:val="000000"/>
                <w:sz w:val="24"/>
                <w:szCs w:val="24"/>
                <w:highlight w:val="none"/>
              </w:rPr>
              <w:t>（以营业执照成立日期到开标当日满三年为准），且经营范围满足招标人需求；并在人员、设备、资金等方面具有承担本项目的能力；投标人为该标的物的制造商或其在中国境内有完善的技术以及售后服务体系；</w:t>
            </w:r>
          </w:p>
          <w:p w14:paraId="4599BBCB">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14:paraId="7A48B9B1">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119E189">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0F99BE53">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1E7C2ADB">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rPr>
              <w:t>2022年1月1日至今</w:t>
            </w:r>
            <w:r>
              <w:rPr>
                <w:rFonts w:hint="eastAsia" w:hAnsi="宋体" w:eastAsia="宋体" w:cs="宋体"/>
                <w:color w:val="000000"/>
                <w:sz w:val="24"/>
                <w:szCs w:val="24"/>
                <w:highlight w:val="none"/>
              </w:rPr>
              <w:t>经</w:t>
            </w:r>
            <w:r>
              <w:rPr>
                <w:rFonts w:hint="eastAsia" w:hAnsi="宋体" w:eastAsia="宋体" w:cs="宋体"/>
                <w:b/>
                <w:bCs/>
                <w:color w:val="000000"/>
                <w:sz w:val="24"/>
                <w:szCs w:val="24"/>
                <w:highlight w:val="none"/>
              </w:rPr>
              <w:t>第三方</w:t>
            </w:r>
            <w:r>
              <w:rPr>
                <w:rFonts w:hint="eastAsia" w:hAnsi="宋体" w:eastAsia="宋体" w:cs="宋体"/>
                <w:color w:val="000000"/>
                <w:sz w:val="24"/>
                <w:szCs w:val="24"/>
                <w:highlight w:val="none"/>
              </w:rPr>
              <w:t>审计的公司财务报表（资产负债表、损益表、现金流量表）未显示异常；</w:t>
            </w:r>
          </w:p>
          <w:p w14:paraId="5F8694B6">
            <w:pPr>
              <w:pStyle w:val="20"/>
              <w:ind w:firstLine="480" w:firstLineChars="200"/>
              <w:rPr>
                <w:rFonts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拟投标人有与本次招标内容相同或类似项目业绩，且近3年内无因服务不当而造成重大事故；</w:t>
            </w:r>
          </w:p>
          <w:p w14:paraId="19F872FD">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6980976E">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606D47E7">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192A36DD">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11.投标人信用证明材料（中国人民银行信用代码证+征信报告）未显示异常；</w:t>
            </w:r>
          </w:p>
          <w:p w14:paraId="0EE858DC">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4B11CB3B">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w:t>
            </w:r>
            <w:r>
              <w:rPr>
                <w:rFonts w:hAnsi="宋体" w:eastAsia="宋体" w:cs="宋体"/>
                <w:color w:val="000000"/>
                <w:sz w:val="24"/>
                <w:szCs w:val="24"/>
                <w:highlight w:val="none"/>
              </w:rPr>
              <w:t>3.</w:t>
            </w:r>
            <w:r>
              <w:rPr>
                <w:rFonts w:hint="eastAsia" w:hAnsi="宋体" w:eastAsia="宋体" w:cs="宋体"/>
                <w:color w:val="000000"/>
                <w:sz w:val="24"/>
                <w:szCs w:val="24"/>
                <w:highlight w:val="none"/>
              </w:rPr>
              <w:t>本项目</w:t>
            </w:r>
            <w:r>
              <w:rPr>
                <w:rFonts w:hint="eastAsia" w:ascii="Times New Roman" w:hAnsi="Times New Roman" w:eastAsia="宋体" w:cs="宋体"/>
                <w:color w:val="000000"/>
                <w:sz w:val="24"/>
                <w:szCs w:val="24"/>
                <w:highlight w:val="none"/>
              </w:rPr>
              <w:t>不接受代理商投标。</w:t>
            </w:r>
          </w:p>
        </w:tc>
      </w:tr>
      <w:tr w14:paraId="622C83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41868D5">
            <w:pPr>
              <w:jc w:val="center"/>
              <w:rPr>
                <w:rFonts w:ascii="宋体" w:hAnsi="宋体" w:eastAsia="宋体" w:cs="宋体"/>
                <w:b/>
                <w:bCs/>
                <w:sz w:val="24"/>
                <w:szCs w:val="24"/>
                <w:highlight w:val="none"/>
              </w:rPr>
            </w:pPr>
            <w:bookmarkStart w:id="2" w:name="_Toc346372875"/>
            <w:r>
              <w:rPr>
                <w:rFonts w:hint="eastAsia" w:ascii="宋体" w:hAnsi="宋体" w:eastAsia="宋体" w:cs="宋体"/>
                <w:b/>
                <w:bCs/>
                <w:sz w:val="24"/>
                <w:szCs w:val="24"/>
                <w:highlight w:val="none"/>
              </w:rPr>
              <w:t>2.招标文件的答疑、澄清、修改、应标及投标报名</w:t>
            </w:r>
          </w:p>
        </w:tc>
      </w:tr>
      <w:tr w14:paraId="4B5C4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0B5B7CB7">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6F28C826">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rPr>
              <w:t>1</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21</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日;</w:t>
            </w:r>
          </w:p>
        </w:tc>
      </w:tr>
      <w:tr w14:paraId="383855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FA9D331">
            <w:pPr>
              <w:snapToGrid w:val="0"/>
              <w:ind w:firstLine="420" w:firstLineChars="200"/>
              <w:rPr>
                <w:rFonts w:ascii="宋体" w:hAnsi="宋体" w:eastAsia="宋体" w:cs="宋体"/>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94312C8">
            <w:pPr>
              <w:ind w:firstLine="480" w:firstLineChars="200"/>
              <w:rPr>
                <w:rFonts w:ascii="宋体" w:hAnsi="宋体" w:eastAsia="宋体" w:cs="宋体"/>
                <w:highlight w:val="none"/>
              </w:rPr>
            </w:pPr>
            <w:r>
              <w:rPr>
                <w:rFonts w:hint="eastAsia" w:ascii="宋体" w:hAnsi="宋体" w:eastAsia="宋体" w:cs="宋体"/>
                <w:sz w:val="24"/>
                <w:szCs w:val="24"/>
                <w:highlight w:val="none"/>
              </w:rPr>
              <w:t>发标方式：中国重汽官网、山东省阳光采购服务平台、中国招标投标公共服务平台等公开媒体</w:t>
            </w:r>
            <w:r>
              <w:rPr>
                <w:rFonts w:hint="eastAsia" w:ascii="宋体" w:hAnsi="宋体" w:eastAsia="宋体" w:cs="宋体"/>
                <w:color w:val="000000"/>
                <w:sz w:val="24"/>
                <w:szCs w:val="24"/>
                <w:highlight w:val="none"/>
              </w:rPr>
              <w:t>公布。</w:t>
            </w:r>
          </w:p>
        </w:tc>
      </w:tr>
      <w:tr w14:paraId="739A0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5585249A">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C32D894">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299F3DF7">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rPr>
              <w:t>1</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30</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日1</w:t>
            </w:r>
            <w:r>
              <w:rPr>
                <w:rFonts w:ascii="宋体" w:hAnsi="宋体" w:eastAsia="宋体" w:cs="宋体"/>
                <w:bCs/>
                <w:sz w:val="24"/>
                <w:szCs w:val="24"/>
                <w:highlight w:val="none"/>
              </w:rPr>
              <w:t>2</w:t>
            </w:r>
            <w:r>
              <w:rPr>
                <w:rFonts w:hint="eastAsia" w:ascii="宋体" w:hAnsi="宋体" w:eastAsia="宋体" w:cs="宋体"/>
                <w:bCs/>
                <w:sz w:val="24"/>
                <w:szCs w:val="24"/>
                <w:highlight w:val="none"/>
              </w:rPr>
              <w:t>:00前；</w:t>
            </w:r>
          </w:p>
          <w:p w14:paraId="65386C9D">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：将答疑问题以word文件格式发邮件至</w:t>
            </w:r>
            <w:r>
              <w:rPr>
                <w:rFonts w:hint="eastAsia" w:ascii="宋体" w:hAnsi="宋体" w:eastAsia="宋体" w:cs="宋体"/>
                <w:sz w:val="24"/>
                <w:szCs w:val="24"/>
                <w:highlight w:val="none"/>
              </w:rPr>
              <w:t>liujian1@sinotruk.com</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邮件名格式为：XXX公司（五个字以内公司简称）XX项目答疑文件。同时须在邮件中以文字方式提供投标单位全称、投标授权人姓名、联系方式（固定电话、手机、电子邮箱）。</w:t>
            </w:r>
          </w:p>
        </w:tc>
      </w:tr>
      <w:tr w14:paraId="6EC015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1D6F9ED">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2DE88A3">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2</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1</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日</w:t>
            </w:r>
            <w:r>
              <w:rPr>
                <w:rFonts w:hint="eastAsia" w:ascii="宋体" w:hAnsi="宋体" w:eastAsia="宋体" w:cs="宋体"/>
                <w:sz w:val="24"/>
                <w:szCs w:val="24"/>
                <w:highlight w:val="none"/>
              </w:rPr>
              <w:t>17:00</w:t>
            </w:r>
            <w:r>
              <w:rPr>
                <w:rFonts w:hint="eastAsia" w:ascii="宋体" w:hAnsi="宋体" w:eastAsia="宋体" w:cs="宋体"/>
                <w:sz w:val="24"/>
                <w:szCs w:val="24"/>
                <w:highlight w:val="none"/>
              </w:rPr>
              <w:t>前；</w:t>
            </w:r>
          </w:p>
          <w:p w14:paraId="0B56DD89">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220424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81A9CED">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5F7E0D2">
            <w:pPr>
              <w:pStyle w:val="115"/>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拟投标人根据招标人在中国重汽官网等公开媒体上发布的招标信息，在“中国重汽e采通”平台报名。</w:t>
            </w:r>
            <w:r>
              <w:rPr>
                <w:rFonts w:hint="eastAsia" w:eastAsia="宋体" w:cs="宋体"/>
                <w:b/>
                <w:bCs/>
                <w:highlight w:val="none"/>
              </w:rPr>
              <w:t>按照中国重汽e采通“SRM非生产供应商注册手册”（附件</w:t>
            </w:r>
            <w:r>
              <w:rPr>
                <w:rFonts w:hint="eastAsia" w:eastAsia="宋体" w:cs="宋体"/>
                <w:b/>
                <w:bCs/>
                <w:highlight w:val="none"/>
                <w:lang w:val="en-US" w:eastAsia="zh-CN"/>
              </w:rPr>
              <w:t>9</w:t>
            </w:r>
            <w:r>
              <w:rPr>
                <w:rFonts w:hint="eastAsia" w:eastAsia="宋体" w:cs="宋体"/>
                <w:b/>
                <w:bCs/>
                <w:highlight w:val="none"/>
              </w:rPr>
              <w:t>）进行注册</w:t>
            </w:r>
            <w:r>
              <w:rPr>
                <w:rFonts w:hint="eastAsia" w:eastAsia="宋体" w:cs="宋体"/>
                <w:highlight w:val="none"/>
              </w:rPr>
              <w:t>，登录后进入“供应商应标”，选择对应的项目，点击“</w:t>
            </w:r>
            <w:r>
              <w:rPr>
                <w:rFonts w:hint="eastAsia" w:eastAsia="宋体" w:cs="宋体"/>
                <w:b/>
                <w:bCs/>
                <w:highlight w:val="none"/>
              </w:rPr>
              <w:t>应标</w:t>
            </w:r>
            <w:r>
              <w:rPr>
                <w:rFonts w:hint="eastAsia" w:eastAsia="宋体" w:cs="宋体"/>
                <w:highlight w:val="none"/>
              </w:rPr>
              <w:t>”</w:t>
            </w:r>
            <w:r>
              <w:rPr>
                <w:rFonts w:hint="eastAsia" w:eastAsia="宋体" w:cs="宋体"/>
                <w:b/>
                <w:bCs/>
                <w:highlight w:val="none"/>
              </w:rPr>
              <w:t>后按照招标文件第三部分投标文件组成资格证明文件中的1.1-1.12准备资料并</w:t>
            </w:r>
            <w:r>
              <w:rPr>
                <w:rFonts w:hint="eastAsia" w:eastAsia="宋体" w:cs="宋体"/>
                <w:highlight w:val="none"/>
              </w:rPr>
              <w:t>上传，资质审查通过即为报名成功；公示期间请尽快报名。</w:t>
            </w:r>
          </w:p>
        </w:tc>
      </w:tr>
      <w:tr w14:paraId="27871A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B3227DE">
            <w:pPr>
              <w:jc w:val="left"/>
              <w:rPr>
                <w:rFonts w:ascii="宋体" w:hAnsi="宋体" w:eastAsia="宋体" w:cs="宋体"/>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F15DDBD">
            <w:pPr>
              <w:pStyle w:val="115"/>
              <w:spacing w:line="240" w:lineRule="auto"/>
              <w:ind w:firstLine="482"/>
              <w:rPr>
                <w:rFonts w:eastAsia="宋体" w:cs="宋体"/>
                <w:highlight w:val="none"/>
              </w:rPr>
            </w:pPr>
            <w:r>
              <w:rPr>
                <w:rFonts w:hint="eastAsia" w:eastAsia="宋体" w:cs="宋体"/>
                <w:b/>
                <w:bCs/>
                <w:highlight w:val="none"/>
              </w:rPr>
              <w:t>应标截止时间：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eastAsia="宋体" w:cs="宋体"/>
                <w:bCs/>
                <w:sz w:val="24"/>
                <w:szCs w:val="24"/>
                <w:highlight w:val="none"/>
                <w:u w:val="single"/>
                <w:lang w:val="en-US" w:eastAsia="zh-CN"/>
              </w:rPr>
              <w:t>1</w:t>
            </w:r>
            <w:r>
              <w:rPr>
                <w:rFonts w:hint="eastAsia" w:ascii="宋体" w:hAnsi="宋体" w:eastAsia="宋体" w:cs="宋体"/>
                <w:bCs/>
                <w:sz w:val="24"/>
                <w:szCs w:val="24"/>
                <w:highlight w:val="none"/>
              </w:rPr>
              <w:t>月</w:t>
            </w:r>
            <w:r>
              <w:rPr>
                <w:rFonts w:hint="eastAsia" w:eastAsia="宋体" w:cs="宋体"/>
                <w:bCs/>
                <w:sz w:val="24"/>
                <w:szCs w:val="24"/>
                <w:highlight w:val="none"/>
                <w:u w:val="single"/>
                <w:lang w:val="en-US" w:eastAsia="zh-CN"/>
              </w:rPr>
              <w:t>27</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日</w:t>
            </w:r>
            <w:r>
              <w:rPr>
                <w:rFonts w:hint="eastAsia" w:eastAsia="宋体" w:cs="宋体"/>
                <w:highlight w:val="none"/>
              </w:rPr>
              <w:t>1</w:t>
            </w:r>
            <w:r>
              <w:rPr>
                <w:rFonts w:hint="eastAsia" w:eastAsia="宋体" w:cs="宋体"/>
                <w:highlight w:val="none"/>
                <w:lang w:val="en-US" w:eastAsia="zh-CN"/>
              </w:rPr>
              <w:t>7</w:t>
            </w:r>
            <w:r>
              <w:rPr>
                <w:rFonts w:hint="eastAsia" w:eastAsia="宋体" w:cs="宋体"/>
                <w:highlight w:val="none"/>
              </w:rPr>
              <w:t>时00分00秒</w:t>
            </w:r>
          </w:p>
          <w:p w14:paraId="01FD0BF0">
            <w:pPr>
              <w:pStyle w:val="115"/>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61FB66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DA041C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16F119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E73ABFA">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5E76CDD">
            <w:pPr>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文件组成，共计3个文件。</w:t>
            </w:r>
          </w:p>
          <w:p w14:paraId="0499B9AB">
            <w:pPr>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ascii="宋体" w:hAnsi="宋体"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ascii="宋体" w:hAnsi="宋体"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1748911B">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237AF7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3B4A841A">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A1333F8">
            <w:pPr>
              <w:pStyle w:val="20"/>
              <w:rPr>
                <w:rFonts w:hAnsi="宋体" w:eastAsia="宋体" w:cs="宋体"/>
                <w:color w:val="000000"/>
                <w:sz w:val="24"/>
                <w:szCs w:val="24"/>
                <w:highlight w:val="none"/>
              </w:rPr>
            </w:pPr>
            <w:r>
              <w:rPr>
                <w:rFonts w:hint="eastAsia" w:ascii="宋体" w:hAnsi="宋体" w:eastAsia="宋体" w:cs="宋体"/>
                <w:b/>
                <w:sz w:val="24"/>
                <w:szCs w:val="24"/>
                <w:highlight w:val="none"/>
              </w:rPr>
              <w:t>投标方式：在中国重汽e采通平台应标成功后，进入“供应商投标”环节，投递盖章扫描版电子标书（包含资质标书、技术标书、商务标书），</w:t>
            </w:r>
            <w:r>
              <w:rPr>
                <w:rFonts w:hint="eastAsia" w:ascii="宋体" w:hAnsi="宋体" w:eastAsia="宋体" w:cs="宋体"/>
                <w:sz w:val="24"/>
                <w:szCs w:val="24"/>
                <w:highlight w:val="none"/>
              </w:rPr>
              <w:t>若逾期未在中国重汽e采通平台上传电子标书，即便递交了纸版投标文件，一律视为无效投标</w:t>
            </w:r>
            <w:r>
              <w:rPr>
                <w:rFonts w:hint="eastAsia" w:ascii="宋体" w:hAnsi="宋体" w:eastAsia="宋体" w:cs="宋体"/>
                <w:b/>
                <w:sz w:val="24"/>
                <w:szCs w:val="24"/>
                <w:highlight w:val="none"/>
              </w:rPr>
              <w:t>。</w:t>
            </w:r>
          </w:p>
        </w:tc>
      </w:tr>
      <w:tr w14:paraId="70583C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14:paraId="167F977E">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347CD7C">
            <w:pPr>
              <w:spacing w:line="460" w:lineRule="exact"/>
              <w:ind w:firstLine="482" w:firstLineChars="200"/>
              <w:rPr>
                <w:rFonts w:ascii="宋体" w:hAnsi="宋体" w:eastAsia="宋体" w:cs="宋体"/>
                <w:color w:val="000000"/>
                <w:sz w:val="24"/>
                <w:szCs w:val="24"/>
                <w:highlight w:val="none"/>
              </w:rPr>
            </w:pPr>
            <w:r>
              <w:rPr>
                <w:rFonts w:hint="eastAsia" w:ascii="宋体" w:hAnsi="宋体" w:eastAsia="宋体" w:cs="宋体"/>
                <w:b/>
                <w:bCs/>
                <w:sz w:val="24"/>
                <w:highlight w:val="none"/>
              </w:rPr>
              <w:t>纸质版投标文件和电子版投标文件必须保证内容一致；如确实存在不一致的，以电子标书为准，同时要求投标方对纸版标书做出修正。</w:t>
            </w:r>
          </w:p>
        </w:tc>
      </w:tr>
      <w:tr w14:paraId="1855D3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64AB3">
            <w:pPr>
              <w:jc w:val="center"/>
              <w:rPr>
                <w:rFonts w:ascii="宋体" w:hAnsi="宋体" w:eastAsia="宋体" w:cs="宋体"/>
                <w:sz w:val="24"/>
                <w:szCs w:val="24"/>
                <w:highlight w:val="none"/>
              </w:rPr>
            </w:pPr>
            <w:r>
              <w:rPr>
                <w:rFonts w:hint="eastAsia" w:ascii="宋体" w:hAnsi="宋体" w:eastAsia="宋体" w:cs="宋体"/>
                <w:sz w:val="24"/>
                <w:szCs w:val="24"/>
                <w:highlight w:val="none"/>
              </w:rPr>
              <w:t>3.</w:t>
            </w:r>
            <w:r>
              <w:rPr>
                <w:rFonts w:ascii="宋体" w:hAnsi="宋体" w:eastAsia="宋体" w:cs="宋体"/>
                <w:sz w:val="24"/>
                <w:szCs w:val="24"/>
                <w:highlight w:val="none"/>
              </w:rPr>
              <w:t>4</w:t>
            </w:r>
          </w:p>
        </w:tc>
        <w:tc>
          <w:tcPr>
            <w:tcW w:w="8363" w:type="dxa"/>
            <w:tcBorders>
              <w:top w:val="single" w:color="auto" w:sz="2" w:space="0"/>
              <w:left w:val="single" w:color="auto" w:sz="2" w:space="0"/>
              <w:bottom w:val="single" w:color="auto" w:sz="2" w:space="0"/>
              <w:right w:val="single" w:color="auto" w:sz="2" w:space="0"/>
            </w:tcBorders>
            <w:vAlign w:val="center"/>
          </w:tcPr>
          <w:p w14:paraId="76A21B09">
            <w:pPr>
              <w:pStyle w:val="20"/>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2</w:t>
            </w:r>
            <w:r>
              <w:rPr>
                <w:rFonts w:hint="eastAsia" w:ascii="宋体" w:hAnsi="宋体" w:eastAsia="宋体" w:cs="宋体"/>
                <w:bCs/>
                <w:sz w:val="24"/>
                <w:szCs w:val="24"/>
                <w:highlight w:val="none"/>
              </w:rPr>
              <w:t>月</w:t>
            </w:r>
            <w:r>
              <w:rPr>
                <w:rFonts w:hint="eastAsia" w:hAnsi="宋体" w:eastAsia="宋体" w:cs="宋体"/>
                <w:bCs/>
                <w:sz w:val="24"/>
                <w:szCs w:val="24"/>
                <w:highlight w:val="none"/>
                <w:u w:val="single"/>
                <w:lang w:val="en-US" w:eastAsia="zh-CN"/>
              </w:rPr>
              <w:t>2</w:t>
            </w:r>
            <w:r>
              <w:rPr>
                <w:rFonts w:hint="eastAsia" w:ascii="宋体" w:hAnsi="宋体" w:eastAsia="宋体" w:cs="宋体"/>
                <w:bCs/>
                <w:sz w:val="24"/>
                <w:szCs w:val="24"/>
                <w:highlight w:val="none"/>
              </w:rPr>
              <w:t>日</w:t>
            </w:r>
            <w:r>
              <w:rPr>
                <w:rFonts w:hint="eastAsia" w:hAnsi="宋体" w:eastAsia="宋体" w:cs="宋体"/>
                <w:sz w:val="24"/>
                <w:szCs w:val="24"/>
                <w:highlight w:val="none"/>
              </w:rPr>
              <w:t>1</w:t>
            </w:r>
            <w:r>
              <w:rPr>
                <w:rFonts w:hint="eastAsia" w:hAnsi="宋体" w:eastAsia="宋体" w:cs="宋体"/>
                <w:sz w:val="24"/>
                <w:szCs w:val="24"/>
                <w:highlight w:val="none"/>
                <w:lang w:val="en-US" w:eastAsia="zh-CN"/>
              </w:rPr>
              <w:t>7</w:t>
            </w:r>
            <w:r>
              <w:rPr>
                <w:rFonts w:hint="eastAsia" w:hAnsi="宋体" w:eastAsia="宋体" w:cs="宋体"/>
                <w:sz w:val="24"/>
                <w:szCs w:val="24"/>
                <w:highlight w:val="none"/>
              </w:rPr>
              <w:t>:00</w:t>
            </w:r>
          </w:p>
          <w:p w14:paraId="0B8B37C8">
            <w:pPr>
              <w:pStyle w:val="20"/>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注：请务必在投标文件递交截止时间前完成投标操作，截止时间精确到秒，逾期将无法投标。请自行掌握时间安排，避免无法投标。</w:t>
            </w:r>
          </w:p>
        </w:tc>
      </w:tr>
      <w:tr w14:paraId="35CF7B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CE20DE2">
            <w:pPr>
              <w:jc w:val="center"/>
              <w:rPr>
                <w:rFonts w:ascii="宋体" w:hAnsi="宋体" w:eastAsia="宋体" w:cs="宋体"/>
                <w:sz w:val="24"/>
                <w:szCs w:val="24"/>
                <w:highlight w:val="none"/>
              </w:rPr>
            </w:pPr>
            <w:r>
              <w:rPr>
                <w:rFonts w:hint="eastAsia" w:ascii="宋体" w:hAnsi="宋体" w:eastAsia="宋体" w:cs="宋体"/>
                <w:sz w:val="24"/>
                <w:szCs w:val="24"/>
                <w:highlight w:val="none"/>
              </w:rPr>
              <w:t>3.</w:t>
            </w:r>
            <w:r>
              <w:rPr>
                <w:rFonts w:ascii="宋体" w:hAnsi="宋体" w:eastAsia="宋体" w:cs="宋体"/>
                <w:sz w:val="24"/>
                <w:szCs w:val="24"/>
                <w:highlight w:val="none"/>
              </w:rPr>
              <w:t>5</w:t>
            </w:r>
          </w:p>
        </w:tc>
        <w:tc>
          <w:tcPr>
            <w:tcW w:w="8363" w:type="dxa"/>
            <w:tcBorders>
              <w:top w:val="single" w:color="auto" w:sz="2" w:space="0"/>
              <w:left w:val="single" w:color="auto" w:sz="2" w:space="0"/>
              <w:bottom w:val="single" w:color="auto" w:sz="2" w:space="0"/>
              <w:right w:val="single" w:color="auto" w:sz="2" w:space="0"/>
            </w:tcBorders>
            <w:vAlign w:val="center"/>
          </w:tcPr>
          <w:p w14:paraId="46E9A150">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06DFC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B822EA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62A8B6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729EFABE">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2C9F46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电汇（境内）</w:t>
            </w:r>
          </w:p>
        </w:tc>
      </w:tr>
      <w:tr w14:paraId="564795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701" w:hRule="atLeast"/>
        </w:trPr>
        <w:tc>
          <w:tcPr>
            <w:tcW w:w="595" w:type="dxa"/>
            <w:tcBorders>
              <w:top w:val="single" w:color="auto" w:sz="2" w:space="0"/>
              <w:left w:val="single" w:color="auto" w:sz="2" w:space="0"/>
              <w:bottom w:val="single" w:color="auto" w:sz="2" w:space="0"/>
              <w:right w:val="single" w:color="auto" w:sz="2" w:space="0"/>
            </w:tcBorders>
            <w:vAlign w:val="center"/>
          </w:tcPr>
          <w:p w14:paraId="1CD571B2">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89F8B24">
            <w:pPr>
              <w:pStyle w:val="38"/>
              <w:spacing w:after="0" w:line="240" w:lineRule="auto"/>
              <w:ind w:left="0" w:leftChars="0" w:firstLine="480"/>
              <w:rPr>
                <w:rFonts w:ascii="Times New Roman" w:hAnsi="Times New Roman" w:cs="宋体"/>
                <w:sz w:val="24"/>
                <w:szCs w:val="24"/>
                <w:highlight w:val="none"/>
                <w:u w:val="single"/>
              </w:rPr>
            </w:pPr>
            <w:r>
              <w:rPr>
                <w:rFonts w:hint="eastAsia" w:ascii="Times New Roman" w:hAnsi="Times New Roman" w:cs="宋体"/>
                <w:sz w:val="24"/>
                <w:szCs w:val="24"/>
                <w:highlight w:val="none"/>
              </w:rPr>
              <w:t>Ⅰ.境内投标单位缴纳投标保证金信息：</w:t>
            </w:r>
          </w:p>
          <w:p w14:paraId="580669EC">
            <w:pPr>
              <w:tabs>
                <w:tab w:val="left" w:pos="932"/>
              </w:tabs>
              <w:ind w:firstLine="482" w:firstLineChars="200"/>
              <w:rPr>
                <w:rFonts w:ascii="Times New Roman" w:hAnsi="Times New Roman" w:eastAsia="宋体" w:cs="宋体"/>
                <w:sz w:val="24"/>
                <w:szCs w:val="24"/>
                <w:highlight w:val="none"/>
              </w:rPr>
            </w:pPr>
            <w:r>
              <w:rPr>
                <w:rFonts w:hint="eastAsia" w:ascii="Times New Roman" w:hAnsi="Times New Roman" w:eastAsia="宋体" w:cs="宋体"/>
                <w:b/>
                <w:bCs/>
                <w:sz w:val="24"/>
                <w:szCs w:val="24"/>
                <w:highlight w:val="none"/>
              </w:rPr>
              <w:t>投标保证金的金额：</w:t>
            </w:r>
            <w:r>
              <w:rPr>
                <w:rFonts w:hint="eastAsia" w:ascii="Times New Roman" w:hAnsi="Times New Roman" w:eastAsia="宋体" w:cs="宋体"/>
                <w:sz w:val="24"/>
                <w:szCs w:val="24"/>
                <w:highlight w:val="none"/>
              </w:rPr>
              <w:t>人民币5000.00元</w:t>
            </w:r>
          </w:p>
          <w:p w14:paraId="7B70D9FA">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账户名称：中国重汽集团济南动力有限公司</w:t>
            </w:r>
            <w:r>
              <w:rPr>
                <w:rFonts w:ascii="Times New Roman" w:hAnsi="Times New Roman" w:eastAsia="宋体" w:cs="宋体"/>
                <w:b/>
                <w:bCs/>
                <w:color w:val="000000"/>
                <w:kern w:val="0"/>
                <w:sz w:val="24"/>
                <w:szCs w:val="24"/>
                <w:highlight w:val="none"/>
              </w:rPr>
              <w:t xml:space="preserve"> </w:t>
            </w:r>
          </w:p>
          <w:p w14:paraId="1C92A152">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银行账号：</w:t>
            </w:r>
            <w:r>
              <w:rPr>
                <w:rFonts w:ascii="Times New Roman" w:hAnsi="Times New Roman" w:eastAsia="宋体" w:cs="宋体"/>
                <w:b/>
                <w:bCs/>
                <w:color w:val="000000"/>
                <w:kern w:val="0"/>
                <w:sz w:val="24"/>
                <w:szCs w:val="24"/>
                <w:highlight w:val="none"/>
              </w:rPr>
              <w:t xml:space="preserve">376010100101373547 </w:t>
            </w:r>
          </w:p>
          <w:p w14:paraId="2E3D3413">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开户银行：兴业银行股份有限公司济南分行营业部</w:t>
            </w:r>
            <w:r>
              <w:rPr>
                <w:rFonts w:ascii="Times New Roman" w:hAnsi="Times New Roman" w:eastAsia="宋体" w:cs="宋体"/>
                <w:b/>
                <w:bCs/>
                <w:color w:val="000000"/>
                <w:kern w:val="0"/>
                <w:sz w:val="24"/>
                <w:szCs w:val="24"/>
                <w:highlight w:val="none"/>
              </w:rPr>
              <w:t xml:space="preserve"> </w:t>
            </w:r>
          </w:p>
          <w:p w14:paraId="606315F2">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联行号：</w:t>
            </w:r>
            <w:r>
              <w:rPr>
                <w:rFonts w:ascii="Times New Roman" w:hAnsi="Times New Roman" w:eastAsia="宋体" w:cs="宋体"/>
                <w:b/>
                <w:bCs/>
                <w:color w:val="000000"/>
                <w:kern w:val="0"/>
                <w:sz w:val="24"/>
                <w:szCs w:val="24"/>
                <w:highlight w:val="none"/>
              </w:rPr>
              <w:t>309451013018</w:t>
            </w:r>
          </w:p>
          <w:p w14:paraId="7621EFB2">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注意事项：</w:t>
            </w:r>
          </w:p>
          <w:p w14:paraId="30FBACC9">
            <w:pPr>
              <w:tabs>
                <w:tab w:val="left" w:pos="932"/>
              </w:tabs>
              <w:ind w:firstLine="480" w:firstLineChars="200"/>
              <w:rPr>
                <w:rFonts w:ascii="Times New Roman" w:hAnsi="Times New Roman" w:eastAsia="宋体" w:cs="宋体"/>
                <w:bCs/>
                <w:sz w:val="24"/>
                <w:szCs w:val="24"/>
                <w:highlight w:val="none"/>
              </w:rPr>
            </w:pPr>
            <w:r>
              <w:rPr>
                <w:rFonts w:ascii="Times New Roman" w:hAnsi="Times New Roman" w:eastAsia="宋体" w:cs="宋体"/>
                <w:bCs/>
                <w:sz w:val="24"/>
                <w:szCs w:val="24"/>
                <w:highlight w:val="none"/>
              </w:rPr>
              <w:t>转账时，请注意备注</w:t>
            </w:r>
            <w:r>
              <w:rPr>
                <w:rFonts w:hint="eastAsia" w:ascii="Times New Roman" w:hAnsi="Times New Roman" w:eastAsia="宋体" w:cs="宋体"/>
                <w:bCs/>
                <w:sz w:val="24"/>
                <w:szCs w:val="24"/>
                <w:highlight w:val="none"/>
              </w:rPr>
              <w:t>公司名称+项目名称+投标保证金</w:t>
            </w:r>
            <w:r>
              <w:rPr>
                <w:rFonts w:ascii="Times New Roman" w:hAnsi="Times New Roman" w:eastAsia="宋体" w:cs="宋体"/>
                <w:bCs/>
                <w:sz w:val="24"/>
                <w:szCs w:val="24"/>
                <w:highlight w:val="none"/>
              </w:rPr>
              <w:t>，方便后期核对退款。</w:t>
            </w:r>
          </w:p>
          <w:p w14:paraId="6B349C6B">
            <w:pPr>
              <w:pStyle w:val="115"/>
              <w:ind w:firstLine="480"/>
              <w:rPr>
                <w:rFonts w:ascii="Times New Roman" w:hAnsi="Times New Roman" w:eastAsia="宋体" w:cs="宋体"/>
                <w:bCs/>
                <w:color w:val="auto"/>
                <w:highlight w:val="none"/>
              </w:rPr>
            </w:pPr>
            <w:r>
              <w:rPr>
                <w:rFonts w:hint="eastAsia" w:ascii="Times New Roman" w:hAnsi="Times New Roman" w:eastAsia="宋体" w:cs="宋体"/>
                <w:bCs/>
                <w:color w:val="auto"/>
                <w:highlight w:val="none"/>
              </w:rPr>
              <w:t>交纳保证金之后请发送报名邮件至邮箱：n</w:t>
            </w:r>
            <w:r>
              <w:rPr>
                <w:rFonts w:ascii="Times New Roman" w:hAnsi="Times New Roman" w:eastAsia="宋体" w:cs="宋体"/>
                <w:bCs/>
                <w:color w:val="auto"/>
                <w:highlight w:val="none"/>
              </w:rPr>
              <w:t>inglei@sinotruk.com</w:t>
            </w:r>
            <w:r>
              <w:rPr>
                <w:rFonts w:hint="eastAsia" w:ascii="Times New Roman" w:hAnsi="Times New Roman" w:eastAsia="宋体" w:cs="宋体"/>
                <w:bCs/>
                <w:color w:val="auto"/>
                <w:highlight w:val="none"/>
              </w:rPr>
              <w:t>。</w:t>
            </w:r>
          </w:p>
          <w:p w14:paraId="2B1C8326">
            <w:pPr>
              <w:pStyle w:val="115"/>
              <w:ind w:firstLine="480"/>
              <w:rPr>
                <w:rFonts w:ascii="Times New Roman" w:hAnsi="Times New Roman" w:eastAsia="宋体" w:cs="宋体"/>
                <w:bCs/>
                <w:color w:val="auto"/>
                <w:highlight w:val="none"/>
              </w:rPr>
            </w:pPr>
            <w:r>
              <w:rPr>
                <w:rFonts w:hint="eastAsia" w:ascii="Times New Roman" w:hAnsi="Times New Roman" w:eastAsia="宋体" w:cs="宋体"/>
                <w:bCs/>
                <w:color w:val="auto"/>
                <w:highlight w:val="none"/>
              </w:rPr>
              <w:t>投标邮件主题：某单位授权某代表参与投标某项目+授权代表电话。</w:t>
            </w:r>
          </w:p>
          <w:p w14:paraId="499B56EF">
            <w:pPr>
              <w:pStyle w:val="115"/>
              <w:ind w:firstLine="480"/>
              <w:rPr>
                <w:rFonts w:ascii="Times New Roman" w:hAnsi="Times New Roman" w:eastAsia="宋体" w:cs="宋体"/>
                <w:bCs/>
                <w:color w:val="auto"/>
                <w:highlight w:val="none"/>
              </w:rPr>
            </w:pPr>
            <w:r>
              <w:rPr>
                <w:rFonts w:hint="eastAsia" w:ascii="Times New Roman" w:hAnsi="Times New Roman" w:eastAsia="宋体" w:cs="宋体"/>
                <w:bCs/>
                <w:color w:val="auto"/>
                <w:highlight w:val="none"/>
              </w:rPr>
              <w:t>报名提交资料：保证金回执</w:t>
            </w:r>
          </w:p>
          <w:p w14:paraId="01531F91">
            <w:pPr>
              <w:pStyle w:val="20"/>
              <w:spacing w:line="360" w:lineRule="auto"/>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投标邮件正文：请务必在邮件正文中文字描述付款账户、付款账号、开户行名称、开户行行号、保证金金额、税号、注册时间，注册资金、法人代表（姓名）、公司地址。</w:t>
            </w:r>
          </w:p>
          <w:p w14:paraId="7A8A407A">
            <w:pPr>
              <w:ind w:firstLine="480" w:firstLineChars="200"/>
              <w:rPr>
                <w:rFonts w:ascii="Times New Roman" w:hAnsi="Times New Roman" w:eastAsia="宋体" w:cs="宋体"/>
                <w:bCs/>
                <w:sz w:val="24"/>
                <w:szCs w:val="24"/>
                <w:highlight w:val="none"/>
              </w:rPr>
            </w:pPr>
            <w:r>
              <w:rPr>
                <w:rFonts w:ascii="Times New Roman" w:hAnsi="Times New Roman" w:eastAsia="宋体" w:cs="宋体"/>
                <w:bCs/>
                <w:sz w:val="24"/>
                <w:szCs w:val="24"/>
                <w:highlight w:val="none"/>
              </w:rPr>
              <w:t>未按照本要求提供信息，导致保证金退回困难等事宜，由投标单位承担。</w:t>
            </w:r>
          </w:p>
          <w:p w14:paraId="0040994C">
            <w:pPr>
              <w:tabs>
                <w:tab w:val="left" w:pos="932"/>
              </w:tabs>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投标保证金形式：</w:t>
            </w:r>
          </w:p>
          <w:p w14:paraId="2DBA0246">
            <w:pPr>
              <w:tabs>
                <w:tab w:val="left" w:pos="932"/>
              </w:tabs>
              <w:ind w:firstLine="480" w:firstLineChars="200"/>
              <w:rPr>
                <w:rFonts w:ascii="Times New Roman" w:hAnsi="Times New Roman" w:eastAsia="宋体" w:cs="宋体"/>
                <w:bCs/>
                <w:sz w:val="24"/>
                <w:szCs w:val="24"/>
                <w:highlight w:val="none"/>
              </w:rPr>
            </w:pPr>
            <w:r>
              <w:rPr>
                <w:rFonts w:ascii="Times New Roman" w:hAnsi="Times New Roman" w:eastAsia="宋体" w:cs="宋体"/>
                <w:bCs/>
                <w:sz w:val="24"/>
                <w:szCs w:val="24"/>
                <w:highlight w:val="none"/>
              </w:rPr>
              <w:t>(一) 该银行账户只接受外币电开保函和电汇。</w:t>
            </w:r>
          </w:p>
          <w:p w14:paraId="7A034FAA">
            <w:pPr>
              <w:pStyle w:val="38"/>
              <w:spacing w:after="0" w:line="240" w:lineRule="auto"/>
              <w:ind w:left="0" w:leftChars="0" w:firstLine="480"/>
              <w:rPr>
                <w:rFonts w:ascii="宋体" w:hAnsi="宋体" w:cs="宋体"/>
                <w:sz w:val="24"/>
                <w:szCs w:val="24"/>
                <w:highlight w:val="none"/>
              </w:rPr>
            </w:pPr>
            <w:r>
              <w:rPr>
                <w:rFonts w:ascii="Times New Roman" w:hAnsi="Times New Roman" w:cs="宋体"/>
                <w:bCs/>
                <w:sz w:val="24"/>
                <w:szCs w:val="24"/>
                <w:highlight w:val="none"/>
              </w:rPr>
              <w:t>(二) 境外投标单位缴纳投标保证金形式应采用电开保函形式；境内投标单位缴纳投标保证金应采用电汇形式；若有其他特殊情况，请提前与我们沟通，做好转账信息备注工作。</w:t>
            </w:r>
          </w:p>
        </w:tc>
      </w:tr>
      <w:tr w14:paraId="02440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F25907D">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D101044">
            <w:pPr>
              <w:pStyle w:val="38"/>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rPr>
              <w:t>1</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30</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日</w:t>
            </w:r>
            <w:r>
              <w:rPr>
                <w:rFonts w:hint="eastAsia" w:ascii="宋体" w:hAnsi="宋体" w:cs="宋体"/>
                <w:sz w:val="24"/>
                <w:szCs w:val="24"/>
                <w:highlight w:val="none"/>
              </w:rPr>
              <w:t>1</w:t>
            </w:r>
            <w:r>
              <w:rPr>
                <w:rFonts w:ascii="宋体" w:hAnsi="宋体" w:cs="宋体"/>
                <w:sz w:val="24"/>
                <w:szCs w:val="24"/>
                <w:highlight w:val="none"/>
              </w:rPr>
              <w:t>2</w:t>
            </w:r>
            <w:r>
              <w:rPr>
                <w:rFonts w:hint="eastAsia" w:ascii="宋体" w:hAnsi="宋体" w:cs="宋体"/>
                <w:sz w:val="24"/>
                <w:szCs w:val="24"/>
                <w:highlight w:val="none"/>
              </w:rPr>
              <w:t>：00前（同应标截止时间）</w:t>
            </w:r>
          </w:p>
          <w:p w14:paraId="3E46C8B8">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投标人应充分考虑银行信息交换时间，由此带来的保证金不能按时到帐的责任由投标人自行承担。</w:t>
            </w:r>
          </w:p>
        </w:tc>
      </w:tr>
      <w:tr w14:paraId="0AEB1D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4542B7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35D82A7">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对于未中标的投标人，投标保证金将于招标人内部完成中标人评审并确认最终中标人后在30个工作日内予以原路返还（无息）；对于中标方，投标保证金将在签订合同后30个工作日内原路返还（无息）。</w:t>
            </w:r>
          </w:p>
        </w:tc>
      </w:tr>
      <w:tr w14:paraId="1410CA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F4DEB0">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53ED9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650314D">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30C3963">
            <w:pPr>
              <w:ind w:firstLine="482" w:firstLineChars="200"/>
              <w:rPr>
                <w:rFonts w:hint="eastAsia" w:ascii="宋体" w:hAnsi="宋体" w:eastAsia="宋体" w:cs="宋体"/>
                <w:b/>
                <w:bCs/>
                <w:sz w:val="24"/>
                <w:szCs w:val="24"/>
                <w:highlight w:val="none"/>
                <w:u w:val="single"/>
                <w:lang w:val="en-US" w:eastAsia="zh-CN"/>
              </w:rPr>
            </w:pPr>
            <w:r>
              <w:rPr>
                <w:rFonts w:hint="eastAsia" w:ascii="宋体" w:hAnsi="宋体" w:eastAsia="宋体" w:cs="宋体"/>
                <w:b/>
                <w:bCs/>
                <w:sz w:val="24"/>
                <w:szCs w:val="24"/>
                <w:highlight w:val="none"/>
              </w:rPr>
              <w:t>开标时间：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2</w:t>
            </w:r>
            <w:r>
              <w:rPr>
                <w:rFonts w:hint="eastAsia" w:ascii="宋体" w:hAnsi="宋体" w:eastAsia="宋体" w:cs="宋体"/>
                <w:bCs/>
                <w:sz w:val="24"/>
                <w:szCs w:val="24"/>
                <w:highlight w:val="none"/>
              </w:rPr>
              <w:t>月</w:t>
            </w:r>
            <w:r>
              <w:rPr>
                <w:rFonts w:hint="eastAsia" w:hAnsi="宋体" w:eastAsia="宋体" w:cs="宋体"/>
                <w:bCs/>
                <w:sz w:val="24"/>
                <w:szCs w:val="24"/>
                <w:highlight w:val="none"/>
                <w:u w:val="single"/>
                <w:lang w:val="en-US" w:eastAsia="zh-CN"/>
              </w:rPr>
              <w:t>3</w:t>
            </w:r>
            <w:r>
              <w:rPr>
                <w:rFonts w:hint="eastAsia" w:ascii="宋体" w:hAnsi="宋体" w:eastAsia="宋体" w:cs="宋体"/>
                <w:bCs/>
                <w:sz w:val="24"/>
                <w:szCs w:val="24"/>
                <w:highlight w:val="none"/>
              </w:rPr>
              <w:t>日</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:00</w:t>
            </w:r>
            <w:r>
              <w:rPr>
                <w:rFonts w:hint="eastAsia" w:ascii="宋体" w:hAnsi="宋体" w:eastAsia="宋体" w:cs="宋体"/>
                <w:b/>
                <w:bCs/>
                <w:sz w:val="24"/>
                <w:szCs w:val="24"/>
                <w:highlight w:val="none"/>
                <w:u w:val="single"/>
                <w:lang w:eastAsia="zh-CN"/>
              </w:rPr>
              <w:t>（</w:t>
            </w:r>
            <w:r>
              <w:rPr>
                <w:rFonts w:hint="eastAsia" w:ascii="宋体" w:hAnsi="宋体" w:eastAsia="宋体" w:cs="宋体"/>
                <w:b/>
                <w:bCs/>
                <w:sz w:val="24"/>
                <w:szCs w:val="24"/>
                <w:highlight w:val="none"/>
                <w:u w:val="single"/>
                <w:lang w:val="en-US" w:eastAsia="zh-CN"/>
              </w:rPr>
              <w:t>暂定时间，具体以通知为准）</w:t>
            </w:r>
          </w:p>
          <w:p w14:paraId="3E282A8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线上会议室。</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初定线上开标，具体以通知为准）</w:t>
            </w:r>
          </w:p>
        </w:tc>
      </w:tr>
      <w:tr w14:paraId="11896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E59BD60">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E9EB0B7">
            <w:pPr>
              <w:pStyle w:val="14"/>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评标方法：资质标审核→技术标评审→商务标评审。技术标入围后，原则上选取</w:t>
            </w:r>
            <w:r>
              <w:rPr>
                <w:rFonts w:hint="eastAsia" w:ascii="宋体" w:hAnsi="宋体" w:eastAsia="宋体" w:cs="宋体"/>
                <w:b/>
                <w:bCs/>
                <w:color w:val="000000"/>
                <w:sz w:val="24"/>
                <w:szCs w:val="24"/>
                <w:highlight w:val="none"/>
              </w:rPr>
              <w:t>综合评标中标</w:t>
            </w:r>
            <w:r>
              <w:rPr>
                <w:rFonts w:hint="eastAsia" w:ascii="宋体" w:hAnsi="宋体" w:eastAsia="宋体" w:cs="宋体"/>
                <w:sz w:val="24"/>
                <w:szCs w:val="24"/>
                <w:highlight w:val="none"/>
              </w:rPr>
              <w:t>。具体详见“第二部分投标须知第六条：评标原则”。</w:t>
            </w:r>
          </w:p>
        </w:tc>
      </w:tr>
      <w:tr w14:paraId="252B61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955C2EB">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6523C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D58645C">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6CB1A1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1051C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054BFC">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42B325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C899001">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A103B80">
            <w:pPr>
              <w:pStyle w:val="20"/>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1307349E">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自合同签定生效之日起，</w:t>
            </w:r>
            <w:r>
              <w:rPr>
                <w:rFonts w:hint="eastAsia" w:hAnsi="宋体" w:eastAsia="宋体" w:cs="宋体"/>
                <w:color w:val="000000"/>
                <w:sz w:val="24"/>
                <w:szCs w:val="24"/>
                <w:highlight w:val="none"/>
                <w:u w:val="single"/>
              </w:rPr>
              <w:t>90</w:t>
            </w:r>
            <w:r>
              <w:rPr>
                <w:rFonts w:hint="eastAsia" w:hAnsi="宋体" w:eastAsia="宋体" w:cs="宋体"/>
                <w:color w:val="000000"/>
                <w:sz w:val="24"/>
                <w:szCs w:val="24"/>
                <w:highlight w:val="none"/>
              </w:rPr>
              <w:t>个日历日之内交货至供货地点。</w:t>
            </w:r>
          </w:p>
          <w:p w14:paraId="07A0EFDD">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u w:val="single"/>
              </w:rPr>
              <w:t>30</w:t>
            </w:r>
            <w:r>
              <w:rPr>
                <w:rFonts w:hint="eastAsia" w:hAnsi="宋体" w:eastAsia="宋体" w:cs="宋体"/>
                <w:color w:val="000000"/>
                <w:sz w:val="24"/>
                <w:szCs w:val="24"/>
                <w:highlight w:val="none"/>
              </w:rPr>
              <w:t>个日历日之内完成终验收。</w:t>
            </w:r>
          </w:p>
          <w:p w14:paraId="79222E0D">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w:t>
            </w:r>
            <w:r>
              <w:rPr>
                <w:rFonts w:hint="eastAsia" w:hAnsi="宋体" w:eastAsia="宋体" w:cs="宋体"/>
                <w:color w:val="000000"/>
                <w:sz w:val="24"/>
                <w:szCs w:val="24"/>
                <w:highlight w:val="none"/>
                <w:u w:val="single"/>
              </w:rPr>
              <w:t>20个日历日</w:t>
            </w:r>
            <w:r>
              <w:rPr>
                <w:rFonts w:hint="eastAsia" w:hAnsi="宋体" w:eastAsia="宋体" w:cs="宋体"/>
                <w:color w:val="000000"/>
                <w:sz w:val="24"/>
                <w:szCs w:val="24"/>
                <w:highlight w:val="none"/>
              </w:rPr>
              <w:t>的，投标人应当随标书提供详细的工期计划。</w:t>
            </w:r>
          </w:p>
        </w:tc>
      </w:tr>
      <w:tr w14:paraId="095739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01699C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63FD382">
            <w:pPr>
              <w:pStyle w:val="20"/>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60DB1DFB">
            <w:pPr>
              <w:pStyle w:val="20"/>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hAnsi="宋体" w:eastAsia="宋体" w:cs="宋体"/>
                <w:color w:val="000000"/>
                <w:sz w:val="24"/>
                <w:szCs w:val="24"/>
                <w:highlight w:val="none"/>
              </w:rPr>
              <w:t>济南市高新区华奥路777号重汽科技园区8号试验室。</w:t>
            </w:r>
          </w:p>
        </w:tc>
      </w:tr>
      <w:tr w14:paraId="714FD4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CDECEB0">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0695BFD">
            <w:pPr>
              <w:pStyle w:val="14"/>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质保期：自设备终验收文件最终签署之日起</w:t>
            </w:r>
            <w:r>
              <w:rPr>
                <w:rFonts w:hint="eastAsia" w:ascii="宋体" w:hAnsi="宋体" w:eastAsia="宋体" w:cs="宋体"/>
                <w:b/>
                <w:sz w:val="24"/>
                <w:szCs w:val="24"/>
                <w:highlight w:val="none"/>
                <w:u w:val="single"/>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5611D1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B536ED2">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7512BA08">
            <w:pPr>
              <w:pStyle w:val="38"/>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u w:val="single"/>
              </w:rPr>
              <w:t>Ⅰ.国内付款方式：半年期商业汇票（包括银行承兑汇票和商业承兑汇票）</w:t>
            </w:r>
          </w:p>
          <w:p w14:paraId="1CFEFCDA">
            <w:pPr>
              <w:pStyle w:val="14"/>
              <w:ind w:firstLine="420" w:firstLineChars="200"/>
              <w:rPr>
                <w:rFonts w:ascii="宋体" w:hAnsi="宋体" w:eastAsia="宋体" w:cs="宋体"/>
                <w:sz w:val="24"/>
                <w:szCs w:val="24"/>
                <w:highlight w:val="none"/>
              </w:rPr>
            </w:pPr>
            <w:r>
              <w:rPr>
                <w:rFonts w:hint="eastAsia" w:ascii="宋体" w:hAnsi="宋体" w:eastAsia="宋体" w:cs="宋体"/>
                <w:highlight w:val="none"/>
              </w:rPr>
              <w:t>（</w:t>
            </w:r>
            <w:r>
              <w:rPr>
                <w:rFonts w:hint="eastAsia" w:ascii="宋体" w:hAnsi="宋体" w:eastAsia="宋体" w:cs="宋体"/>
                <w:sz w:val="24"/>
                <w:szCs w:val="24"/>
                <w:highlight w:val="none"/>
              </w:rPr>
              <w:t>1）合同签署生效后, 卖方提交金额为合同含税价款30%的收据及合同全额30%增值税专用发票（税率为13 %，正本一份，复印件二份），经买方依照财务制度审核无误后【30】日后支付。</w:t>
            </w:r>
          </w:p>
          <w:p w14:paraId="2DCD0ED2">
            <w:pPr>
              <w:pStyle w:val="14"/>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14:paraId="6E45A932">
            <w:pPr>
              <w:pStyle w:val="14"/>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14:paraId="51B768FD">
            <w:pPr>
              <w:pStyle w:val="14"/>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*付款方式及付款比例不允许偏离。</w:t>
            </w:r>
          </w:p>
        </w:tc>
      </w:tr>
      <w:tr w14:paraId="1E246A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B95E70B">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963C93F">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37E782E3">
            <w:pPr>
              <w:ind w:firstLine="480" w:firstLineChars="200"/>
              <w:rPr>
                <w:rFonts w:ascii="宋体" w:hAnsi="宋体" w:eastAsia="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50DFC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66DE1ED">
            <w:pPr>
              <w:pStyle w:val="14"/>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575D1A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A59CFC2">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E777D10">
            <w:pPr>
              <w:pStyle w:val="14"/>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023620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DC5D60A">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EC26722">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61C944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A82E08B">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41A6DD8">
            <w:pPr>
              <w:pStyle w:val="14"/>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中标人应在合同签订后</w:t>
            </w:r>
            <w:r>
              <w:rPr>
                <w:rFonts w:hint="eastAsia" w:ascii="宋体" w:hAnsi="宋体" w:eastAsia="宋体" w:cs="宋体"/>
                <w:sz w:val="24"/>
                <w:szCs w:val="24"/>
                <w:highlight w:val="none"/>
              </w:rPr>
              <w:t>30日</w:t>
            </w:r>
            <w:r>
              <w:rPr>
                <w:rFonts w:hint="eastAsia" w:ascii="宋体" w:hAnsi="宋体" w:eastAsia="宋体" w:cs="宋体"/>
                <w:sz w:val="24"/>
                <w:szCs w:val="24"/>
                <w:highlight w:val="none"/>
              </w:rPr>
              <w:t>内需根据设计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14:paraId="059F6F7C">
      <w:pPr>
        <w:rPr>
          <w:rFonts w:ascii="宋体" w:hAnsi="宋体" w:eastAsia="宋体" w:cs="宋体"/>
          <w:highlight w:val="none"/>
        </w:rPr>
        <w:sectPr>
          <w:headerReference r:id="rId9" w:type="default"/>
          <w:footerReference r:id="rId10" w:type="default"/>
          <w:pgSz w:w="11907" w:h="16840"/>
          <w:pgMar w:top="1304" w:right="1418" w:bottom="1304" w:left="1418" w:header="724" w:footer="851" w:gutter="0"/>
          <w:pgNumType w:start="3"/>
          <w:cols w:space="720" w:num="1"/>
          <w:docGrid w:linePitch="290" w:charSpace="-3931"/>
        </w:sectPr>
      </w:pPr>
    </w:p>
    <w:p w14:paraId="10E1F4A7">
      <w:pPr>
        <w:pStyle w:val="20"/>
        <w:jc w:val="center"/>
        <w:outlineLvl w:val="0"/>
        <w:rPr>
          <w:rFonts w:ascii="Calibri" w:hAnsi="Calibri" w:eastAsia="宋体" w:cs="Times New Roman"/>
          <w:b/>
          <w:bCs/>
          <w:kern w:val="44"/>
          <w:sz w:val="36"/>
          <w:szCs w:val="44"/>
          <w:highlight w:val="none"/>
        </w:rPr>
      </w:pPr>
      <w:bookmarkStart w:id="3" w:name="_Toc817"/>
      <w:r>
        <w:rPr>
          <w:rFonts w:hint="eastAsia" w:ascii="Calibri" w:hAnsi="Calibri" w:eastAsia="宋体" w:cs="Times New Roman"/>
          <w:b/>
          <w:bCs/>
          <w:kern w:val="44"/>
          <w:sz w:val="36"/>
          <w:szCs w:val="44"/>
          <w:highlight w:val="none"/>
        </w:rPr>
        <w:t>第二部分 投标须知</w:t>
      </w:r>
      <w:bookmarkEnd w:id="3"/>
    </w:p>
    <w:p w14:paraId="2DD487E1">
      <w:pPr>
        <w:keepNext/>
        <w:keepLines/>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一、项目名称</w:t>
      </w:r>
    </w:p>
    <w:p w14:paraId="7090DAFF">
      <w:pPr>
        <w:spacing w:line="360" w:lineRule="auto"/>
        <w:ind w:left="1679" w:leftChars="228" w:hanging="1200" w:hangingChars="500"/>
        <w:rPr>
          <w:rFonts w:ascii="Calibri" w:hAnsi="Calibri" w:eastAsia="宋体" w:cs="Times New Roman"/>
          <w:color w:val="000000"/>
          <w:sz w:val="24"/>
          <w:szCs w:val="24"/>
          <w:highlight w:val="none"/>
          <w:u w:val="single"/>
        </w:rPr>
      </w:pPr>
      <w:r>
        <w:rPr>
          <w:rFonts w:hint="eastAsia" w:ascii="Calibri" w:hAnsi="Calibri" w:eastAsia="宋体" w:cs="Times New Roman"/>
          <w:color w:val="000000"/>
          <w:sz w:val="24"/>
          <w:szCs w:val="24"/>
          <w:highlight w:val="none"/>
        </w:rPr>
        <w:t>项目名称：</w:t>
      </w:r>
      <w:bookmarkStart w:id="4" w:name="OLE_LINK1"/>
      <w:r>
        <w:rPr>
          <w:rFonts w:hint="eastAsia" w:ascii="宋体" w:hAnsi="宋体" w:eastAsia="宋体" w:cs="Times New Roman"/>
          <w:color w:val="000000"/>
          <w:sz w:val="24"/>
          <w:szCs w:val="24"/>
          <w:highlight w:val="none"/>
        </w:rPr>
        <w:t>见《投标须知前附表》。</w:t>
      </w:r>
    </w:p>
    <w:bookmarkEnd w:id="4"/>
    <w:p w14:paraId="66A2A61D">
      <w:pPr>
        <w:keepNext/>
        <w:keepLines/>
        <w:numPr>
          <w:ilvl w:val="0"/>
          <w:numId w:val="7"/>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招标内容及形式</w:t>
      </w:r>
    </w:p>
    <w:p w14:paraId="71EC94E0">
      <w:pPr>
        <w:pStyle w:val="20"/>
        <w:spacing w:line="360" w:lineRule="auto"/>
        <w:ind w:firstLine="480" w:firstLineChars="200"/>
        <w:rPr>
          <w:highlight w:val="none"/>
        </w:rPr>
      </w:pPr>
      <w:r>
        <w:rPr>
          <w:rFonts w:hint="eastAsia" w:hAnsi="宋体" w:eastAsia="宋体" w:cs="Times New Roman"/>
          <w:color w:val="000000"/>
          <w:sz w:val="24"/>
          <w:szCs w:val="24"/>
          <w:highlight w:val="none"/>
        </w:rPr>
        <w:t>见《投标须知前附表》。</w:t>
      </w:r>
    </w:p>
    <w:p w14:paraId="6195B623">
      <w:pPr>
        <w:spacing w:line="360" w:lineRule="auto"/>
        <w:ind w:firstLine="482" w:firstLineChars="200"/>
        <w:rPr>
          <w:rFonts w:ascii="宋体" w:hAnsi="Courier New" w:eastAsia="宋体" w:cs="Times New Roman"/>
          <w:color w:val="000000"/>
          <w:sz w:val="24"/>
          <w:szCs w:val="24"/>
          <w:highlight w:val="none"/>
        </w:rPr>
      </w:pPr>
      <w:r>
        <w:rPr>
          <w:rFonts w:hint="eastAsia" w:ascii="宋体" w:hAnsi="Courier New" w:eastAsia="宋体" w:cs="Times New Roman"/>
          <w:b/>
          <w:color w:val="000000"/>
          <w:sz w:val="24"/>
          <w:szCs w:val="24"/>
          <w:highlight w:val="none"/>
        </w:rPr>
        <w:t>对于本项目需着重介绍的注意事项已通过以下带颜色文档进行标记。</w:t>
      </w:r>
    </w:p>
    <w:p w14:paraId="094D9A30">
      <w:pPr>
        <w:spacing w:line="360" w:lineRule="auto"/>
        <w:ind w:firstLine="482" w:firstLineChars="200"/>
        <w:rPr>
          <w:rFonts w:ascii="宋体" w:hAnsi="Courier New" w:eastAsia="宋体" w:cs="Times New Roman"/>
          <w:b/>
          <w:color w:val="000000"/>
          <w:sz w:val="24"/>
          <w:szCs w:val="24"/>
          <w:highlight w:val="none"/>
        </w:rPr>
      </w:pPr>
      <w:r>
        <w:rPr>
          <w:rFonts w:hint="eastAsia" w:ascii="宋体" w:hAnsi="Courier New" w:eastAsia="宋体" w:cs="Times New Roman"/>
          <w:b/>
          <w:color w:val="000000"/>
          <w:sz w:val="24"/>
          <w:szCs w:val="24"/>
          <w:highlight w:val="none"/>
        </w:rPr>
        <w:t>具体要求详见《技术标书》。</w:t>
      </w:r>
    </w:p>
    <w:p w14:paraId="4BEE088F">
      <w:pPr>
        <w:keepNext/>
        <w:keepLines/>
        <w:numPr>
          <w:ilvl w:val="0"/>
          <w:numId w:val="7"/>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交货及付款</w:t>
      </w:r>
      <w:r>
        <w:rPr>
          <w:rFonts w:ascii="Arial" w:hAnsi="Arial" w:eastAsia="宋体" w:cs="Times New Roman"/>
          <w:b/>
          <w:bCs/>
          <w:sz w:val="28"/>
          <w:szCs w:val="36"/>
          <w:highlight w:val="none"/>
        </w:rPr>
        <w:tab/>
      </w:r>
    </w:p>
    <w:p w14:paraId="1E78A1CB">
      <w:pPr>
        <w:pStyle w:val="20"/>
        <w:ind w:firstLine="480" w:firstLineChars="200"/>
        <w:rPr>
          <w:highlight w:val="none"/>
        </w:rPr>
      </w:pPr>
      <w:r>
        <w:rPr>
          <w:rFonts w:hint="eastAsia" w:eastAsia="宋体" w:cs="Times New Roman"/>
          <w:color w:val="000000"/>
          <w:sz w:val="24"/>
          <w:szCs w:val="24"/>
          <w:highlight w:val="none"/>
        </w:rPr>
        <w:t>交货期、交货地点、交货方式、付款方式及比例</w:t>
      </w:r>
      <w:r>
        <w:rPr>
          <w:rFonts w:hint="eastAsia" w:hAnsi="宋体" w:eastAsia="宋体" w:cs="Times New Roman"/>
          <w:color w:val="000000"/>
          <w:sz w:val="24"/>
          <w:szCs w:val="24"/>
          <w:highlight w:val="none"/>
        </w:rPr>
        <w:t>见《投标须知前附表》第7条。</w:t>
      </w:r>
    </w:p>
    <w:p w14:paraId="098CDCFC">
      <w:pPr>
        <w:keepNext/>
        <w:keepLines/>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四、投标说明</w:t>
      </w:r>
    </w:p>
    <w:p w14:paraId="5B79550D">
      <w:pPr>
        <w:keepNext/>
        <w:keepLines/>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1.报名方式</w:t>
      </w:r>
    </w:p>
    <w:p w14:paraId="4F04F232">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投标人根据招标人在中国重汽官网等公开媒体上发布的招标信息，在“中国重汽e采通”平台报名。按照中国重汽e采通“SRM非生产供应商注册手册（附件</w:t>
      </w:r>
      <w:r>
        <w:rPr>
          <w:rFonts w:hint="eastAsia" w:ascii="宋体" w:hAnsi="Courier New" w:eastAsia="宋体" w:cs="Times New Roman"/>
          <w:color w:val="000000"/>
          <w:sz w:val="24"/>
          <w:szCs w:val="24"/>
          <w:highlight w:val="none"/>
          <w:lang w:val="en-US" w:eastAsia="zh-CN"/>
        </w:rPr>
        <w:t>9</w:t>
      </w:r>
      <w:r>
        <w:rPr>
          <w:rFonts w:hint="eastAsia" w:ascii="宋体" w:hAnsi="Courier New" w:eastAsia="宋体" w:cs="Times New Roman"/>
          <w:color w:val="000000"/>
          <w:sz w:val="24"/>
          <w:szCs w:val="24"/>
          <w:highlight w:val="none"/>
        </w:rPr>
        <w:t>）”进行注册，进入“供应商应标”，选择对应的项目，点击“应标”后按照招标文件第三部分投标文件组成资格证明文件中的1.1-1.12准备资料并上传，资质审查通过即为报名成功，公示期间请尽快报名。</w:t>
      </w:r>
    </w:p>
    <w:p w14:paraId="2DA634EB">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投标保证金缴纳时，</w:t>
      </w:r>
      <w:r>
        <w:rPr>
          <w:rFonts w:hint="eastAsia" w:ascii="宋体" w:hAnsi="Courier New" w:eastAsia="宋体" w:cs="Times New Roman"/>
          <w:b/>
          <w:bCs/>
          <w:color w:val="000000"/>
          <w:sz w:val="24"/>
          <w:szCs w:val="24"/>
          <w:highlight w:val="none"/>
        </w:rPr>
        <w:t>务必备注所投标的项目名称</w:t>
      </w:r>
      <w:r>
        <w:rPr>
          <w:rFonts w:hint="eastAsia" w:ascii="宋体" w:hAnsi="Courier New" w:eastAsia="宋体" w:cs="Times New Roman"/>
          <w:color w:val="000000"/>
          <w:sz w:val="24"/>
          <w:szCs w:val="24"/>
          <w:highlight w:val="none"/>
        </w:rPr>
        <w:t>。</w:t>
      </w:r>
    </w:p>
    <w:p w14:paraId="31C765AC">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不按要求报名的，或因未提供相关信息导致后期无法退回保证金的，需投标人承担责任。</w:t>
      </w:r>
    </w:p>
    <w:p w14:paraId="0D94C712">
      <w:pPr>
        <w:pStyle w:val="20"/>
        <w:numPr>
          <w:ilvl w:val="0"/>
          <w:numId w:val="8"/>
        </w:numPr>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投标条件</w:t>
      </w:r>
    </w:p>
    <w:p w14:paraId="302835D3">
      <w:pPr>
        <w:pStyle w:val="20"/>
        <w:ind w:firstLine="480"/>
        <w:rPr>
          <w:rFonts w:hAnsi="宋体" w:cs="宋体"/>
          <w:b/>
          <w:color w:val="000000"/>
          <w:sz w:val="24"/>
          <w:szCs w:val="24"/>
          <w:highlight w:val="none"/>
        </w:rPr>
      </w:pPr>
      <w:r>
        <w:rPr>
          <w:rFonts w:hint="eastAsia" w:eastAsia="宋体" w:cs="Times New Roman"/>
          <w:b/>
          <w:bCs/>
          <w:color w:val="000000"/>
          <w:sz w:val="24"/>
          <w:szCs w:val="24"/>
          <w:highlight w:val="none"/>
        </w:rPr>
        <w:t>对于中国境内投标人，投标条件详见招标文件“第一部分投标须知前附表1.6”。</w:t>
      </w:r>
    </w:p>
    <w:p w14:paraId="457B3F34">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3.报价</w:t>
      </w:r>
    </w:p>
    <w:p w14:paraId="5D2D2EE7">
      <w:pPr>
        <w:pStyle w:val="20"/>
        <w:spacing w:line="360" w:lineRule="auto"/>
        <w:ind w:firstLine="480" w:firstLineChars="200"/>
        <w:rPr>
          <w:rFonts w:hAnsi="宋体" w:eastAsia="宋体" w:cs="Times New Roman"/>
          <w:color w:val="000000"/>
          <w:sz w:val="24"/>
          <w:szCs w:val="24"/>
          <w:highlight w:val="none"/>
        </w:rPr>
      </w:pPr>
      <w:r>
        <w:rPr>
          <w:rFonts w:hint="eastAsia" w:hAnsi="宋体" w:eastAsia="宋体" w:cs="Times New Roman"/>
          <w:color w:val="000000"/>
          <w:sz w:val="24"/>
          <w:szCs w:val="24"/>
          <w:highlight w:val="none"/>
        </w:rPr>
        <w:t>3.1</w:t>
      </w:r>
      <w:r>
        <w:rPr>
          <w:rFonts w:hint="eastAsia" w:hAnsi="宋体" w:eastAsia="宋体" w:cs="Times New Roman"/>
          <w:sz w:val="24"/>
          <w:szCs w:val="24"/>
          <w:highlight w:val="none"/>
        </w:rPr>
        <w:t>本次招投标为</w:t>
      </w:r>
      <w:r>
        <w:rPr>
          <w:rFonts w:hint="eastAsia" w:eastAsia="宋体" w:cs="Times New Roman"/>
          <w:color w:val="000000"/>
          <w:sz w:val="24"/>
          <w:szCs w:val="24"/>
          <w:highlight w:val="none"/>
        </w:rPr>
        <w:t>公开招标</w:t>
      </w:r>
      <w:r>
        <w:rPr>
          <w:rFonts w:hint="eastAsia" w:hAnsi="宋体" w:eastAsia="宋体" w:cs="Times New Roman"/>
          <w:b/>
          <w:sz w:val="24"/>
          <w:szCs w:val="24"/>
          <w:highlight w:val="none"/>
        </w:rPr>
        <w:t>；</w:t>
      </w:r>
      <w:r>
        <w:rPr>
          <w:rFonts w:hint="eastAsia" w:hAnsi="宋体" w:eastAsia="宋体" w:cs="Times New Roman"/>
          <w:color w:val="000000"/>
          <w:sz w:val="24"/>
          <w:szCs w:val="24"/>
          <w:highlight w:val="none"/>
        </w:rPr>
        <w:t>评标流程以及规则详见本部分第六条评标原则。</w:t>
      </w:r>
    </w:p>
    <w:p w14:paraId="16E970B7">
      <w:pPr>
        <w:spacing w:line="360" w:lineRule="auto"/>
        <w:ind w:firstLine="235" w:firstLineChars="98"/>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51EEE7D8">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4.设备要求：</w:t>
      </w:r>
    </w:p>
    <w:p w14:paraId="10154D6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4.1投标设备技术参数和总体要求按《技术标书》执行；</w:t>
      </w:r>
    </w:p>
    <w:p w14:paraId="0BE901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4.2设备制造完毕经出厂检验合格后方能发货；</w:t>
      </w:r>
    </w:p>
    <w:p w14:paraId="432B85A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4.3设备包装按国家或部颁标准执行；</w:t>
      </w:r>
    </w:p>
    <w:p w14:paraId="5A9CC6F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4.4设备交货要求直接发货至合同指定地点，否则买方有权拒绝接受货物；</w:t>
      </w:r>
    </w:p>
    <w:p w14:paraId="04C6320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4.5投标人按技术规范书提报设备详细技术资料；</w:t>
      </w:r>
    </w:p>
    <w:p w14:paraId="7A89EFEE">
      <w:pPr>
        <w:pStyle w:val="20"/>
        <w:spacing w:line="360" w:lineRule="auto"/>
        <w:ind w:firstLine="480" w:firstLineChars="200"/>
        <w:rPr>
          <w:rFonts w:hAnsi="宋体" w:eastAsia="宋体"/>
          <w:color w:val="000000"/>
          <w:sz w:val="24"/>
          <w:szCs w:val="24"/>
          <w:highlight w:val="none"/>
        </w:rPr>
      </w:pPr>
      <w:r>
        <w:rPr>
          <w:rFonts w:hint="eastAsia" w:hAnsi="宋体" w:eastAsia="宋体"/>
          <w:color w:val="000000"/>
          <w:sz w:val="24"/>
          <w:szCs w:val="24"/>
          <w:highlight w:val="none"/>
        </w:rPr>
        <w:t>4.6</w:t>
      </w:r>
      <w:r>
        <w:rPr>
          <w:rFonts w:hAnsi="宋体" w:eastAsia="宋体"/>
          <w:color w:val="000000"/>
          <w:sz w:val="24"/>
          <w:szCs w:val="24"/>
          <w:highlight w:val="none"/>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highlight w:val="none"/>
        </w:rPr>
        <w:t>；</w:t>
      </w:r>
    </w:p>
    <w:p w14:paraId="500EBEA5">
      <w:pPr>
        <w:pStyle w:val="20"/>
        <w:spacing w:line="360" w:lineRule="auto"/>
        <w:ind w:firstLine="480" w:firstLineChars="200"/>
        <w:rPr>
          <w:rFonts w:hAnsi="宋体" w:eastAsia="宋体"/>
          <w:color w:val="000000"/>
          <w:sz w:val="24"/>
          <w:szCs w:val="24"/>
          <w:highlight w:val="none"/>
        </w:rPr>
      </w:pPr>
      <w:r>
        <w:rPr>
          <w:rFonts w:hint="eastAsia" w:hAnsi="宋体" w:eastAsia="宋体"/>
          <w:color w:val="000000"/>
          <w:sz w:val="24"/>
          <w:szCs w:val="24"/>
          <w:highlight w:val="none"/>
        </w:rPr>
        <w:t>4.7</w:t>
      </w:r>
      <w:r>
        <w:rPr>
          <w:rFonts w:hAnsi="宋体" w:eastAsia="宋体"/>
          <w:color w:val="000000"/>
          <w:sz w:val="24"/>
          <w:szCs w:val="24"/>
          <w:highlight w:val="none"/>
        </w:rPr>
        <w:t>设备设施颜色严格执行我公司企业标准《设备设施颜色标识》（Q/ZZ30070</w:t>
      </w:r>
    </w:p>
    <w:p w14:paraId="1BA293D0">
      <w:pPr>
        <w:pStyle w:val="20"/>
        <w:spacing w:line="360" w:lineRule="auto"/>
        <w:rPr>
          <w:rFonts w:hAnsi="宋体" w:eastAsia="宋体"/>
          <w:color w:val="000000"/>
          <w:sz w:val="24"/>
          <w:szCs w:val="24"/>
          <w:highlight w:val="none"/>
        </w:rPr>
      </w:pPr>
      <w:r>
        <w:rPr>
          <w:rFonts w:hAnsi="宋体" w:eastAsia="宋体"/>
          <w:color w:val="000000"/>
          <w:sz w:val="24"/>
          <w:szCs w:val="24"/>
          <w:highlight w:val="none"/>
        </w:rPr>
        <w:t>—2020）。</w:t>
      </w:r>
    </w:p>
    <w:p w14:paraId="564666FF">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5.其他要求</w:t>
      </w:r>
    </w:p>
    <w:p w14:paraId="1DAD1DE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包装、运输、检验、交付、安装、调试、培训、结算、质保及售后服务等，按《技术标书》要求，在标书中列示说明，最终以合同约定为准。</w:t>
      </w:r>
    </w:p>
    <w:p w14:paraId="308E7325">
      <w:pPr>
        <w:keepNext/>
        <w:keepLines/>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6.询标</w:t>
      </w:r>
    </w:p>
    <w:p w14:paraId="69A19EB7">
      <w:pPr>
        <w:keepNext/>
        <w:keepLines/>
        <w:spacing w:line="420" w:lineRule="exact"/>
        <w:ind w:firstLine="480" w:firstLineChars="200"/>
        <w:rPr>
          <w:rFonts w:ascii="Times New Roman" w:hAnsi="Times New Roman" w:eastAsia="宋体" w:cs="Times New Roman"/>
          <w:b/>
          <w:bCs/>
          <w:color w:val="000000"/>
          <w:sz w:val="24"/>
          <w:szCs w:val="24"/>
          <w:highlight w:val="none"/>
        </w:rPr>
      </w:pPr>
      <w:r>
        <w:rPr>
          <w:rFonts w:hint="eastAsia" w:ascii="宋体" w:hAnsi="宋体" w:eastAsia="宋体" w:cs="Times New Roman"/>
          <w:color w:val="000000"/>
          <w:sz w:val="24"/>
          <w:szCs w:val="24"/>
          <w:highlight w:val="none"/>
        </w:rPr>
        <w:t>凡对本次招标提出的询问，均以招标人的书面答复为准。</w:t>
      </w:r>
    </w:p>
    <w:p w14:paraId="3A8DB19F">
      <w:pPr>
        <w:keepNext/>
        <w:keepLines/>
        <w:spacing w:line="420" w:lineRule="exact"/>
        <w:outlineLvl w:val="1"/>
        <w:rPr>
          <w:rFonts w:ascii="Times New Roman" w:hAnsi="Times New Roman" w:eastAsia="宋体" w:cs="Times New Roman"/>
          <w:b/>
          <w:bCs/>
          <w:color w:val="000000"/>
          <w:sz w:val="28"/>
          <w:szCs w:val="28"/>
          <w:highlight w:val="none"/>
        </w:rPr>
      </w:pPr>
      <w:r>
        <w:rPr>
          <w:rFonts w:hint="eastAsia" w:ascii="Times New Roman" w:hAnsi="Times New Roman" w:eastAsia="宋体" w:cs="Times New Roman"/>
          <w:b/>
          <w:bCs/>
          <w:color w:val="000000"/>
          <w:sz w:val="28"/>
          <w:szCs w:val="28"/>
          <w:highlight w:val="none"/>
        </w:rPr>
        <w:t>五、议程安排</w:t>
      </w:r>
    </w:p>
    <w:p w14:paraId="19FE404F">
      <w:pPr>
        <w:keepNext/>
        <w:keepLines/>
        <w:spacing w:line="420" w:lineRule="exact"/>
        <w:ind w:firstLine="482" w:firstLineChars="200"/>
        <w:outlineLvl w:val="2"/>
        <w:rPr>
          <w:rFonts w:ascii="Times New Roman" w:hAnsi="Times New Roman" w:eastAsia="宋体" w:cs="Times New Roman"/>
          <w:color w:val="000000"/>
          <w:sz w:val="24"/>
          <w:szCs w:val="24"/>
          <w:highlight w:val="none"/>
        </w:rPr>
      </w:pPr>
      <w:r>
        <w:rPr>
          <w:rFonts w:ascii="Times New Roman" w:hAnsi="Times New Roman" w:eastAsia="宋体" w:cs="Times New Roman"/>
          <w:b/>
          <w:bCs/>
          <w:color w:val="000000"/>
          <w:sz w:val="24"/>
          <w:szCs w:val="24"/>
          <w:highlight w:val="none"/>
        </w:rPr>
        <w:t>1</w:t>
      </w:r>
      <w:r>
        <w:rPr>
          <w:rFonts w:hint="eastAsia" w:ascii="Times New Roman" w:hAnsi="Times New Roman" w:eastAsia="宋体" w:cs="Times New Roman"/>
          <w:b/>
          <w:bCs/>
          <w:color w:val="000000"/>
          <w:sz w:val="24"/>
          <w:szCs w:val="24"/>
          <w:highlight w:val="none"/>
        </w:rPr>
        <w:t>.发标时间</w:t>
      </w:r>
    </w:p>
    <w:p w14:paraId="12D86D61">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见《投标须知前附表》2.1。</w:t>
      </w:r>
    </w:p>
    <w:p w14:paraId="6F873A41">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2.发标方式</w:t>
      </w:r>
    </w:p>
    <w:p w14:paraId="7F54417B">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中国重汽官网→快讯中心→通知公告栏公布。</w:t>
      </w:r>
    </w:p>
    <w:p w14:paraId="355C4710">
      <w:pPr>
        <w:keepNext/>
        <w:keepLines/>
        <w:spacing w:line="420" w:lineRule="exact"/>
        <w:ind w:firstLine="482" w:firstLineChars="200"/>
        <w:outlineLvl w:val="2"/>
        <w:rPr>
          <w:rFonts w:ascii="宋体" w:hAnsi="Times New Roman"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3.答疑</w:t>
      </w:r>
    </w:p>
    <w:p w14:paraId="4DEED284">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见《投标须知前附表》第二条，逾期不受理。</w:t>
      </w:r>
    </w:p>
    <w:p w14:paraId="399CE303">
      <w:pPr>
        <w:keepNext/>
        <w:keepLines/>
        <w:spacing w:line="420" w:lineRule="exact"/>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4.投标报名</w:t>
      </w:r>
    </w:p>
    <w:p w14:paraId="58FD53E7">
      <w:pPr>
        <w:keepNext/>
        <w:keepLines/>
        <w:spacing w:line="420" w:lineRule="exact"/>
        <w:ind w:firstLine="482"/>
        <w:rPr>
          <w:rFonts w:eastAsia="宋体" w:cs="Times New Roman"/>
          <w:sz w:val="24"/>
          <w:szCs w:val="24"/>
          <w:highlight w:val="none"/>
        </w:rPr>
      </w:pPr>
      <w:r>
        <w:rPr>
          <w:rFonts w:hint="eastAsia" w:hAnsi="Courier New" w:eastAsia="宋体" w:cs="Times New Roman"/>
          <w:sz w:val="24"/>
          <w:szCs w:val="24"/>
          <w:highlight w:val="none"/>
        </w:rPr>
        <w:t>4.1</w:t>
      </w:r>
      <w:r>
        <w:rPr>
          <w:rFonts w:hint="eastAsia" w:eastAsia="宋体" w:cs="Times New Roman"/>
          <w:sz w:val="24"/>
          <w:szCs w:val="24"/>
          <w:highlight w:val="none"/>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none"/>
        </w:rPr>
        <w:t>（保证金具体金额及缴纳截止时间见《投标须知前附表》4.3）。</w:t>
      </w:r>
    </w:p>
    <w:p w14:paraId="6031FBA0">
      <w:pPr>
        <w:pStyle w:val="115"/>
        <w:ind w:firstLine="480"/>
        <w:rPr>
          <w:rFonts w:eastAsia="宋体" w:cs="Times New Roman"/>
          <w:highlight w:val="none"/>
        </w:rPr>
      </w:pPr>
      <w:r>
        <w:rPr>
          <w:rFonts w:hint="eastAsia" w:eastAsia="宋体" w:cs="Times New Roman"/>
          <w:highlight w:val="none"/>
        </w:rPr>
        <w:t>4.2招标人银行账户信息如下：</w:t>
      </w:r>
      <w:r>
        <w:rPr>
          <w:rFonts w:hint="eastAsia" w:eastAsia="宋体" w:cs="宋体"/>
          <w:highlight w:val="none"/>
        </w:rPr>
        <w:t>见《投标须知前附表》4.2</w:t>
      </w:r>
    </w:p>
    <w:p w14:paraId="7BB6DB7B">
      <w:pPr>
        <w:pStyle w:val="115"/>
        <w:ind w:firstLine="480"/>
        <w:rPr>
          <w:rFonts w:eastAsia="宋体" w:cs="Times New Roman"/>
          <w:highlight w:val="none"/>
        </w:rPr>
      </w:pPr>
      <w:r>
        <w:rPr>
          <w:rFonts w:hint="eastAsia" w:eastAsia="宋体" w:cs="Times New Roman"/>
          <w:highlight w:val="none"/>
        </w:rPr>
        <w:t>转账附言：公司名称+项目名称+投标保证金；</w:t>
      </w:r>
    </w:p>
    <w:p w14:paraId="267B5D88">
      <w:pPr>
        <w:pStyle w:val="115"/>
        <w:ind w:firstLine="480"/>
        <w:rPr>
          <w:rFonts w:eastAsia="宋体" w:cs="Times New Roman"/>
          <w:highlight w:val="none"/>
        </w:rPr>
      </w:pPr>
      <w:r>
        <w:rPr>
          <w:rFonts w:hint="eastAsia" w:eastAsia="宋体" w:cs="Times New Roman"/>
          <w:highlight w:val="none"/>
        </w:rPr>
        <w:t>对于没有中标的投标单位，投标保证金将于招标人内部完成中标人评审并确认最终中标人后在30工作日内予以原路返还（无息）；对于中标方，投标保证金将在签订合同后30工作日内返还。</w:t>
      </w:r>
    </w:p>
    <w:p w14:paraId="41FA0101">
      <w:pPr>
        <w:pStyle w:val="115"/>
        <w:ind w:firstLine="480"/>
        <w:rPr>
          <w:rFonts w:eastAsia="宋体" w:cs="Times New Roman"/>
          <w:highlight w:val="none"/>
        </w:rPr>
      </w:pPr>
      <w:r>
        <w:rPr>
          <w:rFonts w:hint="eastAsia" w:eastAsia="宋体" w:cs="Times New Roman"/>
          <w:highlight w:val="none"/>
        </w:rPr>
        <w:t>4.3说明</w:t>
      </w:r>
    </w:p>
    <w:p w14:paraId="474F1ED8">
      <w:pPr>
        <w:pStyle w:val="115"/>
        <w:ind w:firstLine="480"/>
        <w:rPr>
          <w:rFonts w:eastAsia="宋体" w:cs="Times New Roman"/>
          <w:highlight w:val="none"/>
        </w:rPr>
      </w:pPr>
      <w:r>
        <w:rPr>
          <w:rFonts w:hint="eastAsia" w:eastAsia="宋体" w:cs="Times New Roman"/>
          <w:highlight w:val="none"/>
        </w:rPr>
        <w:t>4.3.1 投标人在向招标人出示《投标保证金缴纳凭证》后方可进行投标；</w:t>
      </w:r>
    </w:p>
    <w:p w14:paraId="2BE8B760">
      <w:pPr>
        <w:pStyle w:val="115"/>
        <w:ind w:firstLine="480"/>
        <w:rPr>
          <w:rFonts w:eastAsia="宋体" w:cs="Times New Roman"/>
          <w:highlight w:val="none"/>
        </w:rPr>
      </w:pPr>
      <w:r>
        <w:rPr>
          <w:rFonts w:hint="eastAsia" w:eastAsia="宋体" w:cs="Times New Roman"/>
          <w:highlight w:val="none"/>
        </w:rPr>
        <w:t>4.3.2 发生以下情况时，招标人有权没收保证金：</w:t>
      </w:r>
    </w:p>
    <w:p w14:paraId="4A97064B">
      <w:pPr>
        <w:pStyle w:val="115"/>
        <w:ind w:firstLine="480"/>
        <w:rPr>
          <w:rFonts w:eastAsia="宋体" w:cs="Times New Roman"/>
          <w:highlight w:val="none"/>
        </w:rPr>
      </w:pPr>
      <w:r>
        <w:rPr>
          <w:rFonts w:hint="eastAsia" w:eastAsia="宋体" w:cs="Times New Roman"/>
          <w:highlight w:val="none"/>
        </w:rPr>
        <w:t>4.3.2.1 截至开标前3天，投标人无正当理由且未以书面形式递交说明而在投标截止日不来投标的；</w:t>
      </w:r>
    </w:p>
    <w:p w14:paraId="2847926B">
      <w:pPr>
        <w:pStyle w:val="115"/>
        <w:ind w:firstLine="480"/>
        <w:rPr>
          <w:rFonts w:eastAsia="宋体" w:cs="Times New Roman"/>
          <w:highlight w:val="none"/>
        </w:rPr>
      </w:pPr>
      <w:r>
        <w:rPr>
          <w:rFonts w:hint="eastAsia" w:eastAsia="宋体" w:cs="Times New Roman"/>
          <w:highlight w:val="none"/>
        </w:rPr>
        <w:t>4.3.2.2 投标人递送投标文件后，无正当理由放弃投标的；</w:t>
      </w:r>
    </w:p>
    <w:p w14:paraId="22C09478">
      <w:pPr>
        <w:pStyle w:val="115"/>
        <w:ind w:firstLine="480"/>
        <w:rPr>
          <w:rFonts w:eastAsia="宋体" w:cs="Times New Roman"/>
          <w:highlight w:val="none"/>
        </w:rPr>
      </w:pPr>
      <w:r>
        <w:rPr>
          <w:rFonts w:hint="eastAsia" w:eastAsia="宋体" w:cs="Times New Roman"/>
          <w:highlight w:val="none"/>
        </w:rPr>
        <w:t>4.3.2.3若为视频开标，招标过程中澄清函等资料原件未按要求提交的；</w:t>
      </w:r>
    </w:p>
    <w:p w14:paraId="6489E5DE">
      <w:pPr>
        <w:pStyle w:val="115"/>
        <w:ind w:firstLine="480"/>
        <w:rPr>
          <w:rFonts w:eastAsia="宋体" w:cs="Times New Roman"/>
          <w:highlight w:val="none"/>
        </w:rPr>
      </w:pPr>
      <w:r>
        <w:rPr>
          <w:rFonts w:hint="eastAsia" w:eastAsia="宋体" w:cs="Times New Roman"/>
          <w:highlight w:val="none"/>
        </w:rPr>
        <w:t>4.3.2.4自中标通知书发出之日起30日内，中标人无正当理由不签订合同的；</w:t>
      </w:r>
    </w:p>
    <w:p w14:paraId="4CA72214">
      <w:pPr>
        <w:pStyle w:val="115"/>
        <w:ind w:firstLine="480"/>
        <w:rPr>
          <w:rFonts w:eastAsia="宋体" w:cs="Times New Roman"/>
          <w:highlight w:val="none"/>
        </w:rPr>
      </w:pPr>
      <w:r>
        <w:rPr>
          <w:rFonts w:hint="eastAsia" w:eastAsia="宋体" w:cs="Times New Roman"/>
          <w:highlight w:val="none"/>
        </w:rPr>
        <w:t>4.3.2.5投标人在投标过程中被查实有串标、围标、陪标等违规违纪行为的；</w:t>
      </w:r>
    </w:p>
    <w:p w14:paraId="448334B2">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4.3.2.6投标人有违约违规行为或被投诉、举报的，在调查处理期间，保证金暂不退还，待调查处理结束后按有关规定处理。</w:t>
      </w:r>
    </w:p>
    <w:p w14:paraId="08293BB8">
      <w:pPr>
        <w:pStyle w:val="115"/>
        <w:ind w:firstLine="480"/>
        <w:rPr>
          <w:rFonts w:eastAsia="宋体" w:cs="Times New Roman"/>
          <w:highlight w:val="none"/>
        </w:rPr>
      </w:pPr>
      <w:r>
        <w:rPr>
          <w:rFonts w:hint="eastAsia" w:eastAsia="宋体" w:cs="Times New Roman"/>
          <w:highlight w:val="none"/>
        </w:rPr>
        <w:t>4.4投标报名截止时间</w:t>
      </w:r>
    </w:p>
    <w:p w14:paraId="08FC82DE">
      <w:pPr>
        <w:pStyle w:val="115"/>
        <w:ind w:firstLine="480"/>
        <w:rPr>
          <w:rFonts w:eastAsia="宋体" w:cs="Times New Roman"/>
          <w:highlight w:val="none"/>
        </w:rPr>
      </w:pPr>
      <w:r>
        <w:rPr>
          <w:rFonts w:hint="eastAsia" w:eastAsia="宋体" w:cs="Times New Roman"/>
          <w:highlight w:val="none"/>
        </w:rPr>
        <w:t>报名方式：</w:t>
      </w:r>
      <w:r>
        <w:rPr>
          <w:rFonts w:hint="eastAsia" w:eastAsia="宋体" w:cs="Times New Roman"/>
          <w:highlight w:val="none"/>
        </w:rPr>
        <w:t>见《投标须知前附表》2.3。</w:t>
      </w:r>
    </w:p>
    <w:p w14:paraId="4B04ABCD">
      <w:pPr>
        <w:pStyle w:val="115"/>
        <w:ind w:firstLine="480"/>
        <w:rPr>
          <w:rFonts w:eastAsia="宋体" w:cs="Times New Roman"/>
          <w:highlight w:val="none"/>
        </w:rPr>
      </w:pPr>
      <w:r>
        <w:rPr>
          <w:rFonts w:hint="eastAsia" w:eastAsia="宋体" w:cs="Times New Roman"/>
          <w:highlight w:val="none"/>
        </w:rPr>
        <w:t>报名提交资料：均为盖章电子扫描版，用公司名称+文件名称命名。</w:t>
      </w:r>
    </w:p>
    <w:p w14:paraId="3B71275E">
      <w:pPr>
        <w:numPr>
          <w:ilvl w:val="0"/>
          <w:numId w:val="9"/>
        </w:numPr>
        <w:spacing w:line="420" w:lineRule="exact"/>
        <w:rPr>
          <w:rFonts w:ascii="宋体" w:hAnsi="宋体" w:eastAsia="宋体" w:cs="宋体"/>
          <w:color w:val="000000"/>
          <w:sz w:val="24"/>
          <w:szCs w:val="24"/>
          <w:highlight w:val="none"/>
        </w:rPr>
      </w:pPr>
      <w:r>
        <w:rPr>
          <w:rFonts w:hint="eastAsia" w:ascii="宋体" w:hAnsi="宋体" w:eastAsia="宋体" w:cs="Times New Roman"/>
          <w:b/>
          <w:color w:val="000000"/>
          <w:sz w:val="24"/>
          <w:szCs w:val="24"/>
          <w:highlight w:val="none"/>
        </w:rPr>
        <w:t>如果是授权委托人投标，</w:t>
      </w:r>
      <w:r>
        <w:rPr>
          <w:rFonts w:hint="eastAsia" w:ascii="宋体" w:hAnsi="宋体" w:eastAsia="宋体" w:cs="Times New Roman"/>
          <w:color w:val="000000"/>
          <w:sz w:val="24"/>
          <w:szCs w:val="24"/>
          <w:highlight w:val="none"/>
        </w:rPr>
        <w:t>要提交三证合一的营业执照副本、法人授权委托书（含法人及授权人身份信息证明、授权代表联系方式）。</w:t>
      </w:r>
    </w:p>
    <w:p w14:paraId="4F736D60">
      <w:pPr>
        <w:numPr>
          <w:ilvl w:val="0"/>
          <w:numId w:val="9"/>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如果是法人参加投标</w:t>
      </w:r>
      <w:r>
        <w:rPr>
          <w:rFonts w:hint="eastAsia" w:ascii="宋体" w:hAnsi="宋体" w:eastAsia="宋体" w:cs="Times New Roman"/>
          <w:color w:val="000000"/>
          <w:sz w:val="24"/>
          <w:szCs w:val="24"/>
          <w:highlight w:val="none"/>
        </w:rPr>
        <w:t>，要提交三证合一的营业执照副本、法人代表证明文件。</w:t>
      </w:r>
    </w:p>
    <w:p w14:paraId="0EB44F5B">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5.开标时间</w:t>
      </w:r>
    </w:p>
    <w:p w14:paraId="395B715A">
      <w:pPr>
        <w:keepNext/>
        <w:keepLines/>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见《投标须知前附表》5.1，若有变动另行通知。</w:t>
      </w:r>
    </w:p>
    <w:p w14:paraId="572A5CE9">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6.开标方式</w:t>
      </w:r>
    </w:p>
    <w:p w14:paraId="23928998">
      <w:pPr>
        <w:spacing w:line="420" w:lineRule="exact"/>
        <w:ind w:firstLine="480" w:firstLineChars="200"/>
        <w:rPr>
          <w:rFonts w:ascii="宋体" w:hAnsi="宋体" w:eastAsia="宋体" w:cs="宋体"/>
          <w:color w:val="000000"/>
          <w:sz w:val="24"/>
          <w:szCs w:val="24"/>
          <w:highlight w:val="none"/>
        </w:rPr>
      </w:pPr>
      <w:r>
        <w:rPr>
          <w:rFonts w:ascii="宋体" w:hAnsi="宋体" w:eastAsia="宋体" w:cs="宋体"/>
          <w:color w:val="000000"/>
          <w:sz w:val="24"/>
          <w:szCs w:val="24"/>
          <w:highlight w:val="none"/>
        </w:rPr>
        <w:t>其他情况请选择视频</w:t>
      </w:r>
      <w:r>
        <w:rPr>
          <w:rFonts w:hint="eastAsia" w:ascii="宋体" w:hAnsi="宋体" w:eastAsia="宋体" w:cs="宋体"/>
          <w:color w:val="000000"/>
          <w:sz w:val="24"/>
          <w:szCs w:val="24"/>
          <w:highlight w:val="none"/>
        </w:rPr>
        <w:t>参与开标，视频链接会在报名结束后统一通知。</w:t>
      </w:r>
    </w:p>
    <w:p w14:paraId="2E641167">
      <w:pPr>
        <w:keepNext/>
        <w:keepLines/>
        <w:spacing w:line="420" w:lineRule="exact"/>
        <w:jc w:val="left"/>
        <w:outlineLvl w:val="1"/>
        <w:rPr>
          <w:rFonts w:ascii="Times New Roman" w:hAnsi="Times New Roman" w:eastAsia="宋体" w:cs="Times New Roman"/>
          <w:b/>
          <w:bCs/>
          <w:color w:val="000000"/>
          <w:sz w:val="28"/>
          <w:szCs w:val="28"/>
          <w:highlight w:val="none"/>
        </w:rPr>
      </w:pPr>
      <w:bookmarkStart w:id="5" w:name="_Toc33266914"/>
      <w:bookmarkStart w:id="6" w:name="_Toc33265752"/>
      <w:bookmarkStart w:id="7" w:name="_Toc33266627"/>
      <w:bookmarkStart w:id="8" w:name="_Toc33265653"/>
      <w:bookmarkStart w:id="9" w:name="_Toc33267001"/>
      <w:bookmarkStart w:id="10" w:name="_Toc33285487"/>
      <w:bookmarkStart w:id="11" w:name="_Toc33266950"/>
      <w:r>
        <w:rPr>
          <w:rFonts w:hint="eastAsia" w:ascii="Times New Roman" w:hAnsi="Times New Roman" w:eastAsia="宋体" w:cs="Times New Roman"/>
          <w:b/>
          <w:bCs/>
          <w:color w:val="000000"/>
          <w:sz w:val="28"/>
          <w:szCs w:val="28"/>
          <w:highlight w:val="none"/>
        </w:rPr>
        <w:t>六、评标原则</w:t>
      </w:r>
      <w:bookmarkEnd w:id="5"/>
      <w:bookmarkEnd w:id="6"/>
      <w:bookmarkEnd w:id="7"/>
      <w:bookmarkEnd w:id="8"/>
      <w:bookmarkEnd w:id="9"/>
      <w:bookmarkEnd w:id="10"/>
      <w:bookmarkEnd w:id="11"/>
      <w:bookmarkStart w:id="12" w:name="_Toc395116633"/>
    </w:p>
    <w:bookmarkEnd w:id="12"/>
    <w:p w14:paraId="4053FB51">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为保证项目顺利实施，由招标人组织、按国家法律法规及公司相关规章制度要求，设立评标工作小组，同时依据以下评分标准，采用综合评定法，本着公平、公正、公开的原则，在最大限度地满足招标文件实质性要求的前提下，对招标文件中规定的各项因素进行综合评审，确定中标人，对未中标单位不做任何解释。招标人有权根据项目情况，采取多级评标模式，最终确定推荐中标人。</w:t>
      </w:r>
    </w:p>
    <w:p w14:paraId="20703E4A">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1、评标流程：</w:t>
      </w:r>
    </w:p>
    <w:p w14:paraId="74AFFC52">
      <w:pPr>
        <w:widowControl w:val="0"/>
        <w:numPr>
          <w:ilvl w:val="0"/>
          <w:numId w:val="10"/>
        </w:numPr>
        <w:spacing w:line="360" w:lineRule="auto"/>
        <w:ind w:left="902" w:hanging="420" w:firstLineChars="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资质审核：投标文件组成9.1中要求的（1）-（8）资质证明文件审核；</w:t>
      </w:r>
    </w:p>
    <w:p w14:paraId="1605D9A3">
      <w:pPr>
        <w:widowControl w:val="0"/>
        <w:numPr>
          <w:ilvl w:val="0"/>
          <w:numId w:val="10"/>
        </w:numPr>
        <w:spacing w:line="360" w:lineRule="auto"/>
        <w:ind w:left="902" w:hanging="420" w:firstLineChars="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通过资质审核的单位可以进入技术评议，没有通过的单位不能进入技术评议；</w:t>
      </w:r>
    </w:p>
    <w:p w14:paraId="7C2CB8E8">
      <w:pPr>
        <w:widowControl w:val="0"/>
        <w:numPr>
          <w:ilvl w:val="0"/>
          <w:numId w:val="10"/>
        </w:numPr>
        <w:spacing w:line="360" w:lineRule="auto"/>
        <w:ind w:left="902" w:hanging="420" w:firstLineChars="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技术评议：</w:t>
      </w:r>
    </w:p>
    <w:p w14:paraId="604F0DBC">
      <w:pPr>
        <w:numPr>
          <w:ilvl w:val="0"/>
          <w:numId w:val="11"/>
        </w:numPr>
        <w:tabs>
          <w:tab w:val="left" w:pos="1080"/>
        </w:tabs>
        <w:adjustRightInd w:val="0"/>
        <w:snapToGrid w:val="0"/>
        <w:spacing w:after="0" w:line="360" w:lineRule="auto"/>
        <w:ind w:left="1322" w:hanging="420"/>
        <w:rPr>
          <w:rFonts w:ascii="宋体" w:hAnsi="宋体" w:eastAsia="宋体" w:cs="宋体"/>
          <w:sz w:val="24"/>
          <w:szCs w:val="24"/>
          <w:highlight w:val="none"/>
        </w:rPr>
      </w:pPr>
      <w:r>
        <w:rPr>
          <w:rFonts w:hint="eastAsia" w:ascii="宋体" w:hAnsi="宋体" w:eastAsia="宋体" w:cs="宋体"/>
          <w:bCs/>
          <w:sz w:val="24"/>
          <w:szCs w:val="24"/>
          <w:highlight w:val="none"/>
        </w:rPr>
        <w:t>经技术专家组</w:t>
      </w:r>
      <w:r>
        <w:rPr>
          <w:rFonts w:hint="eastAsia" w:ascii="宋体" w:hAnsi="宋体" w:eastAsia="宋体" w:cs="宋体"/>
          <w:sz w:val="24"/>
          <w:szCs w:val="24"/>
          <w:highlight w:val="none"/>
        </w:rPr>
        <w:t>认定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14:paraId="4BFEF0F7">
      <w:pPr>
        <w:numPr>
          <w:ilvl w:val="0"/>
          <w:numId w:val="11"/>
        </w:numPr>
        <w:tabs>
          <w:tab w:val="left" w:pos="1080"/>
        </w:tabs>
        <w:adjustRightInd w:val="0"/>
        <w:snapToGrid w:val="0"/>
        <w:spacing w:after="0" w:line="360" w:lineRule="auto"/>
        <w:ind w:left="1322" w:hanging="420"/>
        <w:rPr>
          <w:rFonts w:ascii="宋体" w:hAnsi="宋体" w:eastAsia="宋体" w:cs="宋体"/>
          <w:sz w:val="24"/>
          <w:szCs w:val="24"/>
          <w:highlight w:val="none"/>
        </w:rPr>
      </w:pPr>
      <w:r>
        <w:rPr>
          <w:rFonts w:hint="eastAsia" w:ascii="宋体" w:hAnsi="宋体" w:eastAsia="宋体" w:cs="宋体"/>
          <w:sz w:val="24"/>
          <w:szCs w:val="24"/>
          <w:highlight w:val="none"/>
        </w:rPr>
        <w:t>经技术专家组认定投标文件不满足或严重偏离招标技术文件重要条款或无证实性技术资料支持，达到3项（包含）及以上者。</w:t>
      </w:r>
    </w:p>
    <w:p w14:paraId="4E19B093">
      <w:pPr>
        <w:numPr>
          <w:ilvl w:val="0"/>
          <w:numId w:val="11"/>
        </w:numPr>
        <w:tabs>
          <w:tab w:val="left" w:pos="1080"/>
        </w:tabs>
        <w:adjustRightInd w:val="0"/>
        <w:snapToGrid w:val="0"/>
        <w:spacing w:after="0" w:line="360" w:lineRule="auto"/>
        <w:ind w:left="1322" w:hanging="420"/>
        <w:rPr>
          <w:rFonts w:ascii="宋体" w:hAnsi="宋体" w:eastAsia="宋体" w:cs="宋体"/>
          <w:sz w:val="24"/>
          <w:szCs w:val="24"/>
          <w:highlight w:val="none"/>
        </w:rPr>
      </w:pPr>
      <w:r>
        <w:rPr>
          <w:rFonts w:hint="eastAsia" w:ascii="宋体" w:hAnsi="宋体" w:eastAsia="宋体" w:cs="宋体"/>
          <w:sz w:val="24"/>
          <w:szCs w:val="24"/>
          <w:highlight w:val="none"/>
        </w:rPr>
        <w:t>投标文件技术规格书的响应与事实不符或虚假投标的。</w:t>
      </w:r>
    </w:p>
    <w:p w14:paraId="5F21D959">
      <w:pPr>
        <w:numPr>
          <w:ilvl w:val="0"/>
          <w:numId w:val="11"/>
        </w:numPr>
        <w:tabs>
          <w:tab w:val="left" w:pos="1080"/>
        </w:tabs>
        <w:adjustRightInd w:val="0"/>
        <w:snapToGrid w:val="0"/>
        <w:spacing w:after="0" w:line="360" w:lineRule="auto"/>
        <w:ind w:left="1322" w:hanging="420"/>
        <w:rPr>
          <w:rFonts w:ascii="宋体" w:hAnsi="宋体" w:eastAsia="宋体" w:cs="宋体"/>
          <w:sz w:val="24"/>
          <w:szCs w:val="24"/>
          <w:highlight w:val="none"/>
        </w:rPr>
      </w:pPr>
      <w:r>
        <w:rPr>
          <w:rFonts w:hint="eastAsia" w:ascii="宋体" w:hAnsi="宋体" w:eastAsia="宋体" w:cs="宋体"/>
          <w:sz w:val="24"/>
          <w:szCs w:val="24"/>
          <w:highlight w:val="none"/>
        </w:rPr>
        <w:t>投标人复制招标文件的相关内容作为其投标文件内容，达到50%及以上者。</w:t>
      </w:r>
    </w:p>
    <w:p w14:paraId="55E25BBE">
      <w:pPr>
        <w:numPr>
          <w:ilvl w:val="0"/>
          <w:numId w:val="11"/>
        </w:numPr>
        <w:tabs>
          <w:tab w:val="left" w:pos="1080"/>
        </w:tabs>
        <w:adjustRightInd w:val="0"/>
        <w:snapToGrid w:val="0"/>
        <w:spacing w:after="0" w:line="360" w:lineRule="auto"/>
        <w:ind w:left="1322" w:hanging="420"/>
        <w:rPr>
          <w:rFonts w:ascii="宋体" w:hAnsi="宋体" w:eastAsia="宋体" w:cs="宋体"/>
          <w:sz w:val="24"/>
          <w:szCs w:val="24"/>
          <w:highlight w:val="none"/>
        </w:rPr>
      </w:pPr>
      <w:r>
        <w:rPr>
          <w:rFonts w:hint="eastAsia" w:ascii="宋体" w:hAnsi="宋体" w:eastAsia="宋体" w:cs="宋体"/>
          <w:sz w:val="24"/>
          <w:szCs w:val="24"/>
          <w:highlight w:val="none"/>
        </w:rPr>
        <w:t>投标文件符合招标文件中规定废标的其它技术条款。</w:t>
      </w:r>
    </w:p>
    <w:p w14:paraId="2DDE0DF9">
      <w:pPr>
        <w:widowControl w:val="0"/>
        <w:numPr>
          <w:ilvl w:val="0"/>
          <w:numId w:val="10"/>
        </w:numPr>
        <w:spacing w:line="360" w:lineRule="auto"/>
        <w:ind w:left="0"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技术评议合格的单位可以进入商务评议环节，技术评议不合格的单位会面临淘汰，技术评议分数占总分60%。</w:t>
      </w:r>
    </w:p>
    <w:p w14:paraId="3FAC72E4">
      <w:pPr>
        <w:widowControl w:val="0"/>
        <w:numPr>
          <w:ilvl w:val="0"/>
          <w:numId w:val="10"/>
        </w:numPr>
        <w:spacing w:line="360" w:lineRule="auto"/>
        <w:ind w:left="0"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商务评议：公开唱标→商务条款相应确认→两级商谈评议</w:t>
      </w:r>
    </w:p>
    <w:p w14:paraId="0081A073">
      <w:pPr>
        <w:widowControl w:val="0"/>
        <w:numPr>
          <w:ilvl w:val="0"/>
          <w:numId w:val="10"/>
        </w:numPr>
        <w:spacing w:line="360" w:lineRule="auto"/>
        <w:ind w:left="902" w:hanging="420" w:firstLineChars="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综合评价：根据技术和商务综合得分，择优推荐中标人</w:t>
      </w:r>
    </w:p>
    <w:p w14:paraId="43013F52">
      <w:pPr>
        <w:widowControl w:val="0"/>
        <w:spacing w:line="360" w:lineRule="auto"/>
        <w:ind w:firstLine="470" w:firstLineChars="196"/>
        <w:jc w:val="both"/>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2、技术评分标准</w:t>
      </w:r>
    </w:p>
    <w:p w14:paraId="5A3865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w:t>
      </w:r>
      <w:r>
        <w:rPr>
          <w:rFonts w:ascii="Times New Roman" w:hAnsi="Times New Roman" w:eastAsia="宋体" w:cs="Times New Roman"/>
          <w:color w:val="000000"/>
          <w:kern w:val="2"/>
          <w:sz w:val="24"/>
          <w:szCs w:val="24"/>
          <w:highlight w:val="none"/>
          <w:lang w:val="en-US" w:eastAsia="zh-CN" w:bidi="ar-SA"/>
        </w:rPr>
        <w:t>1)</w:t>
      </w:r>
      <w:r>
        <w:rPr>
          <w:rFonts w:hint="eastAsia" w:ascii="Times New Roman" w:hAnsi="Times New Roman" w:eastAsia="宋体" w:cs="Times New Roman"/>
          <w:color w:val="000000"/>
          <w:kern w:val="2"/>
          <w:sz w:val="24"/>
          <w:szCs w:val="24"/>
          <w:highlight w:val="none"/>
          <w:lang w:val="en-US" w:eastAsia="zh-CN" w:bidi="ar-SA"/>
        </w:rPr>
        <w:t>评标依据：</w:t>
      </w:r>
      <w:r>
        <w:rPr>
          <w:rFonts w:hint="eastAsia" w:ascii="宋体" w:hAnsi="宋体" w:eastAsia="宋体" w:cs="Times New Roman"/>
          <w:b/>
          <w:color w:val="000000"/>
          <w:kern w:val="2"/>
          <w:sz w:val="24"/>
          <w:szCs w:val="24"/>
          <w:highlight w:val="none"/>
          <w:lang w:val="en-US" w:eastAsia="zh-CN" w:bidi="ar-SA"/>
        </w:rPr>
        <w:t>采用综合评分法，技术标评分占比60%，商务标评分占比40%</w:t>
      </w:r>
      <w:r>
        <w:rPr>
          <w:rFonts w:hint="eastAsia" w:ascii="Times New Roman" w:hAnsi="Times New Roman" w:eastAsia="宋体" w:cs="Times New Roman"/>
          <w:color w:val="000000"/>
          <w:kern w:val="2"/>
          <w:sz w:val="24"/>
          <w:szCs w:val="24"/>
          <w:highlight w:val="none"/>
          <w:lang w:val="en-US" w:eastAsia="zh-CN" w:bidi="ar-SA"/>
        </w:rPr>
        <w:t>。</w:t>
      </w:r>
      <w:r>
        <w:rPr>
          <w:rFonts w:ascii="宋体" w:hAnsi="宋体" w:eastAsia="宋体" w:cs="宋体"/>
          <w:kern w:val="2"/>
          <w:sz w:val="24"/>
          <w:szCs w:val="24"/>
          <w:highlight w:val="none"/>
          <w:lang w:val="en-US" w:eastAsia="zh-CN" w:bidi="ar-SA"/>
        </w:rPr>
        <w:t>所有要求提供相应的佐证材料，若无法提供，视同不满足要求。</w:t>
      </w:r>
    </w:p>
    <w:p w14:paraId="5FF8AEA5">
      <w:pPr>
        <w:keepNext w:val="0"/>
        <w:keepLines w:val="0"/>
        <w:pageBreakBefore w:val="0"/>
        <w:widowControl w:val="0"/>
        <w:kinsoku/>
        <w:wordWrap/>
        <w:overflowPunct/>
        <w:topLinePunct w:val="0"/>
        <w:autoSpaceDE/>
        <w:autoSpaceDN/>
        <w:bidi w:val="0"/>
        <w:adjustRightInd/>
        <w:snapToGrid/>
        <w:spacing w:after="0" w:line="240" w:lineRule="auto"/>
        <w:ind w:firstLine="480" w:firstLineChars="200"/>
        <w:textAlignment w:val="auto"/>
        <w:rPr>
          <w:rFonts w:ascii="等线" w:hAnsi="宋体" w:eastAsia="等线" w:cs="Times New Roman"/>
          <w:color w:val="000000"/>
          <w:sz w:val="24"/>
          <w:szCs w:val="24"/>
          <w:highlight w:val="none"/>
        </w:rPr>
      </w:pPr>
      <w:r>
        <w:rPr>
          <w:rFonts w:hint="eastAsia" w:ascii="Times New Roman" w:hAnsi="Times New Roman" w:eastAsia="宋体" w:cs="Times New Roman"/>
          <w:color w:val="000000"/>
          <w:sz w:val="24"/>
          <w:szCs w:val="24"/>
          <w:highlight w:val="none"/>
        </w:rPr>
        <w:t>（2）</w:t>
      </w:r>
      <w:r>
        <w:rPr>
          <w:rFonts w:ascii="Times New Roman" w:hAnsi="Times New Roman" w:eastAsia="宋体" w:cs="Times New Roman"/>
          <w:color w:val="000000"/>
          <w:sz w:val="24"/>
          <w:szCs w:val="24"/>
          <w:highlight w:val="none"/>
        </w:rPr>
        <w:t>技术标评分标准</w:t>
      </w:r>
      <w:r>
        <w:rPr>
          <w:rFonts w:hint="eastAsia" w:ascii="Times New Roman" w:hAnsi="Times New Roman" w:eastAsia="宋体" w:cs="Times New Roman"/>
          <w:color w:val="000000"/>
          <w:sz w:val="24"/>
          <w:szCs w:val="24"/>
          <w:highlight w:val="none"/>
        </w:rPr>
        <w:t>见附件</w:t>
      </w:r>
      <w:r>
        <w:rPr>
          <w:rFonts w:hint="eastAsia" w:ascii="Times New Roman" w:hAnsi="Times New Roman" w:eastAsia="宋体" w:cs="Times New Roman"/>
          <w:color w:val="000000"/>
          <w:sz w:val="24"/>
          <w:szCs w:val="24"/>
          <w:highlight w:val="none"/>
          <w:lang w:val="en-US" w:eastAsia="zh-CN"/>
        </w:rPr>
        <w:t>8</w:t>
      </w:r>
    </w:p>
    <w:p w14:paraId="7E4C09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（3）商务标评分标准：商务标得分</w:t>
      </w:r>
      <w:r>
        <w:rPr>
          <w:rFonts w:ascii="宋体" w:hAnsi="宋体" w:eastAsia="宋体" w:cs="Times New Roman"/>
          <w:color w:val="000000"/>
          <w:kern w:val="2"/>
          <w:sz w:val="24"/>
          <w:szCs w:val="24"/>
          <w:highlight w:val="none"/>
          <w:lang w:val="en-US" w:eastAsia="zh-CN" w:bidi="ar-SA"/>
        </w:rPr>
        <w:t>=当前轮次最低价/供方投标价</w:t>
      </w:r>
      <w:r>
        <w:rPr>
          <w:rFonts w:hint="eastAsia" w:ascii="宋体" w:hAnsi="宋体" w:eastAsia="宋体" w:cs="Times New Roman"/>
          <w:color w:val="000000"/>
          <w:kern w:val="2"/>
          <w:sz w:val="24"/>
          <w:szCs w:val="24"/>
          <w:highlight w:val="none"/>
          <w:lang w:val="en-US" w:eastAsia="zh-CN" w:bidi="ar-SA"/>
        </w:rPr>
        <w:t>×</w:t>
      </w:r>
      <w:r>
        <w:rPr>
          <w:rFonts w:ascii="宋体" w:hAnsi="宋体" w:eastAsia="等线" w:cs="Times New Roman"/>
          <w:kern w:val="2"/>
          <w:sz w:val="24"/>
          <w:szCs w:val="24"/>
          <w:highlight w:val="none"/>
          <w:lang w:val="en-US" w:eastAsia="zh-CN" w:bidi="ar-SA"/>
        </w:rPr>
        <w:t>100</w:t>
      </w:r>
    </w:p>
    <w:p w14:paraId="0B4CA2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（4）</w:t>
      </w:r>
      <w:r>
        <w:rPr>
          <w:rFonts w:ascii="宋体" w:hAnsi="宋体" w:eastAsia="宋体" w:cs="Times New Roman"/>
          <w:color w:val="000000"/>
          <w:kern w:val="2"/>
          <w:sz w:val="24"/>
          <w:szCs w:val="24"/>
          <w:highlight w:val="none"/>
          <w:lang w:val="en-US" w:eastAsia="zh-CN" w:bidi="ar-SA"/>
        </w:rPr>
        <w:t>综合得分：技术标得分*</w:t>
      </w:r>
      <w:r>
        <w:rPr>
          <w:rFonts w:hint="eastAsia" w:ascii="宋体" w:hAnsi="宋体" w:eastAsia="宋体" w:cs="Times New Roman"/>
          <w:color w:val="000000"/>
          <w:kern w:val="2"/>
          <w:sz w:val="24"/>
          <w:szCs w:val="24"/>
          <w:highlight w:val="none"/>
          <w:lang w:val="en-US" w:eastAsia="zh-CN" w:bidi="ar-SA"/>
        </w:rPr>
        <w:t>6</w:t>
      </w:r>
      <w:r>
        <w:rPr>
          <w:rFonts w:ascii="宋体" w:hAnsi="宋体" w:eastAsia="宋体" w:cs="Times New Roman"/>
          <w:color w:val="000000"/>
          <w:kern w:val="2"/>
          <w:sz w:val="24"/>
          <w:szCs w:val="24"/>
          <w:highlight w:val="none"/>
          <w:lang w:val="en-US" w:eastAsia="zh-CN" w:bidi="ar-SA"/>
        </w:rPr>
        <w:t>0%+商务标得分*</w:t>
      </w:r>
      <w:r>
        <w:rPr>
          <w:rFonts w:hint="eastAsia" w:ascii="宋体" w:hAnsi="宋体" w:eastAsia="宋体" w:cs="Times New Roman"/>
          <w:color w:val="000000"/>
          <w:kern w:val="2"/>
          <w:sz w:val="24"/>
          <w:szCs w:val="24"/>
          <w:highlight w:val="none"/>
          <w:lang w:val="en-US" w:eastAsia="zh-CN" w:bidi="ar-SA"/>
        </w:rPr>
        <w:t>4</w:t>
      </w:r>
      <w:r>
        <w:rPr>
          <w:rFonts w:ascii="宋体" w:hAnsi="宋体" w:eastAsia="宋体" w:cs="Times New Roman"/>
          <w:color w:val="000000"/>
          <w:kern w:val="2"/>
          <w:sz w:val="24"/>
          <w:szCs w:val="24"/>
          <w:highlight w:val="none"/>
          <w:lang w:val="en-US" w:eastAsia="zh-CN" w:bidi="ar-SA"/>
        </w:rPr>
        <w:t>0%</w:t>
      </w:r>
    </w:p>
    <w:p w14:paraId="4CF707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补充说明：</w:t>
      </w:r>
    </w:p>
    <w:p w14:paraId="3ADF5038">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04973201">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b、评委打分超过得分界限或未按本方法赋分时，该评委的打分按废票处理。</w:t>
      </w:r>
    </w:p>
    <w:p w14:paraId="051D946B">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c、评标过程中，若出现本办法以外的特殊情况时，将暂停评标，有关情况处理意见待招标工作小组确认后，再行评定。</w:t>
      </w:r>
    </w:p>
    <w:p w14:paraId="2A4AFE38">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ascii="宋体" w:hAnsi="宋体" w:eastAsia="宋体" w:cs="Times New Roman"/>
          <w:color w:val="000000"/>
          <w:kern w:val="2"/>
          <w:sz w:val="24"/>
          <w:szCs w:val="24"/>
          <w:highlight w:val="none"/>
          <w:lang w:val="en-US" w:eastAsia="zh-CN" w:bidi="ar-SA"/>
        </w:rPr>
        <w:t>3</w:t>
      </w:r>
      <w:r>
        <w:rPr>
          <w:rFonts w:hint="eastAsia" w:ascii="宋体" w:hAnsi="宋体" w:eastAsia="宋体" w:cs="Times New Roman"/>
          <w:color w:val="000000"/>
          <w:kern w:val="2"/>
          <w:sz w:val="24"/>
          <w:szCs w:val="24"/>
          <w:highlight w:val="none"/>
          <w:lang w:val="en-US" w:eastAsia="zh-CN" w:bidi="ar-SA"/>
        </w:rPr>
        <w:t>.本项目产生</w:t>
      </w:r>
      <w:r>
        <w:rPr>
          <w:rFonts w:hint="eastAsia" w:ascii="宋体" w:hAnsi="宋体" w:eastAsia="宋体" w:cs="Times New Roman"/>
          <w:color w:val="auto"/>
          <w:kern w:val="2"/>
          <w:sz w:val="24"/>
          <w:szCs w:val="24"/>
          <w:highlight w:val="none"/>
          <w:lang w:val="en-US" w:eastAsia="zh-CN" w:bidi="ar-SA"/>
        </w:rPr>
        <w:t>1个中</w:t>
      </w:r>
      <w:r>
        <w:rPr>
          <w:rFonts w:hint="eastAsia" w:ascii="宋体" w:hAnsi="宋体" w:eastAsia="宋体" w:cs="Times New Roman"/>
          <w:color w:val="000000"/>
          <w:kern w:val="2"/>
          <w:sz w:val="24"/>
          <w:szCs w:val="24"/>
          <w:highlight w:val="none"/>
          <w:lang w:val="en-US" w:eastAsia="zh-CN" w:bidi="ar-SA"/>
        </w:rPr>
        <w:t>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14:paraId="5B76BEBC">
      <w:pPr>
        <w:keepNext/>
        <w:keepLines/>
        <w:spacing w:line="420" w:lineRule="exact"/>
        <w:outlineLvl w:val="1"/>
        <w:rPr>
          <w:rFonts w:hint="eastAsia" w:ascii="Times New Roman" w:hAnsi="Times New Roman" w:eastAsia="宋体" w:cs="Times New Roman"/>
          <w:b/>
          <w:bCs/>
          <w:color w:val="000000"/>
          <w:sz w:val="28"/>
          <w:szCs w:val="28"/>
          <w:highlight w:val="none"/>
        </w:rPr>
      </w:pPr>
      <w:r>
        <w:rPr>
          <w:rFonts w:hint="eastAsia" w:ascii="Times New Roman" w:hAnsi="Times New Roman" w:eastAsia="宋体" w:cs="Times New Roman"/>
          <w:b/>
          <w:bCs/>
          <w:color w:val="000000"/>
          <w:sz w:val="28"/>
          <w:szCs w:val="28"/>
          <w:highlight w:val="none"/>
        </w:rPr>
        <w:t>七、合同签订</w:t>
      </w:r>
    </w:p>
    <w:p w14:paraId="7102DB02">
      <w:pPr>
        <w:spacing w:line="360" w:lineRule="auto"/>
        <w:ind w:firstLine="480" w:firstLineChars="200"/>
        <w:rPr>
          <w:rFonts w:ascii="宋体" w:hAnsi="Courier New" w:eastAsia="宋体" w:cs="Times New Roman"/>
          <w:color w:val="000000"/>
          <w:sz w:val="24"/>
          <w:szCs w:val="24"/>
          <w:highlight w:val="none"/>
        </w:rPr>
      </w:pPr>
      <w:r>
        <w:rPr>
          <w:rFonts w:ascii="Times New Roman" w:hAnsi="Times New Roman" w:eastAsia="宋体" w:cs="Times New Roman"/>
          <w:color w:val="000000"/>
          <w:sz w:val="24"/>
          <w:szCs w:val="24"/>
          <w:highlight w:val="none"/>
        </w:rPr>
        <w:t>1</w:t>
      </w:r>
      <w:r>
        <w:rPr>
          <w:rFonts w:hint="eastAsia" w:ascii="宋体" w:hAnsi="Courier New" w:eastAsia="宋体" w:cs="Times New Roman"/>
          <w:color w:val="000000"/>
          <w:sz w:val="24"/>
          <w:szCs w:val="24"/>
          <w:highlight w:val="none"/>
        </w:rPr>
        <w:t>.招标人根据评标工作小组的评标结果确定中标人，</w:t>
      </w:r>
      <w:r>
        <w:rPr>
          <w:rFonts w:hint="eastAsia" w:ascii="Times New Roman" w:hAnsi="Times New Roman" w:eastAsia="宋体" w:cs="Times New Roman"/>
          <w:color w:val="000000"/>
          <w:sz w:val="24"/>
          <w:szCs w:val="24"/>
          <w:highlight w:val="none"/>
        </w:rPr>
        <w:t>在中国</w:t>
      </w:r>
      <w:r>
        <w:rPr>
          <w:rFonts w:ascii="Times New Roman" w:hAnsi="Times New Roman" w:eastAsia="宋体" w:cs="Times New Roman"/>
          <w:color w:val="000000"/>
          <w:sz w:val="24"/>
          <w:szCs w:val="24"/>
          <w:highlight w:val="none"/>
        </w:rPr>
        <w:t>重汽e采通平台公布中标结果</w:t>
      </w:r>
      <w:r>
        <w:rPr>
          <w:rFonts w:hint="eastAsia" w:ascii="Times New Roman" w:hAnsi="Times New Roman" w:eastAsia="宋体" w:cs="Times New Roman"/>
          <w:color w:val="000000"/>
          <w:sz w:val="24"/>
          <w:szCs w:val="24"/>
          <w:highlight w:val="none"/>
        </w:rPr>
        <w:t>，</w:t>
      </w:r>
      <w:r>
        <w:rPr>
          <w:rFonts w:hint="eastAsia" w:ascii="宋体" w:hAnsi="Courier New" w:eastAsia="宋体" w:cs="Times New Roman"/>
          <w:color w:val="000000"/>
          <w:sz w:val="24"/>
          <w:szCs w:val="24"/>
          <w:highlight w:val="none"/>
        </w:rPr>
        <w:t>并发送中标通知。</w:t>
      </w:r>
    </w:p>
    <w:p w14:paraId="5C931643">
      <w:pPr>
        <w:spacing w:line="360" w:lineRule="auto"/>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2.中标人应该在中标通知书规定的时间、地点与招标人签订采购合同，否则按照开标后撤回投标处理。</w:t>
      </w:r>
    </w:p>
    <w:p w14:paraId="6A2BDB7E">
      <w:pPr>
        <w:spacing w:line="360" w:lineRule="auto"/>
        <w:ind w:firstLine="480" w:firstLineChars="200"/>
        <w:rPr>
          <w:rFonts w:ascii="宋体" w:hAnsi="宋体"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3</w:t>
      </w:r>
      <w:r>
        <w:rPr>
          <w:rFonts w:hint="eastAsia" w:ascii="宋体" w:hAnsi="宋体" w:eastAsia="宋体" w:cs="Times New Roman"/>
          <w:color w:val="000000"/>
          <w:sz w:val="24"/>
          <w:szCs w:val="24"/>
          <w:highlight w:val="none"/>
        </w:rPr>
        <w:t>.中标人应当按照合同约定的履约责任，在保证质量的前提下完成中标项目，不得将中标项目转包或分包给他人，否则视为违约，招标人有权解除合同。</w:t>
      </w:r>
    </w:p>
    <w:p w14:paraId="6852DF92">
      <w:pPr>
        <w:spacing w:line="360" w:lineRule="auto"/>
        <w:ind w:firstLine="482" w:firstLineChars="200"/>
        <w:rPr>
          <w:rFonts w:ascii="Arial" w:hAnsi="Arial" w:eastAsia="宋体" w:cs="Times New Roman"/>
          <w:b/>
          <w:bCs/>
          <w:sz w:val="24"/>
          <w:szCs w:val="24"/>
          <w:highlight w:val="none"/>
        </w:rPr>
      </w:pPr>
      <w:r>
        <w:rPr>
          <w:rFonts w:hint="eastAsia" w:ascii="宋体" w:hAnsi="Courier New" w:eastAsia="宋体" w:cs="Times New Roman"/>
          <w:b/>
          <w:sz w:val="24"/>
          <w:szCs w:val="20"/>
          <w:highlight w:val="none"/>
        </w:rPr>
        <w:t>4.中标人由于履行义务的能力或信用有严重缺陷，招标人有权取消其中标资格，招标人将从中标候选单位中依序重新确定中标人，或重新组织招标。</w:t>
      </w:r>
    </w:p>
    <w:p w14:paraId="27028EA7">
      <w:pPr>
        <w:keepNext/>
        <w:keepLines/>
        <w:spacing w:line="420" w:lineRule="exact"/>
        <w:outlineLvl w:val="1"/>
        <w:rPr>
          <w:rFonts w:hint="eastAsia" w:ascii="Times New Roman" w:hAnsi="Times New Roman" w:eastAsia="宋体" w:cs="Times New Roman"/>
          <w:b/>
          <w:bCs/>
          <w:color w:val="000000"/>
          <w:sz w:val="28"/>
          <w:szCs w:val="28"/>
          <w:highlight w:val="none"/>
        </w:rPr>
      </w:pPr>
      <w:r>
        <w:rPr>
          <w:rFonts w:hint="eastAsia" w:ascii="Times New Roman" w:hAnsi="Times New Roman" w:eastAsia="宋体" w:cs="Times New Roman"/>
          <w:b/>
          <w:bCs/>
          <w:color w:val="000000"/>
          <w:sz w:val="28"/>
          <w:szCs w:val="28"/>
          <w:highlight w:val="none"/>
        </w:rPr>
        <w:t>八、废标及终止招标</w:t>
      </w:r>
    </w:p>
    <w:p w14:paraId="029CC0DC">
      <w:pPr>
        <w:spacing w:line="360" w:lineRule="auto"/>
        <w:ind w:right="2" w:firstLine="480" w:firstLineChars="200"/>
        <w:rPr>
          <w:rFonts w:ascii="宋体" w:hAnsi="Courier New" w:eastAsia="宋体" w:cs="Times New Roman"/>
          <w:color w:val="000000"/>
          <w:sz w:val="24"/>
          <w:szCs w:val="24"/>
          <w:highlight w:val="none"/>
        </w:rPr>
      </w:pPr>
      <w:r>
        <w:rPr>
          <w:rFonts w:ascii="Calibri" w:hAnsi="Calibri" w:eastAsia="宋体" w:cs="Times New Roman"/>
          <w:color w:val="000000"/>
          <w:sz w:val="24"/>
          <w:szCs w:val="24"/>
          <w:highlight w:val="none"/>
        </w:rPr>
        <w:t>1</w:t>
      </w:r>
      <w:r>
        <w:rPr>
          <w:rFonts w:hint="eastAsia" w:ascii="宋体" w:hAnsi="Courier New" w:eastAsia="宋体" w:cs="Times New Roman"/>
          <w:color w:val="000000"/>
          <w:sz w:val="24"/>
          <w:szCs w:val="24"/>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6571521">
      <w:pPr>
        <w:spacing w:line="360" w:lineRule="auto"/>
        <w:ind w:right="2"/>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 xml:space="preserve">    （</w:t>
      </w:r>
      <w:r>
        <w:rPr>
          <w:rFonts w:ascii="Calibri" w:hAnsi="Calibri" w:eastAsia="宋体" w:cs="Times New Roman"/>
          <w:color w:val="000000"/>
          <w:sz w:val="24"/>
          <w:szCs w:val="24"/>
          <w:highlight w:val="none"/>
        </w:rPr>
        <w:t>1</w:t>
      </w:r>
      <w:r>
        <w:rPr>
          <w:rFonts w:hint="eastAsia" w:ascii="宋体" w:hAnsi="Courier New" w:eastAsia="宋体" w:cs="Times New Roman"/>
          <w:color w:val="000000"/>
          <w:sz w:val="24"/>
          <w:szCs w:val="24"/>
          <w:highlight w:val="none"/>
        </w:rPr>
        <w:t>）投标人提供的有关资格、资质证明文件不合格、不真实或提供虚假投标材料；</w:t>
      </w:r>
    </w:p>
    <w:p w14:paraId="1AE7BBB6">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2</w:t>
      </w:r>
      <w:r>
        <w:rPr>
          <w:rFonts w:hint="eastAsia" w:ascii="宋体" w:hAnsi="Courier New" w:eastAsia="宋体" w:cs="Times New Roman"/>
          <w:color w:val="000000"/>
          <w:sz w:val="24"/>
          <w:szCs w:val="24"/>
          <w:highlight w:val="none"/>
        </w:rPr>
        <w:t>）投标人在报价有效期内撤回投标；</w:t>
      </w:r>
    </w:p>
    <w:p w14:paraId="46C76838">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3</w:t>
      </w:r>
      <w:r>
        <w:rPr>
          <w:rFonts w:hint="eastAsia" w:ascii="宋体" w:hAnsi="Courier New" w:eastAsia="宋体" w:cs="Times New Roman"/>
          <w:color w:val="000000"/>
          <w:sz w:val="24"/>
          <w:szCs w:val="24"/>
          <w:highlight w:val="none"/>
        </w:rPr>
        <w:t>）在整个评标过程中，投标人有企图影响评标结果公正性的任何活动；</w:t>
      </w:r>
    </w:p>
    <w:p w14:paraId="29808002">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4</w:t>
      </w:r>
      <w:r>
        <w:rPr>
          <w:rFonts w:hint="eastAsia" w:ascii="宋体" w:hAnsi="Courier New" w:eastAsia="宋体" w:cs="Times New Roman"/>
          <w:color w:val="000000"/>
          <w:sz w:val="24"/>
          <w:szCs w:val="24"/>
          <w:highlight w:val="none"/>
        </w:rPr>
        <w:t>）投标人以任何方式诋毁其他投标人；</w:t>
      </w:r>
    </w:p>
    <w:p w14:paraId="6D389D09">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5</w:t>
      </w:r>
      <w:r>
        <w:rPr>
          <w:rFonts w:hint="eastAsia" w:ascii="宋体" w:hAnsi="Courier New" w:eastAsia="宋体" w:cs="Times New Roman"/>
          <w:color w:val="000000"/>
          <w:sz w:val="24"/>
          <w:szCs w:val="24"/>
          <w:highlight w:val="none"/>
        </w:rPr>
        <w:t>）投标人串通投标；</w:t>
      </w:r>
    </w:p>
    <w:p w14:paraId="7AC434CD">
      <w:pPr>
        <w:pStyle w:val="20"/>
        <w:spacing w:line="360" w:lineRule="auto"/>
        <w:rPr>
          <w:rFonts w:eastAsia="宋体"/>
          <w:highlight w:val="none"/>
        </w:rPr>
      </w:pPr>
      <w:r>
        <w:rPr>
          <w:rFonts w:hint="eastAsia" w:eastAsia="宋体" w:cs="Times New Roman"/>
          <w:color w:val="000000"/>
          <w:sz w:val="24"/>
          <w:szCs w:val="24"/>
          <w:highlight w:val="none"/>
        </w:rPr>
        <w:t xml:space="preserve">    （</w:t>
      </w:r>
      <w:r>
        <w:rPr>
          <w:rFonts w:ascii="Calibri" w:hAnsi="Calibri" w:eastAsia="宋体" w:cs="Times New Roman"/>
          <w:color w:val="000000"/>
          <w:sz w:val="24"/>
          <w:szCs w:val="24"/>
          <w:highlight w:val="none"/>
        </w:rPr>
        <w:t>6</w:t>
      </w:r>
      <w:r>
        <w:rPr>
          <w:rFonts w:hint="eastAsia" w:eastAsia="宋体" w:cs="Times New Roman"/>
          <w:color w:val="000000"/>
          <w:sz w:val="24"/>
          <w:szCs w:val="24"/>
          <w:highlight w:val="none"/>
        </w:rPr>
        <w:t>）投标人被举报、检举，并经招标人查实无误的；</w:t>
      </w:r>
    </w:p>
    <w:p w14:paraId="63283732">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hint="eastAsia" w:ascii="Calibri" w:hAnsi="Calibri" w:eastAsia="宋体" w:cs="Times New Roman"/>
          <w:color w:val="000000"/>
          <w:sz w:val="24"/>
          <w:szCs w:val="24"/>
          <w:highlight w:val="none"/>
        </w:rPr>
        <w:t>7</w:t>
      </w:r>
      <w:r>
        <w:rPr>
          <w:rFonts w:hint="eastAsia" w:ascii="宋体" w:hAnsi="Courier New" w:eastAsia="宋体" w:cs="Times New Roman"/>
          <w:color w:val="000000"/>
          <w:sz w:val="24"/>
          <w:szCs w:val="24"/>
          <w:highlight w:val="none"/>
        </w:rPr>
        <w:t>）以他人名义投标或者以其他方式弄虚作假，骗取中标的；</w:t>
      </w:r>
    </w:p>
    <w:p w14:paraId="5616356F">
      <w:pPr>
        <w:spacing w:line="360" w:lineRule="auto"/>
        <w:ind w:right="2" w:firstLine="480" w:firstLineChars="200"/>
        <w:rPr>
          <w:rFonts w:ascii="宋体" w:hAnsi="Courier New" w:eastAsia="宋体" w:cs="Times New Roman"/>
          <w:sz w:val="24"/>
          <w:szCs w:val="24"/>
          <w:highlight w:val="none"/>
        </w:rPr>
      </w:pPr>
      <w:r>
        <w:rPr>
          <w:rFonts w:hint="eastAsia" w:ascii="宋体" w:hAnsi="Courier New" w:eastAsia="宋体" w:cs="Times New Roman"/>
          <w:sz w:val="24"/>
          <w:szCs w:val="24"/>
          <w:highlight w:val="none"/>
        </w:rPr>
        <w:t>（</w:t>
      </w:r>
      <w:r>
        <w:rPr>
          <w:rFonts w:hint="eastAsia" w:ascii="Calibri" w:hAnsi="Calibri" w:eastAsia="宋体" w:cs="Times New Roman"/>
          <w:sz w:val="24"/>
          <w:szCs w:val="24"/>
          <w:highlight w:val="none"/>
        </w:rPr>
        <w:t>8</w:t>
      </w:r>
      <w:r>
        <w:rPr>
          <w:rFonts w:hint="eastAsia" w:ascii="宋体" w:hAnsi="Courier New" w:eastAsia="宋体" w:cs="Times New Roman"/>
          <w:sz w:val="24"/>
          <w:szCs w:val="24"/>
          <w:highlight w:val="none"/>
        </w:rPr>
        <w:t>）投标人负责人为同一人或者存在控股、管理关系的不同单位；</w:t>
      </w:r>
    </w:p>
    <w:p w14:paraId="0557DB88">
      <w:pPr>
        <w:spacing w:line="360" w:lineRule="auto"/>
        <w:ind w:right="2" w:firstLine="480" w:firstLineChars="200"/>
        <w:rPr>
          <w:rFonts w:ascii="宋体" w:hAnsi="Courier New" w:eastAsia="宋体" w:cs="Times New Roman"/>
          <w:sz w:val="24"/>
          <w:szCs w:val="24"/>
          <w:highlight w:val="none"/>
        </w:rPr>
      </w:pPr>
      <w:r>
        <w:rPr>
          <w:rFonts w:hint="eastAsia" w:ascii="宋体" w:hAnsi="Courier New" w:eastAsia="宋体" w:cs="Times New Roman"/>
          <w:sz w:val="24"/>
          <w:szCs w:val="24"/>
          <w:highlight w:val="none"/>
        </w:rPr>
        <w:t>（</w:t>
      </w:r>
      <w:r>
        <w:rPr>
          <w:rFonts w:hint="eastAsia" w:ascii="Calibri" w:hAnsi="Calibri" w:eastAsia="宋体" w:cs="Times New Roman"/>
          <w:sz w:val="24"/>
          <w:szCs w:val="24"/>
          <w:highlight w:val="none"/>
        </w:rPr>
        <w:t>9</w:t>
      </w:r>
      <w:r>
        <w:rPr>
          <w:rFonts w:hint="eastAsia" w:ascii="宋体" w:hAnsi="Courier New" w:eastAsia="宋体" w:cs="Times New Roman"/>
          <w:sz w:val="24"/>
          <w:szCs w:val="24"/>
          <w:highlight w:val="none"/>
        </w:rPr>
        <w:t>）有效投标不足三家；</w:t>
      </w:r>
    </w:p>
    <w:p w14:paraId="5B40038E">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（10）未按要求填报商务报价资料，对招标开展造成较大影响；</w:t>
      </w:r>
    </w:p>
    <w:p w14:paraId="75B41092">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w:t>
      </w:r>
      <w:r>
        <w:rPr>
          <w:rFonts w:hint="eastAsia" w:ascii="宋体" w:hAnsi="Courier New" w:eastAsia="宋体" w:cs="Times New Roman"/>
          <w:sz w:val="24"/>
          <w:szCs w:val="24"/>
          <w:highlight w:val="none"/>
        </w:rPr>
        <w:t>1）未按照招标人规定的时间内在中国重汽e采通完成投标的；</w:t>
      </w:r>
    </w:p>
    <w:p w14:paraId="545079E7">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（12）法律、法规规定的其他情况。</w:t>
      </w:r>
    </w:p>
    <w:p w14:paraId="37DDD63E">
      <w:pPr>
        <w:spacing w:line="360" w:lineRule="auto"/>
        <w:ind w:right="2" w:firstLine="480" w:firstLineChars="200"/>
        <w:rPr>
          <w:rFonts w:ascii="宋体" w:hAnsi="Courier New" w:eastAsia="宋体" w:cs="Times New Roman"/>
          <w:sz w:val="24"/>
          <w:szCs w:val="24"/>
          <w:highlight w:val="none"/>
        </w:rPr>
      </w:pPr>
      <w:r>
        <w:rPr>
          <w:rFonts w:ascii="Calibri" w:hAnsi="Calibri" w:eastAsia="宋体" w:cs="Times New Roman"/>
          <w:sz w:val="24"/>
          <w:szCs w:val="24"/>
          <w:highlight w:val="none"/>
        </w:rPr>
        <w:t>2</w:t>
      </w:r>
      <w:r>
        <w:rPr>
          <w:rFonts w:hint="eastAsia" w:ascii="宋体" w:hAnsi="Courier New" w:eastAsia="宋体" w:cs="Times New Roman"/>
          <w:sz w:val="24"/>
          <w:szCs w:val="24"/>
          <w:highlight w:val="none"/>
        </w:rPr>
        <w:t>.出现下列情形之一，招标人有权否决所有投标人的投标，并终止招标。</w:t>
      </w:r>
    </w:p>
    <w:p w14:paraId="64EC4BC7">
      <w:pPr>
        <w:spacing w:line="360" w:lineRule="auto"/>
        <w:ind w:right="2" w:firstLine="480" w:firstLineChars="200"/>
        <w:rPr>
          <w:rFonts w:ascii="宋体" w:hAnsi="Courier New" w:eastAsia="宋体" w:cs="Times New Roman"/>
          <w:b/>
          <w:sz w:val="24"/>
          <w:szCs w:val="24"/>
          <w:highlight w:val="none"/>
        </w:rPr>
      </w:pPr>
      <w:r>
        <w:rPr>
          <w:rFonts w:hint="eastAsia" w:ascii="宋体" w:hAnsi="Courier New" w:eastAsia="宋体" w:cs="Times New Roman"/>
          <w:sz w:val="24"/>
          <w:szCs w:val="24"/>
          <w:highlight w:val="none"/>
        </w:rPr>
        <w:t>（</w:t>
      </w:r>
      <w:r>
        <w:rPr>
          <w:rFonts w:ascii="Calibri" w:hAnsi="Calibri" w:eastAsia="宋体" w:cs="Times New Roman"/>
          <w:sz w:val="24"/>
          <w:szCs w:val="24"/>
          <w:highlight w:val="none"/>
        </w:rPr>
        <w:t>1</w:t>
      </w:r>
      <w:r>
        <w:rPr>
          <w:rFonts w:hint="eastAsia" w:ascii="宋体" w:hAnsi="Courier New" w:eastAsia="宋体" w:cs="Times New Roman"/>
          <w:sz w:val="24"/>
          <w:szCs w:val="24"/>
          <w:highlight w:val="none"/>
        </w:rPr>
        <w:t>）符合条件的投标人或者对招标文件做实质响应的投标人不足三家的；</w:t>
      </w:r>
    </w:p>
    <w:p w14:paraId="39B68CC6">
      <w:pPr>
        <w:spacing w:line="360" w:lineRule="auto"/>
        <w:ind w:right="2" w:firstLine="480" w:firstLineChars="200"/>
        <w:rPr>
          <w:rFonts w:ascii="宋体" w:hAnsi="Courier New" w:eastAsia="宋体" w:cs="Times New Roman"/>
          <w:sz w:val="24"/>
          <w:szCs w:val="24"/>
          <w:highlight w:val="none"/>
        </w:rPr>
      </w:pPr>
      <w:r>
        <w:rPr>
          <w:rFonts w:hint="eastAsia" w:ascii="Calibri" w:hAnsi="Calibri" w:eastAsia="宋体" w:cs="Times New Roman"/>
          <w:sz w:val="24"/>
          <w:szCs w:val="24"/>
          <w:highlight w:val="none"/>
        </w:rPr>
        <w:t>（</w:t>
      </w:r>
      <w:r>
        <w:rPr>
          <w:rFonts w:ascii="Calibri" w:hAnsi="Calibri" w:eastAsia="宋体" w:cs="Times New Roman"/>
          <w:sz w:val="24"/>
          <w:szCs w:val="24"/>
          <w:highlight w:val="none"/>
        </w:rPr>
        <w:t>2</w:t>
      </w:r>
      <w:r>
        <w:rPr>
          <w:rFonts w:hint="eastAsia" w:ascii="宋体" w:hAnsi="Courier New" w:eastAsia="宋体" w:cs="Times New Roman"/>
          <w:sz w:val="24"/>
          <w:szCs w:val="24"/>
          <w:highlight w:val="none"/>
        </w:rPr>
        <w:t>）出现影响采购公正的违法、违规行为的；</w:t>
      </w:r>
    </w:p>
    <w:p w14:paraId="22D9778E">
      <w:pPr>
        <w:spacing w:line="360" w:lineRule="auto"/>
        <w:ind w:right="2" w:firstLine="480" w:firstLineChars="200"/>
        <w:rPr>
          <w:rFonts w:ascii="宋体" w:hAnsi="Courier New" w:eastAsia="宋体" w:cs="Times New Roman"/>
          <w:bCs/>
          <w:sz w:val="24"/>
          <w:szCs w:val="24"/>
          <w:highlight w:val="none"/>
        </w:rPr>
      </w:pPr>
      <w:r>
        <w:rPr>
          <w:rFonts w:hint="eastAsia" w:ascii="Calibri" w:hAnsi="Calibri" w:eastAsia="宋体" w:cs="Times New Roman"/>
          <w:bCs/>
          <w:sz w:val="24"/>
          <w:szCs w:val="24"/>
          <w:highlight w:val="none"/>
        </w:rPr>
        <w:t>（</w:t>
      </w:r>
      <w:r>
        <w:rPr>
          <w:rFonts w:ascii="Calibri" w:hAnsi="Calibri" w:eastAsia="宋体" w:cs="Times New Roman"/>
          <w:bCs/>
          <w:sz w:val="24"/>
          <w:szCs w:val="24"/>
          <w:highlight w:val="none"/>
        </w:rPr>
        <w:t>3</w:t>
      </w:r>
      <w:r>
        <w:rPr>
          <w:rFonts w:hint="eastAsia" w:ascii="Calibri" w:hAnsi="Calibri" w:eastAsia="宋体" w:cs="Times New Roman"/>
          <w:bCs/>
          <w:sz w:val="24"/>
          <w:szCs w:val="24"/>
          <w:highlight w:val="none"/>
        </w:rPr>
        <w:t>）评标委员会经评审，认为所有投标都不符合招标文件要求的</w:t>
      </w:r>
      <w:r>
        <w:rPr>
          <w:rFonts w:hint="eastAsia" w:ascii="宋体" w:hAnsi="Courier New" w:eastAsia="宋体" w:cs="Times New Roman"/>
          <w:bCs/>
          <w:sz w:val="24"/>
          <w:szCs w:val="24"/>
          <w:highlight w:val="none"/>
        </w:rPr>
        <w:t>；</w:t>
      </w:r>
    </w:p>
    <w:p w14:paraId="6DB577E1">
      <w:pPr>
        <w:spacing w:line="360" w:lineRule="auto"/>
        <w:ind w:right="2" w:firstLine="480" w:firstLineChars="200"/>
        <w:rPr>
          <w:rFonts w:ascii="宋体" w:hAnsi="Courier New" w:eastAsia="宋体" w:cs="Times New Roman"/>
          <w:bCs/>
          <w:sz w:val="24"/>
          <w:szCs w:val="24"/>
          <w:highlight w:val="none"/>
        </w:rPr>
      </w:pPr>
      <w:r>
        <w:rPr>
          <w:rFonts w:hint="eastAsia" w:ascii="Calibri" w:hAnsi="Calibri" w:eastAsia="宋体" w:cs="Times New Roman"/>
          <w:bCs/>
          <w:sz w:val="24"/>
          <w:szCs w:val="24"/>
          <w:highlight w:val="none"/>
        </w:rPr>
        <w:t>（</w:t>
      </w:r>
      <w:r>
        <w:rPr>
          <w:rFonts w:ascii="Calibri" w:hAnsi="Calibri" w:eastAsia="宋体" w:cs="Times New Roman"/>
          <w:bCs/>
          <w:sz w:val="24"/>
          <w:szCs w:val="24"/>
          <w:highlight w:val="none"/>
        </w:rPr>
        <w:t>4</w:t>
      </w:r>
      <w:r>
        <w:rPr>
          <w:rFonts w:hint="eastAsia" w:ascii="宋体" w:hAnsi="Courier New" w:eastAsia="宋体" w:cs="Times New Roman"/>
          <w:bCs/>
          <w:sz w:val="24"/>
          <w:szCs w:val="24"/>
          <w:highlight w:val="none"/>
        </w:rPr>
        <w:t>）因重大变故，采购任务取消的</w:t>
      </w:r>
      <w:bookmarkStart w:id="13" w:name="OLE_LINK27"/>
      <w:bookmarkStart w:id="14" w:name="OLE_LINK28"/>
      <w:bookmarkStart w:id="15" w:name="OLE_LINK29"/>
      <w:bookmarkStart w:id="16" w:name="OLE_LINK26"/>
      <w:bookmarkStart w:id="17" w:name="OLE_LINK25"/>
      <w:r>
        <w:rPr>
          <w:rFonts w:hint="eastAsia" w:ascii="宋体" w:hAnsi="Courier New" w:eastAsia="宋体" w:cs="Times New Roman"/>
          <w:bCs/>
          <w:sz w:val="24"/>
          <w:szCs w:val="24"/>
          <w:highlight w:val="none"/>
        </w:rPr>
        <w:t>；</w:t>
      </w:r>
      <w:bookmarkEnd w:id="13"/>
      <w:bookmarkEnd w:id="14"/>
      <w:bookmarkEnd w:id="15"/>
      <w:bookmarkEnd w:id="16"/>
      <w:bookmarkEnd w:id="17"/>
    </w:p>
    <w:p w14:paraId="3089F534">
      <w:pPr>
        <w:spacing w:line="360" w:lineRule="auto"/>
        <w:ind w:right="2" w:firstLine="480" w:firstLineChars="200"/>
        <w:rPr>
          <w:rFonts w:ascii="宋体" w:hAnsi="Courier New" w:eastAsia="宋体" w:cs="Times New Roman"/>
          <w:bCs/>
          <w:sz w:val="24"/>
          <w:szCs w:val="24"/>
          <w:highlight w:val="none"/>
        </w:rPr>
      </w:pPr>
      <w:r>
        <w:rPr>
          <w:rFonts w:hint="eastAsia" w:ascii="宋体" w:hAnsi="Courier New" w:eastAsia="宋体" w:cs="Times New Roman"/>
          <w:bCs/>
          <w:sz w:val="24"/>
          <w:szCs w:val="24"/>
          <w:highlight w:val="none"/>
        </w:rPr>
        <w:t>（</w:t>
      </w:r>
      <w:r>
        <w:rPr>
          <w:rFonts w:ascii="宋体" w:hAnsi="Courier New" w:eastAsia="宋体" w:cs="Times New Roman"/>
          <w:bCs/>
          <w:sz w:val="24"/>
          <w:szCs w:val="24"/>
          <w:highlight w:val="none"/>
        </w:rPr>
        <w:t>5）投标人承诺同意由于招标人公司政策变化引起的随时终止项目的要求并承担由此带来的一切损失</w:t>
      </w:r>
      <w:r>
        <w:rPr>
          <w:rFonts w:hint="eastAsia" w:ascii="宋体" w:hAnsi="Courier New" w:eastAsia="宋体" w:cs="Times New Roman"/>
          <w:bCs/>
          <w:sz w:val="24"/>
          <w:szCs w:val="24"/>
          <w:highlight w:val="none"/>
        </w:rPr>
        <w:t>；</w:t>
      </w:r>
    </w:p>
    <w:p w14:paraId="1E20DA3F">
      <w:pPr>
        <w:pStyle w:val="20"/>
        <w:spacing w:line="360" w:lineRule="auto"/>
        <w:ind w:firstLine="480" w:firstLineChars="200"/>
        <w:rPr>
          <w:rFonts w:eastAsia="宋体" w:cs="Times New Roman"/>
          <w:bCs/>
          <w:sz w:val="24"/>
          <w:szCs w:val="24"/>
          <w:highlight w:val="none"/>
        </w:rPr>
      </w:pPr>
      <w:r>
        <w:rPr>
          <w:rFonts w:hint="eastAsia" w:eastAsia="宋体" w:cs="Times New Roman"/>
          <w:bCs/>
          <w:sz w:val="24"/>
          <w:szCs w:val="24"/>
          <w:highlight w:val="none"/>
        </w:rPr>
        <w:t>（6</w:t>
      </w:r>
      <w:r>
        <w:rPr>
          <w:rFonts w:eastAsia="宋体" w:cs="Times New Roman"/>
          <w:bCs/>
          <w:sz w:val="24"/>
          <w:szCs w:val="24"/>
          <w:highlight w:val="none"/>
        </w:rPr>
        <w:t>）招标人认为其他应终止招标的情形</w:t>
      </w:r>
      <w:r>
        <w:rPr>
          <w:rFonts w:hint="eastAsia" w:eastAsia="宋体" w:cs="Times New Roman"/>
          <w:bCs/>
          <w:sz w:val="24"/>
          <w:szCs w:val="24"/>
          <w:highlight w:val="none"/>
        </w:rPr>
        <w:t>。</w:t>
      </w:r>
    </w:p>
    <w:p w14:paraId="0698341C">
      <w:pPr>
        <w:spacing w:line="360" w:lineRule="auto"/>
        <w:ind w:right="2"/>
        <w:rPr>
          <w:rFonts w:ascii="Arial" w:hAnsi="Arial" w:eastAsia="宋体" w:cs="Times New Roman"/>
          <w:b/>
          <w:bCs/>
          <w:sz w:val="24"/>
          <w:szCs w:val="32"/>
          <w:highlight w:val="none"/>
        </w:rPr>
      </w:pPr>
      <w:r>
        <w:rPr>
          <w:rFonts w:hint="eastAsia" w:ascii="Calibri" w:hAnsi="Calibri" w:eastAsia="宋体" w:cs="Times New Roman"/>
          <w:color w:val="000000"/>
          <w:sz w:val="24"/>
          <w:szCs w:val="24"/>
          <w:highlight w:val="none"/>
        </w:rPr>
        <w:t xml:space="preserve">    </w:t>
      </w:r>
      <w:r>
        <w:rPr>
          <w:rFonts w:ascii="Calibri" w:hAnsi="Calibri" w:eastAsia="宋体" w:cs="Times New Roman"/>
          <w:color w:val="000000"/>
          <w:sz w:val="24"/>
          <w:szCs w:val="24"/>
          <w:highlight w:val="none"/>
        </w:rPr>
        <w:t>3</w:t>
      </w:r>
      <w:r>
        <w:rPr>
          <w:rFonts w:hint="eastAsia" w:ascii="Calibri" w:hAnsi="Calibri" w:eastAsia="宋体" w:cs="Times New Roman"/>
          <w:color w:val="000000"/>
          <w:sz w:val="24"/>
          <w:szCs w:val="24"/>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B65FF61">
      <w:pPr>
        <w:keepNext/>
        <w:keepLines/>
        <w:spacing w:line="420" w:lineRule="exact"/>
        <w:outlineLvl w:val="1"/>
        <w:rPr>
          <w:rFonts w:hint="eastAsia" w:ascii="Times New Roman" w:hAnsi="Times New Roman" w:eastAsia="宋体" w:cs="Times New Roman"/>
          <w:b/>
          <w:bCs/>
          <w:color w:val="000000"/>
          <w:sz w:val="28"/>
          <w:szCs w:val="28"/>
          <w:highlight w:val="none"/>
        </w:rPr>
      </w:pPr>
      <w:r>
        <w:rPr>
          <w:rFonts w:hint="eastAsia" w:ascii="Times New Roman" w:hAnsi="Times New Roman" w:eastAsia="宋体" w:cs="Times New Roman"/>
          <w:b/>
          <w:bCs/>
          <w:color w:val="000000"/>
          <w:sz w:val="28"/>
          <w:szCs w:val="28"/>
          <w:highlight w:val="none"/>
        </w:rPr>
        <w:t>九、本次招标最终解释权归中国重汽集团济南动力有限公司。</w:t>
      </w:r>
    </w:p>
    <w:p w14:paraId="1513004D">
      <w:pPr>
        <w:pStyle w:val="20"/>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start="7"/>
          <w:cols w:space="720" w:num="1"/>
          <w:docGrid w:linePitch="290" w:charSpace="-3931"/>
        </w:sectPr>
      </w:pPr>
    </w:p>
    <w:p w14:paraId="462D77EC">
      <w:pPr>
        <w:pStyle w:val="20"/>
        <w:numPr>
          <w:ilvl w:val="255"/>
          <w:numId w:val="0"/>
        </w:numPr>
        <w:jc w:val="center"/>
        <w:outlineLvl w:val="0"/>
        <w:rPr>
          <w:rFonts w:ascii="Calibri" w:hAnsi="Calibri" w:eastAsia="宋体" w:cs="Times New Roman"/>
          <w:b/>
          <w:bCs/>
          <w:kern w:val="44"/>
          <w:sz w:val="36"/>
          <w:szCs w:val="44"/>
          <w:highlight w:val="none"/>
        </w:rPr>
      </w:pPr>
      <w:bookmarkStart w:id="18" w:name="_Toc8232"/>
      <w:r>
        <w:rPr>
          <w:rFonts w:hint="eastAsia" w:ascii="Calibri" w:hAnsi="Calibri" w:eastAsia="宋体" w:cs="Times New Roman"/>
          <w:b/>
          <w:bCs/>
          <w:kern w:val="44"/>
          <w:sz w:val="36"/>
          <w:szCs w:val="44"/>
          <w:highlight w:val="none"/>
        </w:rPr>
        <w:t>第三部分 投标文件编制</w:t>
      </w:r>
      <w:bookmarkEnd w:id="18"/>
    </w:p>
    <w:p w14:paraId="0A6AD4B0">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一、投标文件的编制</w:t>
      </w:r>
    </w:p>
    <w:p w14:paraId="716C6C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1投标人须认真阅读招标文件的所有内容，按招标文件的要求提供投标文件，并保证提供的全部资料的真实性，以使其投标对招标文件作出实质性响应，否则，其投标将被拒绝。</w:t>
      </w:r>
    </w:p>
    <w:p w14:paraId="112FC1D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2投标文件和与投标有关的所有文件均应使用中文。</w:t>
      </w:r>
    </w:p>
    <w:p w14:paraId="23B7AC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3除投标文件的技术规格中另有规定外，投标文件中所使用的计量单位应为中华人民共和国法定计量单位。</w:t>
      </w:r>
    </w:p>
    <w:p w14:paraId="4EAC388E">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二、投标文件资料</w:t>
      </w:r>
    </w:p>
    <w:p w14:paraId="1CB8640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1投标人所投标设备详细技术资料清单，在投标文件中列示说明；</w:t>
      </w:r>
    </w:p>
    <w:p w14:paraId="17BE738E">
      <w:pPr>
        <w:spacing w:line="360" w:lineRule="auto"/>
        <w:ind w:firstLine="480" w:firstLineChars="200"/>
        <w:rPr>
          <w:rFonts w:ascii="宋体" w:hAnsi="Courier New" w:eastAsia="宋体" w:cs="Times New Roman"/>
          <w:color w:val="000000"/>
          <w:sz w:val="24"/>
          <w:szCs w:val="24"/>
          <w:highlight w:val="none"/>
        </w:rPr>
      </w:pPr>
      <w:r>
        <w:rPr>
          <w:rFonts w:hint="eastAsia" w:ascii="宋体" w:hAnsi="宋体" w:eastAsia="宋体" w:cs="Times New Roman"/>
          <w:color w:val="000000"/>
          <w:sz w:val="24"/>
          <w:szCs w:val="24"/>
          <w:highlight w:val="none"/>
        </w:rPr>
        <w:t>2投标人完整的技术支持与售后服务实施方案，在投标文件中列示说明，包含但不</w:t>
      </w:r>
      <w:r>
        <w:rPr>
          <w:rFonts w:hint="eastAsia" w:ascii="宋体" w:hAnsi="Courier New" w:eastAsia="宋体" w:cs="Times New Roman"/>
          <w:color w:val="000000"/>
          <w:sz w:val="24"/>
          <w:szCs w:val="24"/>
          <w:highlight w:val="none"/>
        </w:rPr>
        <w:t>限于以下内容：</w:t>
      </w:r>
    </w:p>
    <w:p w14:paraId="093E04A2">
      <w:pPr>
        <w:spacing w:line="360" w:lineRule="auto"/>
        <w:ind w:firstLine="480" w:firstLineChars="200"/>
        <w:rPr>
          <w:rFonts w:ascii="宋体" w:hAnsi="Courier New" w:eastAsia="宋体" w:cs="Times New Roman"/>
          <w:color w:val="000000"/>
          <w:sz w:val="24"/>
          <w:szCs w:val="24"/>
          <w:highlight w:val="none"/>
        </w:rPr>
      </w:pPr>
      <w:r>
        <w:rPr>
          <w:rFonts w:ascii="宋体" w:hAnsi="Courier New" w:eastAsia="宋体" w:cs="Times New Roman"/>
          <w:color w:val="000000"/>
          <w:sz w:val="24"/>
          <w:szCs w:val="24"/>
          <w:highlight w:val="none"/>
        </w:rPr>
        <w:t>A</w:t>
      </w:r>
      <w:r>
        <w:rPr>
          <w:rFonts w:hint="eastAsia" w:ascii="宋体" w:hAnsi="Courier New" w:eastAsia="宋体" w:cs="Times New Roman"/>
          <w:color w:val="000000"/>
          <w:sz w:val="24"/>
          <w:szCs w:val="24"/>
          <w:highlight w:val="none"/>
        </w:rPr>
        <w:t>、除享受由本品牌生产厂家提供的正规的全球或全国联保三包服务之外，还能获得由本品牌生产厂家或经销商提供的何种免费支持、免费服务或其他对招标人有利的服务项目。</w:t>
      </w:r>
    </w:p>
    <w:p w14:paraId="2C253DE8">
      <w:pPr>
        <w:spacing w:line="360" w:lineRule="auto"/>
        <w:ind w:firstLine="480" w:firstLineChars="200"/>
        <w:rPr>
          <w:rFonts w:ascii="宋体" w:hAnsi="Courier New" w:eastAsia="宋体" w:cs="Times New Roman"/>
          <w:color w:val="000000"/>
          <w:sz w:val="24"/>
          <w:szCs w:val="24"/>
          <w:highlight w:val="none"/>
        </w:rPr>
      </w:pPr>
      <w:r>
        <w:rPr>
          <w:rFonts w:ascii="宋体" w:hAnsi="Courier New" w:eastAsia="宋体" w:cs="Times New Roman"/>
          <w:color w:val="000000"/>
          <w:sz w:val="24"/>
          <w:szCs w:val="24"/>
          <w:highlight w:val="none"/>
        </w:rPr>
        <w:t>B</w:t>
      </w:r>
      <w:r>
        <w:rPr>
          <w:rFonts w:hint="eastAsia" w:ascii="宋体" w:hAnsi="Courier New" w:eastAsia="宋体" w:cs="Times New Roman"/>
          <w:color w:val="000000"/>
          <w:sz w:val="24"/>
          <w:szCs w:val="24"/>
          <w:highlight w:val="none"/>
        </w:rPr>
        <w:t>、售后服务机构或网点（名称、地址、联系人、电话）。</w:t>
      </w:r>
    </w:p>
    <w:p w14:paraId="39041281">
      <w:pPr>
        <w:spacing w:line="360" w:lineRule="auto"/>
        <w:ind w:firstLine="480" w:firstLineChars="200"/>
        <w:rPr>
          <w:rFonts w:ascii="宋体" w:hAnsi="Courier New" w:eastAsia="宋体" w:cs="Times New Roman"/>
          <w:bCs/>
          <w:color w:val="000000"/>
          <w:sz w:val="24"/>
          <w:szCs w:val="24"/>
          <w:highlight w:val="none"/>
        </w:rPr>
      </w:pPr>
      <w:r>
        <w:rPr>
          <w:rFonts w:ascii="宋体" w:hAnsi="Courier New" w:eastAsia="宋体" w:cs="Times New Roman"/>
          <w:bCs/>
          <w:color w:val="000000"/>
          <w:sz w:val="24"/>
          <w:szCs w:val="24"/>
          <w:highlight w:val="none"/>
        </w:rPr>
        <w:t>C</w:t>
      </w:r>
      <w:r>
        <w:rPr>
          <w:rFonts w:hint="eastAsia" w:ascii="宋体" w:hAnsi="Courier New" w:eastAsia="宋体" w:cs="Times New Roman"/>
          <w:bCs/>
          <w:color w:val="000000"/>
          <w:sz w:val="24"/>
          <w:szCs w:val="24"/>
          <w:highlight w:val="none"/>
        </w:rPr>
        <w:t>、针对本项目的技术服务团队情况（人员数量、姓名、电话、专业资质等）。</w:t>
      </w:r>
    </w:p>
    <w:p w14:paraId="09D1C143">
      <w:pPr>
        <w:spacing w:line="360" w:lineRule="auto"/>
        <w:ind w:firstLine="480" w:firstLineChars="200"/>
        <w:rPr>
          <w:rFonts w:ascii="宋体" w:hAnsi="Courier New" w:eastAsia="宋体" w:cs="Times New Roman"/>
          <w:color w:val="000000"/>
          <w:sz w:val="24"/>
          <w:szCs w:val="24"/>
          <w:highlight w:val="none"/>
        </w:rPr>
      </w:pPr>
      <w:r>
        <w:rPr>
          <w:rFonts w:ascii="宋体" w:hAnsi="Courier New" w:eastAsia="宋体" w:cs="Times New Roman"/>
          <w:color w:val="000000"/>
          <w:sz w:val="24"/>
          <w:szCs w:val="24"/>
          <w:highlight w:val="none"/>
        </w:rPr>
        <w:t>D</w:t>
      </w:r>
      <w:r>
        <w:rPr>
          <w:rFonts w:hint="eastAsia" w:ascii="宋体" w:hAnsi="Courier New" w:eastAsia="宋体" w:cs="Times New Roman"/>
          <w:color w:val="000000"/>
          <w:sz w:val="24"/>
          <w:szCs w:val="24"/>
          <w:highlight w:val="none"/>
        </w:rPr>
        <w:t>、日常维护保养及故障排除措施保证。</w:t>
      </w:r>
    </w:p>
    <w:p w14:paraId="3E928A0A">
      <w:pPr>
        <w:spacing w:line="360" w:lineRule="auto"/>
        <w:ind w:firstLine="480" w:firstLineChars="200"/>
        <w:rPr>
          <w:highlight w:val="none"/>
        </w:rPr>
      </w:pPr>
      <w:r>
        <w:rPr>
          <w:rFonts w:hint="eastAsia" w:ascii="宋体" w:hAnsi="宋体" w:eastAsia="宋体" w:cs="Times New Roman"/>
          <w:color w:val="000000"/>
          <w:sz w:val="24"/>
          <w:szCs w:val="24"/>
          <w:highlight w:val="none"/>
        </w:rPr>
        <w:t>3投标人关于包装、运输、检验、交付、安装、调试、培训等方案，均需在投标文件</w:t>
      </w:r>
      <w:r>
        <w:rPr>
          <w:rFonts w:hint="eastAsia" w:ascii="宋体" w:hAnsi="Courier New" w:eastAsia="宋体" w:cs="Times New Roman"/>
          <w:color w:val="000000"/>
          <w:sz w:val="24"/>
          <w:szCs w:val="24"/>
          <w:highlight w:val="none"/>
        </w:rPr>
        <w:t>中列示说明。</w:t>
      </w:r>
    </w:p>
    <w:p w14:paraId="2A4E00E4">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三、投标文件的组成</w:t>
      </w:r>
    </w:p>
    <w:p w14:paraId="7E985A70">
      <w:pPr>
        <w:pStyle w:val="115"/>
        <w:ind w:firstLine="480"/>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本项目商务标书、技术标书、资质文件分开。参照重汽E采通系统非生产类供方操作手册中应标投标操作说明，将盖章签字版正本投标文件扫描件上传E采通系统。</w:t>
      </w:r>
    </w:p>
    <w:p w14:paraId="341A44A8">
      <w:pPr>
        <w:pStyle w:val="115"/>
        <w:ind w:firstLine="480"/>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若为现场开标，营业执照和授权书需在开标现场出示；若为视频开标，则需在视频端呈现即可。若没有携带营业执照原件，将根据现场所有参与开标的投标单位和专家共同判定得出认可情况。详见附件格式1—9，其余未尽事宜请按各单位习惯制定即可。</w:t>
      </w:r>
    </w:p>
    <w:p w14:paraId="173659B9">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sz w:val="24"/>
          <w:szCs w:val="24"/>
          <w:highlight w:val="none"/>
        </w:rPr>
        <w:t>1 资质证明文件包括：</w:t>
      </w:r>
    </w:p>
    <w:p w14:paraId="2B82D288">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bookmarkStart w:id="19" w:name="_Toc212369515"/>
      <w:r>
        <w:rPr>
          <w:rFonts w:hint="eastAsia" w:ascii="宋体" w:hAnsi="宋体" w:eastAsia="宋体" w:cs="Times New Roman"/>
          <w:color w:val="000000"/>
          <w:kern w:val="2"/>
          <w:sz w:val="24"/>
          <w:szCs w:val="24"/>
          <w:highlight w:val="none"/>
          <w:lang w:val="en-US" w:eastAsia="zh-CN" w:bidi="ar-SA"/>
        </w:rPr>
        <w:t>（1）有统一社会信用代码的三证合一新版营业执照副本复印件；</w:t>
      </w:r>
    </w:p>
    <w:p w14:paraId="3F943C4A">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w:t>
      </w:r>
      <w:r>
        <w:rPr>
          <w:rFonts w:ascii="宋体" w:hAnsi="宋体" w:eastAsia="宋体" w:cs="Times New Roman"/>
          <w:color w:val="000000"/>
          <w:kern w:val="2"/>
          <w:sz w:val="24"/>
          <w:szCs w:val="24"/>
          <w:highlight w:val="none"/>
          <w:lang w:val="en-US" w:eastAsia="zh-CN" w:bidi="ar-SA"/>
        </w:rPr>
        <w:t>2</w:t>
      </w:r>
      <w:r>
        <w:rPr>
          <w:rFonts w:hint="eastAsia" w:ascii="宋体" w:hAnsi="宋体" w:eastAsia="宋体" w:cs="Times New Roman"/>
          <w:color w:val="000000"/>
          <w:kern w:val="2"/>
          <w:sz w:val="24"/>
          <w:szCs w:val="24"/>
          <w:highlight w:val="none"/>
          <w:lang w:val="en-US" w:eastAsia="zh-CN" w:bidi="ar-SA"/>
        </w:rPr>
        <w:t>）投标函（附件</w:t>
      </w:r>
      <w:r>
        <w:rPr>
          <w:rFonts w:ascii="宋体" w:hAnsi="宋体" w:eastAsia="宋体" w:cs="Times New Roman"/>
          <w:color w:val="000000"/>
          <w:kern w:val="2"/>
          <w:sz w:val="24"/>
          <w:szCs w:val="24"/>
          <w:highlight w:val="none"/>
          <w:lang w:val="en-US" w:eastAsia="zh-CN" w:bidi="ar-SA"/>
        </w:rPr>
        <w:t>1</w:t>
      </w:r>
      <w:r>
        <w:rPr>
          <w:rFonts w:hint="eastAsia" w:ascii="宋体" w:hAnsi="宋体" w:eastAsia="宋体" w:cs="Times New Roman"/>
          <w:color w:val="000000"/>
          <w:kern w:val="2"/>
          <w:sz w:val="24"/>
          <w:szCs w:val="24"/>
          <w:highlight w:val="none"/>
          <w:lang w:val="en-US" w:eastAsia="zh-CN" w:bidi="ar-SA"/>
        </w:rPr>
        <w:t>）；</w:t>
      </w:r>
    </w:p>
    <w:p w14:paraId="4F05B671">
      <w:pPr>
        <w:widowControl w:val="0"/>
        <w:spacing w:line="360" w:lineRule="auto"/>
        <w:ind w:firstLine="480" w:firstLineChars="200"/>
        <w:jc w:val="both"/>
        <w:rPr>
          <w:rFonts w:ascii="宋体" w:hAnsi="宋体" w:eastAsia="宋体" w:cs="Times New Roman"/>
          <w:b/>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w:t>
      </w:r>
      <w:r>
        <w:rPr>
          <w:rFonts w:ascii="宋体" w:hAnsi="宋体" w:eastAsia="宋体" w:cs="Times New Roman"/>
          <w:color w:val="000000"/>
          <w:kern w:val="2"/>
          <w:sz w:val="24"/>
          <w:szCs w:val="24"/>
          <w:highlight w:val="none"/>
          <w:lang w:val="en-US" w:eastAsia="zh-CN" w:bidi="ar-SA"/>
        </w:rPr>
        <w:t>3</w:t>
      </w:r>
      <w:r>
        <w:rPr>
          <w:rFonts w:hint="eastAsia" w:ascii="宋体" w:hAnsi="宋体" w:eastAsia="宋体" w:cs="Times New Roman"/>
          <w:color w:val="000000"/>
          <w:kern w:val="2"/>
          <w:sz w:val="24"/>
          <w:szCs w:val="24"/>
          <w:highlight w:val="none"/>
          <w:lang w:val="en-US" w:eastAsia="zh-CN" w:bidi="ar-SA"/>
        </w:rPr>
        <w:t>）法定代表人授权书（附件2）法定代表人参加投标的，提供法人身份证明文件即可；授权人参加投标的，需提供法定代表人授权委托书</w:t>
      </w:r>
      <w:r>
        <w:rPr>
          <w:rFonts w:hint="eastAsia" w:ascii="宋体" w:hAnsi="宋体" w:eastAsia="宋体" w:cs="Times New Roman"/>
          <w:b/>
          <w:color w:val="000000"/>
          <w:kern w:val="2"/>
          <w:sz w:val="24"/>
          <w:szCs w:val="24"/>
          <w:highlight w:val="none"/>
          <w:lang w:val="en-US" w:eastAsia="zh-CN" w:bidi="ar-SA"/>
        </w:rPr>
        <w:t>（含法人身份证和被授权人身份证）；</w:t>
      </w:r>
    </w:p>
    <w:p w14:paraId="1083A07E">
      <w:pPr>
        <w:spacing w:after="0"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1C0E816">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（5）近三年内在经营活动中没有违法违纪行为的声明；</w:t>
      </w:r>
    </w:p>
    <w:p w14:paraId="3A649DE5">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（6）企业最近半年完税证明、信用证明材料（中国人民银行信用代码证+征信报告）；</w:t>
      </w:r>
    </w:p>
    <w:p w14:paraId="2AF28493">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（7）年度纳税信用评价信息（可从电子税务局查询截图，需加盖公章）；</w:t>
      </w:r>
    </w:p>
    <w:p w14:paraId="7088DEBE">
      <w:pPr>
        <w:widowControl w:val="0"/>
        <w:spacing w:line="360" w:lineRule="auto"/>
        <w:ind w:firstLine="480" w:firstLineChars="200"/>
        <w:jc w:val="both"/>
        <w:rPr>
          <w:rFonts w:ascii="宋体" w:hAnsi="宋体" w:eastAsia="宋体" w:cs="Times New Roman"/>
          <w:b/>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（8）企业对外担保说明（写明贵单位对外有无对外担保和质押业务，需加盖公章）。</w:t>
      </w:r>
    </w:p>
    <w:p w14:paraId="01927A2C">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2 </w:t>
      </w:r>
      <w:bookmarkEnd w:id="19"/>
      <w:r>
        <w:rPr>
          <w:rFonts w:hint="eastAsia" w:ascii="宋体" w:hAnsi="宋体" w:eastAsia="宋体" w:cs="宋体"/>
          <w:b/>
          <w:bCs/>
          <w:sz w:val="24"/>
          <w:szCs w:val="24"/>
          <w:highlight w:val="none"/>
        </w:rPr>
        <w:t>技术部分：</w:t>
      </w:r>
    </w:p>
    <w:p w14:paraId="06B47266">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zh-TW" w:eastAsia="zh-TW" w:bidi="ar-SA"/>
        </w:rPr>
        <w:t>（</w:t>
      </w:r>
      <w:r>
        <w:rPr>
          <w:rFonts w:ascii="宋体" w:hAnsi="宋体" w:eastAsia="宋体" w:cs="Times New Roman"/>
          <w:color w:val="000000"/>
          <w:kern w:val="2"/>
          <w:sz w:val="24"/>
          <w:szCs w:val="24"/>
          <w:highlight w:val="none"/>
          <w:lang w:val="en-US" w:eastAsia="zh-CN" w:bidi="ar-SA"/>
        </w:rPr>
        <w:t>1</w:t>
      </w:r>
      <w:r>
        <w:rPr>
          <w:rFonts w:hint="eastAsia" w:ascii="宋体" w:hAnsi="宋体" w:eastAsia="宋体" w:cs="Times New Roman"/>
          <w:color w:val="000000"/>
          <w:kern w:val="2"/>
          <w:sz w:val="24"/>
          <w:szCs w:val="24"/>
          <w:highlight w:val="none"/>
          <w:lang w:val="zh-TW" w:eastAsia="zh-TW" w:bidi="ar-SA"/>
        </w:rPr>
        <w:t>）技术规格偏离表（附件</w:t>
      </w:r>
      <w:r>
        <w:rPr>
          <w:rFonts w:ascii="宋体" w:hAnsi="宋体" w:eastAsia="宋体" w:cs="Times New Roman"/>
          <w:color w:val="000000"/>
          <w:kern w:val="2"/>
          <w:sz w:val="24"/>
          <w:szCs w:val="24"/>
          <w:highlight w:val="none"/>
          <w:lang w:val="en-US" w:eastAsia="zh-CN" w:bidi="ar-SA"/>
        </w:rPr>
        <w:t>3</w:t>
      </w:r>
      <w:r>
        <w:rPr>
          <w:rFonts w:hint="eastAsia" w:ascii="宋体" w:hAnsi="宋体" w:eastAsia="宋体" w:cs="Times New Roman"/>
          <w:color w:val="000000"/>
          <w:kern w:val="2"/>
          <w:sz w:val="24"/>
          <w:szCs w:val="24"/>
          <w:highlight w:val="none"/>
          <w:lang w:val="zh-TW" w:eastAsia="zh-TW" w:bidi="ar-SA"/>
        </w:rPr>
        <w:t>）；必须先进行两列要求一一对照，不允许直接写无偏离；</w:t>
      </w:r>
    </w:p>
    <w:p w14:paraId="28326077">
      <w:pPr>
        <w:widowControl w:val="0"/>
        <w:spacing w:line="360" w:lineRule="auto"/>
        <w:ind w:firstLine="480" w:firstLineChars="200"/>
        <w:jc w:val="both"/>
        <w:rPr>
          <w:rFonts w:ascii="宋体" w:hAnsi="宋体" w:eastAsia="宋体" w:cs="Times New Roman"/>
          <w:color w:val="000000"/>
          <w:kern w:val="2"/>
          <w:sz w:val="24"/>
          <w:szCs w:val="24"/>
          <w:highlight w:val="none"/>
          <w:lang w:val="zh-TW" w:eastAsia="zh-TW" w:bidi="ar-SA"/>
        </w:rPr>
      </w:pPr>
      <w:r>
        <w:rPr>
          <w:rFonts w:ascii="宋体" w:hAnsi="宋体" w:eastAsia="宋体" w:cs="Times New Roman"/>
          <w:color w:val="000000"/>
          <w:kern w:val="2"/>
          <w:sz w:val="24"/>
          <w:szCs w:val="24"/>
          <w:highlight w:val="none"/>
          <w:lang w:val="zh-TW" w:eastAsia="zh-TW" w:bidi="ar-SA"/>
        </w:rPr>
        <w:t>（</w:t>
      </w:r>
      <w:r>
        <w:rPr>
          <w:rFonts w:ascii="宋体" w:hAnsi="宋体" w:eastAsia="宋体" w:cs="Times New Roman"/>
          <w:color w:val="000000"/>
          <w:kern w:val="2"/>
          <w:sz w:val="24"/>
          <w:szCs w:val="24"/>
          <w:highlight w:val="none"/>
          <w:lang w:val="en-US" w:eastAsia="zh-CN" w:bidi="ar-SA"/>
        </w:rPr>
        <w:t>2</w:t>
      </w:r>
      <w:r>
        <w:rPr>
          <w:rFonts w:ascii="宋体" w:hAnsi="宋体" w:eastAsia="宋体" w:cs="Times New Roman"/>
          <w:color w:val="000000"/>
          <w:kern w:val="2"/>
          <w:sz w:val="24"/>
          <w:szCs w:val="24"/>
          <w:highlight w:val="none"/>
          <w:lang w:val="zh-TW" w:eastAsia="zh-TW" w:bidi="ar-SA"/>
        </w:rPr>
        <w:t>）</w:t>
      </w:r>
      <w:r>
        <w:rPr>
          <w:rFonts w:hint="eastAsia" w:ascii="宋体" w:hAnsi="宋体" w:eastAsia="宋体" w:cs="Times New Roman"/>
          <w:color w:val="000000"/>
          <w:kern w:val="2"/>
          <w:sz w:val="24"/>
          <w:szCs w:val="24"/>
          <w:highlight w:val="none"/>
          <w:lang w:val="zh-TW" w:eastAsia="zh-TW" w:bidi="ar-SA"/>
        </w:rPr>
        <w:t>服务承诺函（附件</w:t>
      </w:r>
      <w:r>
        <w:rPr>
          <w:rFonts w:ascii="宋体" w:hAnsi="宋体" w:eastAsia="宋体" w:cs="Times New Roman"/>
          <w:color w:val="000000"/>
          <w:kern w:val="2"/>
          <w:sz w:val="24"/>
          <w:szCs w:val="24"/>
          <w:highlight w:val="none"/>
          <w:lang w:val="en-US" w:eastAsia="zh-CN" w:bidi="ar-SA"/>
        </w:rPr>
        <w:t>6</w:t>
      </w:r>
      <w:r>
        <w:rPr>
          <w:rFonts w:hint="eastAsia" w:ascii="宋体" w:hAnsi="宋体" w:eastAsia="宋体" w:cs="Times New Roman"/>
          <w:color w:val="000000"/>
          <w:kern w:val="2"/>
          <w:sz w:val="24"/>
          <w:szCs w:val="24"/>
          <w:highlight w:val="none"/>
          <w:lang w:val="zh-TW" w:eastAsia="zh-TW" w:bidi="ar-SA"/>
        </w:rPr>
        <w:t>）；</w:t>
      </w:r>
    </w:p>
    <w:p w14:paraId="45934C68">
      <w:pPr>
        <w:spacing w:line="360" w:lineRule="auto"/>
        <w:ind w:firstLine="480" w:firstLineChars="200"/>
        <w:rPr>
          <w:rFonts w:hint="eastAsia" w:ascii="宋体" w:hAnsi="宋体" w:eastAsia="宋体" w:cs="Times New Roman"/>
          <w:color w:val="000000"/>
          <w:kern w:val="2"/>
          <w:sz w:val="24"/>
          <w:szCs w:val="24"/>
          <w:highlight w:val="none"/>
          <w:lang w:val="zh-TW" w:eastAsia="zh-TW" w:bidi="ar-SA"/>
        </w:rPr>
      </w:pPr>
      <w:r>
        <w:rPr>
          <w:rFonts w:hint="eastAsia" w:ascii="宋体" w:hAnsi="宋体" w:eastAsia="宋体" w:cs="Times New Roman"/>
          <w:color w:val="000000"/>
          <w:kern w:val="2"/>
          <w:sz w:val="24"/>
          <w:szCs w:val="24"/>
          <w:highlight w:val="none"/>
          <w:lang w:val="zh-TW" w:eastAsia="zh-TW" w:bidi="ar-SA"/>
        </w:rPr>
        <w:t>（</w:t>
      </w:r>
      <w:r>
        <w:rPr>
          <w:rFonts w:ascii="宋体" w:hAnsi="宋体" w:eastAsia="宋体" w:cs="Times New Roman"/>
          <w:color w:val="000000"/>
          <w:kern w:val="2"/>
          <w:sz w:val="24"/>
          <w:szCs w:val="24"/>
          <w:highlight w:val="none"/>
          <w:lang w:val="en-US" w:eastAsia="zh-CN" w:bidi="ar-SA"/>
        </w:rPr>
        <w:t>3</w:t>
      </w:r>
      <w:r>
        <w:rPr>
          <w:rFonts w:hint="eastAsia" w:ascii="宋体" w:hAnsi="宋体" w:eastAsia="宋体" w:cs="Times New Roman"/>
          <w:color w:val="000000"/>
          <w:kern w:val="2"/>
          <w:sz w:val="24"/>
          <w:szCs w:val="24"/>
          <w:highlight w:val="none"/>
          <w:lang w:val="zh-TW" w:eastAsia="zh-TW" w:bidi="ar-SA"/>
        </w:rPr>
        <w:t>）投标人需提交的其它资料（若有）。</w:t>
      </w:r>
    </w:p>
    <w:p w14:paraId="76183CCC">
      <w:pPr>
        <w:spacing w:line="360" w:lineRule="auto"/>
        <w:ind w:firstLine="482" w:firstLineChars="200"/>
        <w:rPr>
          <w:rFonts w:ascii="宋体" w:hAnsi="Calibri" w:eastAsia="宋体" w:cs="Times New Roman"/>
          <w:b/>
          <w:bCs/>
          <w:sz w:val="24"/>
          <w:szCs w:val="20"/>
          <w:highlight w:val="none"/>
        </w:rPr>
      </w:pPr>
      <w:r>
        <w:rPr>
          <w:rFonts w:ascii="宋体" w:hAnsi="宋体" w:eastAsia="宋体" w:cs="Times New Roman"/>
          <w:b/>
          <w:bCs/>
          <w:sz w:val="24"/>
          <w:szCs w:val="20"/>
          <w:highlight w:val="none"/>
        </w:rPr>
        <w:t>3</w:t>
      </w:r>
      <w:r>
        <w:rPr>
          <w:rFonts w:hint="eastAsia" w:ascii="宋体" w:hAnsi="宋体" w:eastAsia="宋体" w:cs="Times New Roman"/>
          <w:b/>
          <w:bCs/>
          <w:sz w:val="24"/>
          <w:szCs w:val="20"/>
          <w:highlight w:val="none"/>
        </w:rPr>
        <w:t xml:space="preserve"> </w:t>
      </w:r>
      <w:r>
        <w:rPr>
          <w:rFonts w:hint="eastAsia" w:ascii="宋体" w:hAnsi="宋体" w:eastAsia="宋体" w:cs="宋体"/>
          <w:b/>
          <w:bCs/>
          <w:sz w:val="24"/>
          <w:szCs w:val="24"/>
          <w:highlight w:val="none"/>
        </w:rPr>
        <w:t>商务部分：</w:t>
      </w:r>
    </w:p>
    <w:p w14:paraId="36CD7A42">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w:t>
      </w:r>
      <w:r>
        <w:rPr>
          <w:rFonts w:ascii="宋体" w:hAnsi="宋体" w:eastAsia="宋体" w:cs="Times New Roman"/>
          <w:color w:val="000000"/>
          <w:kern w:val="2"/>
          <w:sz w:val="24"/>
          <w:szCs w:val="24"/>
          <w:highlight w:val="none"/>
          <w:lang w:val="en-US" w:eastAsia="zh-CN" w:bidi="ar-SA"/>
        </w:rPr>
        <w:t>1</w:t>
      </w:r>
      <w:r>
        <w:rPr>
          <w:rFonts w:hint="eastAsia" w:ascii="宋体" w:hAnsi="宋体" w:eastAsia="宋体" w:cs="Times New Roman"/>
          <w:color w:val="000000"/>
          <w:kern w:val="2"/>
          <w:sz w:val="24"/>
          <w:szCs w:val="24"/>
          <w:highlight w:val="none"/>
          <w:lang w:val="en-US" w:eastAsia="zh-CN" w:bidi="ar-SA"/>
        </w:rPr>
        <w:t>）开标一览表（附件</w:t>
      </w:r>
      <w:r>
        <w:rPr>
          <w:rFonts w:ascii="宋体" w:hAnsi="宋体" w:eastAsia="宋体" w:cs="Times New Roman"/>
          <w:color w:val="000000"/>
          <w:kern w:val="2"/>
          <w:sz w:val="24"/>
          <w:szCs w:val="24"/>
          <w:highlight w:val="none"/>
          <w:lang w:val="en-US" w:eastAsia="zh-CN" w:bidi="ar-SA"/>
        </w:rPr>
        <w:t>4</w:t>
      </w:r>
      <w:r>
        <w:rPr>
          <w:rFonts w:hint="eastAsia" w:ascii="宋体" w:hAnsi="宋体" w:eastAsia="宋体" w:cs="Times New Roman"/>
          <w:color w:val="000000"/>
          <w:kern w:val="2"/>
          <w:sz w:val="24"/>
          <w:szCs w:val="24"/>
          <w:highlight w:val="none"/>
          <w:lang w:val="en-US" w:eastAsia="zh-CN" w:bidi="ar-SA"/>
        </w:rPr>
        <w:t>）</w:t>
      </w:r>
    </w:p>
    <w:p w14:paraId="710019E2">
      <w:pPr>
        <w:widowControl w:val="0"/>
        <w:spacing w:line="360" w:lineRule="auto"/>
        <w:ind w:firstLine="480" w:firstLineChars="200"/>
        <w:jc w:val="both"/>
        <w:rPr>
          <w:rFonts w:ascii="宋体" w:hAnsi="宋体" w:eastAsia="宋体" w:cs="Times New Roman"/>
          <w:b/>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w:t>
      </w:r>
      <w:r>
        <w:rPr>
          <w:rFonts w:ascii="宋体" w:hAnsi="宋体" w:eastAsia="宋体" w:cs="Times New Roman"/>
          <w:color w:val="000000"/>
          <w:kern w:val="2"/>
          <w:sz w:val="24"/>
          <w:szCs w:val="24"/>
          <w:highlight w:val="none"/>
          <w:lang w:val="en-US" w:eastAsia="zh-CN" w:bidi="ar-SA"/>
        </w:rPr>
        <w:t>2</w:t>
      </w:r>
      <w:r>
        <w:rPr>
          <w:rFonts w:hint="eastAsia" w:ascii="宋体" w:hAnsi="宋体" w:eastAsia="宋体" w:cs="Times New Roman"/>
          <w:color w:val="000000"/>
          <w:kern w:val="2"/>
          <w:sz w:val="24"/>
          <w:szCs w:val="24"/>
          <w:highlight w:val="none"/>
          <w:lang w:val="en-US" w:eastAsia="zh-CN" w:bidi="ar-SA"/>
        </w:rPr>
        <w:t>）投标报价明细表（附件</w:t>
      </w:r>
      <w:r>
        <w:rPr>
          <w:rFonts w:ascii="宋体" w:hAnsi="宋体" w:eastAsia="宋体" w:cs="Times New Roman"/>
          <w:color w:val="000000"/>
          <w:kern w:val="2"/>
          <w:sz w:val="24"/>
          <w:szCs w:val="24"/>
          <w:highlight w:val="none"/>
          <w:lang w:val="en-US" w:eastAsia="zh-CN" w:bidi="ar-SA"/>
        </w:rPr>
        <w:t>5</w:t>
      </w:r>
      <w:r>
        <w:rPr>
          <w:rFonts w:hint="eastAsia" w:ascii="宋体" w:hAnsi="宋体" w:eastAsia="宋体" w:cs="Times New Roman"/>
          <w:color w:val="000000"/>
          <w:kern w:val="2"/>
          <w:sz w:val="24"/>
          <w:szCs w:val="24"/>
          <w:highlight w:val="none"/>
          <w:lang w:val="en-US" w:eastAsia="zh-CN" w:bidi="ar-SA"/>
        </w:rPr>
        <w:t>）</w:t>
      </w:r>
      <w:r>
        <w:rPr>
          <w:rFonts w:hint="eastAsia" w:ascii="宋体" w:hAnsi="宋体" w:eastAsia="宋体" w:cs="Times New Roman"/>
          <w:b/>
          <w:color w:val="000000"/>
          <w:kern w:val="2"/>
          <w:sz w:val="24"/>
          <w:szCs w:val="24"/>
          <w:highlight w:val="none"/>
          <w:lang w:val="en-US" w:eastAsia="zh-CN" w:bidi="ar-SA"/>
        </w:rPr>
        <w:t>附件</w:t>
      </w:r>
      <w:r>
        <w:rPr>
          <w:rFonts w:ascii="宋体" w:hAnsi="宋体" w:eastAsia="宋体" w:cs="Times New Roman"/>
          <w:b/>
          <w:color w:val="000000"/>
          <w:kern w:val="2"/>
          <w:sz w:val="24"/>
          <w:szCs w:val="24"/>
          <w:highlight w:val="none"/>
          <w:lang w:val="en-US" w:eastAsia="zh-CN" w:bidi="ar-SA"/>
        </w:rPr>
        <w:t>4</w:t>
      </w:r>
      <w:r>
        <w:rPr>
          <w:rFonts w:hint="eastAsia" w:ascii="宋体" w:hAnsi="宋体" w:eastAsia="宋体" w:cs="Times New Roman"/>
          <w:b/>
          <w:color w:val="000000"/>
          <w:kern w:val="2"/>
          <w:sz w:val="24"/>
          <w:szCs w:val="24"/>
          <w:highlight w:val="none"/>
          <w:lang w:val="en-US" w:eastAsia="zh-CN" w:bidi="ar-SA"/>
        </w:rPr>
        <w:t>、</w:t>
      </w:r>
      <w:r>
        <w:rPr>
          <w:rFonts w:ascii="宋体" w:hAnsi="宋体" w:eastAsia="宋体" w:cs="Times New Roman"/>
          <w:b/>
          <w:color w:val="000000"/>
          <w:kern w:val="2"/>
          <w:sz w:val="24"/>
          <w:szCs w:val="24"/>
          <w:highlight w:val="none"/>
          <w:lang w:val="en-US" w:eastAsia="zh-CN" w:bidi="ar-SA"/>
        </w:rPr>
        <w:t>5</w:t>
      </w:r>
      <w:r>
        <w:rPr>
          <w:rFonts w:hint="eastAsia" w:ascii="宋体" w:hAnsi="宋体" w:eastAsia="宋体" w:cs="Times New Roman"/>
          <w:b/>
          <w:color w:val="000000"/>
          <w:kern w:val="2"/>
          <w:sz w:val="24"/>
          <w:szCs w:val="24"/>
          <w:highlight w:val="none"/>
          <w:lang w:val="en-US" w:eastAsia="zh-CN" w:bidi="ar-SA"/>
        </w:rPr>
        <w:t>需要一起单独封装</w:t>
      </w:r>
      <w:r>
        <w:rPr>
          <w:rFonts w:ascii="宋体" w:hAnsi="宋体" w:eastAsia="宋体" w:cs="Times New Roman"/>
          <w:b/>
          <w:color w:val="000000"/>
          <w:kern w:val="2"/>
          <w:sz w:val="24"/>
          <w:szCs w:val="24"/>
          <w:highlight w:val="none"/>
          <w:lang w:val="en-US" w:eastAsia="zh-CN" w:bidi="ar-SA"/>
        </w:rPr>
        <w:t>1</w:t>
      </w:r>
      <w:r>
        <w:rPr>
          <w:rFonts w:hint="eastAsia" w:ascii="宋体" w:hAnsi="宋体" w:eastAsia="宋体" w:cs="Times New Roman"/>
          <w:b/>
          <w:color w:val="000000"/>
          <w:kern w:val="2"/>
          <w:sz w:val="24"/>
          <w:szCs w:val="24"/>
          <w:highlight w:val="none"/>
          <w:lang w:val="en-US" w:eastAsia="zh-CN" w:bidi="ar-SA"/>
        </w:rPr>
        <w:t>份。</w:t>
      </w:r>
    </w:p>
    <w:p w14:paraId="039D9789">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w:t>
      </w:r>
      <w:r>
        <w:rPr>
          <w:rFonts w:ascii="宋体" w:hAnsi="宋体" w:eastAsia="宋体" w:cs="Times New Roman"/>
          <w:color w:val="000000"/>
          <w:kern w:val="2"/>
          <w:sz w:val="24"/>
          <w:szCs w:val="24"/>
          <w:highlight w:val="none"/>
          <w:lang w:val="en-US" w:eastAsia="zh-CN" w:bidi="ar-SA"/>
        </w:rPr>
        <w:t>3</w:t>
      </w:r>
      <w:r>
        <w:rPr>
          <w:rFonts w:hint="eastAsia" w:ascii="宋体" w:hAnsi="宋体" w:eastAsia="宋体" w:cs="Times New Roman"/>
          <w:color w:val="000000"/>
          <w:kern w:val="2"/>
          <w:sz w:val="24"/>
          <w:szCs w:val="24"/>
          <w:highlight w:val="none"/>
          <w:lang w:val="en-US" w:eastAsia="zh-CN" w:bidi="ar-SA"/>
        </w:rPr>
        <w:t>）服务承诺函(附件</w:t>
      </w:r>
      <w:r>
        <w:rPr>
          <w:rFonts w:ascii="宋体" w:hAnsi="宋体" w:eastAsia="宋体" w:cs="Times New Roman"/>
          <w:color w:val="000000"/>
          <w:kern w:val="2"/>
          <w:sz w:val="24"/>
          <w:szCs w:val="24"/>
          <w:highlight w:val="none"/>
          <w:lang w:val="en-US" w:eastAsia="zh-CN" w:bidi="ar-SA"/>
        </w:rPr>
        <w:t>6</w:t>
      </w:r>
      <w:r>
        <w:rPr>
          <w:rFonts w:hint="eastAsia" w:ascii="宋体" w:hAnsi="宋体" w:eastAsia="宋体" w:cs="Times New Roman"/>
          <w:color w:val="000000"/>
          <w:kern w:val="2"/>
          <w:sz w:val="24"/>
          <w:szCs w:val="24"/>
          <w:highlight w:val="none"/>
          <w:lang w:val="en-US" w:eastAsia="zh-CN" w:bidi="ar-SA"/>
        </w:rPr>
        <w:t>)</w:t>
      </w:r>
      <w:r>
        <w:rPr>
          <w:rFonts w:hint="eastAsia" w:ascii="宋体" w:hAnsi="宋体" w:eastAsia="宋体" w:cs="Times New Roman"/>
          <w:b/>
          <w:color w:val="000000"/>
          <w:kern w:val="2"/>
          <w:sz w:val="24"/>
          <w:szCs w:val="24"/>
          <w:highlight w:val="none"/>
          <w:lang w:val="en-US" w:eastAsia="zh-CN" w:bidi="ar-SA"/>
        </w:rPr>
        <w:t>需写明能提供的服务内容等情况；</w:t>
      </w:r>
    </w:p>
    <w:p w14:paraId="385192FB">
      <w:pPr>
        <w:widowControl w:val="0"/>
        <w:spacing w:line="360" w:lineRule="auto"/>
        <w:ind w:firstLine="480" w:firstLineChars="200"/>
        <w:jc w:val="both"/>
        <w:rPr>
          <w:rFonts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w:t>
      </w:r>
      <w:r>
        <w:rPr>
          <w:rFonts w:ascii="宋体" w:hAnsi="宋体" w:eastAsia="宋体" w:cs="Times New Roman"/>
          <w:color w:val="000000"/>
          <w:kern w:val="2"/>
          <w:sz w:val="24"/>
          <w:szCs w:val="24"/>
          <w:highlight w:val="none"/>
          <w:lang w:val="en-US" w:eastAsia="zh-CN" w:bidi="ar-SA"/>
        </w:rPr>
        <w:t>5</w:t>
      </w:r>
      <w:r>
        <w:rPr>
          <w:rFonts w:hint="eastAsia" w:ascii="宋体" w:hAnsi="宋体" w:eastAsia="宋体" w:cs="Times New Roman"/>
          <w:color w:val="000000"/>
          <w:kern w:val="2"/>
          <w:sz w:val="24"/>
          <w:szCs w:val="24"/>
          <w:highlight w:val="none"/>
          <w:lang w:val="en-US" w:eastAsia="zh-CN" w:bidi="ar-SA"/>
        </w:rPr>
        <w:t>）按招标文件投标人须知和技术规格书中要求提供的有关文件</w:t>
      </w:r>
      <w:r>
        <w:rPr>
          <w:rFonts w:hint="eastAsia" w:ascii="仿宋" w:hAnsi="仿宋" w:eastAsia="宋体" w:cs="仿宋"/>
          <w:color w:val="000000"/>
          <w:kern w:val="2"/>
          <w:sz w:val="24"/>
          <w:szCs w:val="24"/>
          <w:highlight w:val="none"/>
          <w:lang w:val="en-US" w:eastAsia="zh-CN" w:bidi="ar-SA"/>
        </w:rPr>
        <w:t>（若有）</w:t>
      </w:r>
      <w:r>
        <w:rPr>
          <w:rFonts w:hint="eastAsia" w:ascii="宋体" w:hAnsi="宋体" w:eastAsia="宋体" w:cs="Times New Roman"/>
          <w:color w:val="000000"/>
          <w:kern w:val="2"/>
          <w:sz w:val="24"/>
          <w:szCs w:val="24"/>
          <w:highlight w:val="none"/>
          <w:lang w:val="en-US" w:eastAsia="zh-CN" w:bidi="ar-SA"/>
        </w:rPr>
        <w:t>。</w:t>
      </w:r>
    </w:p>
    <w:p w14:paraId="7EA359F4">
      <w:pPr>
        <w:pStyle w:val="20"/>
        <w:jc w:val="center"/>
        <w:rPr>
          <w:rFonts w:ascii="Calibri" w:hAnsi="Calibri" w:eastAsia="宋体" w:cs="Times New Roman"/>
          <w:b/>
          <w:bCs/>
          <w:kern w:val="44"/>
          <w:sz w:val="36"/>
          <w:szCs w:val="44"/>
          <w:highlight w:val="none"/>
        </w:rPr>
        <w:sectPr>
          <w:pgSz w:w="11907" w:h="16840"/>
          <w:pgMar w:top="1304" w:right="1418" w:bottom="1304" w:left="1418" w:header="724" w:footer="851" w:gutter="0"/>
          <w:cols w:space="720" w:num="1"/>
          <w:docGrid w:linePitch="290" w:charSpace="-3931"/>
        </w:sectPr>
      </w:pPr>
    </w:p>
    <w:p w14:paraId="4C69D55F">
      <w:pPr>
        <w:keepNext/>
        <w:keepLines/>
        <w:jc w:val="center"/>
        <w:outlineLvl w:val="0"/>
        <w:rPr>
          <w:rFonts w:ascii="Times New Roman" w:hAnsi="Times New Roman" w:eastAsia="宋体" w:cs="Times New Roman"/>
          <w:b/>
          <w:bCs/>
          <w:kern w:val="44"/>
          <w:sz w:val="36"/>
          <w:szCs w:val="44"/>
          <w:highlight w:val="none"/>
        </w:rPr>
      </w:pPr>
      <w:bookmarkStart w:id="20" w:name="_Toc25915"/>
      <w:r>
        <w:rPr>
          <w:rFonts w:hint="eastAsia" w:ascii="Times New Roman" w:hAnsi="Times New Roman" w:eastAsia="宋体" w:cs="Times New Roman"/>
          <w:b/>
          <w:bCs/>
          <w:kern w:val="44"/>
          <w:sz w:val="36"/>
          <w:szCs w:val="44"/>
          <w:highlight w:val="none"/>
        </w:rPr>
        <w:t>第四部分 技术标书</w:t>
      </w:r>
      <w:bookmarkEnd w:id="0"/>
      <w:bookmarkEnd w:id="20"/>
    </w:p>
    <w:p w14:paraId="7ED350A3">
      <w:pPr>
        <w:pStyle w:val="20"/>
        <w:rPr>
          <w:rFonts w:ascii="Times New Roman" w:hAnsi="Times New Roman"/>
          <w:highlight w:val="none"/>
        </w:rPr>
      </w:pPr>
    </w:p>
    <w:p w14:paraId="61CB7648">
      <w:pPr>
        <w:keepNext/>
        <w:keepLines/>
        <w:spacing w:before="120" w:after="120" w:line="480" w:lineRule="exact"/>
        <w:jc w:val="center"/>
        <w:outlineLvl w:val="1"/>
        <w:rPr>
          <w:rFonts w:ascii="Times New Roman" w:hAnsi="Times New Roman" w:eastAsia="宋体" w:cs="Times New Roman"/>
          <w:b/>
          <w:bCs/>
          <w:kern w:val="44"/>
          <w:sz w:val="28"/>
          <w:szCs w:val="28"/>
          <w:highlight w:val="none"/>
        </w:rPr>
      </w:pPr>
      <w:r>
        <w:rPr>
          <w:rFonts w:hint="eastAsia" w:ascii="Times New Roman" w:hAnsi="Times New Roman" w:eastAsia="宋体" w:cs="Times New Roman"/>
          <w:b/>
          <w:bCs/>
          <w:kern w:val="44"/>
          <w:sz w:val="28"/>
          <w:szCs w:val="28"/>
          <w:highlight w:val="none"/>
        </w:rPr>
        <w:t>第一章</w:t>
      </w:r>
      <w:r>
        <w:rPr>
          <w:rFonts w:ascii="Times New Roman" w:hAnsi="Times New Roman" w:eastAsia="宋体" w:cs="Times New Roman"/>
          <w:b/>
          <w:bCs/>
          <w:kern w:val="44"/>
          <w:sz w:val="28"/>
          <w:szCs w:val="28"/>
          <w:highlight w:val="none"/>
        </w:rPr>
        <w:t xml:space="preserve">  </w:t>
      </w:r>
      <w:r>
        <w:rPr>
          <w:rFonts w:hint="eastAsia" w:ascii="Times New Roman" w:hAnsi="Times New Roman" w:eastAsia="宋体" w:cs="Times New Roman"/>
          <w:b/>
          <w:bCs/>
          <w:kern w:val="44"/>
          <w:sz w:val="28"/>
          <w:szCs w:val="28"/>
          <w:highlight w:val="none"/>
        </w:rPr>
        <w:t>采购货物概况</w:t>
      </w:r>
    </w:p>
    <w:p w14:paraId="7221F5FA">
      <w:pPr>
        <w:keepNext/>
        <w:keepLines/>
        <w:spacing w:before="120" w:after="120" w:line="360" w:lineRule="auto"/>
        <w:jc w:val="center"/>
        <w:outlineLvl w:val="2"/>
        <w:rPr>
          <w:rFonts w:ascii="Times New Roman" w:hAnsi="Times New Roman" w:eastAsia="宋体" w:cs="宋体"/>
          <w:b/>
          <w:bCs/>
          <w:sz w:val="24"/>
          <w:szCs w:val="24"/>
          <w:highlight w:val="none"/>
        </w:rPr>
      </w:pPr>
      <w:r>
        <w:rPr>
          <w:rFonts w:hint="eastAsia" w:ascii="Times New Roman" w:hAnsi="Times New Roman" w:eastAsia="宋体" w:cs="宋体"/>
          <w:b/>
          <w:bCs/>
          <w:sz w:val="24"/>
          <w:szCs w:val="24"/>
          <w:highlight w:val="none"/>
        </w:rPr>
        <w:t>第一节  使用环境</w:t>
      </w:r>
    </w:p>
    <w:p w14:paraId="0EA6D2A6">
      <w:pPr>
        <w:spacing w:line="360" w:lineRule="auto"/>
        <w:outlineLvl w:val="3"/>
        <w:rPr>
          <w:rFonts w:ascii="Times New Roman" w:hAnsi="Times New Roman" w:eastAsia="宋体" w:cs="宋体"/>
          <w:sz w:val="24"/>
          <w:szCs w:val="24"/>
          <w:highlight w:val="none"/>
          <w:u w:val="single"/>
          <w:shd w:val="pct10" w:color="auto" w:fill="FFFFFF"/>
        </w:rPr>
      </w:pPr>
      <w:r>
        <w:rPr>
          <w:rFonts w:hint="eastAsia" w:ascii="Times New Roman" w:hAnsi="Times New Roman" w:eastAsia="宋体" w:cs="宋体"/>
          <w:sz w:val="24"/>
          <w:szCs w:val="24"/>
          <w:highlight w:val="none"/>
        </w:rPr>
        <w:t>一、项目名称：</w:t>
      </w:r>
      <w:r>
        <w:rPr>
          <w:rFonts w:hint="eastAsia" w:ascii="Times New Roman" w:hAnsi="Times New Roman" w:eastAsia="宋体" w:cs="宋体"/>
          <w:sz w:val="24"/>
          <w:szCs w:val="24"/>
          <w:highlight w:val="none"/>
          <w:u w:val="single"/>
        </w:rPr>
        <w:t>电性能测试系统项目</w:t>
      </w:r>
    </w:p>
    <w:p w14:paraId="69E3C6B3">
      <w:pPr>
        <w:spacing w:line="360" w:lineRule="auto"/>
        <w:outlineLvl w:val="3"/>
        <w:rPr>
          <w:rFonts w:ascii="Times New Roman" w:hAnsi="Times New Roman" w:eastAsia="宋体" w:cs="宋体"/>
          <w:sz w:val="24"/>
          <w:szCs w:val="24"/>
          <w:highlight w:val="none"/>
          <w:u w:val="single"/>
          <w:shd w:val="pct10" w:color="auto" w:fill="FFFFFF"/>
        </w:rPr>
      </w:pPr>
      <w:r>
        <w:rPr>
          <w:rFonts w:hint="eastAsia" w:ascii="Times New Roman" w:hAnsi="Times New Roman" w:eastAsia="宋体" w:cs="宋体"/>
          <w:sz w:val="24"/>
          <w:szCs w:val="24"/>
          <w:highlight w:val="none"/>
        </w:rPr>
        <w:t>二、建设地点：</w:t>
      </w:r>
      <w:r>
        <w:rPr>
          <w:rFonts w:hint="eastAsia" w:ascii="Times New Roman" w:hAnsi="Times New Roman" w:eastAsia="宋体" w:cs="宋体"/>
          <w:sz w:val="24"/>
          <w:szCs w:val="24"/>
          <w:highlight w:val="none"/>
          <w:u w:val="single"/>
        </w:rPr>
        <w:t>济南市高新区华奥路777号中国重汽科技大厦园区</w:t>
      </w:r>
    </w:p>
    <w:p w14:paraId="2FA70B5E">
      <w:pPr>
        <w:spacing w:line="360" w:lineRule="auto"/>
        <w:outlineLvl w:val="3"/>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三、使用地点：</w:t>
      </w:r>
      <w:r>
        <w:rPr>
          <w:rFonts w:hint="eastAsia" w:ascii="Times New Roman" w:hAnsi="Times New Roman" w:eastAsia="宋体" w:cs="宋体"/>
          <w:sz w:val="24"/>
          <w:szCs w:val="24"/>
          <w:highlight w:val="none"/>
          <w:u w:val="single"/>
        </w:rPr>
        <w:t>济南市高新区华奥路777号中国重汽科技大厦园区</w:t>
      </w:r>
    </w:p>
    <w:p w14:paraId="3694ED00">
      <w:pPr>
        <w:spacing w:line="360" w:lineRule="auto"/>
        <w:outlineLvl w:val="3"/>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四、工作制度：全年工作365天、一班制、设备年时基数</w:t>
      </w:r>
      <w:r>
        <w:rPr>
          <w:rFonts w:ascii="Times New Roman" w:hAnsi="Times New Roman" w:eastAsia="宋体" w:cs="宋体"/>
          <w:sz w:val="24"/>
          <w:szCs w:val="24"/>
          <w:highlight w:val="none"/>
        </w:rPr>
        <w:t>4380</w:t>
      </w:r>
      <w:r>
        <w:rPr>
          <w:rFonts w:hint="eastAsia" w:ascii="Times New Roman" w:hAnsi="Times New Roman" w:eastAsia="宋体" w:cs="宋体"/>
          <w:sz w:val="24"/>
          <w:szCs w:val="24"/>
          <w:highlight w:val="none"/>
        </w:rPr>
        <w:t>小时。</w:t>
      </w:r>
    </w:p>
    <w:p w14:paraId="0263EC68">
      <w:pPr>
        <w:spacing w:line="360" w:lineRule="auto"/>
        <w:outlineLvl w:val="3"/>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五、使用地点区域自然环境：</w:t>
      </w:r>
    </w:p>
    <w:p w14:paraId="19C1C2CA">
      <w:pPr>
        <w:spacing w:line="360" w:lineRule="auto"/>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1.海拔高度：4000m以下。</w:t>
      </w:r>
    </w:p>
    <w:p w14:paraId="07D95759">
      <w:pPr>
        <w:spacing w:line="360" w:lineRule="auto"/>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2.环境温度：室外极端最低温度-12℃、极端最高温度45℃。</w:t>
      </w:r>
    </w:p>
    <w:p w14:paraId="107C7574">
      <w:pPr>
        <w:spacing w:line="360" w:lineRule="auto"/>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3.相对湿度：最大95%、最小15%。</w:t>
      </w:r>
    </w:p>
    <w:p w14:paraId="29F2D8BF">
      <w:pPr>
        <w:spacing w:line="360" w:lineRule="auto"/>
        <w:outlineLvl w:val="3"/>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六、使用试验室环境条件：</w:t>
      </w:r>
    </w:p>
    <w:p w14:paraId="7E498097">
      <w:pPr>
        <w:spacing w:line="360" w:lineRule="auto"/>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电力：中国制式，供电电压380V±15%/220V±15%，供电频率50Hz±2%；</w:t>
      </w:r>
    </w:p>
    <w:p w14:paraId="350CB613">
      <w:pPr>
        <w:keepNext/>
        <w:keepLines/>
        <w:spacing w:before="120" w:after="120" w:line="360" w:lineRule="auto"/>
        <w:jc w:val="center"/>
        <w:outlineLvl w:val="2"/>
        <w:rPr>
          <w:rFonts w:ascii="Times New Roman" w:hAnsi="Times New Roman" w:eastAsia="宋体" w:cs="宋体"/>
          <w:b/>
          <w:bCs/>
          <w:sz w:val="24"/>
          <w:szCs w:val="24"/>
          <w:highlight w:val="none"/>
        </w:rPr>
      </w:pPr>
      <w:r>
        <w:rPr>
          <w:rFonts w:hint="eastAsia" w:ascii="Times New Roman" w:hAnsi="Times New Roman" w:eastAsia="宋体" w:cs="宋体"/>
          <w:b/>
          <w:bCs/>
          <w:sz w:val="24"/>
          <w:szCs w:val="24"/>
          <w:highlight w:val="none"/>
        </w:rPr>
        <w:t>第二节  采购货物概况</w:t>
      </w:r>
    </w:p>
    <w:p w14:paraId="4CCDB1A6">
      <w:pPr>
        <w:spacing w:line="360" w:lineRule="auto"/>
        <w:outlineLvl w:val="3"/>
        <w:rPr>
          <w:rFonts w:ascii="Times New Roman" w:hAnsi="Times New Roman" w:eastAsia="宋体" w:cs="宋体"/>
          <w:sz w:val="24"/>
          <w:szCs w:val="24"/>
          <w:highlight w:val="none"/>
        </w:rPr>
      </w:pPr>
      <w:r>
        <w:rPr>
          <w:rFonts w:hint="eastAsia" w:ascii="Times New Roman" w:hAnsi="Times New Roman" w:eastAsia="宋体" w:cs="宋体"/>
          <w:b/>
          <w:sz w:val="24"/>
          <w:szCs w:val="24"/>
          <w:highlight w:val="none"/>
        </w:rPr>
        <w:t>一、货物名称：</w:t>
      </w:r>
      <w:r>
        <w:rPr>
          <w:rFonts w:hint="eastAsia" w:ascii="Times New Roman" w:hAnsi="Times New Roman" w:eastAsia="宋体" w:cs="宋体"/>
          <w:sz w:val="24"/>
          <w:szCs w:val="24"/>
          <w:highlight w:val="none"/>
          <w:u w:val="single"/>
        </w:rPr>
        <w:t>电性能测试系统项目</w:t>
      </w:r>
      <w:r>
        <w:rPr>
          <w:rFonts w:hint="eastAsia" w:ascii="Times New Roman" w:hAnsi="Times New Roman" w:eastAsia="宋体" w:cs="宋体"/>
          <w:sz w:val="24"/>
          <w:szCs w:val="24"/>
          <w:highlight w:val="none"/>
        </w:rPr>
        <w:t>（详见下表）</w:t>
      </w:r>
    </w:p>
    <w:p w14:paraId="01CFB1DA">
      <w:pPr>
        <w:spacing w:line="360" w:lineRule="auto"/>
        <w:outlineLvl w:val="3"/>
        <w:rPr>
          <w:rFonts w:ascii="Times New Roman" w:hAnsi="Times New Roman" w:eastAsia="宋体" w:cs="宋体"/>
          <w:sz w:val="24"/>
          <w:szCs w:val="24"/>
          <w:highlight w:val="none"/>
        </w:rPr>
      </w:pPr>
      <w:r>
        <w:rPr>
          <w:rFonts w:hint="eastAsia" w:ascii="Times New Roman" w:hAnsi="Times New Roman" w:eastAsia="宋体" w:cs="宋体"/>
          <w:b/>
          <w:sz w:val="24"/>
          <w:szCs w:val="24"/>
          <w:highlight w:val="none"/>
        </w:rPr>
        <w:t>二、货物数量：</w:t>
      </w:r>
      <w:r>
        <w:rPr>
          <w:rFonts w:hint="eastAsia" w:ascii="Times New Roman" w:hAnsi="Times New Roman" w:eastAsia="宋体" w:cs="宋体"/>
          <w:bCs/>
          <w:sz w:val="24"/>
          <w:szCs w:val="24"/>
          <w:highlight w:val="none"/>
          <w:u w:val="single"/>
        </w:rPr>
        <w:t>1套</w:t>
      </w:r>
      <w:r>
        <w:rPr>
          <w:rFonts w:hint="eastAsia" w:ascii="Times New Roman" w:hAnsi="Times New Roman" w:eastAsia="宋体" w:cs="宋体"/>
          <w:sz w:val="24"/>
          <w:szCs w:val="24"/>
          <w:highlight w:val="none"/>
        </w:rPr>
        <w:t>（详见下表）</w:t>
      </w:r>
    </w:p>
    <w:p w14:paraId="4000DEF5">
      <w:pPr>
        <w:spacing w:line="360" w:lineRule="auto"/>
        <w:outlineLvl w:val="3"/>
        <w:rPr>
          <w:rFonts w:ascii="Times New Roman" w:hAnsi="Times New Roman" w:eastAsia="宋体" w:cs="宋体"/>
          <w:b/>
          <w:sz w:val="24"/>
          <w:szCs w:val="24"/>
          <w:highlight w:val="none"/>
        </w:rPr>
      </w:pPr>
      <w:r>
        <w:rPr>
          <w:rFonts w:hint="eastAsia" w:ascii="Times New Roman" w:hAnsi="Times New Roman" w:eastAsia="宋体" w:cs="宋体"/>
          <w:b/>
          <w:sz w:val="24"/>
          <w:szCs w:val="24"/>
          <w:highlight w:val="none"/>
        </w:rPr>
        <w:t>三、分投分中：不允许</w:t>
      </w:r>
    </w:p>
    <w:p w14:paraId="03A5F354">
      <w:pPr>
        <w:spacing w:line="360" w:lineRule="auto"/>
        <w:jc w:val="center"/>
        <w:rPr>
          <w:rFonts w:ascii="Times New Roman" w:hAnsi="Times New Roman" w:eastAsia="宋体" w:cs="宋体"/>
          <w:b/>
          <w:bCs/>
          <w:sz w:val="24"/>
          <w:szCs w:val="24"/>
          <w:highlight w:val="none"/>
        </w:rPr>
      </w:pPr>
      <w:r>
        <w:rPr>
          <w:rFonts w:hint="eastAsia" w:ascii="Times New Roman" w:hAnsi="Times New Roman" w:eastAsia="宋体" w:cs="宋体"/>
          <w:b/>
          <w:bCs/>
          <w:sz w:val="24"/>
          <w:szCs w:val="24"/>
          <w:highlight w:val="none"/>
        </w:rPr>
        <w:t>采购货物主要构成一览表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4A44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1662036">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序号</w:t>
            </w:r>
          </w:p>
        </w:tc>
        <w:tc>
          <w:tcPr>
            <w:tcW w:w="2919" w:type="dxa"/>
            <w:vAlign w:val="center"/>
          </w:tcPr>
          <w:p w14:paraId="3B5BCE70">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名称</w:t>
            </w:r>
          </w:p>
        </w:tc>
        <w:tc>
          <w:tcPr>
            <w:tcW w:w="2559" w:type="dxa"/>
            <w:vAlign w:val="center"/>
          </w:tcPr>
          <w:p w14:paraId="050EB582">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型号规格</w:t>
            </w:r>
          </w:p>
        </w:tc>
        <w:tc>
          <w:tcPr>
            <w:tcW w:w="1513" w:type="dxa"/>
            <w:vAlign w:val="center"/>
          </w:tcPr>
          <w:p w14:paraId="7795A976">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单位</w:t>
            </w:r>
          </w:p>
        </w:tc>
        <w:tc>
          <w:tcPr>
            <w:tcW w:w="1105" w:type="dxa"/>
            <w:vAlign w:val="center"/>
          </w:tcPr>
          <w:p w14:paraId="192A2007">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数量</w:t>
            </w:r>
          </w:p>
        </w:tc>
      </w:tr>
      <w:tr w14:paraId="00DA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45D7840">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w:t>
            </w:r>
          </w:p>
        </w:tc>
        <w:tc>
          <w:tcPr>
            <w:tcW w:w="2919" w:type="dxa"/>
            <w:vAlign w:val="center"/>
          </w:tcPr>
          <w:p w14:paraId="5E0CA1DF">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u w:val="single"/>
              </w:rPr>
              <w:t>电性能测试系统项目</w:t>
            </w:r>
          </w:p>
        </w:tc>
        <w:tc>
          <w:tcPr>
            <w:tcW w:w="2559" w:type="dxa"/>
            <w:vAlign w:val="center"/>
          </w:tcPr>
          <w:p w14:paraId="2B173504">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见第二章技术要求</w:t>
            </w:r>
          </w:p>
        </w:tc>
        <w:tc>
          <w:tcPr>
            <w:tcW w:w="1513" w:type="dxa"/>
            <w:vAlign w:val="center"/>
          </w:tcPr>
          <w:p w14:paraId="28FE4569">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套</w:t>
            </w:r>
          </w:p>
        </w:tc>
        <w:tc>
          <w:tcPr>
            <w:tcW w:w="1105" w:type="dxa"/>
            <w:vAlign w:val="center"/>
          </w:tcPr>
          <w:p w14:paraId="650DD1AA">
            <w:pPr>
              <w:jc w:val="center"/>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w:t>
            </w:r>
          </w:p>
        </w:tc>
      </w:tr>
    </w:tbl>
    <w:p w14:paraId="2BE73D2D">
      <w:pPr>
        <w:spacing w:before="120" w:beforeLines="50" w:line="360" w:lineRule="auto"/>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13F7EF0">
      <w:pPr>
        <w:spacing w:line="360" w:lineRule="auto"/>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2.本表“供货方式”指：交钥匙方式——包括制造、运输、定点卸货、安装、调试和协助验收以及约定培训等。</w:t>
      </w:r>
    </w:p>
    <w:p w14:paraId="653FD601">
      <w:pPr>
        <w:spacing w:line="360" w:lineRule="auto"/>
        <w:outlineLvl w:val="3"/>
        <w:rPr>
          <w:rFonts w:ascii="Times New Roman" w:hAnsi="Times New Roman" w:eastAsia="宋体" w:cs="宋体"/>
          <w:b/>
          <w:sz w:val="24"/>
          <w:szCs w:val="24"/>
          <w:highlight w:val="none"/>
        </w:rPr>
      </w:pPr>
      <w:r>
        <w:rPr>
          <w:rFonts w:hint="eastAsia" w:ascii="Times New Roman" w:hAnsi="Times New Roman" w:eastAsia="宋体" w:cs="宋体"/>
          <w:b/>
          <w:sz w:val="24"/>
          <w:szCs w:val="24"/>
          <w:highlight w:val="none"/>
        </w:rPr>
        <w:t>四、采购货物特别说明</w:t>
      </w:r>
    </w:p>
    <w:p w14:paraId="59211BBE">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招标人所列货物的名称和规格型号，如为某一供应商所特有，则该名称和规格型号可作参考，但要求投标人所提供的货物必须满足本技术标书实质性要求。</w:t>
      </w:r>
    </w:p>
    <w:p w14:paraId="0C8B9334">
      <w:pPr>
        <w:pStyle w:val="2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本项目涉及设备部分为进口品牌，于第二章技术要求部分具体约束。</w:t>
      </w:r>
    </w:p>
    <w:p w14:paraId="291B3DA1">
      <w:pPr>
        <w:pStyle w:val="16"/>
        <w:spacing w:before="0" w:after="0" w:afterLines="0"/>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本项目涉及设备，需按甲方要求提供设备零部件明细，并进行价格拆解。</w:t>
      </w:r>
    </w:p>
    <w:p w14:paraId="683AC32C">
      <w:pPr>
        <w:pStyle w:val="16"/>
        <w:spacing w:before="0" w:after="0" w:afterLines="0"/>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本项目涉及的所有设备通讯协议需在技术方案评审时一并免费提交给招标方，并协助招标方开展设备集成工作。</w:t>
      </w:r>
    </w:p>
    <w:p w14:paraId="6DB11B57">
      <w:pPr>
        <w:pStyle w:val="16"/>
        <w:spacing w:before="0" w:after="0" w:afterLines="0"/>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各单元原理图、电路图、程序框图、技术规格和指标、接口协议、各部件型号和参数清单在协议签订2个月内提供。</w:t>
      </w:r>
    </w:p>
    <w:p w14:paraId="44444CE5">
      <w:pPr>
        <w:widowControl/>
        <w:jc w:val="left"/>
        <w:rPr>
          <w:rFonts w:ascii="Times New Roman" w:hAnsi="Times New Roman"/>
          <w:highlight w:val="none"/>
        </w:rPr>
      </w:pPr>
      <w:r>
        <w:rPr>
          <w:rFonts w:ascii="Times New Roman" w:hAnsi="Times New Roman"/>
          <w:highlight w:val="none"/>
        </w:rPr>
        <w:br w:type="page"/>
      </w:r>
    </w:p>
    <w:p w14:paraId="231D2A43">
      <w:pPr>
        <w:keepNext/>
        <w:keepLines/>
        <w:spacing w:before="120" w:after="120" w:line="480" w:lineRule="exact"/>
        <w:jc w:val="center"/>
        <w:outlineLvl w:val="1"/>
        <w:rPr>
          <w:rFonts w:ascii="Times New Roman" w:hAnsi="Times New Roman" w:eastAsia="宋体" w:cs="Times New Roman"/>
          <w:b/>
          <w:bCs/>
          <w:kern w:val="44"/>
          <w:sz w:val="28"/>
          <w:szCs w:val="28"/>
          <w:highlight w:val="none"/>
        </w:rPr>
      </w:pPr>
      <w:r>
        <w:rPr>
          <w:rFonts w:hint="eastAsia" w:ascii="Times New Roman" w:hAnsi="Times New Roman" w:eastAsia="宋体" w:cs="Times New Roman"/>
          <w:b/>
          <w:bCs/>
          <w:kern w:val="44"/>
          <w:sz w:val="28"/>
          <w:szCs w:val="28"/>
          <w:highlight w:val="none"/>
        </w:rPr>
        <w:t>第二章  技术要求</w:t>
      </w:r>
    </w:p>
    <w:p w14:paraId="1F8A4ED9">
      <w:pPr>
        <w:spacing w:line="360" w:lineRule="auto"/>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一、特别提示</w:t>
      </w:r>
    </w:p>
    <w:p w14:paraId="16E58D87">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1.本章技术要求，仅对功能、设计、结构、性能、安装和试验检验等方面，提出了最低和一般性的技术要求，并未对一切技术细节作出规定。</w:t>
      </w:r>
    </w:p>
    <w:p w14:paraId="5ABEC612">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2.本技术要求所使用的标准、规范等，如与投标人所执行的标准、规范不一致时，应按高于本技术要求所列的标准、规范执行。</w:t>
      </w:r>
    </w:p>
    <w:p w14:paraId="12E34E56">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3.投标人认为所供货物必需由招标人配备、解决或提供的其它要求，如设备基础隔振和减振设施、软化水、洁净气源等，均应在投标文件“技术偏离”中予以充分说明。</w:t>
      </w:r>
    </w:p>
    <w:p w14:paraId="2736EE14">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bCs/>
          <w:sz w:val="24"/>
          <w:szCs w:val="24"/>
          <w:highlight w:val="none"/>
        </w:rPr>
        <w:t>4.投标人应根据招投标货物具体要求，提出</w:t>
      </w:r>
      <w:r>
        <w:rPr>
          <w:rFonts w:hint="eastAsia" w:ascii="Times New Roman" w:hAnsi="Times New Roman" w:eastAsia="宋体" w:cs="宋体"/>
          <w:sz w:val="24"/>
          <w:szCs w:val="24"/>
          <w:highlight w:val="none"/>
        </w:rPr>
        <w:t>对厂房、设备基础（或安装平台）、公用设施、消防、环保等超出招标文件、投标文件、答疑文件、技术交流文件、技术协议书和合同等规定的、有特殊需要的解释、说明和要求。</w:t>
      </w:r>
    </w:p>
    <w:p w14:paraId="1CB427E0">
      <w:pPr>
        <w:spacing w:line="360" w:lineRule="auto"/>
        <w:ind w:firstLine="42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5.无论是否有技术偏离，投标人均应在投标文件“技术偏离”中明确作出有无说明。若有异议，不管是多么微小，投标人必须予以明确和详细的说明或澄清。</w:t>
      </w:r>
    </w:p>
    <w:p w14:paraId="7DD9FA20">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6.为避免投标人优势在招标评审时漏项，质保期超出本技术标书要求的，应当在投标文件“技术偏离”中特别注明。</w:t>
      </w:r>
    </w:p>
    <w:p w14:paraId="10E2C759">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7.投标文件中，针对“特别提示”条款所做的回应，将作为投标人能否中标的重要依据之一。</w:t>
      </w:r>
    </w:p>
    <w:p w14:paraId="00E6143D">
      <w:pPr>
        <w:spacing w:line="360" w:lineRule="auto"/>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二、基本要求</w:t>
      </w:r>
    </w:p>
    <w:p w14:paraId="2ECE7B2E">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1.投标人所供的货物，必须符合中国最新版的法律、法规和相关标准、规范的要求，符合项目所在地政府有关特殊要求。</w:t>
      </w:r>
    </w:p>
    <w:p w14:paraId="13BB798B">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2.投标人所供货物涉及的专利权技术以及知识产权保护的其它技术等，应保证招标人不因此受到任何侵权指控以及实际损失。</w:t>
      </w:r>
    </w:p>
    <w:p w14:paraId="37D518D5">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3.投标人应保证所供货物的先进性、可靠性、经济性和实用性，并为全新货物（或设备）。</w:t>
      </w:r>
    </w:p>
    <w:p w14:paraId="3EAFB080">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4.投标人应满足招标人提出的各项技术要求，必要时应当免费提供技术承诺或担保。</w:t>
      </w:r>
    </w:p>
    <w:p w14:paraId="6C5937AC">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6.投标人应保证所供货物的完整性和成套性，能保证货物的正常运行、使用。</w:t>
      </w:r>
    </w:p>
    <w:p w14:paraId="21C847CC">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7.投标人应对招标人采购的货物所涉及的技术、产能等信息负有保密义务，招标人拥有追究投标人泄密责任的权利；招标人如有需要，投标人应无条件签署保密协议。</w:t>
      </w:r>
    </w:p>
    <w:p w14:paraId="1FC94012">
      <w:pPr>
        <w:spacing w:line="360" w:lineRule="auto"/>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三、技术要求</w:t>
      </w:r>
    </w:p>
    <w:p w14:paraId="1AA0D7E3">
      <w:pPr>
        <w:spacing w:line="360" w:lineRule="auto"/>
        <w:outlineLvl w:val="3"/>
        <w:rPr>
          <w:rFonts w:ascii="宋体" w:hAnsi="宋体" w:eastAsia="宋体" w:cs="宋体"/>
          <w:sz w:val="24"/>
          <w:szCs w:val="24"/>
          <w:highlight w:val="none"/>
        </w:rPr>
      </w:pPr>
      <w:bookmarkStart w:id="21" w:name="_Hlk132112785"/>
      <w:r>
        <w:rPr>
          <w:rFonts w:hint="eastAsia" w:ascii="宋体" w:hAnsi="宋体" w:eastAsia="宋体" w:cs="宋体"/>
          <w:sz w:val="24"/>
          <w:szCs w:val="24"/>
          <w:highlight w:val="none"/>
        </w:rPr>
        <w:t>1 设备用途</w:t>
      </w:r>
    </w:p>
    <w:p w14:paraId="2B648BB4">
      <w:pPr>
        <w:spacing w:line="30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该电性能测试系统集成市场主流软硬件设备，通过开发定制测试程序，实现对整车电性能测试。系统实现整车电性能测试，包括：电源分配测试、电平衡测试、地偏移测试、接地电流测试、接地失效测试、静态电流测试等。</w:t>
      </w:r>
    </w:p>
    <w:p w14:paraId="2D0DC35D">
      <w:pPr>
        <w:spacing w:line="360" w:lineRule="auto"/>
        <w:outlineLvl w:val="3"/>
        <w:rPr>
          <w:rFonts w:ascii="宋体" w:hAnsi="宋体" w:eastAsia="宋体" w:cs="宋体"/>
          <w:sz w:val="24"/>
          <w:szCs w:val="24"/>
          <w:highlight w:val="none"/>
        </w:rPr>
      </w:pPr>
      <w:bookmarkStart w:id="22" w:name="_Toc189654442"/>
      <w:bookmarkStart w:id="23" w:name="_Toc180770067"/>
      <w:r>
        <w:rPr>
          <w:rFonts w:hint="eastAsia" w:ascii="宋体" w:hAnsi="宋体" w:eastAsia="宋体" w:cs="宋体"/>
          <w:sz w:val="24"/>
          <w:szCs w:val="24"/>
          <w:highlight w:val="none"/>
        </w:rPr>
        <w:t>2 总体技术要求</w:t>
      </w:r>
    </w:p>
    <w:p w14:paraId="776BA429">
      <w:pPr>
        <w:spacing w:line="360" w:lineRule="auto"/>
        <w:outlineLvl w:val="4"/>
        <w:rPr>
          <w:rFonts w:ascii="宋体" w:hAnsi="宋体" w:eastAsia="宋体" w:cs="宋体"/>
          <w:sz w:val="24"/>
          <w:szCs w:val="24"/>
          <w:highlight w:val="none"/>
        </w:rPr>
      </w:pPr>
      <w:r>
        <w:rPr>
          <w:rFonts w:hint="eastAsia" w:ascii="宋体" w:hAnsi="宋体" w:eastAsia="宋体" w:cs="宋体"/>
          <w:sz w:val="24"/>
          <w:szCs w:val="24"/>
          <w:highlight w:val="none"/>
        </w:rPr>
        <w:t>2.1测试项目</w:t>
      </w:r>
    </w:p>
    <w:p w14:paraId="38C94BC3">
      <w:pPr>
        <w:ind w:firstLine="420"/>
        <w:outlineLvl w:val="9"/>
        <w:rPr>
          <w:rFonts w:ascii="Times New Roman" w:hAnsi="Times New Roman"/>
          <w:b w:val="0"/>
          <w:bCs w:val="0"/>
          <w:szCs w:val="24"/>
          <w:highlight w:val="none"/>
        </w:rPr>
      </w:pPr>
      <w:r>
        <w:rPr>
          <w:rFonts w:hint="eastAsia" w:ascii="Times New Roman" w:hAnsi="Times New Roman"/>
          <w:b w:val="0"/>
          <w:bCs w:val="0"/>
          <w:szCs w:val="24"/>
          <w:highlight w:val="none"/>
        </w:rPr>
        <w:t>电源分配测试、电平衡测试、地偏移测试、接地电流测试、接地失效测试、静态电流测试</w:t>
      </w:r>
    </w:p>
    <w:p w14:paraId="244BAFF4">
      <w:pPr>
        <w:spacing w:line="360" w:lineRule="auto"/>
        <w:outlineLvl w:val="9"/>
        <w:rPr>
          <w:rFonts w:ascii="宋体" w:hAnsi="宋体" w:eastAsia="宋体" w:cs="宋体"/>
          <w:sz w:val="24"/>
          <w:szCs w:val="24"/>
          <w:highlight w:val="none"/>
        </w:rPr>
      </w:pPr>
      <w:r>
        <w:rPr>
          <w:rFonts w:hint="eastAsia" w:ascii="宋体" w:hAnsi="宋体" w:eastAsia="宋体" w:cs="宋体"/>
          <w:sz w:val="24"/>
          <w:szCs w:val="24"/>
          <w:highlight w:val="none"/>
        </w:rPr>
        <w:t>2.2测试对象覆盖范围</w:t>
      </w:r>
    </w:p>
    <w:p w14:paraId="5398386F">
      <w:pPr>
        <w:pStyle w:val="16"/>
        <w:tabs>
          <w:tab w:val="left" w:pos="360"/>
        </w:tabs>
        <w:snapToGrid w:val="0"/>
        <w:ind w:left="425"/>
        <w:jc w:val="left"/>
        <w:outlineLvl w:val="9"/>
        <w:rPr>
          <w:highlight w:val="none"/>
        </w:rPr>
      </w:pPr>
      <w:r>
        <w:rPr>
          <w:rFonts w:hint="eastAsia" w:ascii="宋体" w:hAnsi="宋体" w:eastAsia="宋体" w:cstheme="minorBidi"/>
          <w:sz w:val="24"/>
          <w:szCs w:val="24"/>
          <w:highlight w:val="none"/>
        </w:rPr>
        <w:t>整车电器相关零部件。</w:t>
      </w:r>
    </w:p>
    <w:p w14:paraId="02DBECC3">
      <w:pPr>
        <w:spacing w:line="360" w:lineRule="auto"/>
        <w:outlineLvl w:val="9"/>
        <w:rPr>
          <w:rFonts w:ascii="宋体" w:hAnsi="宋体" w:eastAsia="宋体" w:cs="宋体"/>
          <w:sz w:val="24"/>
          <w:szCs w:val="24"/>
          <w:highlight w:val="none"/>
        </w:rPr>
      </w:pPr>
      <w:r>
        <w:rPr>
          <w:rFonts w:hint="eastAsia" w:ascii="宋体" w:hAnsi="宋体" w:eastAsia="宋体" w:cs="宋体"/>
          <w:sz w:val="24"/>
          <w:szCs w:val="24"/>
          <w:highlight w:val="none"/>
        </w:rPr>
        <w:t>2.3 设备要求</w:t>
      </w:r>
    </w:p>
    <w:p w14:paraId="7FD8FA38">
      <w:pPr>
        <w:spacing w:line="360" w:lineRule="auto"/>
        <w:outlineLvl w:val="9"/>
        <w:rPr>
          <w:rFonts w:ascii="宋体" w:hAnsi="宋体" w:eastAsia="宋体" w:cs="宋体"/>
          <w:sz w:val="24"/>
          <w:szCs w:val="24"/>
          <w:highlight w:val="none"/>
        </w:rPr>
      </w:pPr>
      <w:r>
        <w:rPr>
          <w:rFonts w:hint="eastAsia" w:ascii="宋体" w:hAnsi="宋体" w:eastAsia="宋体" w:cs="宋体"/>
          <w:sz w:val="24"/>
          <w:szCs w:val="24"/>
          <w:highlight w:val="none"/>
        </w:rPr>
        <w:t>2.3.1便携式数据采集仪</w:t>
      </w:r>
      <w:bookmarkEnd w:id="22"/>
      <w:bookmarkEnd w:id="23"/>
    </w:p>
    <w:p w14:paraId="7524EDA1">
      <w:pPr>
        <w:spacing w:line="300" w:lineRule="auto"/>
        <w:ind w:firstLine="480" w:firstLineChars="200"/>
        <w:outlineLvl w:val="9"/>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便携式数据采集仪配置包括但不限于以下配置，必须满足电性能测试需求：</w:t>
      </w:r>
    </w:p>
    <w:tbl>
      <w:tblPr>
        <w:tblStyle w:val="39"/>
        <w:tblW w:w="7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310"/>
        <w:gridCol w:w="1534"/>
        <w:gridCol w:w="3910"/>
      </w:tblGrid>
      <w:tr w14:paraId="014D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237" w:type="dxa"/>
            <w:shd w:val="clear" w:color="auto" w:fill="D9D9D9"/>
            <w:vAlign w:val="center"/>
          </w:tcPr>
          <w:p w14:paraId="21637CC4">
            <w:pPr>
              <w:adjustRightInd w:val="0"/>
              <w:snapToGrid w:val="0"/>
              <w:spacing w:line="360" w:lineRule="exact"/>
              <w:jc w:val="center"/>
              <w:outlineLvl w:val="9"/>
              <w:rPr>
                <w:rFonts w:ascii="宋体" w:hAnsi="宋体" w:eastAsia="宋体" w:cs="宋体"/>
                <w:highlight w:val="none"/>
              </w:rPr>
            </w:pPr>
            <w:r>
              <w:rPr>
                <w:rFonts w:ascii="宋体" w:hAnsi="宋体" w:eastAsia="宋体" w:cs="宋体"/>
                <w:highlight w:val="none"/>
              </w:rPr>
              <w:t>测试类型</w:t>
            </w:r>
          </w:p>
        </w:tc>
        <w:tc>
          <w:tcPr>
            <w:tcW w:w="1310" w:type="dxa"/>
            <w:shd w:val="clear" w:color="auto" w:fill="D9D9D9"/>
            <w:vAlign w:val="center"/>
          </w:tcPr>
          <w:p w14:paraId="125B31C1">
            <w:pPr>
              <w:adjustRightInd w:val="0"/>
              <w:snapToGrid w:val="0"/>
              <w:spacing w:line="360" w:lineRule="exact"/>
              <w:jc w:val="center"/>
              <w:outlineLvl w:val="9"/>
              <w:rPr>
                <w:rFonts w:ascii="宋体" w:hAnsi="宋体" w:eastAsia="宋体" w:cs="宋体"/>
                <w:highlight w:val="none"/>
              </w:rPr>
            </w:pPr>
            <w:r>
              <w:rPr>
                <w:rFonts w:ascii="宋体" w:hAnsi="宋体" w:eastAsia="宋体" w:cs="宋体"/>
                <w:highlight w:val="none"/>
              </w:rPr>
              <w:t>量程</w:t>
            </w:r>
          </w:p>
        </w:tc>
        <w:tc>
          <w:tcPr>
            <w:tcW w:w="1534" w:type="dxa"/>
            <w:shd w:val="clear" w:color="auto" w:fill="D9D9D9"/>
            <w:vAlign w:val="center"/>
          </w:tcPr>
          <w:p w14:paraId="2AFCB1FF">
            <w:pPr>
              <w:adjustRightInd w:val="0"/>
              <w:snapToGrid w:val="0"/>
              <w:spacing w:line="360" w:lineRule="exact"/>
              <w:jc w:val="center"/>
              <w:outlineLvl w:val="9"/>
              <w:rPr>
                <w:rFonts w:ascii="宋体" w:hAnsi="宋体" w:eastAsia="宋体" w:cs="宋体"/>
                <w:highlight w:val="none"/>
              </w:rPr>
            </w:pPr>
            <w:r>
              <w:rPr>
                <w:rFonts w:ascii="宋体" w:hAnsi="宋体" w:eastAsia="宋体" w:cs="宋体"/>
                <w:highlight w:val="none"/>
              </w:rPr>
              <w:t>通道数</w:t>
            </w:r>
          </w:p>
        </w:tc>
        <w:tc>
          <w:tcPr>
            <w:tcW w:w="3910" w:type="dxa"/>
            <w:shd w:val="clear" w:color="auto" w:fill="D9D9D9"/>
            <w:vAlign w:val="center"/>
          </w:tcPr>
          <w:p w14:paraId="7B80BE9B">
            <w:pPr>
              <w:adjustRightInd w:val="0"/>
              <w:snapToGrid w:val="0"/>
              <w:spacing w:line="360" w:lineRule="exact"/>
              <w:jc w:val="center"/>
              <w:outlineLvl w:val="9"/>
              <w:rPr>
                <w:rFonts w:ascii="宋体" w:hAnsi="宋体" w:eastAsia="宋体" w:cs="宋体"/>
                <w:highlight w:val="none"/>
              </w:rPr>
            </w:pPr>
            <w:r>
              <w:rPr>
                <w:rFonts w:ascii="宋体" w:hAnsi="宋体" w:eastAsia="宋体" w:cs="宋体"/>
                <w:highlight w:val="none"/>
              </w:rPr>
              <w:t>通道数说明</w:t>
            </w:r>
          </w:p>
        </w:tc>
      </w:tr>
      <w:tr w14:paraId="08EF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37" w:type="dxa"/>
            <w:vAlign w:val="center"/>
          </w:tcPr>
          <w:p w14:paraId="113DBD2D">
            <w:pPr>
              <w:adjustRightInd w:val="0"/>
              <w:snapToGrid w:val="0"/>
              <w:spacing w:line="360" w:lineRule="exact"/>
              <w:jc w:val="left"/>
              <w:outlineLvl w:val="9"/>
              <w:rPr>
                <w:rFonts w:ascii="宋体" w:hAnsi="宋体" w:eastAsia="宋体" w:cs="宋体"/>
                <w:highlight w:val="none"/>
              </w:rPr>
            </w:pPr>
            <w:r>
              <w:rPr>
                <w:rFonts w:ascii="宋体" w:hAnsi="宋体" w:eastAsia="宋体" w:cs="宋体"/>
                <w:highlight w:val="none"/>
              </w:rPr>
              <w:t>电压采集</w:t>
            </w:r>
          </w:p>
        </w:tc>
        <w:tc>
          <w:tcPr>
            <w:tcW w:w="1310" w:type="dxa"/>
            <w:vAlign w:val="center"/>
          </w:tcPr>
          <w:p w14:paraId="69E52BB9">
            <w:pPr>
              <w:adjustRightInd w:val="0"/>
              <w:snapToGrid w:val="0"/>
              <w:spacing w:line="360" w:lineRule="exact"/>
              <w:jc w:val="center"/>
              <w:outlineLvl w:val="9"/>
              <w:rPr>
                <w:rFonts w:ascii="宋体" w:hAnsi="宋体" w:eastAsia="宋体" w:cs="宋体"/>
                <w:highlight w:val="none"/>
              </w:rPr>
            </w:pPr>
            <w:r>
              <w:rPr>
                <w:rFonts w:ascii="宋体" w:hAnsi="宋体" w:eastAsia="宋体" w:cs="宋体"/>
                <w:highlight w:val="none"/>
              </w:rPr>
              <w:t>±60V</w:t>
            </w:r>
          </w:p>
        </w:tc>
        <w:tc>
          <w:tcPr>
            <w:tcW w:w="1534" w:type="dxa"/>
            <w:vAlign w:val="center"/>
          </w:tcPr>
          <w:p w14:paraId="1F3DE5B7">
            <w:pPr>
              <w:adjustRightInd w:val="0"/>
              <w:snapToGrid w:val="0"/>
              <w:spacing w:line="360" w:lineRule="exact"/>
              <w:jc w:val="center"/>
              <w:outlineLvl w:val="9"/>
              <w:rPr>
                <w:rFonts w:ascii="宋体" w:hAnsi="宋体" w:eastAsia="宋体" w:cs="宋体"/>
                <w:highlight w:val="none"/>
              </w:rPr>
            </w:pPr>
            <w:r>
              <w:rPr>
                <w:rFonts w:hint="eastAsia" w:ascii="宋体" w:hAnsi="宋体" w:eastAsia="宋体" w:cs="宋体"/>
                <w:highlight w:val="none"/>
              </w:rPr>
              <w:t>8</w:t>
            </w:r>
          </w:p>
        </w:tc>
        <w:tc>
          <w:tcPr>
            <w:tcW w:w="3910" w:type="dxa"/>
            <w:vAlign w:val="center"/>
          </w:tcPr>
          <w:p w14:paraId="3B0BBC6D">
            <w:pPr>
              <w:adjustRightInd w:val="0"/>
              <w:snapToGrid w:val="0"/>
              <w:spacing w:line="360" w:lineRule="exact"/>
              <w:jc w:val="left"/>
              <w:outlineLvl w:val="9"/>
              <w:rPr>
                <w:rFonts w:ascii="宋体" w:hAnsi="宋体" w:eastAsia="宋体" w:cs="宋体"/>
                <w:highlight w:val="none"/>
              </w:rPr>
            </w:pPr>
            <w:r>
              <w:rPr>
                <w:rFonts w:ascii="宋体" w:hAnsi="宋体" w:eastAsia="宋体" w:cs="宋体"/>
                <w:highlight w:val="none"/>
              </w:rPr>
              <w:t>精度：0.04%of reading+0.07%rang</w:t>
            </w:r>
          </w:p>
          <w:p w14:paraId="3CA80D94">
            <w:pPr>
              <w:adjustRightInd w:val="0"/>
              <w:snapToGrid w:val="0"/>
              <w:spacing w:line="360" w:lineRule="exact"/>
              <w:jc w:val="left"/>
              <w:outlineLvl w:val="9"/>
              <w:rPr>
                <w:rFonts w:ascii="宋体" w:hAnsi="宋体" w:eastAsia="宋体" w:cs="宋体"/>
                <w:highlight w:val="none"/>
              </w:rPr>
            </w:pPr>
            <w:r>
              <w:rPr>
                <w:rFonts w:ascii="宋体" w:hAnsi="宋体" w:eastAsia="宋体" w:cs="宋体"/>
                <w:highlight w:val="none"/>
              </w:rPr>
              <w:t>最高采样频率：10Ks/s</w:t>
            </w:r>
          </w:p>
          <w:p w14:paraId="38ADD3B8">
            <w:pPr>
              <w:adjustRightInd w:val="0"/>
              <w:snapToGrid w:val="0"/>
              <w:spacing w:line="360" w:lineRule="exact"/>
              <w:jc w:val="left"/>
              <w:outlineLvl w:val="9"/>
              <w:rPr>
                <w:rFonts w:ascii="宋体" w:hAnsi="宋体" w:eastAsia="宋体" w:cs="宋体"/>
                <w:highlight w:val="none"/>
              </w:rPr>
            </w:pPr>
            <w:r>
              <w:rPr>
                <w:rFonts w:ascii="宋体" w:hAnsi="宋体" w:eastAsia="宋体" w:cs="宋体"/>
                <w:highlight w:val="none"/>
              </w:rPr>
              <w:t>分辨率：12bits</w:t>
            </w:r>
          </w:p>
          <w:p w14:paraId="7AC70A78">
            <w:pPr>
              <w:adjustRightInd w:val="0"/>
              <w:snapToGrid w:val="0"/>
              <w:spacing w:line="360" w:lineRule="exact"/>
              <w:jc w:val="left"/>
              <w:outlineLvl w:val="9"/>
              <w:rPr>
                <w:rFonts w:ascii="宋体" w:hAnsi="宋体" w:eastAsia="宋体" w:cs="宋体"/>
                <w:highlight w:val="none"/>
              </w:rPr>
            </w:pPr>
            <w:r>
              <w:rPr>
                <w:rFonts w:ascii="宋体" w:hAnsi="宋体" w:eastAsia="宋体" w:cs="宋体"/>
                <w:highlight w:val="none"/>
              </w:rPr>
              <w:t>接口：LEMO接口</w:t>
            </w:r>
          </w:p>
        </w:tc>
      </w:tr>
      <w:tr w14:paraId="4C78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1237" w:type="dxa"/>
            <w:vAlign w:val="center"/>
          </w:tcPr>
          <w:p w14:paraId="144881E4">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电压采集</w:t>
            </w:r>
          </w:p>
        </w:tc>
        <w:tc>
          <w:tcPr>
            <w:tcW w:w="1310" w:type="dxa"/>
            <w:vAlign w:val="center"/>
          </w:tcPr>
          <w:p w14:paraId="26AD45A0">
            <w:pPr>
              <w:adjustRightInd w:val="0"/>
              <w:snapToGrid w:val="0"/>
              <w:spacing w:line="360" w:lineRule="exact"/>
              <w:jc w:val="center"/>
              <w:rPr>
                <w:rFonts w:ascii="宋体" w:hAnsi="宋体" w:eastAsia="宋体" w:cs="宋体"/>
                <w:highlight w:val="none"/>
              </w:rPr>
            </w:pPr>
            <w:r>
              <w:rPr>
                <w:rFonts w:ascii="宋体" w:hAnsi="宋体" w:eastAsia="宋体" w:cs="宋体"/>
                <w:highlight w:val="none"/>
              </w:rPr>
              <w:t>±10V</w:t>
            </w:r>
          </w:p>
        </w:tc>
        <w:tc>
          <w:tcPr>
            <w:tcW w:w="1534" w:type="dxa"/>
            <w:vAlign w:val="center"/>
          </w:tcPr>
          <w:p w14:paraId="4B9DA317">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8</w:t>
            </w:r>
          </w:p>
        </w:tc>
        <w:tc>
          <w:tcPr>
            <w:tcW w:w="3910" w:type="dxa"/>
            <w:vAlign w:val="center"/>
          </w:tcPr>
          <w:p w14:paraId="2B07DAF7">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绝对精度：6.23mV</w:t>
            </w:r>
          </w:p>
          <w:p w14:paraId="38D1BF1D">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最高采样频率为：10Ks/s</w:t>
            </w:r>
          </w:p>
          <w:p w14:paraId="2B2716DB">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分辨率：16bits</w:t>
            </w:r>
          </w:p>
          <w:p w14:paraId="2D37FEE3">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接口：LEMO接口</w:t>
            </w:r>
          </w:p>
        </w:tc>
      </w:tr>
      <w:tr w14:paraId="0CC9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37" w:type="dxa"/>
            <w:vMerge w:val="restart"/>
            <w:vAlign w:val="center"/>
          </w:tcPr>
          <w:p w14:paraId="70BCDB5A">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电流采集</w:t>
            </w:r>
          </w:p>
        </w:tc>
        <w:tc>
          <w:tcPr>
            <w:tcW w:w="1310" w:type="dxa"/>
            <w:vAlign w:val="center"/>
          </w:tcPr>
          <w:p w14:paraId="69D0E3A8">
            <w:pPr>
              <w:adjustRightInd w:val="0"/>
              <w:snapToGrid w:val="0"/>
              <w:spacing w:line="360" w:lineRule="exact"/>
              <w:jc w:val="center"/>
              <w:rPr>
                <w:rFonts w:ascii="宋体" w:hAnsi="宋体" w:eastAsia="宋体" w:cs="宋体"/>
                <w:highlight w:val="none"/>
              </w:rPr>
            </w:pPr>
            <w:r>
              <w:rPr>
                <w:rFonts w:ascii="宋体" w:hAnsi="宋体" w:eastAsia="宋体" w:cs="宋体"/>
                <w:highlight w:val="none"/>
              </w:rPr>
              <w:t>±5A</w:t>
            </w:r>
          </w:p>
          <w:p w14:paraId="50D94827">
            <w:pPr>
              <w:adjustRightInd w:val="0"/>
              <w:snapToGrid w:val="0"/>
              <w:spacing w:line="360" w:lineRule="exact"/>
              <w:jc w:val="center"/>
              <w:rPr>
                <w:rFonts w:ascii="宋体" w:hAnsi="宋体" w:eastAsia="宋体" w:cs="宋体"/>
                <w:highlight w:val="none"/>
              </w:rPr>
            </w:pPr>
            <w:r>
              <w:rPr>
                <w:rFonts w:ascii="宋体" w:hAnsi="宋体" w:eastAsia="宋体" w:cs="宋体"/>
                <w:highlight w:val="none"/>
              </w:rPr>
              <w:t>（静态电流）</w:t>
            </w:r>
          </w:p>
        </w:tc>
        <w:tc>
          <w:tcPr>
            <w:tcW w:w="1534" w:type="dxa"/>
            <w:vAlign w:val="center"/>
          </w:tcPr>
          <w:p w14:paraId="209A5E7B">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4</w:t>
            </w:r>
          </w:p>
        </w:tc>
        <w:tc>
          <w:tcPr>
            <w:tcW w:w="3910" w:type="dxa"/>
            <w:vAlign w:val="center"/>
          </w:tcPr>
          <w:p w14:paraId="61B5708F">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精度：0.1%of reading+0.05%rang</w:t>
            </w:r>
          </w:p>
          <w:p w14:paraId="466568F4">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最高采样频率：10Ks/s</w:t>
            </w:r>
          </w:p>
          <w:p w14:paraId="10F4006C">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分辨率：24bit</w:t>
            </w:r>
          </w:p>
          <w:p w14:paraId="2B21F396">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接口：香蕉插头接口</w:t>
            </w:r>
          </w:p>
        </w:tc>
      </w:tr>
      <w:tr w14:paraId="41AB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237" w:type="dxa"/>
            <w:vMerge w:val="continue"/>
            <w:vAlign w:val="center"/>
          </w:tcPr>
          <w:p w14:paraId="090BF0B0">
            <w:pPr>
              <w:adjustRightInd w:val="0"/>
              <w:snapToGrid w:val="0"/>
              <w:spacing w:line="360" w:lineRule="exact"/>
              <w:jc w:val="left"/>
              <w:rPr>
                <w:rFonts w:ascii="宋体" w:hAnsi="宋体" w:eastAsia="宋体" w:cs="宋体"/>
                <w:highlight w:val="none"/>
              </w:rPr>
            </w:pPr>
          </w:p>
        </w:tc>
        <w:tc>
          <w:tcPr>
            <w:tcW w:w="1310" w:type="dxa"/>
            <w:vAlign w:val="center"/>
          </w:tcPr>
          <w:p w14:paraId="5A2FADA2">
            <w:pPr>
              <w:adjustRightInd w:val="0"/>
              <w:snapToGrid w:val="0"/>
              <w:spacing w:line="360" w:lineRule="exact"/>
              <w:jc w:val="center"/>
              <w:rPr>
                <w:rFonts w:ascii="宋体" w:hAnsi="宋体" w:eastAsia="宋体" w:cs="宋体"/>
                <w:highlight w:val="none"/>
              </w:rPr>
            </w:pPr>
            <w:r>
              <w:rPr>
                <w:rFonts w:ascii="宋体" w:hAnsi="宋体" w:eastAsia="宋体" w:cs="宋体"/>
                <w:highlight w:val="none"/>
              </w:rPr>
              <w:t>±50A</w:t>
            </w:r>
          </w:p>
          <w:p w14:paraId="173A7C0A">
            <w:pPr>
              <w:adjustRightInd w:val="0"/>
              <w:snapToGrid w:val="0"/>
              <w:spacing w:line="360" w:lineRule="exact"/>
              <w:jc w:val="center"/>
              <w:rPr>
                <w:rFonts w:ascii="宋体" w:hAnsi="宋体" w:eastAsia="宋体" w:cs="宋体"/>
                <w:highlight w:val="none"/>
              </w:rPr>
            </w:pPr>
            <w:r>
              <w:rPr>
                <w:rFonts w:ascii="宋体" w:hAnsi="宋体" w:eastAsia="宋体" w:cs="宋体"/>
                <w:highlight w:val="none"/>
              </w:rPr>
              <w:t>±100A</w:t>
            </w:r>
          </w:p>
          <w:p w14:paraId="0CC0AFF2">
            <w:pPr>
              <w:adjustRightInd w:val="0"/>
              <w:snapToGrid w:val="0"/>
              <w:spacing w:line="360" w:lineRule="exact"/>
              <w:jc w:val="center"/>
              <w:rPr>
                <w:rFonts w:ascii="宋体" w:hAnsi="宋体" w:eastAsia="宋体" w:cs="宋体"/>
                <w:highlight w:val="none"/>
              </w:rPr>
            </w:pPr>
            <w:r>
              <w:rPr>
                <w:rFonts w:ascii="宋体" w:hAnsi="宋体" w:eastAsia="宋体" w:cs="宋体"/>
                <w:highlight w:val="none"/>
              </w:rPr>
              <w:t>±200A</w:t>
            </w:r>
          </w:p>
          <w:p w14:paraId="227FA3C8">
            <w:pPr>
              <w:adjustRightInd w:val="0"/>
              <w:snapToGrid w:val="0"/>
              <w:spacing w:line="360" w:lineRule="exact"/>
              <w:jc w:val="center"/>
              <w:rPr>
                <w:rFonts w:ascii="宋体" w:hAnsi="宋体" w:eastAsia="宋体" w:cs="宋体"/>
                <w:highlight w:val="none"/>
              </w:rPr>
            </w:pPr>
            <w:r>
              <w:rPr>
                <w:rFonts w:ascii="宋体" w:hAnsi="宋体" w:eastAsia="宋体" w:cs="宋体"/>
                <w:highlight w:val="none"/>
              </w:rPr>
              <w:t>±1000A</w:t>
            </w:r>
          </w:p>
        </w:tc>
        <w:tc>
          <w:tcPr>
            <w:tcW w:w="1534" w:type="dxa"/>
            <w:vAlign w:val="center"/>
          </w:tcPr>
          <w:p w14:paraId="298719BD">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12</w:t>
            </w:r>
          </w:p>
        </w:tc>
        <w:tc>
          <w:tcPr>
            <w:tcW w:w="3910" w:type="dxa"/>
            <w:vAlign w:val="center"/>
          </w:tcPr>
          <w:p w14:paraId="1F4D61CE">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搭配霍尔传感器</w:t>
            </w:r>
          </w:p>
          <w:p w14:paraId="69977353">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分辨率：16bit</w:t>
            </w:r>
          </w:p>
          <w:p w14:paraId="298F0DBC">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最高采样频率：10Ks/s</w:t>
            </w:r>
          </w:p>
          <w:p w14:paraId="5BA8CD41">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接口：LEMO接口（集成霍尔传感器供电功能）</w:t>
            </w:r>
          </w:p>
        </w:tc>
      </w:tr>
      <w:tr w14:paraId="39B7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237" w:type="dxa"/>
            <w:vMerge w:val="continue"/>
            <w:vAlign w:val="center"/>
          </w:tcPr>
          <w:p w14:paraId="5D819CBF">
            <w:pPr>
              <w:adjustRightInd w:val="0"/>
              <w:snapToGrid w:val="0"/>
              <w:spacing w:line="360" w:lineRule="exact"/>
              <w:jc w:val="left"/>
              <w:rPr>
                <w:rFonts w:ascii="宋体" w:hAnsi="宋体" w:eastAsia="宋体" w:cs="宋体"/>
                <w:highlight w:val="none"/>
              </w:rPr>
            </w:pPr>
          </w:p>
        </w:tc>
        <w:tc>
          <w:tcPr>
            <w:tcW w:w="1310" w:type="dxa"/>
            <w:vAlign w:val="center"/>
          </w:tcPr>
          <w:p w14:paraId="0E2E83C9">
            <w:pPr>
              <w:adjustRightInd w:val="0"/>
              <w:snapToGrid w:val="0"/>
              <w:spacing w:line="360" w:lineRule="exact"/>
              <w:jc w:val="center"/>
              <w:rPr>
                <w:rFonts w:ascii="宋体" w:hAnsi="宋体" w:eastAsia="宋体" w:cs="宋体"/>
                <w:highlight w:val="none"/>
              </w:rPr>
            </w:pPr>
            <w:r>
              <w:rPr>
                <w:rFonts w:ascii="宋体" w:hAnsi="宋体" w:eastAsia="宋体" w:cs="宋体"/>
                <w:highlight w:val="none"/>
              </w:rPr>
              <w:t>模拟输入通道</w:t>
            </w:r>
          </w:p>
        </w:tc>
        <w:tc>
          <w:tcPr>
            <w:tcW w:w="1534" w:type="dxa"/>
            <w:vAlign w:val="center"/>
          </w:tcPr>
          <w:p w14:paraId="4C94A2E1">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4</w:t>
            </w:r>
          </w:p>
        </w:tc>
        <w:tc>
          <w:tcPr>
            <w:tcW w:w="3910" w:type="dxa"/>
            <w:vAlign w:val="center"/>
          </w:tcPr>
          <w:p w14:paraId="3029BCB9">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搭配电流钳</w:t>
            </w:r>
          </w:p>
          <w:p w14:paraId="2D538CE9">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分辨率：16bit</w:t>
            </w:r>
          </w:p>
          <w:p w14:paraId="0C983EE0">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最高采样频率：10Ks/s</w:t>
            </w:r>
          </w:p>
          <w:p w14:paraId="7982912F">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接口：BNC接口</w:t>
            </w:r>
          </w:p>
        </w:tc>
      </w:tr>
      <w:tr w14:paraId="4B8A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1237" w:type="dxa"/>
            <w:vAlign w:val="center"/>
          </w:tcPr>
          <w:p w14:paraId="4CDF0ECB">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温度采集</w:t>
            </w:r>
          </w:p>
        </w:tc>
        <w:tc>
          <w:tcPr>
            <w:tcW w:w="1310" w:type="dxa"/>
            <w:vAlign w:val="center"/>
          </w:tcPr>
          <w:p w14:paraId="17AD9E5D">
            <w:pPr>
              <w:adjustRightInd w:val="0"/>
              <w:snapToGrid w:val="0"/>
              <w:spacing w:line="360" w:lineRule="exact"/>
              <w:jc w:val="center"/>
              <w:rPr>
                <w:rFonts w:ascii="宋体" w:hAnsi="宋体" w:eastAsia="宋体" w:cs="宋体"/>
                <w:highlight w:val="none"/>
              </w:rPr>
            </w:pPr>
            <w:r>
              <w:rPr>
                <w:rFonts w:ascii="宋体" w:hAnsi="宋体" w:eastAsia="宋体" w:cs="宋体"/>
                <w:highlight w:val="none"/>
              </w:rPr>
              <w:t>-100-1300℃</w:t>
            </w:r>
          </w:p>
        </w:tc>
        <w:tc>
          <w:tcPr>
            <w:tcW w:w="1534" w:type="dxa"/>
            <w:vAlign w:val="center"/>
          </w:tcPr>
          <w:p w14:paraId="144B8BE3">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16</w:t>
            </w:r>
          </w:p>
        </w:tc>
        <w:tc>
          <w:tcPr>
            <w:tcW w:w="3910" w:type="dxa"/>
            <w:vAlign w:val="center"/>
          </w:tcPr>
          <w:p w14:paraId="3CDAA6EF">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搭配K型热电偶</w:t>
            </w:r>
          </w:p>
          <w:p w14:paraId="5B9158A3">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≤1℃（搭配K型热电偶）</w:t>
            </w:r>
          </w:p>
          <w:p w14:paraId="47A91C1C">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测量范围-100℃~1300℃</w:t>
            </w:r>
          </w:p>
          <w:p w14:paraId="47B493A0">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最高采样频率为75S/s</w:t>
            </w:r>
          </w:p>
        </w:tc>
      </w:tr>
    </w:tbl>
    <w:p w14:paraId="306C706F">
      <w:pPr>
        <w:spacing w:line="360" w:lineRule="auto"/>
        <w:outlineLvl w:val="4"/>
        <w:rPr>
          <w:rFonts w:ascii="宋体" w:hAnsi="宋体" w:eastAsia="宋体" w:cs="宋体"/>
          <w:sz w:val="24"/>
          <w:szCs w:val="24"/>
          <w:highlight w:val="none"/>
        </w:rPr>
      </w:pPr>
      <w:bookmarkStart w:id="24" w:name="_Toc189654448"/>
      <w:r>
        <w:rPr>
          <w:rFonts w:hint="eastAsia" w:ascii="宋体" w:hAnsi="宋体" w:eastAsia="宋体" w:cs="宋体"/>
          <w:sz w:val="24"/>
          <w:szCs w:val="24"/>
          <w:highlight w:val="none"/>
        </w:rPr>
        <w:t>2.3.2 传感器</w:t>
      </w:r>
      <w:bookmarkEnd w:id="24"/>
    </w:p>
    <w:p w14:paraId="7A2B94B8">
      <w:pPr>
        <w:spacing w:line="30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传感器参数要求如下表所示。</w:t>
      </w:r>
    </w:p>
    <w:tbl>
      <w:tblPr>
        <w:tblStyle w:val="3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846"/>
        <w:gridCol w:w="5245"/>
      </w:tblGrid>
      <w:tr w14:paraId="6A92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980" w:type="dxa"/>
            <w:shd w:val="clear" w:color="auto" w:fill="D8D8D8" w:themeFill="background1" w:themeFillShade="D9"/>
            <w:vAlign w:val="center"/>
          </w:tcPr>
          <w:p w14:paraId="1CF22D59">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附件名称</w:t>
            </w:r>
          </w:p>
        </w:tc>
        <w:tc>
          <w:tcPr>
            <w:tcW w:w="1846" w:type="dxa"/>
            <w:shd w:val="clear" w:color="auto" w:fill="D8D8D8" w:themeFill="background1" w:themeFillShade="D9"/>
            <w:vAlign w:val="center"/>
          </w:tcPr>
          <w:p w14:paraId="061193A3">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5245" w:type="dxa"/>
            <w:shd w:val="clear" w:color="auto" w:fill="D8D8D8" w:themeFill="background1" w:themeFillShade="D9"/>
            <w:vAlign w:val="center"/>
          </w:tcPr>
          <w:p w14:paraId="7870897B">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说明</w:t>
            </w:r>
          </w:p>
        </w:tc>
      </w:tr>
      <w:tr w14:paraId="6798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0924A175">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电流传感器</w:t>
            </w:r>
            <w:r>
              <w:rPr>
                <w:rFonts w:ascii="宋体" w:hAnsi="宋体" w:eastAsia="宋体" w:cs="宋体"/>
                <w:highlight w:val="none"/>
              </w:rPr>
              <w:t>50A</w:t>
            </w:r>
          </w:p>
        </w:tc>
        <w:tc>
          <w:tcPr>
            <w:tcW w:w="1846" w:type="dxa"/>
            <w:vAlign w:val="center"/>
          </w:tcPr>
          <w:p w14:paraId="1EEA4662">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6</w:t>
            </w:r>
          </w:p>
        </w:tc>
        <w:tc>
          <w:tcPr>
            <w:tcW w:w="5245" w:type="dxa"/>
            <w:vAlign w:val="center"/>
          </w:tcPr>
          <w:p w14:paraId="5ECFDB47">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工作环境温度：</w:t>
            </w:r>
            <w:r>
              <w:rPr>
                <w:rFonts w:ascii="宋体" w:hAnsi="宋体" w:eastAsia="宋体" w:cs="宋体"/>
                <w:highlight w:val="none"/>
              </w:rPr>
              <w:t>-25</w:t>
            </w:r>
            <w:r>
              <w:rPr>
                <w:rFonts w:hint="eastAsia" w:ascii="宋体" w:hAnsi="宋体" w:eastAsia="宋体" w:cs="宋体"/>
                <w:highlight w:val="none"/>
              </w:rPr>
              <w:t>℃</w:t>
            </w:r>
            <w:r>
              <w:rPr>
                <w:rFonts w:ascii="宋体" w:hAnsi="宋体" w:eastAsia="宋体" w:cs="宋体"/>
                <w:highlight w:val="none"/>
              </w:rPr>
              <w:t>~85</w:t>
            </w:r>
            <w:r>
              <w:rPr>
                <w:rFonts w:hint="eastAsia" w:ascii="宋体" w:hAnsi="宋体" w:eastAsia="宋体" w:cs="宋体"/>
                <w:highlight w:val="none"/>
              </w:rPr>
              <w:t>℃</w:t>
            </w:r>
          </w:p>
          <w:p w14:paraId="76302336">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供电电压：±</w:t>
            </w:r>
            <w:r>
              <w:rPr>
                <w:rFonts w:ascii="宋体" w:hAnsi="宋体" w:eastAsia="宋体" w:cs="宋体"/>
                <w:highlight w:val="none"/>
              </w:rPr>
              <w:t>15V</w:t>
            </w:r>
          </w:p>
          <w:p w14:paraId="4DA684AE">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线性度：</w:t>
            </w:r>
            <w:r>
              <w:rPr>
                <w:rFonts w:ascii="宋体" w:hAnsi="宋体" w:eastAsia="宋体" w:cs="宋体"/>
                <w:highlight w:val="none"/>
              </w:rPr>
              <w:t>1%FS</w:t>
            </w:r>
          </w:p>
          <w:p w14:paraId="06A431A2">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连接线缆长度：定制</w:t>
            </w:r>
            <w:r>
              <w:rPr>
                <w:rFonts w:ascii="宋体" w:hAnsi="宋体" w:eastAsia="宋体" w:cs="宋体"/>
                <w:highlight w:val="none"/>
              </w:rPr>
              <w:t>8</w:t>
            </w:r>
            <w:r>
              <w:rPr>
                <w:rFonts w:hint="eastAsia" w:ascii="宋体" w:hAnsi="宋体" w:eastAsia="宋体" w:cs="宋体"/>
                <w:highlight w:val="none"/>
              </w:rPr>
              <w:t>m</w:t>
            </w:r>
          </w:p>
        </w:tc>
      </w:tr>
      <w:tr w14:paraId="0DCC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10EF35A0">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电流传感器2</w:t>
            </w:r>
            <w:r>
              <w:rPr>
                <w:rFonts w:ascii="宋体" w:hAnsi="宋体" w:eastAsia="宋体" w:cs="宋体"/>
                <w:highlight w:val="none"/>
              </w:rPr>
              <w:t>00A</w:t>
            </w:r>
          </w:p>
        </w:tc>
        <w:tc>
          <w:tcPr>
            <w:tcW w:w="1846" w:type="dxa"/>
            <w:vAlign w:val="center"/>
          </w:tcPr>
          <w:p w14:paraId="190299B9">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2</w:t>
            </w:r>
          </w:p>
        </w:tc>
        <w:tc>
          <w:tcPr>
            <w:tcW w:w="5245" w:type="dxa"/>
            <w:vAlign w:val="center"/>
          </w:tcPr>
          <w:p w14:paraId="367876A3">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工作环境温度：</w:t>
            </w:r>
            <w:r>
              <w:rPr>
                <w:rFonts w:ascii="宋体" w:hAnsi="宋体" w:eastAsia="宋体" w:cs="宋体"/>
                <w:highlight w:val="none"/>
              </w:rPr>
              <w:t>-25</w:t>
            </w:r>
            <w:r>
              <w:rPr>
                <w:rFonts w:hint="eastAsia" w:ascii="宋体" w:hAnsi="宋体" w:eastAsia="宋体" w:cs="宋体"/>
                <w:highlight w:val="none"/>
              </w:rPr>
              <w:t>℃</w:t>
            </w:r>
            <w:r>
              <w:rPr>
                <w:rFonts w:ascii="宋体" w:hAnsi="宋体" w:eastAsia="宋体" w:cs="宋体"/>
                <w:highlight w:val="none"/>
              </w:rPr>
              <w:t>~85</w:t>
            </w:r>
            <w:r>
              <w:rPr>
                <w:rFonts w:hint="eastAsia" w:ascii="宋体" w:hAnsi="宋体" w:eastAsia="宋体" w:cs="宋体"/>
                <w:highlight w:val="none"/>
              </w:rPr>
              <w:t>℃</w:t>
            </w:r>
          </w:p>
          <w:p w14:paraId="684A2C07">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供电电压：±</w:t>
            </w:r>
            <w:r>
              <w:rPr>
                <w:rFonts w:ascii="宋体" w:hAnsi="宋体" w:eastAsia="宋体" w:cs="宋体"/>
                <w:highlight w:val="none"/>
              </w:rPr>
              <w:t>15V</w:t>
            </w:r>
          </w:p>
          <w:p w14:paraId="78BE0E96">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线性度：</w:t>
            </w:r>
            <w:r>
              <w:rPr>
                <w:rFonts w:ascii="宋体" w:hAnsi="宋体" w:eastAsia="宋体" w:cs="宋体"/>
                <w:highlight w:val="none"/>
              </w:rPr>
              <w:t>1%FS</w:t>
            </w:r>
          </w:p>
          <w:p w14:paraId="058B303C">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连接线缆长度：定制</w:t>
            </w:r>
            <w:r>
              <w:rPr>
                <w:rFonts w:ascii="宋体" w:hAnsi="宋体" w:eastAsia="宋体" w:cs="宋体"/>
                <w:highlight w:val="none"/>
              </w:rPr>
              <w:t>8</w:t>
            </w:r>
            <w:r>
              <w:rPr>
                <w:rFonts w:hint="eastAsia" w:ascii="宋体" w:hAnsi="宋体" w:eastAsia="宋体" w:cs="宋体"/>
                <w:highlight w:val="none"/>
              </w:rPr>
              <w:t>m</w:t>
            </w:r>
          </w:p>
        </w:tc>
      </w:tr>
      <w:tr w14:paraId="5081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2C508A88">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电流传感器2</w:t>
            </w:r>
            <w:r>
              <w:rPr>
                <w:rFonts w:ascii="宋体" w:hAnsi="宋体" w:eastAsia="宋体" w:cs="宋体"/>
                <w:highlight w:val="none"/>
              </w:rPr>
              <w:t>000A</w:t>
            </w:r>
          </w:p>
        </w:tc>
        <w:tc>
          <w:tcPr>
            <w:tcW w:w="1846" w:type="dxa"/>
            <w:vAlign w:val="center"/>
          </w:tcPr>
          <w:p w14:paraId="6C932D6E">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1</w:t>
            </w:r>
          </w:p>
        </w:tc>
        <w:tc>
          <w:tcPr>
            <w:tcW w:w="5245" w:type="dxa"/>
            <w:vAlign w:val="center"/>
          </w:tcPr>
          <w:p w14:paraId="04535C6E">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工作环境温度：</w:t>
            </w:r>
            <w:r>
              <w:rPr>
                <w:rFonts w:ascii="宋体" w:hAnsi="宋体" w:eastAsia="宋体" w:cs="宋体"/>
                <w:highlight w:val="none"/>
              </w:rPr>
              <w:t>-25</w:t>
            </w:r>
            <w:r>
              <w:rPr>
                <w:rFonts w:hint="eastAsia" w:ascii="宋体" w:hAnsi="宋体" w:eastAsia="宋体" w:cs="宋体"/>
                <w:highlight w:val="none"/>
              </w:rPr>
              <w:t>℃</w:t>
            </w:r>
            <w:r>
              <w:rPr>
                <w:rFonts w:ascii="宋体" w:hAnsi="宋体" w:eastAsia="宋体" w:cs="宋体"/>
                <w:highlight w:val="none"/>
              </w:rPr>
              <w:t>~85</w:t>
            </w:r>
            <w:r>
              <w:rPr>
                <w:rFonts w:hint="eastAsia" w:ascii="宋体" w:hAnsi="宋体" w:eastAsia="宋体" w:cs="宋体"/>
                <w:highlight w:val="none"/>
              </w:rPr>
              <w:t>℃</w:t>
            </w:r>
          </w:p>
          <w:p w14:paraId="68E8FF6D">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供电电压：±</w:t>
            </w:r>
            <w:r>
              <w:rPr>
                <w:rFonts w:ascii="宋体" w:hAnsi="宋体" w:eastAsia="宋体" w:cs="宋体"/>
                <w:highlight w:val="none"/>
              </w:rPr>
              <w:t>15V</w:t>
            </w:r>
          </w:p>
          <w:p w14:paraId="50203D2B">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线性度：</w:t>
            </w:r>
            <w:r>
              <w:rPr>
                <w:rFonts w:ascii="宋体" w:hAnsi="宋体" w:eastAsia="宋体" w:cs="宋体"/>
                <w:highlight w:val="none"/>
              </w:rPr>
              <w:t>1%FS</w:t>
            </w:r>
          </w:p>
          <w:p w14:paraId="1775FDE5">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连接线缆长度：定制</w:t>
            </w:r>
            <w:r>
              <w:rPr>
                <w:rFonts w:ascii="宋体" w:hAnsi="宋体" w:eastAsia="宋体" w:cs="宋体"/>
                <w:highlight w:val="none"/>
              </w:rPr>
              <w:t>8</w:t>
            </w:r>
            <w:r>
              <w:rPr>
                <w:rFonts w:hint="eastAsia" w:ascii="宋体" w:hAnsi="宋体" w:eastAsia="宋体" w:cs="宋体"/>
                <w:highlight w:val="none"/>
              </w:rPr>
              <w:t>m</w:t>
            </w:r>
          </w:p>
        </w:tc>
      </w:tr>
      <w:tr w14:paraId="075E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64E3AFCD">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电流卡钳1</w:t>
            </w:r>
          </w:p>
        </w:tc>
        <w:tc>
          <w:tcPr>
            <w:tcW w:w="1846" w:type="dxa"/>
            <w:vAlign w:val="center"/>
          </w:tcPr>
          <w:p w14:paraId="3384F4F3">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1</w:t>
            </w:r>
          </w:p>
        </w:tc>
        <w:tc>
          <w:tcPr>
            <w:tcW w:w="5245" w:type="dxa"/>
            <w:vAlign w:val="center"/>
          </w:tcPr>
          <w:p w14:paraId="46A29A56">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量程：10A/100A</w:t>
            </w:r>
          </w:p>
          <w:p w14:paraId="65E06672">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精度：</w:t>
            </w:r>
          </w:p>
          <w:p w14:paraId="5A2290E5">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100mV/A setting:</w:t>
            </w:r>
          </w:p>
          <w:p w14:paraId="7C00E424">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50mA to 10A +/- 3% of reading + 50mA</w:t>
            </w:r>
          </w:p>
          <w:p w14:paraId="517C22BB">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 xml:space="preserve">10mV/A setting: </w:t>
            </w:r>
          </w:p>
          <w:p w14:paraId="6755CE51">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50mA to 40A +/- 4% of reading + 50mA</w:t>
            </w:r>
          </w:p>
          <w:p w14:paraId="2CC640C1">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40A to 80A +/- 12% of reading + 50mA</w:t>
            </w:r>
          </w:p>
          <w:p w14:paraId="13A9DFEB">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80 to 100A +/- 15% of reading</w:t>
            </w:r>
          </w:p>
        </w:tc>
      </w:tr>
      <w:tr w14:paraId="13C1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63BD94F1">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电流卡钳2</w:t>
            </w:r>
          </w:p>
        </w:tc>
        <w:tc>
          <w:tcPr>
            <w:tcW w:w="1846" w:type="dxa"/>
            <w:vAlign w:val="center"/>
          </w:tcPr>
          <w:p w14:paraId="32FA502D">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1</w:t>
            </w:r>
          </w:p>
        </w:tc>
        <w:tc>
          <w:tcPr>
            <w:tcW w:w="5245" w:type="dxa"/>
            <w:vAlign w:val="center"/>
          </w:tcPr>
          <w:p w14:paraId="4DEBEE72">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量程：AC</w:t>
            </w:r>
            <w:r>
              <w:rPr>
                <w:rFonts w:ascii="宋体" w:hAnsi="宋体" w:eastAsia="宋体" w:cs="宋体"/>
                <w:highlight w:val="none"/>
              </w:rPr>
              <w:t xml:space="preserve">/DC </w:t>
            </w:r>
            <w:r>
              <w:rPr>
                <w:rFonts w:hint="eastAsia" w:ascii="宋体" w:hAnsi="宋体" w:eastAsia="宋体" w:cs="宋体"/>
                <w:highlight w:val="none"/>
              </w:rPr>
              <w:t>600</w:t>
            </w:r>
            <w:r>
              <w:rPr>
                <w:rFonts w:ascii="宋体" w:hAnsi="宋体" w:eastAsia="宋体" w:cs="宋体"/>
                <w:highlight w:val="none"/>
              </w:rPr>
              <w:t xml:space="preserve">A </w:t>
            </w:r>
            <w:r>
              <w:rPr>
                <w:rFonts w:hint="eastAsia" w:ascii="宋体" w:hAnsi="宋体" w:eastAsia="宋体" w:cs="宋体"/>
                <w:highlight w:val="none"/>
              </w:rPr>
              <w:t>峰值：900A</w:t>
            </w:r>
          </w:p>
          <w:p w14:paraId="567B4EC9">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精度：</w:t>
            </w:r>
          </w:p>
          <w:p w14:paraId="66FC4670">
            <w:pPr>
              <w:adjustRightInd w:val="0"/>
              <w:snapToGrid w:val="0"/>
              <w:spacing w:line="360" w:lineRule="exact"/>
              <w:jc w:val="left"/>
              <w:rPr>
                <w:rFonts w:ascii="宋体" w:hAnsi="宋体" w:eastAsia="宋体" w:cs="宋体"/>
                <w:highlight w:val="none"/>
              </w:rPr>
            </w:pPr>
            <w:r>
              <w:rPr>
                <w:rFonts w:ascii="宋体" w:hAnsi="宋体" w:eastAsia="宋体" w:cs="宋体"/>
                <w:highlight w:val="none"/>
              </w:rPr>
              <w:t>±2.0% rdg ±0.5% f.s.</w:t>
            </w:r>
          </w:p>
        </w:tc>
      </w:tr>
      <w:tr w14:paraId="46EC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438729F2">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K型热电偶</w:t>
            </w:r>
          </w:p>
        </w:tc>
        <w:tc>
          <w:tcPr>
            <w:tcW w:w="1846" w:type="dxa"/>
            <w:vAlign w:val="center"/>
          </w:tcPr>
          <w:p w14:paraId="11C525CF">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20</w:t>
            </w:r>
          </w:p>
        </w:tc>
        <w:tc>
          <w:tcPr>
            <w:tcW w:w="5245" w:type="dxa"/>
            <w:vAlign w:val="center"/>
          </w:tcPr>
          <w:p w14:paraId="13D1B5DB">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电流测量范围：</w:t>
            </w:r>
            <w:r>
              <w:rPr>
                <w:rFonts w:ascii="宋体" w:hAnsi="宋体" w:eastAsia="宋体" w:cs="宋体"/>
                <w:highlight w:val="none"/>
              </w:rPr>
              <w:t>-100</w:t>
            </w:r>
            <w:r>
              <w:rPr>
                <w:rFonts w:hint="eastAsia" w:ascii="宋体" w:hAnsi="宋体" w:eastAsia="宋体" w:cs="宋体"/>
                <w:highlight w:val="none"/>
              </w:rPr>
              <w:t>℃—</w:t>
            </w:r>
            <w:r>
              <w:rPr>
                <w:rFonts w:ascii="宋体" w:hAnsi="宋体" w:eastAsia="宋体" w:cs="宋体"/>
                <w:highlight w:val="none"/>
              </w:rPr>
              <w:t>1300</w:t>
            </w:r>
            <w:r>
              <w:rPr>
                <w:rFonts w:hint="eastAsia" w:ascii="宋体" w:hAnsi="宋体" w:eastAsia="宋体" w:cs="宋体"/>
                <w:highlight w:val="none"/>
              </w:rPr>
              <w:t>℃</w:t>
            </w:r>
          </w:p>
          <w:p w14:paraId="471712D7">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精度：≤</w:t>
            </w:r>
            <w:r>
              <w:rPr>
                <w:rFonts w:ascii="宋体" w:hAnsi="宋体" w:eastAsia="宋体" w:cs="宋体"/>
                <w:highlight w:val="none"/>
              </w:rPr>
              <w:t>1</w:t>
            </w:r>
            <w:r>
              <w:rPr>
                <w:rFonts w:hint="eastAsia" w:ascii="宋体" w:hAnsi="宋体" w:eastAsia="宋体" w:cs="宋体"/>
                <w:highlight w:val="none"/>
              </w:rPr>
              <w:t>℃</w:t>
            </w:r>
          </w:p>
          <w:p w14:paraId="0AA1E64B">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绝缘层材料：</w:t>
            </w:r>
            <w:r>
              <w:rPr>
                <w:rFonts w:ascii="宋体" w:hAnsi="宋体" w:eastAsia="宋体" w:cs="宋体"/>
                <w:highlight w:val="none"/>
              </w:rPr>
              <w:t>PFA</w:t>
            </w:r>
          </w:p>
        </w:tc>
      </w:tr>
    </w:tbl>
    <w:p w14:paraId="40B01BCE">
      <w:pPr>
        <w:rPr>
          <w:highlight w:val="none"/>
        </w:rPr>
      </w:pPr>
    </w:p>
    <w:p w14:paraId="62A86EEF">
      <w:pPr>
        <w:spacing w:line="360" w:lineRule="auto"/>
        <w:outlineLvl w:val="4"/>
        <w:rPr>
          <w:rFonts w:ascii="宋体" w:hAnsi="宋体" w:eastAsia="宋体" w:cs="宋体"/>
          <w:sz w:val="24"/>
          <w:szCs w:val="24"/>
          <w:highlight w:val="none"/>
        </w:rPr>
      </w:pPr>
      <w:bookmarkStart w:id="25" w:name="_Toc86148047"/>
      <w:bookmarkStart w:id="26" w:name="_Toc180770072"/>
      <w:bookmarkStart w:id="27" w:name="_Toc189654449"/>
      <w:r>
        <w:rPr>
          <w:rFonts w:hint="eastAsia" w:ascii="宋体" w:hAnsi="宋体" w:eastAsia="宋体" w:cs="宋体"/>
          <w:sz w:val="24"/>
          <w:szCs w:val="24"/>
          <w:highlight w:val="none"/>
        </w:rPr>
        <w:t>2.3.3 附件</w:t>
      </w:r>
      <w:bookmarkEnd w:id="25"/>
      <w:bookmarkEnd w:id="26"/>
      <w:bookmarkEnd w:id="27"/>
    </w:p>
    <w:p w14:paraId="2FFE3B2E">
      <w:pPr>
        <w:spacing w:line="30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根据电性能测试需求，投标方应提供如下附件：</w:t>
      </w:r>
    </w:p>
    <w:tbl>
      <w:tblPr>
        <w:tblStyle w:val="39"/>
        <w:tblW w:w="7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559"/>
        <w:gridCol w:w="3685"/>
      </w:tblGrid>
      <w:tr w14:paraId="28E2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980" w:type="dxa"/>
            <w:shd w:val="clear" w:color="auto" w:fill="D8D8D8" w:themeFill="background1" w:themeFillShade="D9"/>
            <w:vAlign w:val="center"/>
          </w:tcPr>
          <w:p w14:paraId="3A095F14">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附件名称</w:t>
            </w:r>
          </w:p>
        </w:tc>
        <w:tc>
          <w:tcPr>
            <w:tcW w:w="1559" w:type="dxa"/>
            <w:shd w:val="clear" w:color="auto" w:fill="D8D8D8" w:themeFill="background1" w:themeFillShade="D9"/>
            <w:vAlign w:val="center"/>
          </w:tcPr>
          <w:p w14:paraId="3B8716EC">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3685" w:type="dxa"/>
            <w:shd w:val="clear" w:color="auto" w:fill="D8D8D8" w:themeFill="background1" w:themeFillShade="D9"/>
            <w:vAlign w:val="center"/>
          </w:tcPr>
          <w:p w14:paraId="1B518120">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说明</w:t>
            </w:r>
          </w:p>
        </w:tc>
      </w:tr>
      <w:tr w14:paraId="5A9A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272D8813">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设备箱</w:t>
            </w:r>
          </w:p>
        </w:tc>
        <w:tc>
          <w:tcPr>
            <w:tcW w:w="1559" w:type="dxa"/>
            <w:vAlign w:val="center"/>
          </w:tcPr>
          <w:p w14:paraId="233BAC59">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1</w:t>
            </w:r>
          </w:p>
        </w:tc>
        <w:tc>
          <w:tcPr>
            <w:tcW w:w="3685" w:type="dxa"/>
            <w:vAlign w:val="center"/>
          </w:tcPr>
          <w:p w14:paraId="2E2F526D">
            <w:pPr>
              <w:adjustRightInd w:val="0"/>
              <w:snapToGrid w:val="0"/>
              <w:spacing w:line="360" w:lineRule="exact"/>
              <w:jc w:val="left"/>
              <w:rPr>
                <w:rFonts w:ascii="宋体" w:hAnsi="宋体" w:eastAsia="宋体" w:cs="宋体"/>
                <w:highlight w:val="none"/>
              </w:rPr>
            </w:pPr>
          </w:p>
        </w:tc>
      </w:tr>
      <w:tr w14:paraId="1D69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3A1BA7EC">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绝缘穿刺夹</w:t>
            </w:r>
          </w:p>
        </w:tc>
        <w:tc>
          <w:tcPr>
            <w:tcW w:w="1559" w:type="dxa"/>
            <w:vAlign w:val="center"/>
          </w:tcPr>
          <w:p w14:paraId="718DAF97">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20</w:t>
            </w:r>
          </w:p>
        </w:tc>
        <w:tc>
          <w:tcPr>
            <w:tcW w:w="3685" w:type="dxa"/>
            <w:vAlign w:val="center"/>
          </w:tcPr>
          <w:p w14:paraId="45FEBD27">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电压范围：≤</w:t>
            </w:r>
            <w:r>
              <w:rPr>
                <w:rFonts w:ascii="宋体" w:hAnsi="宋体" w:eastAsia="宋体" w:cs="宋体"/>
                <w:highlight w:val="none"/>
              </w:rPr>
              <w:t>60V</w:t>
            </w:r>
          </w:p>
          <w:p w14:paraId="0FA1D7CE">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电流范围：≤</w:t>
            </w:r>
            <w:r>
              <w:rPr>
                <w:rFonts w:ascii="宋体" w:hAnsi="宋体" w:eastAsia="宋体" w:cs="宋体"/>
                <w:highlight w:val="none"/>
              </w:rPr>
              <w:t>5A</w:t>
            </w:r>
          </w:p>
          <w:p w14:paraId="18ED5B4F">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刺针种类：钢针</w:t>
            </w:r>
          </w:p>
        </w:tc>
      </w:tr>
      <w:tr w14:paraId="764E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2FE407F4">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测试线束</w:t>
            </w:r>
          </w:p>
        </w:tc>
        <w:tc>
          <w:tcPr>
            <w:tcW w:w="1559" w:type="dxa"/>
            <w:vAlign w:val="center"/>
          </w:tcPr>
          <w:p w14:paraId="269F6AD2">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若干</w:t>
            </w:r>
          </w:p>
        </w:tc>
        <w:tc>
          <w:tcPr>
            <w:tcW w:w="3685" w:type="dxa"/>
            <w:vAlign w:val="center"/>
          </w:tcPr>
          <w:p w14:paraId="44A2496A">
            <w:pPr>
              <w:adjustRightInd w:val="0"/>
              <w:snapToGrid w:val="0"/>
              <w:spacing w:line="360" w:lineRule="exact"/>
              <w:jc w:val="left"/>
              <w:rPr>
                <w:rFonts w:ascii="宋体" w:hAnsi="宋体" w:eastAsia="宋体" w:cs="宋体"/>
                <w:highlight w:val="none"/>
              </w:rPr>
            </w:pPr>
          </w:p>
        </w:tc>
      </w:tr>
      <w:tr w14:paraId="4ED7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980" w:type="dxa"/>
            <w:vAlign w:val="center"/>
          </w:tcPr>
          <w:p w14:paraId="46C43A22">
            <w:pPr>
              <w:adjustRightInd w:val="0"/>
              <w:snapToGrid w:val="0"/>
              <w:spacing w:line="360" w:lineRule="exact"/>
              <w:jc w:val="left"/>
              <w:rPr>
                <w:rFonts w:ascii="宋体" w:hAnsi="宋体" w:eastAsia="宋体" w:cs="宋体"/>
                <w:highlight w:val="none"/>
              </w:rPr>
            </w:pPr>
            <w:bookmarkStart w:id="28" w:name="_Toc493152297"/>
            <w:bookmarkStart w:id="29" w:name="_Toc30057379"/>
            <w:bookmarkStart w:id="30" w:name="_Toc180770074"/>
            <w:bookmarkStart w:id="31" w:name="_Toc189654450"/>
            <w:r>
              <w:rPr>
                <w:rFonts w:hint="eastAsia" w:ascii="宋体" w:hAnsi="宋体" w:eastAsia="宋体" w:cs="宋体"/>
                <w:highlight w:val="none"/>
              </w:rPr>
              <w:t>便携式示波器</w:t>
            </w:r>
          </w:p>
        </w:tc>
        <w:tc>
          <w:tcPr>
            <w:tcW w:w="1559" w:type="dxa"/>
            <w:vAlign w:val="center"/>
          </w:tcPr>
          <w:p w14:paraId="6920FD7C">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1</w:t>
            </w:r>
          </w:p>
        </w:tc>
        <w:tc>
          <w:tcPr>
            <w:tcW w:w="3685" w:type="dxa"/>
            <w:vAlign w:val="center"/>
          </w:tcPr>
          <w:p w14:paraId="2D746163">
            <w:pPr>
              <w:adjustRightInd w:val="0"/>
              <w:snapToGrid w:val="0"/>
              <w:spacing w:line="360" w:lineRule="exact"/>
              <w:jc w:val="left"/>
              <w:rPr>
                <w:rFonts w:ascii="宋体" w:hAnsi="宋体" w:eastAsia="宋体" w:cs="宋体"/>
                <w:highlight w:val="none"/>
              </w:rPr>
            </w:pPr>
            <w:r>
              <w:rPr>
                <w:rFonts w:hint="eastAsia" w:ascii="宋体" w:hAnsi="宋体" w:eastAsia="宋体" w:cs="宋体"/>
                <w:highlight w:val="none"/>
              </w:rPr>
              <w:t>品牌：FLUKE</w:t>
            </w:r>
          </w:p>
        </w:tc>
      </w:tr>
      <w:bookmarkEnd w:id="28"/>
      <w:bookmarkEnd w:id="29"/>
      <w:bookmarkEnd w:id="30"/>
      <w:bookmarkEnd w:id="31"/>
    </w:tbl>
    <w:p w14:paraId="78418FC5">
      <w:pPr>
        <w:spacing w:line="360" w:lineRule="auto"/>
        <w:outlineLvl w:val="4"/>
        <w:rPr>
          <w:rFonts w:ascii="宋体" w:hAnsi="宋体" w:eastAsia="宋体" w:cs="宋体"/>
          <w:sz w:val="24"/>
          <w:szCs w:val="24"/>
          <w:highlight w:val="none"/>
        </w:rPr>
      </w:pPr>
      <w:r>
        <w:rPr>
          <w:rFonts w:hint="eastAsia" w:ascii="宋体" w:hAnsi="宋体" w:eastAsia="宋体" w:cs="宋体"/>
          <w:sz w:val="24"/>
          <w:szCs w:val="24"/>
          <w:highlight w:val="none"/>
        </w:rPr>
        <w:t>2.3.4 软件要求</w:t>
      </w:r>
    </w:p>
    <w:p w14:paraId="395359C4">
      <w:pPr>
        <w:pStyle w:val="34"/>
        <w:spacing w:after="0" w:line="300" w:lineRule="auto"/>
        <w:ind w:firstLine="480" w:firstLineChars="200"/>
        <w:rPr>
          <w:highlight w:val="none"/>
        </w:rPr>
      </w:pPr>
      <w:r>
        <w:rPr>
          <w:rFonts w:hint="eastAsia" w:ascii="Times New Roman" w:hAnsi="Times New Roman"/>
          <w:szCs w:val="24"/>
          <w:highlight w:val="none"/>
        </w:rPr>
        <w:t>根据电性能测试需求，</w:t>
      </w:r>
      <w:r>
        <w:rPr>
          <w:rFonts w:hint="eastAsia" w:ascii="Times New Roman" w:hAnsi="Times New Roman" w:cs="宋体"/>
          <w:szCs w:val="24"/>
          <w:highlight w:val="none"/>
          <w:lang w:bidi="ar"/>
        </w:rPr>
        <w:t>电性能测试设备软件的主要功能包括：</w:t>
      </w:r>
    </w:p>
    <w:p w14:paraId="7F84EE6E">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1）上位机软件可对设备的通信故障进行报错，提示用户进行处理；</w:t>
      </w:r>
    </w:p>
    <w:p w14:paraId="55BBA7BC">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2）上位机软件可对系统中的核心设备进行参数配置和管理，并可形成相应配置文件；</w:t>
      </w:r>
    </w:p>
    <w:p w14:paraId="1B600909">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3）支持硬件设备通道选择，自定义名称；</w:t>
      </w:r>
    </w:p>
    <w:p w14:paraId="49465DDA">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4）支持采样频率、采集时间修改；</w:t>
      </w:r>
    </w:p>
    <w:p w14:paraId="6BCC609C">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5）支持不同电压测试量程的选择，例如±</w:t>
      </w:r>
      <w:r>
        <w:rPr>
          <w:rFonts w:ascii="Times New Roman" w:hAnsi="Times New Roman"/>
          <w:szCs w:val="24"/>
          <w:highlight w:val="none"/>
        </w:rPr>
        <w:t>10V</w:t>
      </w:r>
      <w:r>
        <w:rPr>
          <w:rFonts w:hint="eastAsia" w:ascii="Times New Roman" w:hAnsi="Times New Roman"/>
          <w:szCs w:val="24"/>
          <w:highlight w:val="none"/>
        </w:rPr>
        <w:t>；±</w:t>
      </w:r>
      <w:r>
        <w:rPr>
          <w:rFonts w:ascii="Times New Roman" w:hAnsi="Times New Roman"/>
          <w:szCs w:val="24"/>
          <w:highlight w:val="none"/>
        </w:rPr>
        <w:t>60V</w:t>
      </w:r>
      <w:r>
        <w:rPr>
          <w:rFonts w:hint="eastAsia" w:ascii="Times New Roman" w:hAnsi="Times New Roman"/>
          <w:szCs w:val="24"/>
          <w:highlight w:val="none"/>
        </w:rPr>
        <w:t>；</w:t>
      </w:r>
      <w:r>
        <w:rPr>
          <w:rFonts w:ascii="Times New Roman" w:hAnsi="Times New Roman"/>
          <w:szCs w:val="24"/>
          <w:highlight w:val="none"/>
        </w:rPr>
        <w:t>200V</w:t>
      </w:r>
      <w:r>
        <w:rPr>
          <w:rFonts w:hint="eastAsia" w:ascii="Times New Roman" w:hAnsi="Times New Roman"/>
          <w:szCs w:val="24"/>
          <w:highlight w:val="none"/>
        </w:rPr>
        <w:t>；</w:t>
      </w:r>
    </w:p>
    <w:p w14:paraId="7FE99D32">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6）支持总线数据库文件解析，如</w:t>
      </w:r>
      <w:r>
        <w:rPr>
          <w:rFonts w:ascii="Times New Roman" w:hAnsi="Times New Roman"/>
          <w:szCs w:val="24"/>
          <w:highlight w:val="none"/>
        </w:rPr>
        <w:t>DBC</w:t>
      </w:r>
      <w:r>
        <w:rPr>
          <w:rFonts w:hint="eastAsia" w:ascii="Times New Roman" w:hAnsi="Times New Roman"/>
          <w:szCs w:val="24"/>
          <w:highlight w:val="none"/>
        </w:rPr>
        <w:t>等；</w:t>
      </w:r>
    </w:p>
    <w:p w14:paraId="34FAB60B">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7）支持测试结果显示精度的自定义配置；</w:t>
      </w:r>
      <w:r>
        <w:rPr>
          <w:rFonts w:ascii="Times New Roman" w:hAnsi="Times New Roman"/>
          <w:szCs w:val="24"/>
          <w:highlight w:val="none"/>
        </w:rPr>
        <w:t xml:space="preserve"> </w:t>
      </w:r>
    </w:p>
    <w:p w14:paraId="5680B76B">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8）支持不同类型信号曲线可生成在同一图形界面中；</w:t>
      </w:r>
      <w:r>
        <w:rPr>
          <w:rFonts w:ascii="Times New Roman" w:hAnsi="Times New Roman"/>
          <w:szCs w:val="24"/>
          <w:highlight w:val="none"/>
        </w:rPr>
        <w:t xml:space="preserve"> </w:t>
      </w:r>
    </w:p>
    <w:p w14:paraId="02626811">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9）支持数据的离线分析功能，自动计算数据曲线的最大值、最小值、平均值参数；</w:t>
      </w:r>
    </w:p>
    <w:p w14:paraId="2DC81FF8">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10）支持游标分析曲线功能；</w:t>
      </w:r>
    </w:p>
    <w:p w14:paraId="633C5278">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11）支持数据曲线横纵坐标缩放；</w:t>
      </w:r>
    </w:p>
    <w:p w14:paraId="64851E56">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12）支持历史数据的回放功能；</w:t>
      </w:r>
    </w:p>
    <w:p w14:paraId="6AE8CD8B">
      <w:pPr>
        <w:pStyle w:val="34"/>
        <w:spacing w:after="0" w:line="300" w:lineRule="auto"/>
        <w:ind w:firstLine="480" w:firstLineChars="200"/>
        <w:rPr>
          <w:rFonts w:ascii="Times New Roman" w:hAnsi="Times New Roman"/>
          <w:szCs w:val="24"/>
          <w:highlight w:val="none"/>
        </w:rPr>
      </w:pPr>
      <w:r>
        <w:rPr>
          <w:rFonts w:hint="eastAsia" w:ascii="Times New Roman" w:hAnsi="Times New Roman"/>
          <w:szCs w:val="24"/>
          <w:highlight w:val="none"/>
        </w:rPr>
        <w:t>13）支持测试数据导出</w:t>
      </w:r>
      <w:r>
        <w:rPr>
          <w:rFonts w:ascii="Times New Roman" w:hAnsi="Times New Roman"/>
          <w:szCs w:val="24"/>
          <w:highlight w:val="none"/>
        </w:rPr>
        <w:t>EXCEL</w:t>
      </w:r>
      <w:r>
        <w:rPr>
          <w:rFonts w:hint="eastAsia" w:ascii="Times New Roman" w:hAnsi="Times New Roman"/>
          <w:szCs w:val="24"/>
          <w:highlight w:val="none"/>
        </w:rPr>
        <w:t>格式，支持数据曲线图片导出。</w:t>
      </w:r>
    </w:p>
    <w:p w14:paraId="131A4602">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3 项目时间节点</w:t>
      </w:r>
    </w:p>
    <w:tbl>
      <w:tblPr>
        <w:tblStyle w:val="40"/>
        <w:tblW w:w="7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204"/>
        <w:gridCol w:w="2791"/>
        <w:gridCol w:w="1950"/>
      </w:tblGrid>
      <w:tr w14:paraId="71C1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14:paraId="6E5D0814">
            <w:pPr>
              <w:pStyle w:val="145"/>
              <w:numPr>
                <w:ilvl w:val="1"/>
                <w:numId w:val="0"/>
              </w:numPr>
              <w:spacing w:line="240" w:lineRule="atLeast"/>
              <w:jc w:val="center"/>
              <w:rPr>
                <w:rFonts w:ascii="宋体" w:hAnsi="宋体" w:eastAsia="宋体" w:cs="宋体"/>
                <w:b/>
                <w:bCs/>
                <w:highlight w:val="none"/>
              </w:rPr>
            </w:pPr>
            <w:r>
              <w:rPr>
                <w:rFonts w:hint="eastAsia" w:ascii="宋体" w:hAnsi="宋体" w:eastAsia="宋体" w:cs="宋体"/>
                <w:highlight w:val="none"/>
              </w:rPr>
              <w:t>序号</w:t>
            </w:r>
          </w:p>
        </w:tc>
        <w:tc>
          <w:tcPr>
            <w:tcW w:w="2204" w:type="dxa"/>
            <w:shd w:val="clear" w:color="auto" w:fill="auto"/>
            <w:vAlign w:val="bottom"/>
          </w:tcPr>
          <w:p w14:paraId="47DEDCAC">
            <w:pPr>
              <w:pStyle w:val="145"/>
              <w:numPr>
                <w:ilvl w:val="1"/>
                <w:numId w:val="0"/>
              </w:numPr>
              <w:spacing w:line="240" w:lineRule="atLeast"/>
              <w:jc w:val="center"/>
              <w:rPr>
                <w:rFonts w:ascii="宋体" w:hAnsi="宋体" w:eastAsia="宋体" w:cs="宋体"/>
                <w:b/>
                <w:bCs/>
                <w:highlight w:val="none"/>
              </w:rPr>
            </w:pPr>
            <w:r>
              <w:rPr>
                <w:rFonts w:hint="eastAsia" w:ascii="宋体" w:hAnsi="宋体" w:eastAsia="宋体" w:cs="宋体"/>
                <w:b/>
                <w:bCs/>
                <w:highlight w:val="none"/>
              </w:rPr>
              <w:t>节点描述</w:t>
            </w:r>
          </w:p>
        </w:tc>
        <w:tc>
          <w:tcPr>
            <w:tcW w:w="2791" w:type="dxa"/>
            <w:shd w:val="clear" w:color="auto" w:fill="auto"/>
            <w:vAlign w:val="bottom"/>
          </w:tcPr>
          <w:p w14:paraId="0469E663">
            <w:pPr>
              <w:pStyle w:val="145"/>
              <w:numPr>
                <w:ilvl w:val="1"/>
                <w:numId w:val="0"/>
              </w:numPr>
              <w:spacing w:line="240" w:lineRule="atLeast"/>
              <w:jc w:val="center"/>
              <w:rPr>
                <w:rFonts w:ascii="宋体" w:hAnsi="宋体" w:eastAsia="宋体" w:cs="宋体"/>
                <w:b/>
                <w:bCs/>
                <w:highlight w:val="none"/>
              </w:rPr>
            </w:pPr>
            <w:r>
              <w:rPr>
                <w:rFonts w:hint="eastAsia" w:ascii="宋体" w:hAnsi="宋体" w:eastAsia="宋体" w:cs="宋体"/>
                <w:b/>
                <w:bCs/>
                <w:highlight w:val="none"/>
              </w:rPr>
              <w:t>时间节点</w:t>
            </w:r>
          </w:p>
        </w:tc>
        <w:tc>
          <w:tcPr>
            <w:tcW w:w="1950" w:type="dxa"/>
            <w:vAlign w:val="bottom"/>
          </w:tcPr>
          <w:p w14:paraId="5DC9EE53">
            <w:pPr>
              <w:pStyle w:val="145"/>
              <w:numPr>
                <w:ilvl w:val="1"/>
                <w:numId w:val="0"/>
              </w:numPr>
              <w:spacing w:line="240" w:lineRule="atLeast"/>
              <w:jc w:val="center"/>
              <w:rPr>
                <w:rFonts w:ascii="宋体" w:hAnsi="宋体" w:eastAsia="宋体" w:cs="宋体"/>
                <w:b/>
                <w:bCs/>
                <w:highlight w:val="none"/>
              </w:rPr>
            </w:pPr>
            <w:r>
              <w:rPr>
                <w:rFonts w:hint="eastAsia" w:ascii="宋体" w:hAnsi="宋体" w:eastAsia="宋体" w:cs="宋体"/>
                <w:b/>
                <w:bCs/>
                <w:highlight w:val="none"/>
              </w:rPr>
              <w:t>备注</w:t>
            </w:r>
          </w:p>
        </w:tc>
      </w:tr>
      <w:tr w14:paraId="5B15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14:paraId="18AD7C2F">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1</w:t>
            </w:r>
          </w:p>
        </w:tc>
        <w:tc>
          <w:tcPr>
            <w:tcW w:w="2204" w:type="dxa"/>
            <w:shd w:val="clear" w:color="auto" w:fill="auto"/>
            <w:vAlign w:val="bottom"/>
          </w:tcPr>
          <w:p w14:paraId="52A78302">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项目启动</w:t>
            </w:r>
          </w:p>
        </w:tc>
        <w:tc>
          <w:tcPr>
            <w:tcW w:w="2791" w:type="dxa"/>
            <w:shd w:val="clear" w:color="auto" w:fill="auto"/>
            <w:vAlign w:val="bottom"/>
          </w:tcPr>
          <w:p w14:paraId="65B4733B">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合同签订后1个月</w:t>
            </w:r>
          </w:p>
        </w:tc>
        <w:tc>
          <w:tcPr>
            <w:tcW w:w="1950" w:type="dxa"/>
            <w:shd w:val="clear" w:color="auto" w:fill="FFFFFF" w:themeFill="background1"/>
            <w:vAlign w:val="bottom"/>
          </w:tcPr>
          <w:p w14:paraId="1EC77385">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信息需求收集</w:t>
            </w:r>
          </w:p>
        </w:tc>
      </w:tr>
      <w:tr w14:paraId="3AC7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14:paraId="3DD03794">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2</w:t>
            </w:r>
          </w:p>
        </w:tc>
        <w:tc>
          <w:tcPr>
            <w:tcW w:w="2204" w:type="dxa"/>
            <w:shd w:val="clear" w:color="auto" w:fill="auto"/>
            <w:vAlign w:val="bottom"/>
          </w:tcPr>
          <w:p w14:paraId="56757A5C">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设备进厂</w:t>
            </w:r>
          </w:p>
        </w:tc>
        <w:tc>
          <w:tcPr>
            <w:tcW w:w="2791" w:type="dxa"/>
            <w:shd w:val="clear" w:color="auto" w:fill="auto"/>
            <w:vAlign w:val="bottom"/>
          </w:tcPr>
          <w:p w14:paraId="2A483E0F">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合同签订后2个月</w:t>
            </w:r>
          </w:p>
        </w:tc>
        <w:tc>
          <w:tcPr>
            <w:tcW w:w="1950" w:type="dxa"/>
            <w:shd w:val="clear" w:color="auto" w:fill="FFFFFF" w:themeFill="background1"/>
            <w:vAlign w:val="bottom"/>
          </w:tcPr>
          <w:p w14:paraId="2F935E4A">
            <w:pPr>
              <w:pStyle w:val="145"/>
              <w:numPr>
                <w:ilvl w:val="1"/>
                <w:numId w:val="0"/>
              </w:numPr>
              <w:spacing w:line="240" w:lineRule="atLeast"/>
              <w:jc w:val="center"/>
              <w:rPr>
                <w:rFonts w:ascii="宋体" w:hAnsi="宋体" w:eastAsia="宋体" w:cs="宋体"/>
                <w:highlight w:val="none"/>
              </w:rPr>
            </w:pPr>
          </w:p>
        </w:tc>
      </w:tr>
      <w:tr w14:paraId="2825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14:paraId="7C5DDD43">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3</w:t>
            </w:r>
          </w:p>
        </w:tc>
        <w:tc>
          <w:tcPr>
            <w:tcW w:w="2204" w:type="dxa"/>
            <w:shd w:val="clear" w:color="auto" w:fill="auto"/>
            <w:vAlign w:val="bottom"/>
          </w:tcPr>
          <w:p w14:paraId="1D6572A9">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安装调试</w:t>
            </w:r>
          </w:p>
        </w:tc>
        <w:tc>
          <w:tcPr>
            <w:tcW w:w="2791" w:type="dxa"/>
            <w:shd w:val="clear" w:color="auto" w:fill="auto"/>
            <w:vAlign w:val="bottom"/>
          </w:tcPr>
          <w:p w14:paraId="260C1F7B">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合同签订后3个月</w:t>
            </w:r>
          </w:p>
        </w:tc>
        <w:tc>
          <w:tcPr>
            <w:tcW w:w="1950" w:type="dxa"/>
            <w:shd w:val="clear" w:color="auto" w:fill="FFFFFF" w:themeFill="background1"/>
            <w:vAlign w:val="bottom"/>
          </w:tcPr>
          <w:p w14:paraId="1CB7F7FA">
            <w:pPr>
              <w:pStyle w:val="145"/>
              <w:numPr>
                <w:ilvl w:val="1"/>
                <w:numId w:val="0"/>
              </w:numPr>
              <w:spacing w:line="240" w:lineRule="atLeast"/>
              <w:jc w:val="center"/>
              <w:rPr>
                <w:rFonts w:ascii="宋体" w:hAnsi="宋体" w:eastAsia="宋体" w:cs="宋体"/>
                <w:highlight w:val="none"/>
              </w:rPr>
            </w:pPr>
          </w:p>
        </w:tc>
      </w:tr>
      <w:tr w14:paraId="1D8A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14:paraId="15127731">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4</w:t>
            </w:r>
          </w:p>
        </w:tc>
        <w:tc>
          <w:tcPr>
            <w:tcW w:w="2204" w:type="dxa"/>
            <w:shd w:val="clear" w:color="auto" w:fill="auto"/>
            <w:vAlign w:val="bottom"/>
          </w:tcPr>
          <w:p w14:paraId="6B619A51">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投入使用</w:t>
            </w:r>
          </w:p>
        </w:tc>
        <w:tc>
          <w:tcPr>
            <w:tcW w:w="2791" w:type="dxa"/>
            <w:shd w:val="clear" w:color="auto" w:fill="auto"/>
            <w:vAlign w:val="bottom"/>
          </w:tcPr>
          <w:p w14:paraId="4C1FAEF3">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合同签订后4个月</w:t>
            </w:r>
          </w:p>
        </w:tc>
        <w:tc>
          <w:tcPr>
            <w:tcW w:w="1950" w:type="dxa"/>
            <w:shd w:val="clear" w:color="auto" w:fill="FFFFFF" w:themeFill="background1"/>
            <w:vAlign w:val="bottom"/>
          </w:tcPr>
          <w:p w14:paraId="3A707556">
            <w:pPr>
              <w:pStyle w:val="145"/>
              <w:numPr>
                <w:ilvl w:val="1"/>
                <w:numId w:val="0"/>
              </w:numPr>
              <w:spacing w:line="240" w:lineRule="atLeast"/>
              <w:jc w:val="center"/>
              <w:rPr>
                <w:rFonts w:ascii="宋体" w:hAnsi="宋体" w:eastAsia="宋体" w:cs="宋体"/>
                <w:highlight w:val="none"/>
              </w:rPr>
            </w:pPr>
          </w:p>
        </w:tc>
      </w:tr>
      <w:tr w14:paraId="47C5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14:paraId="785A56E6">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5</w:t>
            </w:r>
          </w:p>
        </w:tc>
        <w:tc>
          <w:tcPr>
            <w:tcW w:w="2204" w:type="dxa"/>
            <w:shd w:val="clear" w:color="auto" w:fill="auto"/>
            <w:vAlign w:val="bottom"/>
          </w:tcPr>
          <w:p w14:paraId="4457CEE2">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验收完成</w:t>
            </w:r>
          </w:p>
        </w:tc>
        <w:tc>
          <w:tcPr>
            <w:tcW w:w="2791" w:type="dxa"/>
            <w:shd w:val="clear" w:color="auto" w:fill="auto"/>
            <w:vAlign w:val="bottom"/>
          </w:tcPr>
          <w:p w14:paraId="0854851C">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合同签订后5个月</w:t>
            </w:r>
          </w:p>
        </w:tc>
        <w:tc>
          <w:tcPr>
            <w:tcW w:w="1950" w:type="dxa"/>
            <w:shd w:val="clear" w:color="auto" w:fill="FFFFFF" w:themeFill="background1"/>
            <w:vAlign w:val="bottom"/>
          </w:tcPr>
          <w:p w14:paraId="402FEA2A">
            <w:pPr>
              <w:pStyle w:val="145"/>
              <w:numPr>
                <w:ilvl w:val="1"/>
                <w:numId w:val="0"/>
              </w:numPr>
              <w:spacing w:line="240" w:lineRule="atLeast"/>
              <w:jc w:val="center"/>
              <w:rPr>
                <w:rFonts w:ascii="宋体" w:hAnsi="宋体" w:eastAsia="宋体" w:cs="宋体"/>
                <w:highlight w:val="none"/>
              </w:rPr>
            </w:pPr>
          </w:p>
        </w:tc>
      </w:tr>
      <w:tr w14:paraId="230C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60" w:type="dxa"/>
            <w:shd w:val="clear" w:color="auto" w:fill="auto"/>
            <w:vAlign w:val="bottom"/>
          </w:tcPr>
          <w:p w14:paraId="417522E9">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6</w:t>
            </w:r>
          </w:p>
        </w:tc>
        <w:tc>
          <w:tcPr>
            <w:tcW w:w="2204" w:type="dxa"/>
            <w:shd w:val="clear" w:color="auto" w:fill="auto"/>
            <w:vAlign w:val="bottom"/>
          </w:tcPr>
          <w:p w14:paraId="093B3694">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质保期</w:t>
            </w:r>
          </w:p>
        </w:tc>
        <w:tc>
          <w:tcPr>
            <w:tcW w:w="2791" w:type="dxa"/>
            <w:shd w:val="clear" w:color="auto" w:fill="auto"/>
            <w:vAlign w:val="bottom"/>
          </w:tcPr>
          <w:p w14:paraId="490B44B9">
            <w:pPr>
              <w:pStyle w:val="145"/>
              <w:numPr>
                <w:ilvl w:val="1"/>
                <w:numId w:val="0"/>
              </w:numPr>
              <w:spacing w:line="240" w:lineRule="atLeast"/>
              <w:jc w:val="center"/>
              <w:rPr>
                <w:rFonts w:ascii="宋体" w:hAnsi="宋体" w:eastAsia="宋体" w:cs="宋体"/>
                <w:highlight w:val="none"/>
              </w:rPr>
            </w:pPr>
            <w:r>
              <w:rPr>
                <w:rFonts w:hint="eastAsia" w:ascii="宋体" w:hAnsi="宋体" w:eastAsia="宋体" w:cs="宋体"/>
                <w:highlight w:val="none"/>
              </w:rPr>
              <w:t>质保期2年</w:t>
            </w:r>
          </w:p>
        </w:tc>
        <w:tc>
          <w:tcPr>
            <w:tcW w:w="1950" w:type="dxa"/>
            <w:shd w:val="clear" w:color="auto" w:fill="FFFFFF" w:themeFill="background1"/>
            <w:vAlign w:val="bottom"/>
          </w:tcPr>
          <w:p w14:paraId="5956BCE2">
            <w:pPr>
              <w:pStyle w:val="145"/>
              <w:numPr>
                <w:ilvl w:val="1"/>
                <w:numId w:val="0"/>
              </w:numPr>
              <w:spacing w:line="240" w:lineRule="atLeast"/>
              <w:jc w:val="center"/>
              <w:rPr>
                <w:rFonts w:ascii="宋体" w:hAnsi="宋体" w:eastAsia="宋体" w:cs="宋体"/>
                <w:highlight w:val="none"/>
              </w:rPr>
            </w:pPr>
          </w:p>
        </w:tc>
      </w:tr>
    </w:tbl>
    <w:p w14:paraId="4C37C6EA">
      <w:pPr>
        <w:spacing w:line="360" w:lineRule="auto"/>
        <w:outlineLvl w:val="3"/>
        <w:rPr>
          <w:rFonts w:ascii="宋体" w:hAnsi="宋体" w:eastAsia="宋体" w:cs="宋体"/>
          <w:color w:val="000000"/>
          <w:sz w:val="24"/>
          <w:szCs w:val="24"/>
          <w:highlight w:val="none"/>
        </w:rPr>
      </w:pPr>
      <w:bookmarkStart w:id="32" w:name="_Toc136372097"/>
      <w:bookmarkStart w:id="33" w:name="_Toc81748962"/>
      <w:bookmarkStart w:id="34" w:name="_Toc162365714"/>
      <w:bookmarkStart w:id="35" w:name="_Toc132629988"/>
      <w:r>
        <w:rPr>
          <w:rFonts w:hint="eastAsia" w:ascii="宋体" w:hAnsi="宋体" w:eastAsia="宋体" w:cs="宋体"/>
          <w:color w:val="000000"/>
          <w:sz w:val="24"/>
          <w:szCs w:val="24"/>
          <w:highlight w:val="none"/>
        </w:rPr>
        <w:t>3 项目验收</w:t>
      </w:r>
      <w:bookmarkEnd w:id="32"/>
      <w:bookmarkEnd w:id="33"/>
      <w:bookmarkEnd w:id="34"/>
      <w:bookmarkEnd w:id="35"/>
    </w:p>
    <w:p w14:paraId="05066903">
      <w:pPr>
        <w:pStyle w:val="142"/>
        <w:numPr>
          <w:ilvl w:val="0"/>
          <w:numId w:val="0"/>
        </w:numPr>
        <w:ind w:left="480"/>
        <w:rPr>
          <w:rFonts w:cs="宋体"/>
          <w:b w:val="0"/>
          <w:bCs w:val="0"/>
          <w:highlight w:val="none"/>
        </w:rPr>
      </w:pPr>
      <w:bookmarkStart w:id="36" w:name="_Toc92194035"/>
      <w:bookmarkStart w:id="37" w:name="_Toc132629990"/>
      <w:bookmarkStart w:id="38" w:name="_Toc136372099"/>
      <w:bookmarkStart w:id="39" w:name="_Toc162365715"/>
      <w:bookmarkStart w:id="40" w:name="_Toc81748967"/>
      <w:bookmarkStart w:id="41" w:name="_Hlk121165351"/>
      <w:r>
        <w:rPr>
          <w:rFonts w:hint="eastAsia" w:cs="宋体"/>
          <w:b w:val="0"/>
          <w:bCs w:val="0"/>
          <w:highlight w:val="none"/>
        </w:rPr>
        <w:t>3.1项目预验收及发货</w:t>
      </w:r>
      <w:bookmarkEnd w:id="36"/>
      <w:bookmarkEnd w:id="37"/>
      <w:bookmarkEnd w:id="38"/>
      <w:bookmarkEnd w:id="39"/>
      <w:bookmarkEnd w:id="40"/>
    </w:p>
    <w:p w14:paraId="35805292">
      <w:pPr>
        <w:spacing w:line="360" w:lineRule="auto"/>
        <w:ind w:firstLine="480" w:firstLineChars="200"/>
        <w:rPr>
          <w:rFonts w:ascii="宋体" w:hAnsi="宋体" w:eastAsia="宋体" w:cs="宋体"/>
          <w:snapToGrid w:val="0"/>
          <w:sz w:val="24"/>
          <w:szCs w:val="24"/>
          <w:highlight w:val="none"/>
        </w:rPr>
      </w:pPr>
      <w:bookmarkStart w:id="42" w:name="_Hlk143713607"/>
      <w:r>
        <w:rPr>
          <w:rFonts w:hint="eastAsia" w:ascii="宋体" w:hAnsi="宋体" w:eastAsia="宋体" w:cs="宋体"/>
          <w:snapToGrid w:val="0"/>
          <w:sz w:val="24"/>
          <w:szCs w:val="24"/>
          <w:highlight w:val="none"/>
        </w:rPr>
        <w:t>乙方完成设备生产及调试后，通知甲方进行预验收。买卖双方依据总体设计方案对试验台各项参数进行预验收，确定试验台完全符合设计方案的各项要求。完成预验收后双方签属预验收报告。</w:t>
      </w:r>
    </w:p>
    <w:p w14:paraId="4EAEC046">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设备的交付运输由乙方负责，打包并运输到协议约定的交付地点。</w:t>
      </w:r>
    </w:p>
    <w:p w14:paraId="270C0EB5">
      <w:pPr>
        <w:spacing w:line="360" w:lineRule="auto"/>
        <w:ind w:firstLine="480" w:firstLineChars="200"/>
        <w:rPr>
          <w:rFonts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设备到达甲方现场后，乙方应派人员到现场协助甲方进行拆箱和货物清点，甲方应在乙方在场的情况下进行拆箱和货物清点。</w:t>
      </w:r>
    </w:p>
    <w:bookmarkEnd w:id="42"/>
    <w:p w14:paraId="41579E1C">
      <w:pPr>
        <w:pStyle w:val="142"/>
        <w:numPr>
          <w:ilvl w:val="0"/>
          <w:numId w:val="0"/>
        </w:numPr>
        <w:ind w:left="480"/>
        <w:rPr>
          <w:rFonts w:cs="宋体"/>
          <w:b w:val="0"/>
          <w:bCs w:val="0"/>
          <w:highlight w:val="none"/>
        </w:rPr>
      </w:pPr>
      <w:bookmarkStart w:id="43" w:name="_Toc136372100"/>
      <w:bookmarkStart w:id="44" w:name="_Toc162365716"/>
      <w:bookmarkStart w:id="45" w:name="_Toc132629991"/>
      <w:r>
        <w:rPr>
          <w:rFonts w:hint="eastAsia" w:cs="宋体"/>
          <w:b w:val="0"/>
          <w:bCs w:val="0"/>
          <w:highlight w:val="none"/>
        </w:rPr>
        <w:t>3.2项目终验收</w:t>
      </w:r>
      <w:bookmarkEnd w:id="43"/>
      <w:bookmarkEnd w:id="44"/>
      <w:bookmarkEnd w:id="45"/>
    </w:p>
    <w:p w14:paraId="5D816F3F">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乙方在甲方现场完成现场调试工作及相关培训后，双方进行项目终验收。</w:t>
      </w:r>
    </w:p>
    <w:p w14:paraId="0F89262A">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由甲乙双方共同组织设备的终验收，验收内容及方法标准如下：</w:t>
      </w:r>
    </w:p>
    <w:p w14:paraId="2BB8D730">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1）设备数目清点，核对交付物清单内交付物数量。</w:t>
      </w:r>
    </w:p>
    <w:p w14:paraId="0EE0DD4B">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2）软硬件功能验证，对设备的软硬件功能进行实操验收，按照技术协议的内容，对设备的软硬件主要功能进行验证。</w:t>
      </w:r>
    </w:p>
    <w:p w14:paraId="69B8FF18">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3）针对标准件及动力总成完成一轮以上测试，结果需通过甲方审核确认。</w:t>
      </w:r>
    </w:p>
    <w:p w14:paraId="342E0BAE">
      <w:pPr>
        <w:spacing w:line="360" w:lineRule="auto"/>
        <w:ind w:firstLine="480" w:firstLineChars="200"/>
        <w:rPr>
          <w:rFonts w:ascii="宋体" w:hAnsi="宋体" w:eastAsia="宋体" w:cs="宋体"/>
          <w:snapToGrid w:val="0"/>
          <w:sz w:val="24"/>
          <w:szCs w:val="24"/>
          <w:highlight w:val="none"/>
        </w:rPr>
      </w:pPr>
      <w:bookmarkStart w:id="46" w:name="_Toc4951"/>
      <w:r>
        <w:rPr>
          <w:rFonts w:hint="eastAsia" w:ascii="宋体" w:hAnsi="宋体" w:eastAsia="宋体" w:cs="宋体"/>
          <w:snapToGrid w:val="0"/>
          <w:sz w:val="24"/>
          <w:szCs w:val="24"/>
          <w:highlight w:val="none"/>
        </w:rPr>
        <w:t>4）对应提交的技术资料、培训内容及工程文件进行确认。</w:t>
      </w:r>
      <w:bookmarkEnd w:id="46"/>
    </w:p>
    <w:p w14:paraId="176DABC8">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5）结果必须符合投标文件、合同及招标文件中的规定，且经双方认可的各项技术指标，验收通过才算合格。</w:t>
      </w:r>
    </w:p>
    <w:p w14:paraId="2F7897CA">
      <w:pPr>
        <w:spacing w:line="360" w:lineRule="auto"/>
        <w:outlineLvl w:val="3"/>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4.卖方提供伴随服务的要求</w:t>
      </w:r>
    </w:p>
    <w:p w14:paraId="6881CF67">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投标人应在投标文件中提供详细售后服务方案，它包括但不局限于以下内容：</w:t>
      </w:r>
    </w:p>
    <w:p w14:paraId="02B5FFF2">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4.1安装和调试</w:t>
      </w:r>
    </w:p>
    <w:p w14:paraId="2D845257">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4.1.1由卖方安排指定资深的工程师到现场安装调试。</w:t>
      </w:r>
    </w:p>
    <w:p w14:paraId="3DCB07DF">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4.1.2安装、调试及验收所需的专用仪器和工具、试验台电源线、信号线，由卖方自备。</w:t>
      </w:r>
    </w:p>
    <w:p w14:paraId="419DEEAB">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4.1.3卖方签合同前提出并且得到买方确认的一般仪器和工具，由买方负责准备。</w:t>
      </w:r>
    </w:p>
    <w:p w14:paraId="75480913">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4.1.4卖方人员在买方服务的费用全部由卖方承担。</w:t>
      </w:r>
    </w:p>
    <w:p w14:paraId="24CCBBCC">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4.2业务培训</w:t>
      </w:r>
    </w:p>
    <w:p w14:paraId="5E217D32">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4.2.1卖方应对用户的操作及维修人员进行全面免费培训。培训服务包括试验台的测试原理、硬件操作、软件使用、维护、维修、保养、故障排除、标定等。</w:t>
      </w:r>
    </w:p>
    <w:p w14:paraId="0384947E">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4.2.2培训地点：买方安装现场。</w:t>
      </w:r>
    </w:p>
    <w:p w14:paraId="79603FB0">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4.2.3另外在设备运行2年内，结合买方项目需求，提供买方两次高级培训，具体时间由买方正式通知卖方确定。</w:t>
      </w:r>
    </w:p>
    <w:p w14:paraId="414807AD">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4.2.4卖方在投标文件中应详细描述服务人员、培训人员资质、能力。</w:t>
      </w:r>
    </w:p>
    <w:p w14:paraId="3B93F1D7">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4.3 卖方供给给买方的设备及卖方自己的施工用具，进入买方现场后有卖方负责保管；卖方在买方现场安装、调试、验收人员的安全、保险、食宿、交通由卖方负责。</w:t>
      </w:r>
    </w:p>
    <w:p w14:paraId="0CEFE354">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4.4质保期内的服务</w:t>
      </w:r>
    </w:p>
    <w:p w14:paraId="18E0A000">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4.4.1设备自初验收合格之日起免费保修24个月。期限从初验收签字之日起计算，质保期内如有零件损坏，自更换该件起，再对该件重新计算质保期。保修期内在正常使用情况下出现故障，在买方无法排除故障时，卖方接到买方通知后应在48小时内到场服务。如需更换零件时，应免费更换并确保设备精度，可能影响仪器功能和精度的零部件故障维修后应免费提供校准及相关服务。</w:t>
      </w:r>
    </w:p>
    <w:p w14:paraId="640DF023">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4.4.2卖方在投标文件中应详细描述对所供货物售后服务的情况。</w:t>
      </w:r>
    </w:p>
    <w:p w14:paraId="76DCC7C5">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4.4.3在质保期内卖方须到买方现场提供至少两次免费服务，时间由双方协商。</w:t>
      </w:r>
    </w:p>
    <w:p w14:paraId="56B2A21E">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4.5质保期满后的服务</w:t>
      </w:r>
    </w:p>
    <w:p w14:paraId="6C6B3A5C">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4.5.1卖方仍应提供优质的技术服务（如：定期巡回检测、保养、人员的培训等，不仅限于此）及技术支持（保修期外的设备修理及技术指导、配件供应等）。</w:t>
      </w:r>
    </w:p>
    <w:p w14:paraId="3198EB37">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4.5.2质保期满后的服务时限，仍按期内的要求。</w:t>
      </w:r>
    </w:p>
    <w:p w14:paraId="790FA6A9">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4.5.3定期提供所供货物使用和维护方面的技术信息和资料。</w:t>
      </w:r>
    </w:p>
    <w:p w14:paraId="07FC6176">
      <w:pPr>
        <w:spacing w:line="360" w:lineRule="auto"/>
        <w:outlineLvl w:val="3"/>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5.技术文件</w:t>
      </w:r>
    </w:p>
    <w:p w14:paraId="2448FF39">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5.1由卖方向买方提供必要的电气接线图、设备规格性能以及相应的设备样本和结构示意图，同时随机提供标准技术文件一套，包括设备技术规格说明书、系统说明书、操作维修手册、易损件明细表及规格图纸、主要配件供应商名录表等。评标时将进行逐项核对，结合投标方提供的精度指标和性能特性，进行综合评定。</w:t>
      </w:r>
    </w:p>
    <w:p w14:paraId="58670C97">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5.2投标文件中技术描述应采用中、英文对照，或全中文；以中文为主。</w:t>
      </w:r>
    </w:p>
    <w:p w14:paraId="3B6D0BC2">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5.3制造厂家简介，投标产品在国际和中国境内的近3年内的用户清单（包括用户名称、销售年份、设备主要功能等），作为投标人实力水平参考。</w:t>
      </w:r>
    </w:p>
    <w:p w14:paraId="27FA0634">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5.4投标人应在投标文件中提供投标设备详细的供货范围清单、主要部件、备品备件及专用工具、易损件信息，包括名称、品牌、型号规格、技术参数和性能、数量、价格、制造商、出厂日期等信息。</w:t>
      </w:r>
    </w:p>
    <w:p w14:paraId="3CE637D7">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5.5在质量保证期内的易损易耗件清单，内容包括名称、型号、规格、主要技术参数、制造厂商等。</w:t>
      </w:r>
    </w:p>
    <w:p w14:paraId="1120638C">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5.6投标人在投标文件中，应提供设备制造商的资质证明文件。</w:t>
      </w:r>
    </w:p>
    <w:p w14:paraId="032B6274">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5.7 投标人应在投标文件中提供操作、维护人员的培训方案及计划。</w:t>
      </w:r>
    </w:p>
    <w:p w14:paraId="47526FC6">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5.8 投标人应在投标文件中提供，如果能中标的话，售后服务的承若。</w:t>
      </w:r>
    </w:p>
    <w:p w14:paraId="49D0961C">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5.9 投标人应在投标文件中提供设备的制造、安装、验收方案及验收标准。其结果应符合投标文件/合同中的规定，且经买方认可的各项技术指标。</w:t>
      </w:r>
    </w:p>
    <w:p w14:paraId="535482DE">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5.10调试结束后，卖方应向买方提交设备安装调试报告以及按合同规定的各项参数。</w:t>
      </w:r>
    </w:p>
    <w:p w14:paraId="5AEC233E">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5.11 中标人在交货时，提供一式三份设备资料：设备操作手册、使用说明书、维修说明书、系统故障振动说明书、电气系统原理图等，并提供以上资料的电子版。</w:t>
      </w:r>
    </w:p>
    <w:p w14:paraId="37E02C8D">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6.其它要求</w:t>
      </w:r>
    </w:p>
    <w:p w14:paraId="27ADDB6C">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6.1投标人应对本文件中对测试系统各组成部分所提要求逐条逐项予以答复、说明和解释，包括能否满足以及满足的程度等。</w:t>
      </w:r>
    </w:p>
    <w:p w14:paraId="5D5A92CB">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6.2若需要，投标人应对设备工作所需辅助系统进行说明，并提供其详细规格、型号、性能等技术资料以供配置；包括电源、桌椅、环境等各方面，并对设备所占用空间大小进行说明。</w:t>
      </w:r>
    </w:p>
    <w:p w14:paraId="1B45BD6B">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6.3本项目不允许分包和转包。</w:t>
      </w:r>
    </w:p>
    <w:p w14:paraId="5F68F4B6">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6.4中标后，中标方应允许招标方对投标方案作小范围调整，并做出相应总价格调整。</w:t>
      </w:r>
    </w:p>
    <w:p w14:paraId="7A2E0067">
      <w:pPr>
        <w:spacing w:line="360" w:lineRule="auto"/>
        <w:ind w:firstLine="480" w:firstLineChars="200"/>
        <w:rPr>
          <w:rFonts w:ascii="宋体" w:hAnsi="宋体" w:eastAsia="宋体" w:cs="宋体"/>
          <w:snapToGrid w:val="0"/>
          <w:sz w:val="24"/>
          <w:szCs w:val="24"/>
          <w:highlight w:val="none"/>
        </w:rPr>
      </w:pPr>
      <w:r>
        <w:rPr>
          <w:rFonts w:hint="eastAsia" w:ascii="宋体" w:hAnsi="宋体" w:eastAsia="宋体" w:cs="宋体"/>
          <w:snapToGrid w:val="0"/>
          <w:sz w:val="24"/>
          <w:szCs w:val="24"/>
          <w:highlight w:val="none"/>
        </w:rPr>
        <w:t>6.5投标方应提出完整的解决方案，不可遗漏，否则一旦中标将认为投标方认同遗漏部分并免费提供。</w:t>
      </w:r>
    </w:p>
    <w:bookmarkEnd w:id="41"/>
    <w:p w14:paraId="50BABC79">
      <w:pPr>
        <w:spacing w:line="300" w:lineRule="auto"/>
        <w:ind w:firstLine="480" w:firstLineChars="200"/>
        <w:outlineLvl w:val="9"/>
        <w:rPr>
          <w:rFonts w:ascii="Times New Roman" w:hAnsi="Times New Roman" w:eastAsia="宋体" w:cs="Times New Roman"/>
          <w:sz w:val="24"/>
          <w:szCs w:val="21"/>
          <w:highlight w:val="none"/>
        </w:rPr>
      </w:pPr>
    </w:p>
    <w:p w14:paraId="2B404498">
      <w:pPr>
        <w:outlineLvl w:val="9"/>
        <w:rPr>
          <w:rFonts w:ascii="Times New Roman" w:hAnsi="Times New Roman" w:eastAsia="宋体" w:cs="Times New Roman"/>
          <w:sz w:val="24"/>
          <w:szCs w:val="21"/>
          <w:highlight w:val="none"/>
        </w:rPr>
      </w:pPr>
    </w:p>
    <w:p w14:paraId="6C660EB3">
      <w:pPr>
        <w:outlineLvl w:val="9"/>
        <w:rPr>
          <w:rFonts w:ascii="Times New Roman" w:hAnsi="Times New Roman" w:eastAsia="宋体" w:cs="Times New Roman"/>
          <w:sz w:val="24"/>
          <w:szCs w:val="21"/>
          <w:highlight w:val="none"/>
        </w:rPr>
      </w:pPr>
    </w:p>
    <w:p w14:paraId="6C73F34D">
      <w:pPr>
        <w:outlineLvl w:val="9"/>
        <w:rPr>
          <w:rFonts w:ascii="Times New Roman" w:hAnsi="Times New Roman" w:eastAsia="宋体" w:cs="Times New Roman"/>
          <w:sz w:val="24"/>
          <w:szCs w:val="21"/>
          <w:highlight w:val="none"/>
        </w:rPr>
      </w:pPr>
    </w:p>
    <w:p w14:paraId="623FB7B6">
      <w:pPr>
        <w:outlineLvl w:val="9"/>
        <w:rPr>
          <w:rFonts w:ascii="Times New Roman" w:hAnsi="Times New Roman" w:eastAsia="宋体" w:cs="Times New Roman"/>
          <w:sz w:val="24"/>
          <w:szCs w:val="21"/>
          <w:highlight w:val="none"/>
        </w:rPr>
      </w:pPr>
    </w:p>
    <w:p w14:paraId="559F89EA">
      <w:pPr>
        <w:outlineLvl w:val="9"/>
        <w:rPr>
          <w:rFonts w:ascii="Times New Roman" w:hAnsi="Times New Roman" w:eastAsia="宋体" w:cs="Times New Roman"/>
          <w:sz w:val="24"/>
          <w:szCs w:val="21"/>
          <w:highlight w:val="none"/>
        </w:rPr>
      </w:pPr>
    </w:p>
    <w:p w14:paraId="1BF09C40">
      <w:pPr>
        <w:outlineLvl w:val="9"/>
        <w:rPr>
          <w:highlight w:val="none"/>
        </w:rPr>
      </w:pPr>
    </w:p>
    <w:p w14:paraId="798F2E6D">
      <w:pPr>
        <w:outlineLvl w:val="9"/>
        <w:rPr>
          <w:highlight w:val="none"/>
        </w:rPr>
      </w:pPr>
    </w:p>
    <w:bookmarkEnd w:id="21"/>
    <w:p w14:paraId="36646B49">
      <w:pPr>
        <w:keepNext/>
        <w:keepLines/>
        <w:spacing w:before="120" w:after="120" w:line="480" w:lineRule="exact"/>
        <w:jc w:val="center"/>
        <w:outlineLvl w:val="1"/>
        <w:rPr>
          <w:rFonts w:ascii="Times New Roman" w:hAnsi="Times New Roman" w:eastAsia="宋体" w:cs="Times New Roman"/>
          <w:b/>
          <w:bCs/>
          <w:kern w:val="44"/>
          <w:sz w:val="28"/>
          <w:szCs w:val="28"/>
          <w:highlight w:val="none"/>
        </w:rPr>
      </w:pPr>
      <w:r>
        <w:rPr>
          <w:rFonts w:hint="eastAsia" w:ascii="Times New Roman" w:hAnsi="Times New Roman" w:eastAsia="宋体" w:cs="Times New Roman"/>
          <w:b/>
          <w:bCs/>
          <w:kern w:val="44"/>
          <w:sz w:val="28"/>
          <w:szCs w:val="28"/>
          <w:highlight w:val="none"/>
        </w:rPr>
        <w:t>第三章  供货范围及供货方式</w:t>
      </w:r>
    </w:p>
    <w:p w14:paraId="1F8AFF04">
      <w:pPr>
        <w:keepNext/>
        <w:keepLines/>
        <w:spacing w:line="360" w:lineRule="auto"/>
        <w:jc w:val="center"/>
        <w:outlineLvl w:val="2"/>
        <w:rPr>
          <w:rFonts w:ascii="Times New Roman" w:hAnsi="Times New Roman" w:eastAsia="宋体" w:cs="宋体"/>
          <w:b/>
          <w:bCs/>
          <w:sz w:val="24"/>
          <w:szCs w:val="32"/>
          <w:highlight w:val="none"/>
        </w:rPr>
      </w:pPr>
      <w:r>
        <w:rPr>
          <w:rFonts w:hint="eastAsia" w:ascii="Times New Roman" w:hAnsi="Times New Roman" w:eastAsia="宋体" w:cs="宋体"/>
          <w:b/>
          <w:bCs/>
          <w:sz w:val="24"/>
          <w:szCs w:val="32"/>
          <w:highlight w:val="none"/>
        </w:rPr>
        <w:t>第一节  供货范围</w:t>
      </w:r>
    </w:p>
    <w:p w14:paraId="2212DEEB">
      <w:pPr>
        <w:spacing w:line="420" w:lineRule="exact"/>
        <w:ind w:firstLine="482" w:firstLineChars="200"/>
        <w:outlineLvl w:val="3"/>
        <w:rPr>
          <w:rFonts w:ascii="Times New Roman" w:hAnsi="Times New Roman" w:eastAsia="宋体" w:cs="宋体"/>
          <w:b/>
          <w:bCs/>
          <w:sz w:val="24"/>
          <w:szCs w:val="24"/>
          <w:highlight w:val="none"/>
        </w:rPr>
      </w:pPr>
      <w:r>
        <w:rPr>
          <w:rFonts w:hint="eastAsia" w:ascii="Times New Roman" w:hAnsi="Times New Roman" w:eastAsia="宋体" w:cs="宋体"/>
          <w:b/>
          <w:bCs/>
          <w:sz w:val="24"/>
          <w:szCs w:val="24"/>
          <w:highlight w:val="none"/>
        </w:rPr>
        <w:t>一、供货范围</w:t>
      </w:r>
    </w:p>
    <w:tbl>
      <w:tblPr>
        <w:tblStyle w:val="3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70" w:type="dxa"/>
          <w:bottom w:w="0" w:type="dxa"/>
          <w:right w:w="70" w:type="dxa"/>
        </w:tblCellMar>
      </w:tblPr>
      <w:tblGrid>
        <w:gridCol w:w="1030"/>
        <w:gridCol w:w="2741"/>
        <w:gridCol w:w="945"/>
        <w:gridCol w:w="4494"/>
      </w:tblGrid>
      <w:tr w14:paraId="68B22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485" w:hRule="atLeast"/>
          <w:tblHeader/>
        </w:trPr>
        <w:tc>
          <w:tcPr>
            <w:tcW w:w="559" w:type="pct"/>
            <w:shd w:val="pct10" w:color="auto" w:fill="FFFFFF"/>
            <w:vAlign w:val="center"/>
          </w:tcPr>
          <w:p w14:paraId="35B62548">
            <w:pPr>
              <w:pStyle w:val="128"/>
              <w:adjustRightInd w:val="0"/>
              <w:snapToGrid w:val="0"/>
              <w:spacing w:beforeLines="0" w:afterLines="0"/>
              <w:jc w:val="center"/>
              <w:rPr>
                <w:rFonts w:ascii="Times New Roman" w:hAnsi="Times New Roman"/>
                <w:b/>
                <w:sz w:val="24"/>
                <w:highlight w:val="none"/>
              </w:rPr>
            </w:pPr>
            <w:r>
              <w:rPr>
                <w:rFonts w:hint="eastAsia" w:ascii="Times New Roman" w:hAnsi="Times New Roman"/>
                <w:b/>
                <w:sz w:val="24"/>
                <w:highlight w:val="none"/>
              </w:rPr>
              <w:t>序号</w:t>
            </w:r>
          </w:p>
        </w:tc>
        <w:tc>
          <w:tcPr>
            <w:tcW w:w="1488" w:type="pct"/>
            <w:shd w:val="pct10" w:color="auto" w:fill="FFFFFF"/>
            <w:vAlign w:val="center"/>
          </w:tcPr>
          <w:p w14:paraId="6D6F2266">
            <w:pPr>
              <w:pStyle w:val="128"/>
              <w:adjustRightInd w:val="0"/>
              <w:snapToGrid w:val="0"/>
              <w:spacing w:beforeLines="0" w:afterLines="0"/>
              <w:jc w:val="center"/>
              <w:rPr>
                <w:rFonts w:ascii="Times New Roman" w:hAnsi="Times New Roman"/>
                <w:b/>
                <w:sz w:val="24"/>
                <w:highlight w:val="none"/>
              </w:rPr>
            </w:pPr>
            <w:r>
              <w:rPr>
                <w:rFonts w:hint="eastAsia" w:ascii="Times New Roman" w:hAnsi="Times New Roman"/>
                <w:b/>
                <w:sz w:val="24"/>
                <w:highlight w:val="none"/>
              </w:rPr>
              <w:t>名称</w:t>
            </w:r>
          </w:p>
        </w:tc>
        <w:tc>
          <w:tcPr>
            <w:tcW w:w="513" w:type="pct"/>
            <w:shd w:val="pct10" w:color="auto" w:fill="FFFFFF"/>
            <w:vAlign w:val="center"/>
          </w:tcPr>
          <w:p w14:paraId="3142A08D">
            <w:pPr>
              <w:pStyle w:val="128"/>
              <w:adjustRightInd w:val="0"/>
              <w:snapToGrid w:val="0"/>
              <w:spacing w:beforeLines="0" w:afterLines="0"/>
              <w:jc w:val="center"/>
              <w:rPr>
                <w:rFonts w:ascii="Times New Roman" w:hAnsi="Times New Roman"/>
                <w:b/>
                <w:sz w:val="24"/>
                <w:highlight w:val="none"/>
              </w:rPr>
            </w:pPr>
            <w:r>
              <w:rPr>
                <w:rFonts w:hint="eastAsia" w:ascii="Times New Roman" w:hAnsi="Times New Roman"/>
                <w:b/>
                <w:sz w:val="24"/>
                <w:highlight w:val="none"/>
              </w:rPr>
              <w:t>数量</w:t>
            </w:r>
          </w:p>
        </w:tc>
        <w:tc>
          <w:tcPr>
            <w:tcW w:w="2440" w:type="pct"/>
            <w:shd w:val="pct10" w:color="auto" w:fill="FFFFFF"/>
            <w:vAlign w:val="center"/>
          </w:tcPr>
          <w:p w14:paraId="5AFA9405">
            <w:pPr>
              <w:pStyle w:val="128"/>
              <w:adjustRightInd w:val="0"/>
              <w:snapToGrid w:val="0"/>
              <w:spacing w:beforeLines="0" w:afterLines="0"/>
              <w:jc w:val="center"/>
              <w:rPr>
                <w:rFonts w:ascii="Times New Roman" w:hAnsi="Times New Roman"/>
                <w:b/>
                <w:sz w:val="24"/>
                <w:highlight w:val="none"/>
              </w:rPr>
            </w:pPr>
            <w:r>
              <w:rPr>
                <w:rFonts w:hint="eastAsia" w:ascii="Times New Roman" w:hAnsi="Times New Roman"/>
                <w:b/>
                <w:sz w:val="24"/>
                <w:highlight w:val="none"/>
              </w:rPr>
              <w:t>备注</w:t>
            </w:r>
          </w:p>
        </w:tc>
      </w:tr>
      <w:tr w14:paraId="6CD0E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3BB7F72C">
            <w:pPr>
              <w:pStyle w:val="128"/>
              <w:adjustRightInd w:val="0"/>
              <w:snapToGrid w:val="0"/>
              <w:spacing w:beforeLines="0" w:afterLines="0"/>
              <w:jc w:val="center"/>
              <w:rPr>
                <w:rFonts w:ascii="Times New Roman" w:hAnsi="Times New Roman"/>
                <w:highlight w:val="none"/>
              </w:rPr>
            </w:pPr>
            <w:r>
              <w:rPr>
                <w:rFonts w:ascii="Times New Roman" w:hAnsi="Times New Roman"/>
                <w:b/>
                <w:highlight w:val="none"/>
              </w:rPr>
              <w:t>1</w:t>
            </w:r>
          </w:p>
        </w:tc>
        <w:tc>
          <w:tcPr>
            <w:tcW w:w="1488" w:type="pct"/>
            <w:vAlign w:val="center"/>
          </w:tcPr>
          <w:p w14:paraId="5406EF83">
            <w:pPr>
              <w:pStyle w:val="128"/>
              <w:adjustRightInd w:val="0"/>
              <w:snapToGrid w:val="0"/>
              <w:spacing w:beforeLines="0" w:afterLines="0"/>
              <w:rPr>
                <w:rFonts w:ascii="Times New Roman" w:hAnsi="Times New Roman"/>
                <w:szCs w:val="28"/>
                <w:highlight w:val="none"/>
              </w:rPr>
            </w:pPr>
            <w:r>
              <w:rPr>
                <w:rFonts w:hint="eastAsia" w:ascii="Times New Roman" w:hAnsi="Times New Roman"/>
                <w:b/>
                <w:szCs w:val="28"/>
                <w:highlight w:val="none"/>
              </w:rPr>
              <w:t>电性能测试系统</w:t>
            </w:r>
          </w:p>
        </w:tc>
        <w:tc>
          <w:tcPr>
            <w:tcW w:w="513" w:type="pct"/>
            <w:vAlign w:val="center"/>
          </w:tcPr>
          <w:p w14:paraId="5B4535E8">
            <w:pPr>
              <w:pStyle w:val="128"/>
              <w:adjustRightInd w:val="0"/>
              <w:snapToGrid w:val="0"/>
              <w:spacing w:beforeLines="0" w:afterLines="0"/>
              <w:jc w:val="center"/>
              <w:rPr>
                <w:rFonts w:ascii="Times New Roman" w:hAnsi="Times New Roman"/>
                <w:b/>
                <w:highlight w:val="none"/>
              </w:rPr>
            </w:pPr>
            <w:r>
              <w:rPr>
                <w:rFonts w:hint="eastAsia" w:ascii="Times New Roman" w:hAnsi="Times New Roman" w:eastAsia="宋体"/>
                <w:b/>
                <w:highlight w:val="none"/>
              </w:rPr>
              <w:t>1</w:t>
            </w:r>
            <w:r>
              <w:rPr>
                <w:rFonts w:hint="eastAsia" w:ascii="Times New Roman" w:hAnsi="Times New Roman"/>
                <w:b/>
                <w:highlight w:val="none"/>
              </w:rPr>
              <w:t>套</w:t>
            </w:r>
          </w:p>
        </w:tc>
        <w:tc>
          <w:tcPr>
            <w:tcW w:w="2440" w:type="pct"/>
            <w:vAlign w:val="center"/>
          </w:tcPr>
          <w:p w14:paraId="209E8A5D">
            <w:pPr>
              <w:pStyle w:val="128"/>
              <w:adjustRightInd w:val="0"/>
              <w:snapToGrid w:val="0"/>
              <w:spacing w:beforeLines="0" w:afterLines="0"/>
              <w:jc w:val="left"/>
              <w:rPr>
                <w:rFonts w:ascii="Times New Roman" w:hAnsi="Times New Roman"/>
                <w:b/>
                <w:szCs w:val="21"/>
                <w:highlight w:val="none"/>
              </w:rPr>
            </w:pPr>
          </w:p>
        </w:tc>
      </w:tr>
      <w:tr w14:paraId="07669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49F1CEA6">
            <w:pPr>
              <w:pStyle w:val="128"/>
              <w:numPr>
                <w:ilvl w:val="0"/>
                <w:numId w:val="12"/>
              </w:numPr>
              <w:adjustRightInd w:val="0"/>
              <w:snapToGrid w:val="0"/>
              <w:spacing w:beforeLines="0" w:afterLines="0"/>
              <w:ind w:left="0" w:firstLine="0"/>
              <w:jc w:val="center"/>
              <w:rPr>
                <w:rFonts w:ascii="Times New Roman" w:hAnsi="Times New Roman"/>
                <w:highlight w:val="none"/>
              </w:rPr>
            </w:pPr>
          </w:p>
        </w:tc>
        <w:tc>
          <w:tcPr>
            <w:tcW w:w="1488" w:type="pct"/>
            <w:vAlign w:val="center"/>
          </w:tcPr>
          <w:p w14:paraId="62974BAD">
            <w:pPr>
              <w:pStyle w:val="128"/>
              <w:adjustRightInd w:val="0"/>
              <w:snapToGrid w:val="0"/>
              <w:spacing w:beforeLines="0" w:afterLines="0"/>
              <w:rPr>
                <w:rFonts w:ascii="Times New Roman" w:hAnsi="Times New Roman"/>
                <w:szCs w:val="28"/>
                <w:highlight w:val="none"/>
              </w:rPr>
            </w:pPr>
            <w:r>
              <w:rPr>
                <w:rFonts w:hint="eastAsia" w:ascii="宋体" w:hAnsi="宋体" w:eastAsia="宋体" w:cs="宋体"/>
                <w:szCs w:val="22"/>
                <w:highlight w:val="none"/>
              </w:rPr>
              <w:t>便携式数据采集仪</w:t>
            </w:r>
          </w:p>
        </w:tc>
        <w:tc>
          <w:tcPr>
            <w:tcW w:w="513" w:type="pct"/>
            <w:vAlign w:val="center"/>
          </w:tcPr>
          <w:p w14:paraId="04D30D58">
            <w:pPr>
              <w:pStyle w:val="128"/>
              <w:adjustRightInd w:val="0"/>
              <w:snapToGrid w:val="0"/>
              <w:spacing w:beforeLines="0" w:afterLines="0"/>
              <w:jc w:val="center"/>
              <w:rPr>
                <w:rFonts w:ascii="Times New Roman" w:hAnsi="Times New Roman"/>
                <w:highlight w:val="none"/>
              </w:rPr>
            </w:pPr>
            <w:r>
              <w:rPr>
                <w:rFonts w:hint="eastAsia" w:ascii="Times New Roman" w:hAnsi="Times New Roman" w:eastAsia="宋体"/>
                <w:highlight w:val="none"/>
              </w:rPr>
              <w:t>1</w:t>
            </w:r>
            <w:r>
              <w:rPr>
                <w:rFonts w:hint="eastAsia" w:ascii="Times New Roman" w:hAnsi="Times New Roman"/>
                <w:highlight w:val="none"/>
              </w:rPr>
              <w:t>台</w:t>
            </w:r>
          </w:p>
        </w:tc>
        <w:tc>
          <w:tcPr>
            <w:tcW w:w="2440" w:type="pct"/>
          </w:tcPr>
          <w:p w14:paraId="0F733A33">
            <w:pPr>
              <w:pStyle w:val="128"/>
              <w:adjustRightInd w:val="0"/>
              <w:snapToGrid w:val="0"/>
              <w:spacing w:beforeLines="0" w:afterLines="0"/>
              <w:jc w:val="left"/>
              <w:rPr>
                <w:rFonts w:ascii="Times New Roman" w:hAnsi="Times New Roman"/>
                <w:szCs w:val="21"/>
                <w:highlight w:val="none"/>
              </w:rPr>
            </w:pPr>
            <w:r>
              <w:rPr>
                <w:rFonts w:hint="eastAsia" w:ascii="Times New Roman" w:hAnsi="Times New Roman"/>
                <w:highlight w:val="none"/>
              </w:rPr>
              <w:t>详见技术要求2.3.1章节</w:t>
            </w:r>
          </w:p>
        </w:tc>
      </w:tr>
      <w:tr w14:paraId="3AB3B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196F7718">
            <w:pPr>
              <w:pStyle w:val="128"/>
              <w:numPr>
                <w:ilvl w:val="0"/>
                <w:numId w:val="12"/>
              </w:numPr>
              <w:adjustRightInd w:val="0"/>
              <w:snapToGrid w:val="0"/>
              <w:spacing w:beforeLines="0" w:afterLines="0"/>
              <w:ind w:left="0" w:firstLine="0"/>
              <w:jc w:val="center"/>
              <w:rPr>
                <w:rFonts w:ascii="Times New Roman" w:hAnsi="Times New Roman"/>
                <w:highlight w:val="none"/>
              </w:rPr>
            </w:pPr>
          </w:p>
        </w:tc>
        <w:tc>
          <w:tcPr>
            <w:tcW w:w="1488" w:type="pct"/>
            <w:vAlign w:val="center"/>
          </w:tcPr>
          <w:p w14:paraId="7739C7AE">
            <w:pPr>
              <w:pStyle w:val="128"/>
              <w:adjustRightInd w:val="0"/>
              <w:snapToGrid w:val="0"/>
              <w:spacing w:beforeLines="0" w:afterLines="0"/>
              <w:rPr>
                <w:rFonts w:ascii="Times New Roman" w:hAnsi="Times New Roman"/>
                <w:szCs w:val="21"/>
                <w:highlight w:val="none"/>
              </w:rPr>
            </w:pPr>
            <w:r>
              <w:rPr>
                <w:rFonts w:hint="eastAsia" w:ascii="宋体" w:hAnsi="宋体" w:eastAsia="宋体" w:cs="宋体"/>
                <w:szCs w:val="22"/>
                <w:highlight w:val="none"/>
              </w:rPr>
              <w:t>传感器</w:t>
            </w:r>
          </w:p>
        </w:tc>
        <w:tc>
          <w:tcPr>
            <w:tcW w:w="513" w:type="pct"/>
            <w:vAlign w:val="center"/>
          </w:tcPr>
          <w:p w14:paraId="18A87700">
            <w:pPr>
              <w:pStyle w:val="128"/>
              <w:adjustRightInd w:val="0"/>
              <w:snapToGrid w:val="0"/>
              <w:spacing w:beforeLines="0" w:afterLines="0"/>
              <w:jc w:val="center"/>
              <w:rPr>
                <w:rFonts w:ascii="Times New Roman" w:hAnsi="Times New Roman"/>
                <w:szCs w:val="21"/>
                <w:highlight w:val="none"/>
              </w:rPr>
            </w:pPr>
            <w:r>
              <w:rPr>
                <w:rFonts w:hint="eastAsia" w:ascii="Times New Roman" w:hAnsi="Times New Roman"/>
                <w:szCs w:val="21"/>
                <w:highlight w:val="none"/>
              </w:rPr>
              <w:t>若干</w:t>
            </w:r>
          </w:p>
        </w:tc>
        <w:tc>
          <w:tcPr>
            <w:tcW w:w="2440" w:type="pct"/>
          </w:tcPr>
          <w:p w14:paraId="6D0303EF">
            <w:pPr>
              <w:rPr>
                <w:rFonts w:ascii="Times New Roman" w:hAnsi="Times New Roman"/>
                <w:highlight w:val="none"/>
              </w:rPr>
            </w:pPr>
            <w:r>
              <w:rPr>
                <w:rFonts w:hint="eastAsia" w:ascii="Times New Roman" w:hAnsi="Times New Roman"/>
                <w:highlight w:val="none"/>
              </w:rPr>
              <w:t>详见技术要求2.3.2章节</w:t>
            </w:r>
          </w:p>
        </w:tc>
      </w:tr>
      <w:tr w14:paraId="5BA33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47C3AAA8">
            <w:pPr>
              <w:pStyle w:val="128"/>
              <w:numPr>
                <w:ilvl w:val="0"/>
                <w:numId w:val="12"/>
              </w:numPr>
              <w:adjustRightInd w:val="0"/>
              <w:snapToGrid w:val="0"/>
              <w:spacing w:beforeLines="0" w:afterLines="0"/>
              <w:ind w:left="0" w:firstLine="0"/>
              <w:jc w:val="center"/>
              <w:rPr>
                <w:rFonts w:ascii="Times New Roman" w:hAnsi="Times New Roman"/>
                <w:highlight w:val="none"/>
              </w:rPr>
            </w:pPr>
          </w:p>
        </w:tc>
        <w:tc>
          <w:tcPr>
            <w:tcW w:w="1488" w:type="pct"/>
            <w:vAlign w:val="center"/>
          </w:tcPr>
          <w:p w14:paraId="468BEE82">
            <w:pPr>
              <w:pStyle w:val="128"/>
              <w:adjustRightInd w:val="0"/>
              <w:snapToGrid w:val="0"/>
              <w:spacing w:beforeLines="0" w:afterLines="0"/>
              <w:ind w:hanging="11"/>
              <w:rPr>
                <w:rFonts w:ascii="Times New Roman" w:hAnsi="Times New Roman"/>
                <w:szCs w:val="21"/>
                <w:highlight w:val="none"/>
              </w:rPr>
            </w:pPr>
            <w:r>
              <w:rPr>
                <w:rFonts w:hint="eastAsia" w:ascii="宋体" w:hAnsi="宋体" w:eastAsia="宋体" w:cs="宋体"/>
                <w:szCs w:val="22"/>
                <w:highlight w:val="none"/>
              </w:rPr>
              <w:t>测试附件</w:t>
            </w:r>
          </w:p>
        </w:tc>
        <w:tc>
          <w:tcPr>
            <w:tcW w:w="513" w:type="pct"/>
            <w:vAlign w:val="center"/>
          </w:tcPr>
          <w:p w14:paraId="43D94146">
            <w:pPr>
              <w:pStyle w:val="128"/>
              <w:adjustRightInd w:val="0"/>
              <w:snapToGrid w:val="0"/>
              <w:spacing w:beforeLines="0" w:afterLines="0"/>
              <w:jc w:val="center"/>
              <w:rPr>
                <w:rFonts w:ascii="Times New Roman" w:hAnsi="Times New Roman"/>
                <w:szCs w:val="21"/>
                <w:highlight w:val="none"/>
              </w:rPr>
            </w:pPr>
            <w:r>
              <w:rPr>
                <w:rFonts w:hint="eastAsia" w:ascii="Times New Roman" w:hAnsi="Times New Roman"/>
                <w:szCs w:val="21"/>
                <w:highlight w:val="none"/>
              </w:rPr>
              <w:t>若干</w:t>
            </w:r>
          </w:p>
        </w:tc>
        <w:tc>
          <w:tcPr>
            <w:tcW w:w="2440" w:type="pct"/>
          </w:tcPr>
          <w:p w14:paraId="2019F1CB">
            <w:pPr>
              <w:rPr>
                <w:rFonts w:ascii="Times New Roman" w:hAnsi="Times New Roman"/>
                <w:highlight w:val="none"/>
              </w:rPr>
            </w:pPr>
            <w:r>
              <w:rPr>
                <w:rFonts w:hint="eastAsia" w:ascii="Times New Roman" w:hAnsi="Times New Roman"/>
                <w:highlight w:val="none"/>
              </w:rPr>
              <w:t>详见技术要求2.3.3章节</w:t>
            </w:r>
          </w:p>
        </w:tc>
      </w:tr>
      <w:tr w14:paraId="5EBEA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252CD192">
            <w:pPr>
              <w:pStyle w:val="128"/>
              <w:adjustRightInd w:val="0"/>
              <w:snapToGrid w:val="0"/>
              <w:spacing w:beforeLines="0" w:afterLines="0"/>
              <w:ind w:hanging="75"/>
              <w:jc w:val="center"/>
              <w:rPr>
                <w:rFonts w:ascii="Times New Roman" w:hAnsi="Times New Roman"/>
                <w:b/>
                <w:highlight w:val="none"/>
              </w:rPr>
            </w:pPr>
            <w:r>
              <w:rPr>
                <w:rFonts w:hint="eastAsia" w:ascii="Times New Roman" w:hAnsi="Times New Roman"/>
                <w:b/>
                <w:highlight w:val="none"/>
              </w:rPr>
              <w:t>2</w:t>
            </w:r>
          </w:p>
        </w:tc>
        <w:tc>
          <w:tcPr>
            <w:tcW w:w="1488" w:type="pct"/>
            <w:vAlign w:val="center"/>
          </w:tcPr>
          <w:p w14:paraId="75AAF736">
            <w:pPr>
              <w:pStyle w:val="128"/>
              <w:adjustRightInd w:val="0"/>
              <w:snapToGrid w:val="0"/>
              <w:spacing w:beforeLines="0" w:afterLines="0"/>
              <w:rPr>
                <w:rFonts w:ascii="Times New Roman" w:hAnsi="Times New Roman"/>
                <w:b/>
                <w:szCs w:val="28"/>
                <w:highlight w:val="none"/>
              </w:rPr>
            </w:pPr>
            <w:r>
              <w:rPr>
                <w:rFonts w:hint="eastAsia" w:ascii="Times New Roman" w:hAnsi="Times New Roman"/>
                <w:b/>
                <w:szCs w:val="28"/>
                <w:highlight w:val="none"/>
              </w:rPr>
              <w:t>设备说明书</w:t>
            </w:r>
          </w:p>
        </w:tc>
        <w:tc>
          <w:tcPr>
            <w:tcW w:w="513" w:type="pct"/>
            <w:vAlign w:val="center"/>
          </w:tcPr>
          <w:p w14:paraId="5872DAAA">
            <w:pPr>
              <w:pStyle w:val="128"/>
              <w:adjustRightInd w:val="0"/>
              <w:snapToGrid w:val="0"/>
              <w:spacing w:beforeLines="0" w:afterLines="0"/>
              <w:jc w:val="center"/>
              <w:rPr>
                <w:rFonts w:ascii="Times New Roman" w:hAnsi="Times New Roman"/>
                <w:b/>
                <w:highlight w:val="none"/>
              </w:rPr>
            </w:pPr>
          </w:p>
        </w:tc>
        <w:tc>
          <w:tcPr>
            <w:tcW w:w="2440" w:type="pct"/>
            <w:vAlign w:val="center"/>
          </w:tcPr>
          <w:p w14:paraId="03472212">
            <w:pPr>
              <w:pStyle w:val="128"/>
              <w:adjustRightInd w:val="0"/>
              <w:snapToGrid w:val="0"/>
              <w:spacing w:beforeLines="0" w:afterLines="0"/>
              <w:jc w:val="left"/>
              <w:rPr>
                <w:rFonts w:ascii="Times New Roman" w:hAnsi="Times New Roman"/>
                <w:b/>
                <w:sz w:val="18"/>
                <w:szCs w:val="18"/>
                <w:highlight w:val="none"/>
              </w:rPr>
            </w:pPr>
            <w:r>
              <w:rPr>
                <w:rFonts w:hint="eastAsia" w:ascii="Times New Roman" w:hAnsi="Times New Roman"/>
                <w:b/>
                <w:highlight w:val="none"/>
              </w:rPr>
              <w:t>提供一套设备资料</w:t>
            </w:r>
          </w:p>
        </w:tc>
      </w:tr>
      <w:tr w14:paraId="76368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1EAFD857">
            <w:pPr>
              <w:pStyle w:val="128"/>
              <w:adjustRightInd w:val="0"/>
              <w:snapToGrid w:val="0"/>
              <w:spacing w:beforeLines="0" w:afterLines="0"/>
              <w:jc w:val="cente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1</w:t>
            </w:r>
          </w:p>
        </w:tc>
        <w:tc>
          <w:tcPr>
            <w:tcW w:w="1488" w:type="pct"/>
            <w:vAlign w:val="center"/>
          </w:tcPr>
          <w:p w14:paraId="6DA60E13">
            <w:pPr>
              <w:pStyle w:val="128"/>
              <w:adjustRightInd w:val="0"/>
              <w:snapToGrid w:val="0"/>
              <w:spacing w:beforeLines="0" w:afterLines="0"/>
              <w:rPr>
                <w:rFonts w:ascii="Times New Roman" w:hAnsi="Times New Roman"/>
                <w:szCs w:val="28"/>
                <w:highlight w:val="none"/>
              </w:rPr>
            </w:pPr>
            <w:r>
              <w:rPr>
                <w:rFonts w:hint="eastAsia" w:ascii="Times New Roman" w:hAnsi="Times New Roman"/>
                <w:szCs w:val="28"/>
                <w:highlight w:val="none"/>
              </w:rPr>
              <w:t>设备使用说明书</w:t>
            </w:r>
          </w:p>
        </w:tc>
        <w:tc>
          <w:tcPr>
            <w:tcW w:w="513" w:type="pct"/>
            <w:vAlign w:val="center"/>
          </w:tcPr>
          <w:p w14:paraId="5DB990DB">
            <w:pPr>
              <w:pStyle w:val="128"/>
              <w:adjustRightInd w:val="0"/>
              <w:snapToGrid w:val="0"/>
              <w:spacing w:beforeLines="0" w:afterLines="0"/>
              <w:jc w:val="center"/>
              <w:rPr>
                <w:rFonts w:ascii="Times New Roman" w:hAnsi="Times New Roman"/>
                <w:szCs w:val="28"/>
                <w:highlight w:val="none"/>
              </w:rPr>
            </w:pPr>
            <w:r>
              <w:rPr>
                <w:rFonts w:hint="eastAsia" w:ascii="Times New Roman" w:hAnsi="Times New Roman" w:eastAsia="宋体"/>
                <w:szCs w:val="28"/>
                <w:highlight w:val="none"/>
              </w:rPr>
              <w:t>1</w:t>
            </w:r>
            <w:r>
              <w:rPr>
                <w:rFonts w:hint="eastAsia" w:ascii="Times New Roman" w:hAnsi="Times New Roman"/>
                <w:szCs w:val="28"/>
                <w:highlight w:val="none"/>
              </w:rPr>
              <w:t>套</w:t>
            </w:r>
          </w:p>
        </w:tc>
        <w:tc>
          <w:tcPr>
            <w:tcW w:w="2440" w:type="pct"/>
            <w:vAlign w:val="center"/>
          </w:tcPr>
          <w:p w14:paraId="70F45DE2">
            <w:pPr>
              <w:pStyle w:val="128"/>
              <w:adjustRightInd w:val="0"/>
              <w:snapToGrid w:val="0"/>
              <w:spacing w:beforeLines="0" w:afterLines="0"/>
              <w:jc w:val="left"/>
              <w:rPr>
                <w:rFonts w:ascii="Times New Roman" w:hAnsi="Times New Roman"/>
                <w:szCs w:val="21"/>
                <w:highlight w:val="none"/>
              </w:rPr>
            </w:pPr>
            <w:r>
              <w:rPr>
                <w:rFonts w:hint="eastAsia" w:ascii="Times New Roman" w:hAnsi="Times New Roman"/>
                <w:szCs w:val="21"/>
                <w:highlight w:val="none"/>
              </w:rPr>
              <w:t>中文，或中英文对照</w:t>
            </w:r>
          </w:p>
        </w:tc>
      </w:tr>
      <w:tr w14:paraId="4564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0C73295E">
            <w:pPr>
              <w:pStyle w:val="128"/>
              <w:adjustRightInd w:val="0"/>
              <w:snapToGrid w:val="0"/>
              <w:spacing w:beforeLines="0" w:afterLines="0"/>
              <w:jc w:val="cente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.2</w:t>
            </w:r>
          </w:p>
        </w:tc>
        <w:tc>
          <w:tcPr>
            <w:tcW w:w="1488" w:type="pct"/>
            <w:vAlign w:val="center"/>
          </w:tcPr>
          <w:p w14:paraId="1D44060B">
            <w:pPr>
              <w:pStyle w:val="128"/>
              <w:adjustRightInd w:val="0"/>
              <w:snapToGrid w:val="0"/>
              <w:spacing w:beforeLines="0" w:afterLines="0"/>
              <w:rPr>
                <w:rFonts w:ascii="Times New Roman" w:hAnsi="Times New Roman"/>
                <w:szCs w:val="28"/>
                <w:highlight w:val="none"/>
              </w:rPr>
            </w:pPr>
            <w:r>
              <w:rPr>
                <w:rFonts w:hint="eastAsia" w:ascii="Times New Roman" w:hAnsi="Times New Roman"/>
                <w:szCs w:val="28"/>
                <w:highlight w:val="none"/>
              </w:rPr>
              <w:t>硬件说明书</w:t>
            </w:r>
          </w:p>
        </w:tc>
        <w:tc>
          <w:tcPr>
            <w:tcW w:w="513" w:type="pct"/>
            <w:vAlign w:val="center"/>
          </w:tcPr>
          <w:p w14:paraId="0F0A1D82">
            <w:pPr>
              <w:pStyle w:val="128"/>
              <w:adjustRightInd w:val="0"/>
              <w:snapToGrid w:val="0"/>
              <w:spacing w:beforeLines="0" w:afterLines="0"/>
              <w:jc w:val="center"/>
              <w:rPr>
                <w:rFonts w:ascii="Times New Roman" w:hAnsi="Times New Roman"/>
                <w:szCs w:val="28"/>
                <w:highlight w:val="none"/>
              </w:rPr>
            </w:pPr>
            <w:r>
              <w:rPr>
                <w:rFonts w:hint="eastAsia" w:ascii="Times New Roman" w:hAnsi="Times New Roman"/>
                <w:szCs w:val="28"/>
                <w:highlight w:val="none"/>
              </w:rPr>
              <w:t>1套</w:t>
            </w:r>
          </w:p>
        </w:tc>
        <w:tc>
          <w:tcPr>
            <w:tcW w:w="2440" w:type="pct"/>
            <w:vAlign w:val="center"/>
          </w:tcPr>
          <w:p w14:paraId="7F109A8F">
            <w:pPr>
              <w:pStyle w:val="128"/>
              <w:adjustRightInd w:val="0"/>
              <w:snapToGrid w:val="0"/>
              <w:spacing w:beforeLines="0" w:afterLines="0"/>
              <w:jc w:val="left"/>
              <w:rPr>
                <w:rFonts w:ascii="Times New Roman" w:hAnsi="Times New Roman"/>
                <w:szCs w:val="21"/>
                <w:highlight w:val="none"/>
              </w:rPr>
            </w:pPr>
            <w:r>
              <w:rPr>
                <w:rFonts w:hint="eastAsia" w:ascii="Times New Roman" w:hAnsi="Times New Roman"/>
                <w:szCs w:val="21"/>
                <w:highlight w:val="none"/>
              </w:rPr>
              <w:t>中文，或中英文对照</w:t>
            </w:r>
          </w:p>
        </w:tc>
      </w:tr>
      <w:tr w14:paraId="2DE8C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313260D6">
            <w:pPr>
              <w:pStyle w:val="128"/>
              <w:adjustRightInd w:val="0"/>
              <w:snapToGrid w:val="0"/>
              <w:spacing w:beforeLines="0" w:afterLines="0"/>
              <w:jc w:val="cente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.3</w:t>
            </w:r>
          </w:p>
        </w:tc>
        <w:tc>
          <w:tcPr>
            <w:tcW w:w="1488" w:type="pct"/>
            <w:vAlign w:val="center"/>
          </w:tcPr>
          <w:p w14:paraId="6B65051C">
            <w:pPr>
              <w:pStyle w:val="128"/>
              <w:adjustRightInd w:val="0"/>
              <w:snapToGrid w:val="0"/>
              <w:spacing w:beforeLines="0" w:afterLines="0"/>
              <w:rPr>
                <w:rFonts w:ascii="Times New Roman" w:hAnsi="Times New Roman"/>
                <w:szCs w:val="28"/>
                <w:highlight w:val="none"/>
              </w:rPr>
            </w:pPr>
            <w:r>
              <w:rPr>
                <w:rFonts w:hint="eastAsia" w:ascii="Times New Roman" w:hAnsi="Times New Roman"/>
                <w:szCs w:val="28"/>
                <w:highlight w:val="none"/>
              </w:rPr>
              <w:t>软件使用说明书</w:t>
            </w:r>
          </w:p>
        </w:tc>
        <w:tc>
          <w:tcPr>
            <w:tcW w:w="513" w:type="pct"/>
            <w:vAlign w:val="center"/>
          </w:tcPr>
          <w:p w14:paraId="3CB31BFA">
            <w:pPr>
              <w:pStyle w:val="128"/>
              <w:adjustRightInd w:val="0"/>
              <w:snapToGrid w:val="0"/>
              <w:spacing w:beforeLines="0" w:afterLines="0"/>
              <w:jc w:val="center"/>
              <w:rPr>
                <w:rFonts w:ascii="Times New Roman" w:hAnsi="Times New Roman"/>
                <w:szCs w:val="28"/>
                <w:highlight w:val="none"/>
              </w:rPr>
            </w:pPr>
            <w:r>
              <w:rPr>
                <w:rFonts w:hint="eastAsia" w:ascii="Times New Roman" w:hAnsi="Times New Roman"/>
                <w:szCs w:val="28"/>
                <w:highlight w:val="none"/>
              </w:rPr>
              <w:t>1套</w:t>
            </w:r>
          </w:p>
        </w:tc>
        <w:tc>
          <w:tcPr>
            <w:tcW w:w="2440" w:type="pct"/>
            <w:vAlign w:val="center"/>
          </w:tcPr>
          <w:p w14:paraId="25D404B0">
            <w:pPr>
              <w:pStyle w:val="128"/>
              <w:adjustRightInd w:val="0"/>
              <w:snapToGrid w:val="0"/>
              <w:spacing w:beforeLines="0" w:afterLines="0"/>
              <w:jc w:val="left"/>
              <w:rPr>
                <w:rFonts w:ascii="Times New Roman" w:hAnsi="Times New Roman"/>
                <w:szCs w:val="21"/>
                <w:highlight w:val="none"/>
              </w:rPr>
            </w:pPr>
            <w:r>
              <w:rPr>
                <w:rFonts w:hint="eastAsia" w:ascii="Times New Roman" w:hAnsi="Times New Roman"/>
                <w:szCs w:val="21"/>
                <w:highlight w:val="none"/>
              </w:rPr>
              <w:t>中文，或中英文对照</w:t>
            </w:r>
          </w:p>
        </w:tc>
      </w:tr>
      <w:tr w14:paraId="26C78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0E11DF31">
            <w:pPr>
              <w:pStyle w:val="128"/>
              <w:adjustRightInd w:val="0"/>
              <w:snapToGrid w:val="0"/>
              <w:spacing w:beforeLines="0" w:afterLines="0"/>
              <w:jc w:val="center"/>
              <w:rPr>
                <w:rFonts w:ascii="Times New Roman" w:hAnsi="Times New Roman"/>
                <w:b/>
                <w:highlight w:val="none"/>
              </w:rPr>
            </w:pPr>
            <w:r>
              <w:rPr>
                <w:rFonts w:hint="eastAsia" w:ascii="Times New Roman" w:hAnsi="Times New Roman"/>
                <w:b/>
                <w:highlight w:val="none"/>
              </w:rPr>
              <w:t>3</w:t>
            </w:r>
          </w:p>
        </w:tc>
        <w:tc>
          <w:tcPr>
            <w:tcW w:w="1488" w:type="pct"/>
            <w:vAlign w:val="center"/>
          </w:tcPr>
          <w:p w14:paraId="1992C913">
            <w:pPr>
              <w:pStyle w:val="128"/>
              <w:adjustRightInd w:val="0"/>
              <w:snapToGrid w:val="0"/>
              <w:spacing w:beforeLines="0" w:afterLines="0"/>
              <w:rPr>
                <w:rFonts w:ascii="Times New Roman" w:hAnsi="Times New Roman"/>
                <w:b/>
                <w:szCs w:val="28"/>
                <w:highlight w:val="none"/>
              </w:rPr>
            </w:pPr>
            <w:r>
              <w:rPr>
                <w:rFonts w:hint="eastAsia" w:ascii="Times New Roman" w:hAnsi="Times New Roman" w:cs="宋体"/>
                <w:b/>
                <w:bCs/>
                <w:highlight w:val="none"/>
              </w:rPr>
              <w:t>工程服务</w:t>
            </w:r>
          </w:p>
        </w:tc>
        <w:tc>
          <w:tcPr>
            <w:tcW w:w="513" w:type="pct"/>
            <w:vAlign w:val="center"/>
          </w:tcPr>
          <w:p w14:paraId="2B580FD8">
            <w:pPr>
              <w:pStyle w:val="128"/>
              <w:adjustRightInd w:val="0"/>
              <w:snapToGrid w:val="0"/>
              <w:spacing w:beforeLines="0" w:afterLines="0"/>
              <w:jc w:val="center"/>
              <w:rPr>
                <w:rFonts w:ascii="Times New Roman" w:hAnsi="Times New Roman"/>
                <w:b/>
                <w:highlight w:val="none"/>
              </w:rPr>
            </w:pPr>
          </w:p>
        </w:tc>
        <w:tc>
          <w:tcPr>
            <w:tcW w:w="2440" w:type="pct"/>
            <w:vAlign w:val="center"/>
          </w:tcPr>
          <w:p w14:paraId="5C222778">
            <w:pPr>
              <w:pStyle w:val="128"/>
              <w:adjustRightInd w:val="0"/>
              <w:snapToGrid w:val="0"/>
              <w:spacing w:beforeLines="0" w:afterLines="0"/>
              <w:jc w:val="left"/>
              <w:rPr>
                <w:rFonts w:ascii="Times New Roman" w:hAnsi="Times New Roman"/>
                <w:b/>
                <w:highlight w:val="none"/>
              </w:rPr>
            </w:pPr>
          </w:p>
        </w:tc>
      </w:tr>
      <w:tr w14:paraId="4A29E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14:paraId="4D0B3AE2">
            <w:pPr>
              <w:pStyle w:val="128"/>
              <w:adjustRightInd w:val="0"/>
              <w:snapToGrid w:val="0"/>
              <w:spacing w:beforeLines="0" w:afterLines="0"/>
              <w:jc w:val="center"/>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rPr>
              <w:t>1</w:t>
            </w:r>
          </w:p>
        </w:tc>
        <w:tc>
          <w:tcPr>
            <w:tcW w:w="1488" w:type="pct"/>
            <w:vAlign w:val="center"/>
          </w:tcPr>
          <w:p w14:paraId="280E6335">
            <w:pPr>
              <w:pStyle w:val="128"/>
              <w:adjustRightInd w:val="0"/>
              <w:snapToGrid w:val="0"/>
              <w:spacing w:beforeLines="0" w:afterLines="0"/>
              <w:rPr>
                <w:rFonts w:ascii="Times New Roman" w:hAnsi="Times New Roman"/>
                <w:szCs w:val="28"/>
                <w:highlight w:val="none"/>
              </w:rPr>
            </w:pPr>
            <w:r>
              <w:rPr>
                <w:rFonts w:hint="eastAsia" w:ascii="Times New Roman" w:hAnsi="Times New Roman"/>
                <w:szCs w:val="28"/>
                <w:highlight w:val="none"/>
              </w:rPr>
              <w:t>技术培训</w:t>
            </w:r>
          </w:p>
        </w:tc>
        <w:tc>
          <w:tcPr>
            <w:tcW w:w="513" w:type="pct"/>
            <w:vAlign w:val="center"/>
          </w:tcPr>
          <w:p w14:paraId="0B0FCF97">
            <w:pPr>
              <w:pStyle w:val="128"/>
              <w:adjustRightInd w:val="0"/>
              <w:snapToGrid w:val="0"/>
              <w:spacing w:beforeLines="0" w:afterLines="0"/>
              <w:jc w:val="center"/>
              <w:rPr>
                <w:rFonts w:ascii="Times New Roman" w:hAnsi="Times New Roman"/>
                <w:szCs w:val="28"/>
                <w:highlight w:val="none"/>
              </w:rPr>
            </w:pPr>
            <w:r>
              <w:rPr>
                <w:rFonts w:hint="eastAsia" w:ascii="Times New Roman" w:hAnsi="Times New Roman"/>
                <w:szCs w:val="28"/>
                <w:highlight w:val="none"/>
              </w:rPr>
              <w:t>1套</w:t>
            </w:r>
          </w:p>
        </w:tc>
        <w:tc>
          <w:tcPr>
            <w:tcW w:w="2440" w:type="pct"/>
            <w:vAlign w:val="center"/>
          </w:tcPr>
          <w:p w14:paraId="75578F66">
            <w:pPr>
              <w:pStyle w:val="128"/>
              <w:adjustRightInd w:val="0"/>
              <w:snapToGrid w:val="0"/>
              <w:spacing w:beforeLines="0" w:afterLines="0"/>
              <w:jc w:val="left"/>
              <w:rPr>
                <w:rFonts w:ascii="Times New Roman" w:hAnsi="Times New Roman"/>
                <w:sz w:val="18"/>
                <w:szCs w:val="18"/>
                <w:highlight w:val="none"/>
              </w:rPr>
            </w:pPr>
          </w:p>
        </w:tc>
      </w:tr>
    </w:tbl>
    <w:p w14:paraId="22DE54B9">
      <w:pPr>
        <w:spacing w:before="240" w:beforeLines="100" w:line="360" w:lineRule="auto"/>
        <w:ind w:firstLine="482" w:firstLineChars="200"/>
        <w:rPr>
          <w:rFonts w:ascii="Times New Roman" w:hAnsi="Times New Roman" w:eastAsia="宋体" w:cs="宋体"/>
          <w:b/>
          <w:color w:val="000000"/>
          <w:sz w:val="24"/>
          <w:szCs w:val="24"/>
          <w:highlight w:val="none"/>
        </w:rPr>
      </w:pPr>
      <w:r>
        <w:rPr>
          <w:rFonts w:hint="eastAsia" w:ascii="Times New Roman" w:hAnsi="Times New Roman" w:eastAsia="宋体" w:cs="宋体"/>
          <w:b/>
          <w:color w:val="000000"/>
          <w:sz w:val="24"/>
          <w:szCs w:val="24"/>
          <w:highlight w:val="none"/>
        </w:rPr>
        <w:t>（一）一般界定</w:t>
      </w:r>
    </w:p>
    <w:p w14:paraId="27E988FA">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67D7A912">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2.包括为保证货物正常安装、调试和验收完成及以前所必需的整套配件、附件及材料、油料、控制软件及程序或指令等。</w:t>
      </w:r>
    </w:p>
    <w:p w14:paraId="4C37B3C5">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如果终验收完成后，投标人有需要收回的配件、附件、材料、油料等，应当在投标文件的技术偏离条款中，予以详细说明；否则视同包括在供货范围之内。</w:t>
      </w:r>
    </w:p>
    <w:p w14:paraId="4046192F">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3.包括货物维护维修所必需的专用工具。</w:t>
      </w:r>
    </w:p>
    <w:p w14:paraId="2E606B4E">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3828D3E">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包括为保证货物自身正常运行所必需的、满足使用地点环境条件的通风、冷却、降温等必需设施。</w:t>
      </w:r>
    </w:p>
    <w:p w14:paraId="41E326B3">
      <w:pPr>
        <w:spacing w:line="360" w:lineRule="auto"/>
        <w:ind w:firstLine="480" w:firstLineChars="200"/>
        <w:rPr>
          <w:rFonts w:ascii="Times New Roman" w:hAnsi="Times New Roman" w:eastAsia="宋体" w:cs="宋体"/>
          <w:color w:val="000000"/>
          <w:sz w:val="24"/>
          <w:szCs w:val="24"/>
          <w:highlight w:val="none"/>
        </w:rPr>
      </w:pPr>
      <w:r>
        <w:rPr>
          <w:rFonts w:hint="eastAsia" w:ascii="Times New Roman" w:hAnsi="Times New Roman" w:eastAsia="宋体" w:cs="宋体"/>
          <w:sz w:val="24"/>
          <w:szCs w:val="24"/>
          <w:highlight w:val="none"/>
        </w:rPr>
        <w:t>如投标人难以提供或无优势提供以及属于选用配置的，则应当在投标文件的技术偏离条款中，予以详细说明并注明投标报价未包含该部分的货值</w:t>
      </w:r>
      <w:r>
        <w:rPr>
          <w:rFonts w:hint="eastAsia" w:ascii="Times New Roman" w:hAnsi="Times New Roman" w:eastAsia="宋体" w:cs="宋体"/>
          <w:color w:val="000000"/>
          <w:sz w:val="24"/>
          <w:szCs w:val="24"/>
          <w:highlight w:val="none"/>
        </w:rPr>
        <w:t>。</w:t>
      </w:r>
    </w:p>
    <w:p w14:paraId="10E91835">
      <w:pPr>
        <w:spacing w:line="360" w:lineRule="auto"/>
        <w:ind w:firstLine="482" w:firstLineChars="200"/>
        <w:rPr>
          <w:rFonts w:ascii="Times New Roman" w:hAnsi="Times New Roman" w:eastAsia="宋体" w:cs="宋体"/>
          <w:b/>
          <w:color w:val="000000"/>
          <w:sz w:val="24"/>
          <w:szCs w:val="24"/>
          <w:highlight w:val="none"/>
        </w:rPr>
      </w:pPr>
      <w:r>
        <w:rPr>
          <w:rFonts w:hint="eastAsia" w:ascii="Times New Roman" w:hAnsi="Times New Roman" w:eastAsia="宋体" w:cs="宋体"/>
          <w:b/>
          <w:color w:val="000000"/>
          <w:sz w:val="24"/>
          <w:szCs w:val="24"/>
          <w:highlight w:val="none"/>
        </w:rPr>
        <w:t>（二）供货范围边界界定</w:t>
      </w:r>
    </w:p>
    <w:p w14:paraId="1193D17C">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1.买方提供货物所需的建筑物（如厂房等）和构筑物（如混凝土池、砼基础等），包含正常安装施工所需的预埋件（如穿管、预埋螺栓、螺母及垫片）。</w:t>
      </w:r>
    </w:p>
    <w:p w14:paraId="7077F920">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r>
        <w:rPr>
          <w:rFonts w:hint="eastAsia" w:ascii="宋体" w:hAnsi="宋体" w:eastAsia="宋体" w:cs="宋体"/>
          <w:sz w:val="24"/>
          <w:szCs w:val="24"/>
          <w:highlight w:val="none"/>
        </w:rPr>
        <w:t>（自设备至接线端之间电源线或电缆，由卖方负责提供）</w:t>
      </w:r>
    </w:p>
    <w:p w14:paraId="7449D9C4">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如果投标人认为能源系统接口地点以及操控地点之间的货物数量不清或难以界定，应当以书面方式询标或以单价方式报价；否则视同满足招标人要求。</w:t>
      </w:r>
    </w:p>
    <w:p w14:paraId="1FABB2B8">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36109086">
      <w:pPr>
        <w:spacing w:line="360" w:lineRule="auto"/>
        <w:ind w:firstLine="480" w:firstLineChars="200"/>
        <w:rPr>
          <w:rFonts w:ascii="Times New Roman" w:hAnsi="Times New Roman" w:eastAsia="宋体" w:cs="宋体"/>
          <w:color w:val="000000"/>
          <w:sz w:val="24"/>
          <w:szCs w:val="24"/>
          <w:highlight w:val="none"/>
        </w:rPr>
      </w:pPr>
      <w:r>
        <w:rPr>
          <w:rFonts w:hint="eastAsia" w:ascii="Times New Roman" w:hAnsi="Times New Roman" w:eastAsia="宋体" w:cs="宋体"/>
          <w:sz w:val="24"/>
          <w:szCs w:val="24"/>
          <w:highlight w:val="none"/>
        </w:rPr>
        <w:t>4.以“交钥匙”方式采购的货物，在满足技术标书本节上述要求之外，同时包括货物正常运行、使用所需要的过桥、护栏、防护网、盖板等辅助设</w:t>
      </w:r>
      <w:r>
        <w:rPr>
          <w:rFonts w:hint="eastAsia" w:ascii="Times New Roman" w:hAnsi="Times New Roman" w:eastAsia="宋体" w:cs="宋体"/>
          <w:color w:val="000000"/>
          <w:sz w:val="24"/>
          <w:szCs w:val="24"/>
          <w:highlight w:val="none"/>
        </w:rPr>
        <w:t>。</w:t>
      </w:r>
    </w:p>
    <w:p w14:paraId="22EA87C0">
      <w:pPr>
        <w:spacing w:line="360" w:lineRule="auto"/>
        <w:ind w:firstLine="482" w:firstLineChars="200"/>
        <w:outlineLvl w:val="3"/>
        <w:rPr>
          <w:rFonts w:ascii="Times New Roman" w:hAnsi="Times New Roman" w:eastAsia="宋体" w:cs="宋体"/>
          <w:b/>
          <w:bCs/>
          <w:sz w:val="24"/>
          <w:szCs w:val="24"/>
          <w:highlight w:val="none"/>
        </w:rPr>
      </w:pPr>
      <w:r>
        <w:rPr>
          <w:rFonts w:hint="eastAsia" w:ascii="Times New Roman" w:hAnsi="Times New Roman" w:eastAsia="宋体" w:cs="宋体"/>
          <w:b/>
          <w:bCs/>
          <w:sz w:val="24"/>
          <w:szCs w:val="24"/>
          <w:highlight w:val="none"/>
        </w:rPr>
        <w:t>二、备品备件、易损件和专用耗材供货范围</w:t>
      </w:r>
    </w:p>
    <w:p w14:paraId="2980DD91">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1.备品备件、易损件和专用耗材是招标人为保证货物质保期之后正常运行一年所自备自用的备品备件、易损件和专用耗材。</w:t>
      </w:r>
    </w:p>
    <w:p w14:paraId="358AC086">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质保期之内正常需要的备品备件、易损件和专用耗材全部包括在供货范围之内而不属于本条款界定的范围（应有明细）。</w:t>
      </w:r>
    </w:p>
    <w:p w14:paraId="1AEC3171">
      <w:pPr>
        <w:spacing w:line="360" w:lineRule="auto"/>
        <w:ind w:firstLine="480" w:firstLineChars="200"/>
        <w:rPr>
          <w:rFonts w:ascii="Times New Roman" w:hAnsi="Times New Roman" w:eastAsia="宋体" w:cs="宋体"/>
          <w:color w:val="000000"/>
          <w:sz w:val="24"/>
          <w:szCs w:val="24"/>
          <w:highlight w:val="none"/>
        </w:rPr>
      </w:pPr>
      <w:r>
        <w:rPr>
          <w:rFonts w:hint="eastAsia" w:ascii="Times New Roman" w:hAnsi="Times New Roman" w:eastAsia="宋体" w:cs="宋体"/>
          <w:sz w:val="24"/>
          <w:szCs w:val="24"/>
          <w:highlight w:val="none"/>
        </w:rPr>
        <w:t>2.供货范围包括易损件和专用耗材的制造图纸及其技术要求等资料，如涉及专有技术或无法提供，应在投标文件中予以澄清或说明</w:t>
      </w:r>
      <w:r>
        <w:rPr>
          <w:rFonts w:hint="eastAsia" w:ascii="Times New Roman" w:hAnsi="Times New Roman" w:eastAsia="宋体" w:cs="宋体"/>
          <w:color w:val="000000"/>
          <w:sz w:val="24"/>
          <w:szCs w:val="24"/>
          <w:highlight w:val="none"/>
        </w:rPr>
        <w:t>。</w:t>
      </w:r>
    </w:p>
    <w:p w14:paraId="546B2854">
      <w:pPr>
        <w:spacing w:line="360" w:lineRule="auto"/>
        <w:ind w:firstLine="482" w:firstLineChars="200"/>
        <w:outlineLvl w:val="3"/>
        <w:rPr>
          <w:rFonts w:ascii="Times New Roman" w:hAnsi="Times New Roman" w:eastAsia="宋体" w:cs="宋体"/>
          <w:b/>
          <w:bCs/>
          <w:sz w:val="24"/>
          <w:szCs w:val="24"/>
          <w:highlight w:val="none"/>
        </w:rPr>
      </w:pPr>
      <w:r>
        <w:rPr>
          <w:rFonts w:hint="eastAsia" w:ascii="Times New Roman" w:hAnsi="Times New Roman" w:eastAsia="宋体" w:cs="宋体"/>
          <w:b/>
          <w:bCs/>
          <w:sz w:val="24"/>
          <w:szCs w:val="24"/>
          <w:highlight w:val="none"/>
        </w:rPr>
        <w:t>三、技术资料供货范围</w:t>
      </w:r>
    </w:p>
    <w:p w14:paraId="0C80A6AE">
      <w:pPr>
        <w:spacing w:line="360" w:lineRule="auto"/>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sz w:val="24"/>
          <w:szCs w:val="24"/>
          <w:highlight w:val="none"/>
        </w:rPr>
        <w:t>技术资料供货范</w:t>
      </w:r>
      <w:r>
        <w:rPr>
          <w:rFonts w:hint="eastAsia" w:ascii="Times New Roman" w:hAnsi="Times New Roman" w:eastAsia="宋体" w:cs="宋体"/>
          <w:bCs/>
          <w:sz w:val="24"/>
          <w:szCs w:val="24"/>
          <w:highlight w:val="none"/>
        </w:rPr>
        <w:t>围包括：</w:t>
      </w:r>
    </w:p>
    <w:p w14:paraId="6A6F9782">
      <w:pPr>
        <w:spacing w:line="360" w:lineRule="auto"/>
        <w:ind w:firstLine="480" w:firstLineChars="200"/>
        <w:rPr>
          <w:rFonts w:ascii="Times New Roman" w:hAnsi="Times New Roman" w:eastAsia="宋体" w:cs="宋体"/>
          <w:bCs/>
          <w:sz w:val="24"/>
          <w:szCs w:val="24"/>
          <w:highlight w:val="none"/>
        </w:rPr>
      </w:pPr>
      <w:r>
        <w:rPr>
          <w:rFonts w:hint="eastAsia" w:ascii="Times New Roman" w:hAnsi="Times New Roman" w:eastAsia="宋体" w:cs="宋体"/>
          <w:bCs/>
          <w:sz w:val="24"/>
          <w:szCs w:val="24"/>
          <w:highlight w:val="none"/>
        </w:rPr>
        <w:t>1.在合同签订后</w:t>
      </w:r>
      <w:r>
        <w:rPr>
          <w:rFonts w:hint="eastAsia" w:ascii="Times New Roman" w:hAnsi="Times New Roman" w:eastAsia="宋体" w:cs="宋体"/>
          <w:bCs/>
          <w:sz w:val="24"/>
          <w:szCs w:val="24"/>
          <w:highlight w:val="none"/>
          <w:u w:val="single"/>
        </w:rPr>
        <w:t xml:space="preserve"> 60 </w:t>
      </w:r>
      <w:r>
        <w:rPr>
          <w:rFonts w:hint="eastAsia" w:ascii="Times New Roman" w:hAnsi="Times New Roman" w:eastAsia="宋体" w:cs="宋体"/>
          <w:bCs/>
          <w:sz w:val="24"/>
          <w:szCs w:val="24"/>
          <w:highlight w:val="none"/>
        </w:rPr>
        <w:t>个日历日内，提供货物基础及相关的设计、制作所需的纸质及电子版资料；电子版文件应当能够使用常用版本软件可以阅读甚至使用，进口货物、设备应有中外文对照。</w:t>
      </w:r>
    </w:p>
    <w:p w14:paraId="41833655">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2.在预验收前，提供货物各部分的功能描述文件、图片、影像等资料（进口、设备应有中外文对照）。</w:t>
      </w:r>
    </w:p>
    <w:p w14:paraId="527B34BD">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E676830">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4.在终验收前，提供确定的维修所需要且买方可以自行采购的外购件、外协件、电气元件及主要原材料的供货厂家明细表。</w:t>
      </w:r>
    </w:p>
    <w:p w14:paraId="31D8566C">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5.在终验收后的第一笔货款支付日之前，提供包括货物的备品备件、易损件和专用耗材的图纸及技术参数、技术要求等资料。</w:t>
      </w:r>
    </w:p>
    <w:p w14:paraId="2C23A55E">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8E4BD87">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F385EC0">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8.本条款所列的技术资料、图片、影像等，投标人应各提供</w:t>
      </w:r>
      <w:r>
        <w:rPr>
          <w:rFonts w:ascii="Times New Roman" w:hAnsi="Times New Roman" w:eastAsia="宋体" w:cs="宋体"/>
          <w:sz w:val="24"/>
          <w:szCs w:val="24"/>
          <w:highlight w:val="none"/>
        </w:rPr>
        <w:t>3</w:t>
      </w:r>
      <w:r>
        <w:rPr>
          <w:rFonts w:hint="eastAsia" w:ascii="Times New Roman" w:hAnsi="Times New Roman" w:eastAsia="宋体" w:cs="宋体"/>
          <w:sz w:val="24"/>
          <w:szCs w:val="24"/>
          <w:highlight w:val="none"/>
        </w:rPr>
        <w:t>套，其中</w:t>
      </w:r>
      <w:r>
        <w:rPr>
          <w:rFonts w:ascii="Times New Roman" w:hAnsi="Times New Roman" w:eastAsia="宋体" w:cs="宋体"/>
          <w:sz w:val="24"/>
          <w:szCs w:val="24"/>
          <w:highlight w:val="none"/>
        </w:rPr>
        <w:t>1</w:t>
      </w:r>
      <w:r>
        <w:rPr>
          <w:rFonts w:hint="eastAsia" w:ascii="Times New Roman" w:hAnsi="Times New Roman" w:eastAsia="宋体" w:cs="宋体"/>
          <w:sz w:val="24"/>
          <w:szCs w:val="24"/>
          <w:highlight w:val="none"/>
        </w:rPr>
        <w:t>套为电子版光盘；每份技术文件应装有目录清单。</w:t>
      </w:r>
    </w:p>
    <w:p w14:paraId="0D73C91D">
      <w:pPr>
        <w:spacing w:line="360" w:lineRule="auto"/>
        <w:ind w:firstLine="480" w:firstLineChars="200"/>
        <w:rPr>
          <w:rFonts w:ascii="Times New Roman" w:hAnsi="Times New Roman" w:eastAsia="宋体" w:cs="宋体"/>
          <w:color w:val="000000"/>
          <w:sz w:val="24"/>
          <w:szCs w:val="24"/>
          <w:highlight w:val="none"/>
        </w:rPr>
      </w:pPr>
      <w:r>
        <w:rPr>
          <w:rFonts w:hint="eastAsia" w:ascii="Times New Roman" w:hAnsi="Times New Roman" w:eastAsia="宋体" w:cs="宋体"/>
          <w:sz w:val="24"/>
          <w:szCs w:val="24"/>
          <w:highlight w:val="none"/>
        </w:rPr>
        <w:t>9.本条款所列要求，如招标人认为投标人提供的资料不能满足要求时，有权要求投标人免费补充或增加</w:t>
      </w:r>
      <w:r>
        <w:rPr>
          <w:rFonts w:hint="eastAsia" w:ascii="Times New Roman" w:hAnsi="Times New Roman" w:eastAsia="宋体" w:cs="宋体"/>
          <w:color w:val="000000"/>
          <w:sz w:val="24"/>
          <w:szCs w:val="24"/>
          <w:highlight w:val="none"/>
        </w:rPr>
        <w:t>。</w:t>
      </w:r>
    </w:p>
    <w:p w14:paraId="4AC3DB10">
      <w:pPr>
        <w:spacing w:line="360" w:lineRule="auto"/>
        <w:ind w:firstLine="482" w:firstLineChars="200"/>
        <w:outlineLvl w:val="3"/>
        <w:rPr>
          <w:rFonts w:ascii="Times New Roman" w:hAnsi="Times New Roman" w:eastAsia="宋体" w:cs="宋体"/>
          <w:b/>
          <w:bCs/>
          <w:sz w:val="24"/>
          <w:szCs w:val="24"/>
          <w:highlight w:val="none"/>
        </w:rPr>
      </w:pPr>
      <w:r>
        <w:rPr>
          <w:rFonts w:hint="eastAsia" w:ascii="Times New Roman" w:hAnsi="Times New Roman" w:eastAsia="宋体" w:cs="宋体"/>
          <w:b/>
          <w:bCs/>
          <w:sz w:val="24"/>
          <w:szCs w:val="24"/>
          <w:highlight w:val="none"/>
        </w:rPr>
        <w:t>四、供货范围特别提示</w:t>
      </w:r>
    </w:p>
    <w:p w14:paraId="06DD12C2">
      <w:pPr>
        <w:spacing w:line="360" w:lineRule="auto"/>
        <w:ind w:firstLine="480" w:firstLineChars="200"/>
        <w:rPr>
          <w:rFonts w:ascii="Times New Roman" w:hAnsi="Times New Roman" w:eastAsia="宋体" w:cs="宋体"/>
          <w:color w:val="000000"/>
          <w:sz w:val="24"/>
          <w:szCs w:val="24"/>
          <w:highlight w:val="none"/>
        </w:rPr>
      </w:pPr>
      <w:r>
        <w:rPr>
          <w:rFonts w:hint="eastAsia" w:ascii="Times New Roman" w:hAnsi="Times New Roman" w:eastAsia="宋体" w:cs="宋体"/>
          <w:sz w:val="24"/>
          <w:szCs w:val="24"/>
          <w:highlight w:val="none"/>
        </w:rPr>
        <w:t>如果投标人认为本节所列的供货范围难以满足，则仍需要按照本要求提供，但该部分货物应当在投标报价中单独列明货物名称及品质、货值</w:t>
      </w:r>
      <w:r>
        <w:rPr>
          <w:rFonts w:hint="eastAsia" w:ascii="Times New Roman" w:hAnsi="Times New Roman" w:eastAsia="宋体" w:cs="宋体"/>
          <w:color w:val="000000"/>
          <w:sz w:val="24"/>
          <w:szCs w:val="24"/>
          <w:highlight w:val="none"/>
        </w:rPr>
        <w:t>。</w:t>
      </w:r>
    </w:p>
    <w:p w14:paraId="05EB6388">
      <w:pPr>
        <w:keepNext/>
        <w:keepLines/>
        <w:spacing w:before="120" w:after="120" w:line="480" w:lineRule="exact"/>
        <w:jc w:val="center"/>
        <w:outlineLvl w:val="1"/>
        <w:rPr>
          <w:rFonts w:ascii="Times New Roman" w:hAnsi="Times New Roman" w:eastAsia="宋体" w:cs="Times New Roman"/>
          <w:b/>
          <w:bCs/>
          <w:kern w:val="44"/>
          <w:sz w:val="28"/>
          <w:szCs w:val="28"/>
          <w:highlight w:val="none"/>
        </w:rPr>
      </w:pPr>
      <w:bookmarkStart w:id="47" w:name="_Toc169605884"/>
      <w:r>
        <w:rPr>
          <w:rFonts w:hint="eastAsia" w:ascii="Times New Roman" w:hAnsi="Times New Roman" w:eastAsia="宋体" w:cs="Times New Roman"/>
          <w:b/>
          <w:bCs/>
          <w:kern w:val="44"/>
          <w:sz w:val="28"/>
          <w:szCs w:val="28"/>
          <w:highlight w:val="none"/>
        </w:rPr>
        <w:t>第四章  质保期及售后服务</w:t>
      </w:r>
      <w:bookmarkEnd w:id="47"/>
    </w:p>
    <w:p w14:paraId="01883D78">
      <w:pPr>
        <w:pStyle w:val="121"/>
        <w:spacing w:line="360" w:lineRule="auto"/>
        <w:rPr>
          <w:highlight w:val="none"/>
        </w:rPr>
      </w:pPr>
      <w:r>
        <w:rPr>
          <w:rFonts w:hint="eastAsia"/>
          <w:highlight w:val="none"/>
        </w:rPr>
        <w:t>一、质保期及质保要求</w:t>
      </w:r>
    </w:p>
    <w:p w14:paraId="613EA17B">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1.全部供货范围内的设备、材料、零配件和工器具等，除合同特别约定外，其质保期均自终验收签字生效之日起</w:t>
      </w:r>
      <w:r>
        <w:rPr>
          <w:rFonts w:hint="eastAsia" w:ascii="Times New Roman" w:hAnsi="Times New Roman" w:eastAsia="宋体" w:cs="宋体"/>
          <w:sz w:val="24"/>
          <w:szCs w:val="24"/>
          <w:highlight w:val="none"/>
          <w:u w:val="single"/>
        </w:rPr>
        <w:t xml:space="preserve"> 24 </w:t>
      </w:r>
      <w:r>
        <w:rPr>
          <w:rFonts w:hint="eastAsia" w:ascii="Times New Roman" w:hAnsi="Times New Roman" w:eastAsia="宋体" w:cs="宋体"/>
          <w:sz w:val="24"/>
          <w:szCs w:val="24"/>
          <w:highlight w:val="none"/>
        </w:rPr>
        <w:t>个月。</w:t>
      </w:r>
    </w:p>
    <w:p w14:paraId="28B41DBA">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投标货物或涉及的关键总成和零件，如果有更长时间质保期，允许更改并说明，此将有利于投标人。</w:t>
      </w:r>
    </w:p>
    <w:p w14:paraId="4CE50F3D">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设计使用寿命短于质保期的易损件除外，但属于易损件的，应当有明确说明。</w:t>
      </w:r>
    </w:p>
    <w:p w14:paraId="017A55A7">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2.质保期之内，如果货物出现设备、总成、关键零部件或者多处一般零部件的二次以上的更换或维修行为，则质保期自更换或维修行为结束、货物重新正常运行使用之日起重新计算。</w:t>
      </w:r>
    </w:p>
    <w:p w14:paraId="1C2284BA">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3.质保期内免费提供零部件和及时有效的服务。质保期内因货物本身缺陷造成的各种故障，卖方应负责免费维修和服务。</w:t>
      </w:r>
    </w:p>
    <w:p w14:paraId="4B6CDCC8">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4.质保期终止之日起一年内重复出现的质保期之内出现的故障，仍属质保范围而且应当免费。</w:t>
      </w:r>
    </w:p>
    <w:p w14:paraId="2F0B7A75">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w:t>
      </w:r>
      <w:r>
        <w:rPr>
          <w:rFonts w:ascii="Times New Roman" w:hAnsi="Times New Roman" w:eastAsia="宋体" w:cs="宋体"/>
          <w:sz w:val="24"/>
          <w:szCs w:val="24"/>
          <w:highlight w:val="none"/>
        </w:rPr>
        <w:t>.</w:t>
      </w:r>
      <w:r>
        <w:rPr>
          <w:rFonts w:hint="eastAsia" w:ascii="Times New Roman" w:hAnsi="Times New Roman" w:eastAsia="宋体" w:cs="宋体"/>
          <w:sz w:val="24"/>
          <w:szCs w:val="24"/>
          <w:highlight w:val="none"/>
        </w:rPr>
        <w:t>质保期内免费提供针对本技术条件要求内容范围内的测试脚本开发适配服务。</w:t>
      </w:r>
    </w:p>
    <w:p w14:paraId="6CEBEA03">
      <w:pPr>
        <w:pStyle w:val="121"/>
        <w:spacing w:line="360" w:lineRule="auto"/>
        <w:rPr>
          <w:highlight w:val="none"/>
        </w:rPr>
      </w:pPr>
      <w:r>
        <w:rPr>
          <w:rFonts w:hint="eastAsia"/>
          <w:highlight w:val="none"/>
        </w:rPr>
        <w:t>二、技术及培训服务</w:t>
      </w:r>
    </w:p>
    <w:p w14:paraId="70875E42">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0CDCF854">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2.应免费提供一定数量的培训资料。</w:t>
      </w:r>
    </w:p>
    <w:p w14:paraId="674E6638">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3.应按要求免费积极协助和提供买方以及买方所委托的工程设计单位有关人员所需要的、与货物有关的工程设计资料、技术咨询等。</w:t>
      </w:r>
    </w:p>
    <w:p w14:paraId="48001429">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4.若卖方提供货物涉及到外购外协货物、而且该货物的技术质量等较为关键时，卖方应能保证得到配套厂家的技术支持，并免费为买方提供技术服务。</w:t>
      </w:r>
    </w:p>
    <w:p w14:paraId="4804F715">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4AF27BC">
      <w:pPr>
        <w:pStyle w:val="121"/>
        <w:spacing w:line="360" w:lineRule="auto"/>
        <w:rPr>
          <w:highlight w:val="none"/>
        </w:rPr>
      </w:pPr>
      <w:r>
        <w:rPr>
          <w:rFonts w:hint="eastAsia"/>
          <w:highlight w:val="none"/>
        </w:rPr>
        <w:t>三、安装调试及验收服务</w:t>
      </w:r>
    </w:p>
    <w:p w14:paraId="3029FB57">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20D7CD7D">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2.若卖方提供的货物涉及到外购外协货物、而且该货物的技术质量等较为关键时，应保证能得到供应商的技术支持，并免费为买方提供安装使用现场的指导与培训。</w:t>
      </w:r>
    </w:p>
    <w:p w14:paraId="658F0158">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9186548">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53008078">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5.卖方应当向买方提供货物试验、验收的有关标准、规范和方法，同时提供货物涉及并使用的软件合法性证明。</w:t>
      </w:r>
    </w:p>
    <w:p w14:paraId="49C3D754">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6.服务缺陷视同货物缺陷和履约延期。</w:t>
      </w:r>
    </w:p>
    <w:p w14:paraId="0D398529">
      <w:pPr>
        <w:pStyle w:val="121"/>
        <w:spacing w:line="360" w:lineRule="auto"/>
        <w:rPr>
          <w:rFonts w:ascii="宋体" w:hAnsi="宋体" w:cs="宋体"/>
          <w:color w:val="auto"/>
          <w:highlight w:val="none"/>
        </w:rPr>
      </w:pPr>
      <w:bookmarkStart w:id="48" w:name="_Toc465187646"/>
      <w:r>
        <w:rPr>
          <w:rFonts w:hint="eastAsia" w:ascii="宋体" w:hAnsi="宋体" w:cs="宋体"/>
          <w:color w:val="auto"/>
          <w:highlight w:val="none"/>
        </w:rPr>
        <w:t>四、售后服务</w:t>
      </w:r>
    </w:p>
    <w:p w14:paraId="213C620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1.卖方提供的货物涉及的所有售后服务均由卖方负责。如果发生问题并且收到通知，卖方应当在2小时内予以答复。</w:t>
      </w:r>
    </w:p>
    <w:p w14:paraId="4FE9A5A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2.如发现所提供的货物存在问题，需要卖方解决或配合解决时：在质保期之内，应在接到通知后</w:t>
      </w:r>
      <w:r>
        <w:rPr>
          <w:rFonts w:hint="eastAsia" w:ascii="宋体" w:hAnsi="宋体" w:eastAsia="宋体" w:cs="宋体"/>
          <w:sz w:val="24"/>
          <w:szCs w:val="24"/>
          <w:highlight w:val="none"/>
          <w:u w:val="single"/>
        </w:rPr>
        <w:t>24</w:t>
      </w:r>
      <w:r>
        <w:rPr>
          <w:rFonts w:hint="eastAsia" w:ascii="宋体" w:hAnsi="宋体" w:eastAsia="宋体" w:cs="宋体"/>
          <w:sz w:val="24"/>
          <w:szCs w:val="24"/>
          <w:highlight w:val="none"/>
        </w:rPr>
        <w:t>小时内派有关人员到达现场；在质保期之外，应在接到通知后</w:t>
      </w:r>
      <w:r>
        <w:rPr>
          <w:rFonts w:hint="eastAsia" w:ascii="宋体" w:hAnsi="宋体" w:eastAsia="宋体" w:cs="宋体"/>
          <w:sz w:val="24"/>
          <w:szCs w:val="24"/>
          <w:highlight w:val="none"/>
          <w:u w:val="single"/>
          <w:shd w:val="pct10" w:color="auto" w:fill="FFFFFF"/>
        </w:rPr>
        <w:t>72</w:t>
      </w:r>
      <w:r>
        <w:rPr>
          <w:rFonts w:hint="eastAsia" w:ascii="宋体" w:hAnsi="宋体" w:eastAsia="宋体" w:cs="宋体"/>
          <w:sz w:val="24"/>
          <w:szCs w:val="24"/>
          <w:highlight w:val="none"/>
        </w:rPr>
        <w:t>小时内派有关人员到达现场。</w:t>
      </w:r>
    </w:p>
    <w:p w14:paraId="0F43B15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3.卖方派往买方使用现场的人员，应具有较高的业务素质；现场解决问题时，不得无故拖延或推迟，应为买方提供最佳的服务。</w:t>
      </w:r>
    </w:p>
    <w:p w14:paraId="4D2E6F2D">
      <w:pPr>
        <w:pStyle w:val="121"/>
        <w:spacing w:line="360" w:lineRule="auto"/>
        <w:rPr>
          <w:rFonts w:ascii="宋体" w:hAnsi="宋体" w:cs="宋体"/>
          <w:color w:val="auto"/>
          <w:highlight w:val="none"/>
        </w:rPr>
      </w:pPr>
      <w:r>
        <w:rPr>
          <w:rFonts w:hint="eastAsia" w:ascii="宋体" w:hAnsi="宋体" w:cs="宋体"/>
          <w:color w:val="auto"/>
          <w:highlight w:val="none"/>
        </w:rPr>
        <w:t>五、其它服务</w:t>
      </w:r>
    </w:p>
    <w:p w14:paraId="46C4A02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1.若卖方所提供货物有需要进口的，卖方一般应自行、自费办理。</w:t>
      </w:r>
    </w:p>
    <w:p w14:paraId="67029B7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2.除招标文件、投标文件、答疑文件、技术标书、合同等约定之外，卖方应免费负责必要的或强制性的货物的检验、试验、化验等直接费用。</w:t>
      </w:r>
    </w:p>
    <w:p w14:paraId="18BDC79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3.本章节条款所列“免费”，并非指定不可收费，而是指招标文件、投标文件、答疑文件、技术交流文件、技术标书和合同等范围之外，投标人不可另行收取的费用。</w:t>
      </w:r>
    </w:p>
    <w:p w14:paraId="2F6A8810">
      <w:pPr>
        <w:rPr>
          <w:highlight w:val="none"/>
        </w:rPr>
      </w:pPr>
    </w:p>
    <w:p w14:paraId="2751120D">
      <w:pPr>
        <w:keepNext/>
        <w:keepLines/>
        <w:spacing w:before="120" w:after="120" w:line="480" w:lineRule="exact"/>
        <w:jc w:val="center"/>
        <w:outlineLvl w:val="1"/>
        <w:rPr>
          <w:rFonts w:ascii="Times New Roman" w:hAnsi="Times New Roman" w:eastAsia="宋体" w:cs="Times New Roman"/>
          <w:b/>
          <w:bCs/>
          <w:kern w:val="44"/>
          <w:sz w:val="28"/>
          <w:szCs w:val="28"/>
          <w:highlight w:val="none"/>
        </w:rPr>
      </w:pPr>
      <w:r>
        <w:rPr>
          <w:rFonts w:hint="eastAsia" w:ascii="Times New Roman" w:hAnsi="Times New Roman" w:eastAsia="宋体" w:cs="Times New Roman"/>
          <w:b/>
          <w:bCs/>
          <w:kern w:val="44"/>
          <w:sz w:val="28"/>
          <w:szCs w:val="28"/>
          <w:highlight w:val="none"/>
        </w:rPr>
        <w:t>第五章  预验收和终验收</w:t>
      </w:r>
      <w:bookmarkEnd w:id="48"/>
    </w:p>
    <w:p w14:paraId="177E2117">
      <w:pPr>
        <w:pStyle w:val="121"/>
        <w:spacing w:line="360" w:lineRule="auto"/>
        <w:rPr>
          <w:highlight w:val="none"/>
        </w:rPr>
      </w:pPr>
      <w:r>
        <w:rPr>
          <w:rFonts w:hint="eastAsia"/>
          <w:highlight w:val="none"/>
        </w:rPr>
        <w:t>一、验收依据和验收标准</w:t>
      </w:r>
    </w:p>
    <w:p w14:paraId="2706AEC3">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1.验收标准一般以技术标书和合同规定验收。无论技术标书和合同，是否全部并准确列明验收所涉及的相关标准，均作为验收标准之一。</w:t>
      </w:r>
    </w:p>
    <w:p w14:paraId="4A9A84E4">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2.如果验收过程中，发现招标文件、投标文件、答疑文件、技术交流文件等与技术标书、合同存在差异，原则上以涉及条款中对买方最有利条款为验收依据。</w:t>
      </w:r>
    </w:p>
    <w:p w14:paraId="3F64E338">
      <w:pPr>
        <w:pStyle w:val="121"/>
        <w:spacing w:line="360" w:lineRule="auto"/>
        <w:rPr>
          <w:highlight w:val="none"/>
        </w:rPr>
      </w:pPr>
      <w:r>
        <w:rPr>
          <w:rFonts w:hint="eastAsia"/>
          <w:highlight w:val="none"/>
        </w:rPr>
        <w:t>二、检验</w:t>
      </w:r>
    </w:p>
    <w:p w14:paraId="500ABA38">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5826ED98">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1.国产货物的检验一般由买卖双方共同进行或按照合同要求进行。</w:t>
      </w:r>
    </w:p>
    <w:p w14:paraId="1F43C014">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2.进口货物的检验，卖方需要按照下述要求进行：</w:t>
      </w:r>
    </w:p>
    <w:p w14:paraId="1D02796B">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2.1 进口货物发货前，应对货物的质量、型号、规格、性能和数量/重量作精密、全面的检验，并出具证明书，证明所供货物符合合同规定。</w:t>
      </w:r>
    </w:p>
    <w:p w14:paraId="6FBE9D43">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2.2 应依据合同规定的要求，提供买卖双方达成一致的货物的验收标准和装箱单，作为买方检验的依据。</w:t>
      </w:r>
    </w:p>
    <w:p w14:paraId="6A42846B">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69DEF1F">
      <w:pPr>
        <w:pStyle w:val="121"/>
        <w:spacing w:line="360" w:lineRule="auto"/>
        <w:rPr>
          <w:highlight w:val="none"/>
        </w:rPr>
      </w:pPr>
      <w:r>
        <w:rPr>
          <w:rFonts w:hint="eastAsia"/>
          <w:highlight w:val="none"/>
        </w:rPr>
        <w:t>三、验收基本条件</w:t>
      </w:r>
    </w:p>
    <w:p w14:paraId="748B89F3">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0FADFBEB">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买卖双方按照合同约定执行了合同，同时货物完成了试运行并经检验合格，则具备验收条件。</w:t>
      </w:r>
    </w:p>
    <w:p w14:paraId="603A2C12">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1.预验收基本要求</w:t>
      </w:r>
    </w:p>
    <w:p w14:paraId="7264E71E">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1.1 卖方已经按照“供货范围”要求提供了预验收资料，并且资料齐全、完整和有效。</w:t>
      </w:r>
    </w:p>
    <w:p w14:paraId="610D2452">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1.2 货物应完整且所有的零部件应该安装牢固，外观无损伤，所有的焊缝饱满、无残渣等缺陷。</w:t>
      </w:r>
    </w:p>
    <w:p w14:paraId="1DE9060B">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1.3 货物的油漆质量应饱满、有光泽，无掉漆、无色差、无“桔皮”等不良现象（特殊标志除外）。</w:t>
      </w:r>
    </w:p>
    <w:p w14:paraId="65941615">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1.4 货物标牌完整、清晰、明确。</w:t>
      </w:r>
    </w:p>
    <w:p w14:paraId="12134DD3">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1.5</w:t>
      </w:r>
      <w:r>
        <w:rPr>
          <w:rFonts w:ascii="Times New Roman" w:hAnsi="Times New Roman" w:eastAsia="宋体" w:cs="宋体"/>
          <w:sz w:val="24"/>
          <w:szCs w:val="24"/>
          <w:highlight w:val="none"/>
        </w:rPr>
        <w:t xml:space="preserve"> </w:t>
      </w:r>
      <w:r>
        <w:rPr>
          <w:rFonts w:hint="eastAsia" w:ascii="Times New Roman" w:hAnsi="Times New Roman" w:eastAsia="宋体" w:cs="宋体"/>
          <w:sz w:val="24"/>
          <w:szCs w:val="24"/>
          <w:highlight w:val="none"/>
        </w:rPr>
        <w:t>货物的安全要求符合中国最新的相关法律、法规、标准和规范以及合同要求。</w:t>
      </w:r>
    </w:p>
    <w:p w14:paraId="03830476">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w:t>
      </w:r>
      <w:r>
        <w:rPr>
          <w:rFonts w:ascii="Times New Roman" w:hAnsi="Times New Roman" w:eastAsia="宋体" w:cs="宋体"/>
          <w:sz w:val="24"/>
          <w:szCs w:val="24"/>
          <w:highlight w:val="none"/>
        </w:rPr>
        <w:t xml:space="preserve">.6 </w:t>
      </w:r>
      <w:r>
        <w:rPr>
          <w:rFonts w:hint="eastAsia" w:ascii="Times New Roman" w:hAnsi="Times New Roman" w:eastAsia="宋体" w:cs="宋体"/>
          <w:sz w:val="24"/>
          <w:szCs w:val="24"/>
          <w:highlight w:val="none"/>
        </w:rPr>
        <w:t>系统设备品牌、型号、数量与合同约定内容一致；各设备资料齐全，完整有效。</w:t>
      </w:r>
    </w:p>
    <w:p w14:paraId="4EAB1AF2">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w:t>
      </w:r>
      <w:r>
        <w:rPr>
          <w:rFonts w:ascii="Times New Roman" w:hAnsi="Times New Roman" w:eastAsia="宋体" w:cs="宋体"/>
          <w:sz w:val="24"/>
          <w:szCs w:val="24"/>
          <w:highlight w:val="none"/>
        </w:rPr>
        <w:t>.7</w:t>
      </w:r>
      <w:r>
        <w:rPr>
          <w:rFonts w:hint="eastAsia" w:ascii="Times New Roman" w:hAnsi="Times New Roman" w:eastAsia="宋体" w:cs="宋体"/>
          <w:sz w:val="24"/>
          <w:szCs w:val="24"/>
          <w:highlight w:val="none"/>
        </w:rPr>
        <w:t xml:space="preserve"> 按约定技术方案对设备进行系统设计及原理、测试软件执行及脚本开发的讲解及培训。</w:t>
      </w:r>
    </w:p>
    <w:p w14:paraId="5453AE0B">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2.终验收一般条件</w:t>
      </w:r>
    </w:p>
    <w:p w14:paraId="2673D46D">
      <w:pPr>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2.1</w:t>
      </w:r>
      <w:r>
        <w:rPr>
          <w:rFonts w:hint="eastAsia" w:ascii="Times New Roman" w:hAnsi="Times New Roman" w:eastAsia="宋体" w:cs="宋体"/>
          <w:sz w:val="24"/>
          <w:szCs w:val="24"/>
          <w:highlight w:val="none"/>
        </w:rPr>
        <w:t>设备已完成硬件与软件系统的整体功能测试与调试，且功能正常。</w:t>
      </w:r>
    </w:p>
    <w:p w14:paraId="26AE14DB">
      <w:pPr>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2.2</w:t>
      </w:r>
      <w:r>
        <w:rPr>
          <w:rFonts w:hint="eastAsia" w:ascii="Times New Roman" w:hAnsi="Times New Roman" w:eastAsia="宋体" w:cs="宋体"/>
          <w:sz w:val="24"/>
          <w:szCs w:val="24"/>
          <w:highlight w:val="none"/>
        </w:rPr>
        <w:t>通过了</w:t>
      </w:r>
      <w:r>
        <w:rPr>
          <w:rFonts w:ascii="Times New Roman" w:hAnsi="Times New Roman" w:eastAsia="宋体" w:cs="宋体"/>
          <w:sz w:val="24"/>
          <w:szCs w:val="24"/>
          <w:highlight w:val="none"/>
        </w:rPr>
        <w:t>预验收而且没有出现新的质量问题，或者满足预验收条款。</w:t>
      </w:r>
    </w:p>
    <w:p w14:paraId="356A521D">
      <w:pPr>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2.3货物安装调试完毕，并至少经过了验收要求的负荷试运行。</w:t>
      </w:r>
    </w:p>
    <w:p w14:paraId="08D4712C">
      <w:pPr>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2.4货物正常运行时，噪声等环境影响因素满足国家和当地环保主管部门规定，安全措施落实、有效。</w:t>
      </w:r>
    </w:p>
    <w:p w14:paraId="2A281FE8">
      <w:pPr>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2.5计量仪器、仪表配套合理，采用中国的法定计量单位，计量准确、灵敏可靠。保证设计指标和仪器说明书的参数的实现。</w:t>
      </w:r>
    </w:p>
    <w:p w14:paraId="3A0515D7">
      <w:pPr>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2.6试运行期间或之后无维修、调整等行为（特殊情况除外）。</w:t>
      </w:r>
    </w:p>
    <w:p w14:paraId="1CFFDEA5">
      <w:pPr>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2.7货物质量、技术性能等，达到签定的技术协议书和合同规定的终验收标准。</w:t>
      </w:r>
    </w:p>
    <w:p w14:paraId="54BCCECC">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w:t>
      </w:r>
      <w:r>
        <w:rPr>
          <w:rFonts w:ascii="Times New Roman" w:hAnsi="Times New Roman" w:eastAsia="宋体" w:cs="宋体"/>
          <w:sz w:val="24"/>
          <w:szCs w:val="24"/>
          <w:highlight w:val="none"/>
        </w:rPr>
        <w:t>8</w:t>
      </w:r>
      <w:r>
        <w:rPr>
          <w:rFonts w:hint="eastAsia" w:ascii="Times New Roman" w:hAnsi="Times New Roman" w:eastAsia="宋体" w:cs="宋体"/>
          <w:sz w:val="24"/>
          <w:szCs w:val="24"/>
          <w:highlight w:val="none"/>
        </w:rPr>
        <w:t>首次计量由乙方负责，由省级或以上的计量机构计量，按照系统约束的性能指标进行计量检定，合格后方可进行终验收。</w:t>
      </w:r>
    </w:p>
    <w:p w14:paraId="02A2FEE3">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3.</w:t>
      </w:r>
      <w:r>
        <w:rPr>
          <w:rFonts w:hint="eastAsia" w:ascii="Times New Roman" w:hAnsi="Times New Roman" w:eastAsia="宋体" w:cs="宋体"/>
          <w:sz w:val="24"/>
          <w:szCs w:val="24"/>
          <w:highlight w:val="none"/>
        </w:rPr>
        <w:t>终验收技术要求</w:t>
      </w:r>
    </w:p>
    <w:p w14:paraId="045F1454">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w:t>
      </w:r>
      <w:r>
        <w:rPr>
          <w:rFonts w:ascii="Times New Roman" w:hAnsi="Times New Roman" w:eastAsia="宋体" w:cs="宋体"/>
          <w:sz w:val="24"/>
          <w:szCs w:val="24"/>
          <w:highlight w:val="none"/>
        </w:rPr>
        <w:t>.1设备安装调试完成后，再需要经过一个考核期的</w:t>
      </w:r>
      <w:r>
        <w:rPr>
          <w:rFonts w:hint="eastAsia" w:ascii="Times New Roman" w:hAnsi="Times New Roman" w:eastAsia="宋体" w:cs="宋体"/>
          <w:sz w:val="24"/>
          <w:szCs w:val="24"/>
          <w:highlight w:val="none"/>
        </w:rPr>
        <w:t>运行测试使用</w:t>
      </w:r>
      <w:r>
        <w:rPr>
          <w:rFonts w:ascii="Times New Roman" w:hAnsi="Times New Roman" w:eastAsia="宋体" w:cs="宋体"/>
          <w:sz w:val="24"/>
          <w:szCs w:val="24"/>
          <w:highlight w:val="none"/>
        </w:rPr>
        <w:t>，考核整个系统的</w:t>
      </w:r>
      <w:r>
        <w:rPr>
          <w:rFonts w:hint="eastAsia" w:ascii="Times New Roman" w:hAnsi="Times New Roman" w:eastAsia="宋体" w:cs="宋体"/>
          <w:sz w:val="24"/>
          <w:szCs w:val="24"/>
          <w:highlight w:val="none"/>
        </w:rPr>
        <w:t>软硬件的</w:t>
      </w:r>
      <w:r>
        <w:rPr>
          <w:rFonts w:ascii="Times New Roman" w:hAnsi="Times New Roman" w:eastAsia="宋体" w:cs="宋体"/>
          <w:sz w:val="24"/>
          <w:szCs w:val="24"/>
          <w:highlight w:val="none"/>
        </w:rPr>
        <w:t>可靠性</w:t>
      </w:r>
      <w:r>
        <w:rPr>
          <w:rFonts w:hint="eastAsia" w:ascii="Times New Roman" w:hAnsi="Times New Roman" w:eastAsia="宋体" w:cs="宋体"/>
          <w:sz w:val="24"/>
          <w:szCs w:val="24"/>
          <w:highlight w:val="none"/>
        </w:rPr>
        <w:t>、测试脚本的可靠性。</w:t>
      </w:r>
      <w:r>
        <w:rPr>
          <w:rFonts w:ascii="Times New Roman" w:hAnsi="Times New Roman" w:eastAsia="宋体" w:cs="宋体"/>
          <w:sz w:val="24"/>
          <w:szCs w:val="24"/>
          <w:highlight w:val="none"/>
        </w:rPr>
        <w:t>考核期不少于30个工作日，考核期间不得出现影响设备使用性能的重要故障或重要部件损坏，</w:t>
      </w:r>
      <w:r>
        <w:rPr>
          <w:rFonts w:hint="eastAsia" w:ascii="Times New Roman" w:hAnsi="Times New Roman" w:eastAsia="宋体" w:cs="宋体"/>
          <w:sz w:val="24"/>
          <w:szCs w:val="24"/>
          <w:highlight w:val="none"/>
        </w:rPr>
        <w:t>测试脚本执行不得出现bug，</w:t>
      </w:r>
      <w:r>
        <w:rPr>
          <w:rFonts w:ascii="Times New Roman" w:hAnsi="Times New Roman" w:eastAsia="宋体" w:cs="宋体"/>
          <w:sz w:val="24"/>
          <w:szCs w:val="24"/>
          <w:highlight w:val="none"/>
        </w:rPr>
        <w:t>考核期满足要求后进行最终验收</w:t>
      </w:r>
      <w:r>
        <w:rPr>
          <w:rFonts w:hint="eastAsia" w:ascii="Times New Roman" w:hAnsi="Times New Roman" w:eastAsia="宋体" w:cs="宋体"/>
          <w:sz w:val="24"/>
          <w:szCs w:val="24"/>
          <w:highlight w:val="none"/>
        </w:rPr>
        <w:t>。</w:t>
      </w:r>
    </w:p>
    <w:p w14:paraId="5FF808C3">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3.2由买方和卖方共同组织设备的终验收，所提供测试系统设备必须满足本技术协议</w:t>
      </w:r>
      <w:r>
        <w:rPr>
          <w:rFonts w:hint="eastAsia" w:ascii="Times New Roman" w:hAnsi="Times New Roman" w:eastAsia="宋体" w:cs="宋体"/>
          <w:sz w:val="24"/>
          <w:szCs w:val="24"/>
          <w:highlight w:val="none"/>
        </w:rPr>
        <w:t>及合同约定的</w:t>
      </w:r>
      <w:r>
        <w:rPr>
          <w:rFonts w:ascii="Times New Roman" w:hAnsi="Times New Roman" w:eastAsia="宋体" w:cs="宋体"/>
          <w:sz w:val="24"/>
          <w:szCs w:val="24"/>
          <w:highlight w:val="none"/>
        </w:rPr>
        <w:t>全部技术要求，验收内容应包含但不仅限于以下内容：</w:t>
      </w:r>
    </w:p>
    <w:p w14:paraId="19A9A320">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1</w:t>
      </w:r>
      <w:r>
        <w:rPr>
          <w:rFonts w:hint="eastAsia" w:ascii="Times New Roman" w:hAnsi="Times New Roman" w:eastAsia="宋体" w:cs="宋体"/>
          <w:sz w:val="24"/>
          <w:szCs w:val="24"/>
          <w:highlight w:val="none"/>
        </w:rPr>
        <w:t>）</w:t>
      </w:r>
      <w:r>
        <w:rPr>
          <w:rFonts w:hint="eastAsia" w:ascii="Times New Roman" w:hAnsi="Times New Roman" w:eastAsia="宋体" w:cs="Times New Roman"/>
          <w:sz w:val="24"/>
          <w:szCs w:val="24"/>
          <w:highlight w:val="none"/>
        </w:rPr>
        <w:t>CAN/LIN/CANFD网络测试脚本测试执行</w:t>
      </w:r>
      <w:r>
        <w:rPr>
          <w:rFonts w:ascii="Times New Roman" w:hAnsi="Times New Roman" w:eastAsia="宋体" w:cs="宋体"/>
          <w:sz w:val="24"/>
          <w:szCs w:val="24"/>
          <w:highlight w:val="none"/>
        </w:rPr>
        <w:t>；</w:t>
      </w:r>
    </w:p>
    <w:p w14:paraId="53E48B56">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2</w:t>
      </w:r>
      <w:r>
        <w:rPr>
          <w:rFonts w:hint="eastAsia" w:ascii="Times New Roman" w:hAnsi="Times New Roman" w:eastAsia="宋体" w:cs="宋体"/>
          <w:sz w:val="24"/>
          <w:szCs w:val="24"/>
          <w:highlight w:val="none"/>
        </w:rPr>
        <w:t>）以太网测试脚本测试执行；</w:t>
      </w:r>
    </w:p>
    <w:p w14:paraId="58B4063D">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3</w:t>
      </w:r>
      <w:r>
        <w:rPr>
          <w:rFonts w:hint="eastAsia" w:ascii="Times New Roman" w:hAnsi="Times New Roman" w:eastAsia="宋体" w:cs="宋体"/>
          <w:sz w:val="24"/>
          <w:szCs w:val="24"/>
          <w:highlight w:val="none"/>
        </w:rPr>
        <w:t>）</w:t>
      </w:r>
      <w:r>
        <w:rPr>
          <w:rFonts w:hint="eastAsia" w:ascii="Times New Roman" w:hAnsi="Times New Roman" w:eastAsia="宋体" w:cs="Times New Roman"/>
          <w:sz w:val="24"/>
          <w:szCs w:val="24"/>
          <w:highlight w:val="none"/>
        </w:rPr>
        <w:t>CAN/LIN/CANFD网络测试系统脚本开发环境测试；</w:t>
      </w:r>
    </w:p>
    <w:p w14:paraId="590E4938">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4</w:t>
      </w:r>
      <w:r>
        <w:rPr>
          <w:rFonts w:hint="eastAsia" w:ascii="Times New Roman" w:hAnsi="Times New Roman" w:eastAsia="宋体" w:cs="宋体"/>
          <w:sz w:val="24"/>
          <w:szCs w:val="24"/>
          <w:highlight w:val="none"/>
        </w:rPr>
        <w:t>）以太网测试脚本开发环境测试；</w:t>
      </w:r>
    </w:p>
    <w:p w14:paraId="1F7BF7DD">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5）测试用例测试规范的完整度和覆盖度。</w:t>
      </w:r>
    </w:p>
    <w:p w14:paraId="27CCA3D2">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3.3由买方和卖方共同编制终验收报告并签字确认；</w:t>
      </w:r>
    </w:p>
    <w:p w14:paraId="4A379AA0">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3.4终验收期间，卖方自行负责交通、食宿、保险等费用；</w:t>
      </w:r>
    </w:p>
    <w:p w14:paraId="77275A8F">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3.5最终验收以双方签订的合同和条件为准，逐项进行最终验收；</w:t>
      </w:r>
    </w:p>
    <w:p w14:paraId="12EB706F">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3.6对于终验收买方提出的问题，卖方应在15个工作日内完成整改。</w:t>
      </w:r>
    </w:p>
    <w:p w14:paraId="21E57AD9">
      <w:pPr>
        <w:adjustRightInd w:val="0"/>
        <w:snapToGrid w:val="0"/>
        <w:spacing w:line="360" w:lineRule="auto"/>
        <w:ind w:firstLine="480" w:firstLineChars="200"/>
        <w:rPr>
          <w:rFonts w:ascii="Times New Roman" w:hAnsi="Times New Roman" w:eastAsia="宋体" w:cs="宋体"/>
          <w:sz w:val="24"/>
          <w:szCs w:val="24"/>
          <w:highlight w:val="none"/>
        </w:rPr>
      </w:pPr>
      <w:r>
        <w:rPr>
          <w:rFonts w:ascii="Times New Roman" w:hAnsi="Times New Roman" w:eastAsia="宋体" w:cs="宋体"/>
          <w:sz w:val="24"/>
          <w:szCs w:val="24"/>
          <w:highlight w:val="none"/>
        </w:rPr>
        <w:t>3.7终验收通过后买卖双方共同签署终验收报告，并移交、核对全部供货范围内物品。</w:t>
      </w:r>
    </w:p>
    <w:p w14:paraId="185C9C1F">
      <w:pPr>
        <w:adjustRightInd w:val="0"/>
        <w:snapToGrid w:val="0"/>
        <w:spacing w:line="360" w:lineRule="auto"/>
        <w:rPr>
          <w:rFonts w:ascii="Times New Roman" w:hAnsi="Times New Roman" w:eastAsia="宋体" w:cs="宋体"/>
          <w:sz w:val="24"/>
          <w:szCs w:val="24"/>
          <w:highlight w:val="none"/>
        </w:rPr>
      </w:pPr>
    </w:p>
    <w:p w14:paraId="5E9D9FDB">
      <w:pPr>
        <w:pStyle w:val="20"/>
        <w:spacing w:line="360" w:lineRule="auto"/>
        <w:rPr>
          <w:rFonts w:ascii="Times New Roman" w:hAnsi="Times New Roman" w:eastAsia="宋体" w:cs="宋体"/>
          <w:sz w:val="24"/>
          <w:szCs w:val="24"/>
          <w:highlight w:val="none"/>
        </w:rPr>
      </w:pPr>
    </w:p>
    <w:p w14:paraId="07126380">
      <w:pPr>
        <w:pStyle w:val="20"/>
        <w:spacing w:line="360" w:lineRule="auto"/>
        <w:rPr>
          <w:rFonts w:ascii="Times New Roman" w:hAnsi="Times New Roman" w:eastAsia="宋体" w:cs="宋体"/>
          <w:sz w:val="24"/>
          <w:szCs w:val="24"/>
          <w:highlight w:val="none"/>
        </w:rPr>
      </w:pPr>
    </w:p>
    <w:p w14:paraId="39A005B7">
      <w:pPr>
        <w:pStyle w:val="20"/>
        <w:spacing w:line="360" w:lineRule="auto"/>
        <w:rPr>
          <w:rFonts w:ascii="Times New Roman" w:hAnsi="Times New Roman" w:eastAsia="宋体" w:cs="宋体"/>
          <w:sz w:val="24"/>
          <w:szCs w:val="24"/>
          <w:highlight w:val="none"/>
        </w:rPr>
      </w:pPr>
    </w:p>
    <w:p w14:paraId="75974CAB">
      <w:pPr>
        <w:pStyle w:val="20"/>
        <w:spacing w:line="360" w:lineRule="auto"/>
        <w:rPr>
          <w:rFonts w:ascii="Times New Roman" w:hAnsi="Times New Roman" w:eastAsia="宋体" w:cs="宋体"/>
          <w:sz w:val="24"/>
          <w:szCs w:val="24"/>
          <w:highlight w:val="none"/>
        </w:rPr>
      </w:pPr>
    </w:p>
    <w:p w14:paraId="432A813C">
      <w:pPr>
        <w:keepNext/>
        <w:keepLines/>
        <w:spacing w:before="120" w:after="120" w:line="480" w:lineRule="exact"/>
        <w:jc w:val="center"/>
        <w:outlineLvl w:val="1"/>
        <w:rPr>
          <w:rFonts w:ascii="Times New Roman" w:hAnsi="Times New Roman" w:eastAsia="宋体" w:cs="Times New Roman"/>
          <w:b/>
          <w:bCs/>
          <w:kern w:val="44"/>
          <w:sz w:val="28"/>
          <w:szCs w:val="28"/>
          <w:highlight w:val="none"/>
        </w:rPr>
      </w:pPr>
      <w:bookmarkStart w:id="49" w:name="_Toc131008493"/>
      <w:bookmarkStart w:id="50" w:name="_Toc30824"/>
      <w:bookmarkStart w:id="51" w:name="_Toc465187647"/>
      <w:r>
        <w:rPr>
          <w:rFonts w:hint="eastAsia" w:ascii="Times New Roman" w:hAnsi="Times New Roman" w:eastAsia="宋体" w:cs="Times New Roman"/>
          <w:b/>
          <w:bCs/>
          <w:kern w:val="44"/>
          <w:sz w:val="28"/>
          <w:szCs w:val="28"/>
          <w:highlight w:val="none"/>
        </w:rPr>
        <w:t>第六章  投标技术文件一般要求</w:t>
      </w:r>
      <w:bookmarkEnd w:id="49"/>
      <w:bookmarkEnd w:id="50"/>
      <w:bookmarkEnd w:id="51"/>
    </w:p>
    <w:p w14:paraId="22BBD3F7">
      <w:pPr>
        <w:pStyle w:val="121"/>
        <w:spacing w:line="360" w:lineRule="auto"/>
        <w:rPr>
          <w:highlight w:val="none"/>
        </w:rPr>
      </w:pPr>
      <w:r>
        <w:rPr>
          <w:rFonts w:hint="eastAsia"/>
          <w:highlight w:val="none"/>
        </w:rPr>
        <w:t>一、技术文件一般内容要求</w:t>
      </w:r>
    </w:p>
    <w:p w14:paraId="4AF52C14">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1.投标人应认真阅读招标文件和本技术标书，并按要求编写投标技术文件。</w:t>
      </w:r>
    </w:p>
    <w:p w14:paraId="13BF8E5C">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2.投标技术文件至少应对投标货物的功能用途、技术性能、质量标准、技术参数等作出详细说明。</w:t>
      </w:r>
    </w:p>
    <w:p w14:paraId="791C9614">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3.投标技术文件至少应根据投标货物的关键设备、总成、零部件或系统作出满足或优于招标文件要求的详细说明。</w:t>
      </w:r>
    </w:p>
    <w:p w14:paraId="7E290ED1">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4.投标技术文件至少应按照招标文件要求（或投标人建议）列明备品备件、易损件和专用耗材明细。</w:t>
      </w:r>
    </w:p>
    <w:p w14:paraId="338A22EC">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5.投标人应当而且必须分别说明所列备品备件、易损件和专用耗材的使用寿命（以有效工作小时数说明）。</w:t>
      </w:r>
    </w:p>
    <w:p w14:paraId="2DF8DE28">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6.投标的货物，应当根据其配置和备品备件、易损件、专用耗材情况，尽可能详细且分类填入下表：</w:t>
      </w:r>
    </w:p>
    <w:p w14:paraId="6B32217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类填入下表：</w:t>
      </w:r>
    </w:p>
    <w:p w14:paraId="7946FDDA">
      <w:pPr>
        <w:adjustRightInd w:val="0"/>
        <w:snapToGrid w:val="0"/>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☆6.1备品备件、易损件和专用耗材明细表：</w:t>
      </w:r>
    </w:p>
    <w:p w14:paraId="2421B912">
      <w:pPr>
        <w:adjustRightInd w:val="0"/>
        <w:snapToGrid w:val="0"/>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必须提供本项目生命周期内所涉及到所有备品备件、易损件和专用耗材明细表，以便于质保期外，招标人能够根据清单快速找到同规格产品。</w:t>
      </w:r>
    </w:p>
    <w:p w14:paraId="6158B517">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2201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44F7F5E">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705" w:type="dxa"/>
          </w:tcPr>
          <w:p w14:paraId="69C79A55">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010" w:type="dxa"/>
          </w:tcPr>
          <w:p w14:paraId="4DA16F12">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品牌</w:t>
            </w:r>
          </w:p>
        </w:tc>
        <w:tc>
          <w:tcPr>
            <w:tcW w:w="1558" w:type="dxa"/>
          </w:tcPr>
          <w:p w14:paraId="2E5F25BF">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93" w:type="dxa"/>
          </w:tcPr>
          <w:p w14:paraId="49E14F7F">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93" w:type="dxa"/>
          </w:tcPr>
          <w:p w14:paraId="404E3B84">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2461" w:type="dxa"/>
          </w:tcPr>
          <w:p w14:paraId="58E44C23">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更换周期</w:t>
            </w:r>
          </w:p>
        </w:tc>
      </w:tr>
      <w:tr w14:paraId="61DC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17C1EDE">
            <w:pPr>
              <w:adjustRightInd w:val="0"/>
              <w:snapToGrid w:val="0"/>
              <w:spacing w:line="360" w:lineRule="exact"/>
              <w:jc w:val="center"/>
              <w:rPr>
                <w:rFonts w:ascii="宋体" w:hAnsi="宋体" w:eastAsia="宋体" w:cs="宋体"/>
                <w:highlight w:val="none"/>
              </w:rPr>
            </w:pPr>
          </w:p>
        </w:tc>
        <w:tc>
          <w:tcPr>
            <w:tcW w:w="1705" w:type="dxa"/>
          </w:tcPr>
          <w:p w14:paraId="6AF2C540">
            <w:pPr>
              <w:adjustRightInd w:val="0"/>
              <w:snapToGrid w:val="0"/>
              <w:spacing w:line="360" w:lineRule="exact"/>
              <w:rPr>
                <w:rFonts w:ascii="宋体" w:hAnsi="宋体" w:eastAsia="宋体" w:cs="宋体"/>
                <w:highlight w:val="none"/>
              </w:rPr>
            </w:pPr>
          </w:p>
        </w:tc>
        <w:tc>
          <w:tcPr>
            <w:tcW w:w="1010" w:type="dxa"/>
          </w:tcPr>
          <w:p w14:paraId="56B8A5B1">
            <w:pPr>
              <w:adjustRightInd w:val="0"/>
              <w:snapToGrid w:val="0"/>
              <w:spacing w:line="360" w:lineRule="exact"/>
              <w:rPr>
                <w:rFonts w:ascii="宋体" w:hAnsi="宋体" w:eastAsia="宋体" w:cs="宋体"/>
                <w:highlight w:val="none"/>
              </w:rPr>
            </w:pPr>
          </w:p>
        </w:tc>
        <w:tc>
          <w:tcPr>
            <w:tcW w:w="1558" w:type="dxa"/>
          </w:tcPr>
          <w:p w14:paraId="4761BB76">
            <w:pPr>
              <w:adjustRightInd w:val="0"/>
              <w:snapToGrid w:val="0"/>
              <w:spacing w:line="360" w:lineRule="exact"/>
              <w:jc w:val="center"/>
              <w:rPr>
                <w:rFonts w:ascii="宋体" w:hAnsi="宋体" w:eastAsia="宋体" w:cs="宋体"/>
                <w:highlight w:val="none"/>
              </w:rPr>
            </w:pPr>
          </w:p>
        </w:tc>
        <w:tc>
          <w:tcPr>
            <w:tcW w:w="793" w:type="dxa"/>
          </w:tcPr>
          <w:p w14:paraId="46CCFCC6">
            <w:pPr>
              <w:adjustRightInd w:val="0"/>
              <w:snapToGrid w:val="0"/>
              <w:spacing w:line="360" w:lineRule="exact"/>
              <w:jc w:val="center"/>
              <w:rPr>
                <w:rFonts w:ascii="宋体" w:hAnsi="宋体" w:eastAsia="宋体" w:cs="宋体"/>
                <w:highlight w:val="none"/>
              </w:rPr>
            </w:pPr>
          </w:p>
        </w:tc>
        <w:tc>
          <w:tcPr>
            <w:tcW w:w="793" w:type="dxa"/>
          </w:tcPr>
          <w:p w14:paraId="74ABD45B">
            <w:pPr>
              <w:adjustRightInd w:val="0"/>
              <w:snapToGrid w:val="0"/>
              <w:spacing w:line="360" w:lineRule="exact"/>
              <w:jc w:val="center"/>
              <w:rPr>
                <w:rFonts w:ascii="宋体" w:hAnsi="宋体" w:eastAsia="宋体" w:cs="宋体"/>
                <w:highlight w:val="none"/>
              </w:rPr>
            </w:pPr>
          </w:p>
        </w:tc>
        <w:tc>
          <w:tcPr>
            <w:tcW w:w="2461" w:type="dxa"/>
          </w:tcPr>
          <w:p w14:paraId="520B6D1C">
            <w:pPr>
              <w:adjustRightInd w:val="0"/>
              <w:snapToGrid w:val="0"/>
              <w:spacing w:line="360" w:lineRule="exact"/>
              <w:rPr>
                <w:rFonts w:ascii="宋体" w:hAnsi="宋体" w:eastAsia="宋体" w:cs="宋体"/>
                <w:highlight w:val="none"/>
              </w:rPr>
            </w:pPr>
          </w:p>
        </w:tc>
      </w:tr>
      <w:tr w14:paraId="6071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30D9301">
            <w:pPr>
              <w:adjustRightInd w:val="0"/>
              <w:snapToGrid w:val="0"/>
              <w:spacing w:line="360" w:lineRule="exact"/>
              <w:jc w:val="center"/>
              <w:rPr>
                <w:rFonts w:ascii="宋体" w:hAnsi="宋体" w:eastAsia="宋体" w:cs="宋体"/>
                <w:highlight w:val="none"/>
              </w:rPr>
            </w:pPr>
          </w:p>
        </w:tc>
        <w:tc>
          <w:tcPr>
            <w:tcW w:w="1705" w:type="dxa"/>
          </w:tcPr>
          <w:p w14:paraId="4823EA7B">
            <w:pPr>
              <w:adjustRightInd w:val="0"/>
              <w:snapToGrid w:val="0"/>
              <w:spacing w:line="360" w:lineRule="exact"/>
              <w:rPr>
                <w:rFonts w:ascii="宋体" w:hAnsi="宋体" w:eastAsia="宋体" w:cs="宋体"/>
                <w:highlight w:val="none"/>
              </w:rPr>
            </w:pPr>
          </w:p>
        </w:tc>
        <w:tc>
          <w:tcPr>
            <w:tcW w:w="1010" w:type="dxa"/>
          </w:tcPr>
          <w:p w14:paraId="28C0F387">
            <w:pPr>
              <w:adjustRightInd w:val="0"/>
              <w:snapToGrid w:val="0"/>
              <w:spacing w:line="360" w:lineRule="exact"/>
              <w:rPr>
                <w:rFonts w:ascii="宋体" w:hAnsi="宋体" w:eastAsia="宋体" w:cs="宋体"/>
                <w:highlight w:val="none"/>
              </w:rPr>
            </w:pPr>
          </w:p>
        </w:tc>
        <w:tc>
          <w:tcPr>
            <w:tcW w:w="1558" w:type="dxa"/>
          </w:tcPr>
          <w:p w14:paraId="4CC0B088">
            <w:pPr>
              <w:adjustRightInd w:val="0"/>
              <w:snapToGrid w:val="0"/>
              <w:spacing w:line="360" w:lineRule="exact"/>
              <w:jc w:val="center"/>
              <w:rPr>
                <w:rFonts w:ascii="宋体" w:hAnsi="宋体" w:eastAsia="宋体" w:cs="宋体"/>
                <w:highlight w:val="none"/>
              </w:rPr>
            </w:pPr>
          </w:p>
        </w:tc>
        <w:tc>
          <w:tcPr>
            <w:tcW w:w="793" w:type="dxa"/>
          </w:tcPr>
          <w:p w14:paraId="72312D2E">
            <w:pPr>
              <w:adjustRightInd w:val="0"/>
              <w:snapToGrid w:val="0"/>
              <w:spacing w:line="360" w:lineRule="exact"/>
              <w:jc w:val="center"/>
              <w:rPr>
                <w:rFonts w:ascii="宋体" w:hAnsi="宋体" w:eastAsia="宋体" w:cs="宋体"/>
                <w:highlight w:val="none"/>
              </w:rPr>
            </w:pPr>
          </w:p>
        </w:tc>
        <w:tc>
          <w:tcPr>
            <w:tcW w:w="793" w:type="dxa"/>
          </w:tcPr>
          <w:p w14:paraId="3047BB75">
            <w:pPr>
              <w:adjustRightInd w:val="0"/>
              <w:snapToGrid w:val="0"/>
              <w:spacing w:line="360" w:lineRule="exact"/>
              <w:jc w:val="center"/>
              <w:rPr>
                <w:rFonts w:ascii="宋体" w:hAnsi="宋体" w:eastAsia="宋体" w:cs="宋体"/>
                <w:highlight w:val="none"/>
              </w:rPr>
            </w:pPr>
          </w:p>
        </w:tc>
        <w:tc>
          <w:tcPr>
            <w:tcW w:w="2461" w:type="dxa"/>
          </w:tcPr>
          <w:p w14:paraId="46857D83">
            <w:pPr>
              <w:adjustRightInd w:val="0"/>
              <w:snapToGrid w:val="0"/>
              <w:spacing w:line="360" w:lineRule="exact"/>
              <w:rPr>
                <w:rFonts w:ascii="宋体" w:hAnsi="宋体" w:eastAsia="宋体" w:cs="宋体"/>
                <w:highlight w:val="none"/>
              </w:rPr>
            </w:pPr>
          </w:p>
        </w:tc>
      </w:tr>
      <w:tr w14:paraId="0B78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90BCB6A">
            <w:pPr>
              <w:adjustRightInd w:val="0"/>
              <w:snapToGrid w:val="0"/>
              <w:spacing w:line="360" w:lineRule="exact"/>
              <w:jc w:val="center"/>
              <w:rPr>
                <w:rFonts w:ascii="宋体" w:hAnsi="宋体" w:eastAsia="宋体" w:cs="宋体"/>
                <w:highlight w:val="none"/>
              </w:rPr>
            </w:pPr>
          </w:p>
        </w:tc>
        <w:tc>
          <w:tcPr>
            <w:tcW w:w="1705" w:type="dxa"/>
          </w:tcPr>
          <w:p w14:paraId="62688674">
            <w:pPr>
              <w:adjustRightInd w:val="0"/>
              <w:snapToGrid w:val="0"/>
              <w:spacing w:line="360" w:lineRule="exact"/>
              <w:rPr>
                <w:rFonts w:ascii="宋体" w:hAnsi="宋体" w:eastAsia="宋体" w:cs="宋体"/>
                <w:highlight w:val="none"/>
              </w:rPr>
            </w:pPr>
          </w:p>
        </w:tc>
        <w:tc>
          <w:tcPr>
            <w:tcW w:w="1010" w:type="dxa"/>
          </w:tcPr>
          <w:p w14:paraId="5BBB5B26">
            <w:pPr>
              <w:adjustRightInd w:val="0"/>
              <w:snapToGrid w:val="0"/>
              <w:spacing w:line="360" w:lineRule="exact"/>
              <w:rPr>
                <w:rFonts w:ascii="宋体" w:hAnsi="宋体" w:eastAsia="宋体" w:cs="宋体"/>
                <w:highlight w:val="none"/>
              </w:rPr>
            </w:pPr>
          </w:p>
        </w:tc>
        <w:tc>
          <w:tcPr>
            <w:tcW w:w="1558" w:type="dxa"/>
          </w:tcPr>
          <w:p w14:paraId="41837B7D">
            <w:pPr>
              <w:adjustRightInd w:val="0"/>
              <w:snapToGrid w:val="0"/>
              <w:spacing w:line="360" w:lineRule="exact"/>
              <w:jc w:val="center"/>
              <w:rPr>
                <w:rFonts w:ascii="宋体" w:hAnsi="宋体" w:eastAsia="宋体" w:cs="宋体"/>
                <w:highlight w:val="none"/>
              </w:rPr>
            </w:pPr>
          </w:p>
        </w:tc>
        <w:tc>
          <w:tcPr>
            <w:tcW w:w="793" w:type="dxa"/>
          </w:tcPr>
          <w:p w14:paraId="07519E5B">
            <w:pPr>
              <w:adjustRightInd w:val="0"/>
              <w:snapToGrid w:val="0"/>
              <w:spacing w:line="360" w:lineRule="exact"/>
              <w:jc w:val="center"/>
              <w:rPr>
                <w:rFonts w:ascii="宋体" w:hAnsi="宋体" w:eastAsia="宋体" w:cs="宋体"/>
                <w:highlight w:val="none"/>
              </w:rPr>
            </w:pPr>
          </w:p>
        </w:tc>
        <w:tc>
          <w:tcPr>
            <w:tcW w:w="793" w:type="dxa"/>
          </w:tcPr>
          <w:p w14:paraId="39E95CC0">
            <w:pPr>
              <w:adjustRightInd w:val="0"/>
              <w:snapToGrid w:val="0"/>
              <w:spacing w:line="360" w:lineRule="exact"/>
              <w:jc w:val="center"/>
              <w:rPr>
                <w:rFonts w:ascii="宋体" w:hAnsi="宋体" w:eastAsia="宋体" w:cs="宋体"/>
                <w:highlight w:val="none"/>
              </w:rPr>
            </w:pPr>
          </w:p>
        </w:tc>
        <w:tc>
          <w:tcPr>
            <w:tcW w:w="2461" w:type="dxa"/>
          </w:tcPr>
          <w:p w14:paraId="058C8CC4">
            <w:pPr>
              <w:adjustRightInd w:val="0"/>
              <w:snapToGrid w:val="0"/>
              <w:spacing w:line="360" w:lineRule="exact"/>
              <w:rPr>
                <w:rFonts w:ascii="宋体" w:hAnsi="宋体" w:eastAsia="宋体" w:cs="宋体"/>
                <w:highlight w:val="none"/>
              </w:rPr>
            </w:pPr>
          </w:p>
        </w:tc>
      </w:tr>
      <w:tr w14:paraId="6F25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A909C59">
            <w:pPr>
              <w:adjustRightInd w:val="0"/>
              <w:snapToGrid w:val="0"/>
              <w:spacing w:line="360" w:lineRule="exact"/>
              <w:jc w:val="center"/>
              <w:rPr>
                <w:rFonts w:ascii="宋体" w:hAnsi="宋体" w:eastAsia="宋体" w:cs="宋体"/>
                <w:highlight w:val="none"/>
              </w:rPr>
            </w:pPr>
          </w:p>
        </w:tc>
        <w:tc>
          <w:tcPr>
            <w:tcW w:w="1705" w:type="dxa"/>
          </w:tcPr>
          <w:p w14:paraId="6E5482A3">
            <w:pPr>
              <w:adjustRightInd w:val="0"/>
              <w:snapToGrid w:val="0"/>
              <w:spacing w:line="360" w:lineRule="exact"/>
              <w:rPr>
                <w:rFonts w:ascii="宋体" w:hAnsi="宋体" w:eastAsia="宋体" w:cs="宋体"/>
                <w:highlight w:val="none"/>
              </w:rPr>
            </w:pPr>
          </w:p>
        </w:tc>
        <w:tc>
          <w:tcPr>
            <w:tcW w:w="1010" w:type="dxa"/>
          </w:tcPr>
          <w:p w14:paraId="4AD7BCC3">
            <w:pPr>
              <w:adjustRightInd w:val="0"/>
              <w:snapToGrid w:val="0"/>
              <w:spacing w:line="360" w:lineRule="exact"/>
              <w:rPr>
                <w:rFonts w:ascii="宋体" w:hAnsi="宋体" w:eastAsia="宋体" w:cs="宋体"/>
                <w:highlight w:val="none"/>
              </w:rPr>
            </w:pPr>
          </w:p>
        </w:tc>
        <w:tc>
          <w:tcPr>
            <w:tcW w:w="1558" w:type="dxa"/>
          </w:tcPr>
          <w:p w14:paraId="20E943BB">
            <w:pPr>
              <w:adjustRightInd w:val="0"/>
              <w:snapToGrid w:val="0"/>
              <w:spacing w:line="360" w:lineRule="exact"/>
              <w:jc w:val="center"/>
              <w:rPr>
                <w:rFonts w:ascii="宋体" w:hAnsi="宋体" w:eastAsia="宋体" w:cs="宋体"/>
                <w:highlight w:val="none"/>
              </w:rPr>
            </w:pPr>
          </w:p>
        </w:tc>
        <w:tc>
          <w:tcPr>
            <w:tcW w:w="793" w:type="dxa"/>
          </w:tcPr>
          <w:p w14:paraId="44583376">
            <w:pPr>
              <w:adjustRightInd w:val="0"/>
              <w:snapToGrid w:val="0"/>
              <w:spacing w:line="360" w:lineRule="exact"/>
              <w:jc w:val="center"/>
              <w:rPr>
                <w:rFonts w:ascii="宋体" w:hAnsi="宋体" w:eastAsia="宋体" w:cs="宋体"/>
                <w:highlight w:val="none"/>
              </w:rPr>
            </w:pPr>
          </w:p>
        </w:tc>
        <w:tc>
          <w:tcPr>
            <w:tcW w:w="793" w:type="dxa"/>
          </w:tcPr>
          <w:p w14:paraId="1F1D52FA">
            <w:pPr>
              <w:adjustRightInd w:val="0"/>
              <w:snapToGrid w:val="0"/>
              <w:spacing w:line="360" w:lineRule="exact"/>
              <w:jc w:val="center"/>
              <w:rPr>
                <w:rFonts w:ascii="宋体" w:hAnsi="宋体" w:eastAsia="宋体" w:cs="宋体"/>
                <w:highlight w:val="none"/>
              </w:rPr>
            </w:pPr>
          </w:p>
        </w:tc>
        <w:tc>
          <w:tcPr>
            <w:tcW w:w="2461" w:type="dxa"/>
          </w:tcPr>
          <w:p w14:paraId="12FCD119">
            <w:pPr>
              <w:adjustRightInd w:val="0"/>
              <w:snapToGrid w:val="0"/>
              <w:spacing w:line="360" w:lineRule="exact"/>
              <w:rPr>
                <w:rFonts w:ascii="宋体" w:hAnsi="宋体" w:eastAsia="宋体" w:cs="宋体"/>
                <w:highlight w:val="none"/>
              </w:rPr>
            </w:pPr>
          </w:p>
        </w:tc>
      </w:tr>
      <w:tr w14:paraId="6C93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8E10E4A">
            <w:pPr>
              <w:adjustRightInd w:val="0"/>
              <w:snapToGrid w:val="0"/>
              <w:spacing w:line="360" w:lineRule="exact"/>
              <w:jc w:val="center"/>
              <w:rPr>
                <w:rFonts w:ascii="宋体" w:hAnsi="宋体" w:eastAsia="宋体" w:cs="宋体"/>
                <w:highlight w:val="none"/>
              </w:rPr>
            </w:pPr>
          </w:p>
        </w:tc>
        <w:tc>
          <w:tcPr>
            <w:tcW w:w="1705" w:type="dxa"/>
          </w:tcPr>
          <w:p w14:paraId="23109FB6">
            <w:pPr>
              <w:adjustRightInd w:val="0"/>
              <w:snapToGrid w:val="0"/>
              <w:spacing w:line="360" w:lineRule="exact"/>
              <w:rPr>
                <w:rFonts w:ascii="宋体" w:hAnsi="宋体" w:eastAsia="宋体" w:cs="宋体"/>
                <w:highlight w:val="none"/>
              </w:rPr>
            </w:pPr>
          </w:p>
        </w:tc>
        <w:tc>
          <w:tcPr>
            <w:tcW w:w="1010" w:type="dxa"/>
          </w:tcPr>
          <w:p w14:paraId="0F1DA3C0">
            <w:pPr>
              <w:adjustRightInd w:val="0"/>
              <w:snapToGrid w:val="0"/>
              <w:spacing w:line="360" w:lineRule="exact"/>
              <w:rPr>
                <w:rFonts w:ascii="宋体" w:hAnsi="宋体" w:eastAsia="宋体" w:cs="宋体"/>
                <w:highlight w:val="none"/>
              </w:rPr>
            </w:pPr>
          </w:p>
        </w:tc>
        <w:tc>
          <w:tcPr>
            <w:tcW w:w="1558" w:type="dxa"/>
          </w:tcPr>
          <w:p w14:paraId="3E576A10">
            <w:pPr>
              <w:adjustRightInd w:val="0"/>
              <w:snapToGrid w:val="0"/>
              <w:spacing w:line="360" w:lineRule="exact"/>
              <w:jc w:val="center"/>
              <w:rPr>
                <w:rFonts w:ascii="宋体" w:hAnsi="宋体" w:eastAsia="宋体" w:cs="宋体"/>
                <w:highlight w:val="none"/>
              </w:rPr>
            </w:pPr>
          </w:p>
        </w:tc>
        <w:tc>
          <w:tcPr>
            <w:tcW w:w="793" w:type="dxa"/>
          </w:tcPr>
          <w:p w14:paraId="32D371D1">
            <w:pPr>
              <w:adjustRightInd w:val="0"/>
              <w:snapToGrid w:val="0"/>
              <w:spacing w:line="360" w:lineRule="exact"/>
              <w:jc w:val="center"/>
              <w:rPr>
                <w:rFonts w:ascii="宋体" w:hAnsi="宋体" w:eastAsia="宋体" w:cs="宋体"/>
                <w:highlight w:val="none"/>
              </w:rPr>
            </w:pPr>
          </w:p>
        </w:tc>
        <w:tc>
          <w:tcPr>
            <w:tcW w:w="793" w:type="dxa"/>
          </w:tcPr>
          <w:p w14:paraId="0E5243E5">
            <w:pPr>
              <w:adjustRightInd w:val="0"/>
              <w:snapToGrid w:val="0"/>
              <w:spacing w:line="360" w:lineRule="exact"/>
              <w:jc w:val="center"/>
              <w:rPr>
                <w:rFonts w:ascii="宋体" w:hAnsi="宋体" w:eastAsia="宋体" w:cs="宋体"/>
                <w:highlight w:val="none"/>
              </w:rPr>
            </w:pPr>
          </w:p>
        </w:tc>
        <w:tc>
          <w:tcPr>
            <w:tcW w:w="2461" w:type="dxa"/>
          </w:tcPr>
          <w:p w14:paraId="3161A024">
            <w:pPr>
              <w:adjustRightInd w:val="0"/>
              <w:snapToGrid w:val="0"/>
              <w:spacing w:line="360" w:lineRule="exact"/>
              <w:rPr>
                <w:rFonts w:ascii="宋体" w:hAnsi="宋体" w:eastAsia="宋体" w:cs="宋体"/>
                <w:highlight w:val="none"/>
              </w:rPr>
            </w:pPr>
          </w:p>
        </w:tc>
      </w:tr>
      <w:tr w14:paraId="70C4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5AFD4093">
            <w:pPr>
              <w:adjustRightInd w:val="0"/>
              <w:snapToGrid w:val="0"/>
              <w:spacing w:line="360" w:lineRule="exact"/>
              <w:jc w:val="center"/>
              <w:rPr>
                <w:rFonts w:ascii="宋体" w:hAnsi="宋体" w:eastAsia="宋体" w:cs="宋体"/>
                <w:highlight w:val="none"/>
              </w:rPr>
            </w:pPr>
          </w:p>
        </w:tc>
        <w:tc>
          <w:tcPr>
            <w:tcW w:w="1705" w:type="dxa"/>
          </w:tcPr>
          <w:p w14:paraId="70659B40">
            <w:pPr>
              <w:adjustRightInd w:val="0"/>
              <w:snapToGrid w:val="0"/>
              <w:spacing w:line="360" w:lineRule="exact"/>
              <w:rPr>
                <w:rFonts w:ascii="宋体" w:hAnsi="宋体" w:eastAsia="宋体" w:cs="宋体"/>
                <w:highlight w:val="none"/>
              </w:rPr>
            </w:pPr>
          </w:p>
        </w:tc>
        <w:tc>
          <w:tcPr>
            <w:tcW w:w="1010" w:type="dxa"/>
          </w:tcPr>
          <w:p w14:paraId="1C7033BB">
            <w:pPr>
              <w:adjustRightInd w:val="0"/>
              <w:snapToGrid w:val="0"/>
              <w:spacing w:line="360" w:lineRule="exact"/>
              <w:rPr>
                <w:rFonts w:ascii="宋体" w:hAnsi="宋体" w:eastAsia="宋体" w:cs="宋体"/>
                <w:highlight w:val="none"/>
              </w:rPr>
            </w:pPr>
          </w:p>
        </w:tc>
        <w:tc>
          <w:tcPr>
            <w:tcW w:w="1558" w:type="dxa"/>
          </w:tcPr>
          <w:p w14:paraId="64EBF086">
            <w:pPr>
              <w:adjustRightInd w:val="0"/>
              <w:snapToGrid w:val="0"/>
              <w:spacing w:line="360" w:lineRule="exact"/>
              <w:jc w:val="center"/>
              <w:rPr>
                <w:rFonts w:ascii="宋体" w:hAnsi="宋体" w:eastAsia="宋体" w:cs="宋体"/>
                <w:highlight w:val="none"/>
              </w:rPr>
            </w:pPr>
          </w:p>
        </w:tc>
        <w:tc>
          <w:tcPr>
            <w:tcW w:w="793" w:type="dxa"/>
          </w:tcPr>
          <w:p w14:paraId="4EE7FB9D">
            <w:pPr>
              <w:adjustRightInd w:val="0"/>
              <w:snapToGrid w:val="0"/>
              <w:spacing w:line="360" w:lineRule="exact"/>
              <w:jc w:val="center"/>
              <w:rPr>
                <w:rFonts w:ascii="宋体" w:hAnsi="宋体" w:eastAsia="宋体" w:cs="宋体"/>
                <w:highlight w:val="none"/>
              </w:rPr>
            </w:pPr>
          </w:p>
        </w:tc>
        <w:tc>
          <w:tcPr>
            <w:tcW w:w="793" w:type="dxa"/>
          </w:tcPr>
          <w:p w14:paraId="66AC96C0">
            <w:pPr>
              <w:adjustRightInd w:val="0"/>
              <w:snapToGrid w:val="0"/>
              <w:spacing w:line="360" w:lineRule="exact"/>
              <w:jc w:val="center"/>
              <w:rPr>
                <w:rFonts w:ascii="宋体" w:hAnsi="宋体" w:eastAsia="宋体" w:cs="宋体"/>
                <w:highlight w:val="none"/>
              </w:rPr>
            </w:pPr>
          </w:p>
        </w:tc>
        <w:tc>
          <w:tcPr>
            <w:tcW w:w="2461" w:type="dxa"/>
          </w:tcPr>
          <w:p w14:paraId="64E25E4B">
            <w:pPr>
              <w:adjustRightInd w:val="0"/>
              <w:snapToGrid w:val="0"/>
              <w:spacing w:line="360" w:lineRule="exact"/>
              <w:rPr>
                <w:rFonts w:ascii="宋体" w:hAnsi="宋体" w:eastAsia="宋体" w:cs="宋体"/>
                <w:highlight w:val="none"/>
              </w:rPr>
            </w:pPr>
          </w:p>
        </w:tc>
      </w:tr>
    </w:tbl>
    <w:p w14:paraId="21BF2AE3">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6.2“开标一览表”和“明细表”仅作为投标人编制投标技术文件的一般格式。其中序号编写应当便于招标人了解分类或分项货物之间的所属关系，如1、1.1、1.2；</w:t>
      </w:r>
    </w:p>
    <w:p w14:paraId="7899BBE3">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6.3应当尽可能将货物的配置列全、列细，这将有助于投标人胜出；</w:t>
      </w:r>
    </w:p>
    <w:p w14:paraId="14B03B6D">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6.4单价与总价之间、总价与分类小计价之间、分类小计价与合计价之间数据应当齐全而且准确；</w:t>
      </w:r>
    </w:p>
    <w:p w14:paraId="095FB016">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6.5本条款表格中的制造商，应当为全称或公认的简称。</w:t>
      </w:r>
    </w:p>
    <w:p w14:paraId="246ADF57">
      <w:pPr>
        <w:pStyle w:val="121"/>
        <w:spacing w:line="360" w:lineRule="auto"/>
        <w:rPr>
          <w:highlight w:val="none"/>
        </w:rPr>
      </w:pPr>
      <w:r>
        <w:rPr>
          <w:rFonts w:hint="eastAsia"/>
          <w:highlight w:val="none"/>
        </w:rPr>
        <w:t>二、技术文件中货物报价格式要求</w:t>
      </w:r>
    </w:p>
    <w:p w14:paraId="6D069401">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204B557">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2.如果投标总报价与其它价格出现错误或不一致，将有可能导致废标。</w:t>
      </w:r>
    </w:p>
    <w:p w14:paraId="4D4E4AD3">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3.投标总报价为自合同签定生效至合同无异议执行完毕涉及的买方需要支付的全部费用。如投标人认为本招标及投标货物涉及特需或专门的设计，应当单独列明设计费。</w:t>
      </w:r>
    </w:p>
    <w:p w14:paraId="7BD0FC7C">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4.备品备件、易损件和专用耗材，招标人将可能与投标人按照投标价格另行签署供货合同。</w:t>
      </w:r>
    </w:p>
    <w:p w14:paraId="78E6B989">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5.要求投标总报价、分项报价、明细报价之间应当具有相互间对应关系以及填报分项和明细报价，仅为便于评标而不妨碍投标人以最合适的形式签署合同。</w:t>
      </w:r>
    </w:p>
    <w:p w14:paraId="1135CF5B">
      <w:pPr>
        <w:pStyle w:val="121"/>
        <w:spacing w:line="360" w:lineRule="auto"/>
        <w:rPr>
          <w:highlight w:val="none"/>
        </w:rPr>
      </w:pPr>
      <w:r>
        <w:rPr>
          <w:rFonts w:hint="eastAsia"/>
          <w:highlight w:val="none"/>
        </w:rPr>
        <w:t>三、验收标准及内容要求</w:t>
      </w:r>
    </w:p>
    <w:p w14:paraId="77B99C83">
      <w:pPr>
        <w:adjustRightInd w:val="0"/>
        <w:snapToGrid w:val="0"/>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46602C60">
      <w:pPr>
        <w:pStyle w:val="3"/>
        <w:spacing w:before="120" w:after="120" w:line="360" w:lineRule="auto"/>
        <w:rPr>
          <w:rFonts w:ascii="Times New Roman" w:hAnsi="Times New Roman" w:cs="宋体"/>
          <w:b w:val="0"/>
          <w:sz w:val="24"/>
          <w:szCs w:val="24"/>
          <w:highlight w:val="none"/>
        </w:rPr>
        <w:sectPr>
          <w:footerReference r:id="rId12" w:type="first"/>
          <w:footerReference r:id="rId11" w:type="default"/>
          <w:pgSz w:w="11906" w:h="16838"/>
          <w:pgMar w:top="1588" w:right="1418" w:bottom="1134" w:left="1418" w:header="851" w:footer="992" w:gutter="0"/>
          <w:cols w:space="720" w:num="1"/>
          <w:titlePg/>
          <w:docGrid w:linePitch="312" w:charSpace="0"/>
        </w:sectPr>
      </w:pPr>
      <w:bookmarkStart w:id="52" w:name="_Toc465187648"/>
    </w:p>
    <w:p w14:paraId="4392A57A">
      <w:pPr>
        <w:keepNext/>
        <w:keepLines/>
        <w:spacing w:before="120" w:after="120" w:line="480" w:lineRule="exact"/>
        <w:jc w:val="center"/>
        <w:outlineLvl w:val="1"/>
        <w:rPr>
          <w:rFonts w:ascii="Times New Roman" w:hAnsi="Times New Roman" w:eastAsia="宋体" w:cs="Times New Roman"/>
          <w:b/>
          <w:bCs/>
          <w:kern w:val="44"/>
          <w:sz w:val="28"/>
          <w:szCs w:val="28"/>
          <w:highlight w:val="none"/>
        </w:rPr>
      </w:pPr>
      <w:bookmarkStart w:id="53" w:name="_Toc131008494"/>
      <w:bookmarkStart w:id="54" w:name="_Toc19570"/>
      <w:r>
        <w:rPr>
          <w:rFonts w:hint="eastAsia" w:ascii="Times New Roman" w:hAnsi="Times New Roman" w:eastAsia="宋体" w:cs="Times New Roman"/>
          <w:b/>
          <w:bCs/>
          <w:kern w:val="44"/>
          <w:sz w:val="28"/>
          <w:szCs w:val="28"/>
          <w:highlight w:val="none"/>
        </w:rPr>
        <w:t>第七章  其它要求及说明</w:t>
      </w:r>
      <w:bookmarkEnd w:id="52"/>
      <w:bookmarkEnd w:id="53"/>
      <w:bookmarkEnd w:id="54"/>
    </w:p>
    <w:p w14:paraId="66B71346">
      <w:pPr>
        <w:pStyle w:val="121"/>
        <w:spacing w:line="360" w:lineRule="auto"/>
        <w:rPr>
          <w:highlight w:val="none"/>
        </w:rPr>
      </w:pPr>
      <w:r>
        <w:rPr>
          <w:rFonts w:hint="eastAsia"/>
          <w:highlight w:val="none"/>
        </w:rPr>
        <w:t>一、要求</w:t>
      </w:r>
    </w:p>
    <w:p w14:paraId="59A21146">
      <w:pPr>
        <w:pStyle w:val="23"/>
        <w:spacing w:line="360" w:lineRule="auto"/>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为保证本技术标书所列采购货物的质量以及先进性、可靠性、经济性和实用性，要求投标人在投标文件中，至少应具备以下资格证明文件或资料：</w:t>
      </w:r>
    </w:p>
    <w:p w14:paraId="4494E4CE">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66DB1291">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2.投标人应当是通过有关资格认证的法人。应当在投标文件中提供有效期内的资格认证证书，如：ISO9001、VDA6.1、QS9000等。</w:t>
      </w:r>
    </w:p>
    <w:p w14:paraId="3F896919">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3.国产设备应附有采购货物（或设备）涉及的由“中国质量认证中心”颁发的《中国国家强制性产品认证证书》（CCC证书）。</w:t>
      </w:r>
    </w:p>
    <w:p w14:paraId="362361FE">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4.应附有其它与投标单位、采购货物有关的荣誉证书或资料。</w:t>
      </w:r>
    </w:p>
    <w:p w14:paraId="3B2D141F">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5.必须附有投标货物涉及产品要求的、国家或行业管理规定要求的、或者投标人认为能够体现其投标货物合法性及先进性的最高级别的证明材料（投标货物不涉及的除外）：</w:t>
      </w:r>
    </w:p>
    <w:p w14:paraId="430AA350">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5.1国家相关机构颁发的有效期之内所必需的《生产许可证》；</w:t>
      </w:r>
    </w:p>
    <w:p w14:paraId="34BAEE32">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5.2产品（或技术）鉴定报告/证书、专利证书或专利许可证书、新技术成果证书等；</w:t>
      </w:r>
    </w:p>
    <w:p w14:paraId="4AF7DC67">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5.3产品相关检验、试验报告，如：型式试验检验报告、安全试验检验报告、电弧效应试验报告、噪声检测报告等；</w:t>
      </w:r>
    </w:p>
    <w:p w14:paraId="0F6AA74E">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5.4其它能够证明所供货物的质量水平、技术水平、安全性水平、节能性水平、环保性水平等相关的其它证明文件或资料、报告等；</w:t>
      </w:r>
    </w:p>
    <w:p w14:paraId="7D455174">
      <w:pPr>
        <w:spacing w:line="360" w:lineRule="auto"/>
        <w:ind w:firstLine="477" w:firstLineChars="199"/>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5.5该类报告或证明材料对于投标人胜出乃至中标极为重要！</w:t>
      </w:r>
    </w:p>
    <w:p w14:paraId="25ADEF09">
      <w:pPr>
        <w:numPr>
          <w:ilvl w:val="255"/>
          <w:numId w:val="0"/>
        </w:numPr>
        <w:spacing w:line="360" w:lineRule="auto"/>
        <w:ind w:firstLine="482" w:firstLineChars="200"/>
        <w:rPr>
          <w:rFonts w:ascii="Times New Roman" w:hAnsi="Times New Roman" w:eastAsia="宋体" w:cs="宋体"/>
          <w:sz w:val="24"/>
          <w:szCs w:val="24"/>
          <w:highlight w:val="none"/>
        </w:rPr>
      </w:pPr>
      <w:r>
        <w:rPr>
          <w:rFonts w:hint="eastAsia" w:ascii="Times New Roman" w:hAnsi="Times New Roman" w:eastAsia="宋体" w:cs="宋体"/>
          <w:b/>
          <w:sz w:val="24"/>
          <w:szCs w:val="24"/>
          <w:highlight w:val="none"/>
        </w:rPr>
        <w:t>6.必须附有：</w:t>
      </w:r>
      <w:r>
        <w:rPr>
          <w:rFonts w:hint="eastAsia" w:ascii="Times New Roman" w:hAnsi="Times New Roman" w:eastAsia="宋体" w:cs="宋体"/>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AD3F867">
      <w:pPr>
        <w:pStyle w:val="121"/>
        <w:spacing w:line="360" w:lineRule="auto"/>
        <w:rPr>
          <w:highlight w:val="none"/>
        </w:rPr>
      </w:pPr>
      <w:r>
        <w:rPr>
          <w:rFonts w:hint="eastAsia"/>
          <w:highlight w:val="none"/>
        </w:rPr>
        <w:t>二、其他</w:t>
      </w:r>
    </w:p>
    <w:p w14:paraId="00988AFA">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387B8DF8">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2.即使有建议意见或建议方案，仍应依据招标文件和本技术标书要求，编写符合要求的投标文件。建议方案或建议意见，应以单独篇章或文件，予以说明和报价。</w:t>
      </w:r>
    </w:p>
    <w:p w14:paraId="24FFE15D">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62369CDB">
      <w:pPr>
        <w:spacing w:line="360" w:lineRule="auto"/>
        <w:ind w:firstLine="480" w:firstLineChars="200"/>
        <w:rPr>
          <w:rFonts w:ascii="Times New Roman" w:hAnsi="Times New Roman" w:eastAsia="宋体" w:cs="宋体"/>
          <w:sz w:val="24"/>
          <w:szCs w:val="24"/>
          <w:highlight w:val="none"/>
        </w:rPr>
      </w:pPr>
      <w:r>
        <w:rPr>
          <w:rFonts w:hint="eastAsia" w:ascii="Times New Roman" w:hAnsi="Times New Roman" w:eastAsia="宋体" w:cs="宋体"/>
          <w:sz w:val="24"/>
          <w:szCs w:val="24"/>
          <w:highlight w:val="none"/>
        </w:rPr>
        <w:t>4.招标文件、投标文件、答疑文件、技术交流文件、技术标书等，在采购过程全部为有效文件，如有差异，以对招标人最有利的条款为准。</w:t>
      </w:r>
    </w:p>
    <w:p w14:paraId="3F44DD44">
      <w:pPr>
        <w:spacing w:line="360" w:lineRule="auto"/>
        <w:ind w:firstLine="480" w:firstLineChars="200"/>
        <w:rPr>
          <w:rFonts w:hAnsi="宋体" w:eastAsia="宋体" w:cs="宋体"/>
          <w:sz w:val="24"/>
          <w:szCs w:val="24"/>
          <w:highlight w:val="none"/>
        </w:rPr>
        <w:sectPr>
          <w:footerReference r:id="rId15" w:type="first"/>
          <w:headerReference r:id="rId13" w:type="default"/>
          <w:footerReference r:id="rId14" w:type="default"/>
          <w:pgSz w:w="11907" w:h="16840"/>
          <w:pgMar w:top="1304" w:right="1418" w:bottom="1304" w:left="1418" w:header="724" w:footer="851" w:gutter="0"/>
          <w:cols w:space="720" w:num="1"/>
          <w:docGrid w:linePitch="290" w:charSpace="-3931"/>
        </w:sectPr>
      </w:pPr>
      <w:r>
        <w:rPr>
          <w:rFonts w:hint="eastAsia" w:ascii="Times New Roman" w:hAnsi="Times New Roman" w:eastAsia="宋体" w:cs="宋体"/>
          <w:sz w:val="24"/>
          <w:szCs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3C932988">
      <w:pPr>
        <w:spacing w:line="360" w:lineRule="auto"/>
        <w:jc w:val="center"/>
        <w:outlineLvl w:val="0"/>
        <w:rPr>
          <w:rFonts w:ascii="宋体" w:hAnsi="Calibri" w:eastAsia="宋体" w:cs="Times New Roman"/>
          <w:b/>
          <w:sz w:val="36"/>
          <w:szCs w:val="36"/>
          <w:highlight w:val="none"/>
        </w:rPr>
      </w:pPr>
      <w:bookmarkStart w:id="55" w:name="_Toc7375"/>
      <w:r>
        <w:rPr>
          <w:rFonts w:hint="eastAsia" w:ascii="宋体" w:hAnsi="宋体" w:eastAsia="宋体" w:cs="Times New Roman"/>
          <w:b/>
          <w:sz w:val="36"/>
          <w:szCs w:val="36"/>
          <w:highlight w:val="none"/>
        </w:rPr>
        <w:t>第五部分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55"/>
    </w:p>
    <w:p w14:paraId="07D8D04F">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7B8578CE">
      <w:pPr>
        <w:wordWrap w:val="0"/>
        <w:adjustRightInd w:val="0"/>
        <w:snapToGrid w:val="0"/>
        <w:spacing w:line="360" w:lineRule="auto"/>
        <w:jc w:val="righ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编号：</w:t>
      </w:r>
      <w:r>
        <w:rPr>
          <w:rFonts w:hint="eastAsia" w:ascii="方正小标宋简体" w:hAnsi="宋体" w:eastAsia="方正小标宋简体"/>
          <w:sz w:val="24"/>
          <w:szCs w:val="24"/>
          <w:highlight w:val="none"/>
          <w:u w:val="thick"/>
        </w:rPr>
        <w:t xml:space="preserve">                  </w:t>
      </w:r>
    </w:p>
    <w:p w14:paraId="1FBF36A9">
      <w:pPr>
        <w:adjustRightInd w:val="0"/>
        <w:snapToGrid w:val="0"/>
        <w:spacing w:line="360" w:lineRule="auto"/>
        <w:jc w:val="left"/>
        <w:rPr>
          <w:rFonts w:ascii="宋体" w:hAnsi="宋体"/>
          <w:sz w:val="20"/>
          <w:szCs w:val="20"/>
          <w:highlight w:val="none"/>
        </w:rPr>
      </w:pPr>
    </w:p>
    <w:p w14:paraId="063E8853">
      <w:pPr>
        <w:adjustRightInd w:val="0"/>
        <w:snapToGrid w:val="0"/>
        <w:spacing w:line="360" w:lineRule="auto"/>
        <w:jc w:val="left"/>
        <w:rPr>
          <w:rFonts w:ascii="宋体" w:hAnsi="宋体"/>
          <w:sz w:val="20"/>
          <w:szCs w:val="20"/>
          <w:highlight w:val="none"/>
        </w:rPr>
      </w:pPr>
    </w:p>
    <w:p w14:paraId="40CF0EBE">
      <w:pPr>
        <w:adjustRightInd w:val="0"/>
        <w:snapToGrid w:val="0"/>
        <w:spacing w:line="360" w:lineRule="auto"/>
        <w:jc w:val="left"/>
        <w:rPr>
          <w:rFonts w:ascii="宋体" w:hAnsi="宋体"/>
          <w:sz w:val="20"/>
          <w:szCs w:val="20"/>
          <w:highlight w:val="none"/>
        </w:rPr>
      </w:pPr>
    </w:p>
    <w:p w14:paraId="5D4588D0">
      <w:pPr>
        <w:adjustRightInd w:val="0"/>
        <w:snapToGrid w:val="0"/>
        <w:spacing w:line="360" w:lineRule="auto"/>
        <w:jc w:val="left"/>
        <w:rPr>
          <w:rFonts w:ascii="宋体" w:hAnsi="宋体"/>
          <w:sz w:val="20"/>
          <w:szCs w:val="20"/>
          <w:highlight w:val="none"/>
        </w:rPr>
      </w:pPr>
    </w:p>
    <w:p w14:paraId="1FC55840">
      <w:pPr>
        <w:adjustRightInd w:val="0"/>
        <w:snapToGrid w:val="0"/>
        <w:spacing w:line="360" w:lineRule="auto"/>
        <w:jc w:val="center"/>
        <w:rPr>
          <w:rFonts w:ascii="方正小标宋简体" w:hAnsi="宋体" w:eastAsia="方正小标宋简体"/>
          <w:bCs/>
          <w:sz w:val="52"/>
          <w:szCs w:val="36"/>
          <w:highlight w:val="none"/>
        </w:rPr>
      </w:pPr>
    </w:p>
    <w:p w14:paraId="1F4A20B3">
      <w:pPr>
        <w:adjustRightInd w:val="0"/>
        <w:snapToGrid w:val="0"/>
        <w:spacing w:line="360" w:lineRule="auto"/>
        <w:jc w:val="center"/>
        <w:rPr>
          <w:rFonts w:ascii="方正小标宋简体" w:hAnsi="宋体" w:eastAsia="方正小标宋简体"/>
          <w:sz w:val="52"/>
          <w:szCs w:val="36"/>
          <w:highlight w:val="none"/>
        </w:rPr>
      </w:pPr>
      <w:r>
        <w:rPr>
          <w:rFonts w:hint="eastAsia" w:ascii="方正小标宋简体" w:hAnsi="宋体" w:eastAsia="方正小标宋简体"/>
          <w:bCs/>
          <w:sz w:val="52"/>
          <w:szCs w:val="36"/>
          <w:highlight w:val="none"/>
        </w:rPr>
        <w:t>设备采购合同（模板）</w:t>
      </w:r>
    </w:p>
    <w:p w14:paraId="63DEA368">
      <w:pPr>
        <w:adjustRightInd w:val="0"/>
        <w:snapToGrid w:val="0"/>
        <w:spacing w:line="360" w:lineRule="auto"/>
        <w:jc w:val="left"/>
        <w:rPr>
          <w:rFonts w:ascii="宋体" w:hAnsi="宋体"/>
          <w:b/>
          <w:sz w:val="36"/>
          <w:szCs w:val="36"/>
          <w:highlight w:val="none"/>
        </w:rPr>
      </w:pPr>
    </w:p>
    <w:p w14:paraId="39A4F802">
      <w:pPr>
        <w:adjustRightInd w:val="0"/>
        <w:snapToGrid w:val="0"/>
        <w:spacing w:line="360" w:lineRule="auto"/>
        <w:jc w:val="left"/>
        <w:rPr>
          <w:rFonts w:ascii="宋体" w:hAnsi="宋体"/>
          <w:b/>
          <w:sz w:val="36"/>
          <w:szCs w:val="36"/>
          <w:highlight w:val="none"/>
        </w:rPr>
      </w:pPr>
    </w:p>
    <w:p w14:paraId="198E6FF2">
      <w:pPr>
        <w:adjustRightInd w:val="0"/>
        <w:snapToGrid w:val="0"/>
        <w:spacing w:line="360" w:lineRule="auto"/>
        <w:jc w:val="left"/>
        <w:rPr>
          <w:rFonts w:ascii="宋体" w:hAnsi="宋体"/>
          <w:b/>
          <w:sz w:val="36"/>
          <w:szCs w:val="36"/>
          <w:highlight w:val="none"/>
        </w:rPr>
      </w:pPr>
    </w:p>
    <w:p w14:paraId="098E0783">
      <w:pPr>
        <w:adjustRightInd w:val="0"/>
        <w:snapToGrid w:val="0"/>
        <w:spacing w:line="360" w:lineRule="auto"/>
        <w:jc w:val="left"/>
        <w:rPr>
          <w:rFonts w:ascii="宋体" w:hAnsi="宋体"/>
          <w:b/>
          <w:sz w:val="36"/>
          <w:szCs w:val="36"/>
          <w:highlight w:val="none"/>
        </w:rPr>
      </w:pPr>
    </w:p>
    <w:p w14:paraId="1B247980">
      <w:pPr>
        <w:adjustRightInd w:val="0"/>
        <w:snapToGrid w:val="0"/>
        <w:spacing w:line="360" w:lineRule="auto"/>
        <w:ind w:firstLine="2107" w:firstLineChars="878"/>
        <w:jc w:val="left"/>
        <w:rPr>
          <w:rFonts w:ascii="方正小标宋简体" w:hAnsi="宋体" w:eastAsia="方正小标宋简体" w:cs="Times New Roman"/>
          <w:sz w:val="24"/>
          <w:szCs w:val="24"/>
          <w:highlight w:val="none"/>
          <w:u w:val="thick"/>
        </w:rPr>
      </w:pPr>
      <w:r>
        <w:rPr>
          <w:rFonts w:hint="eastAsia" w:ascii="方正小标宋简体" w:hAnsi="宋体" w:eastAsia="方正小标宋简体" w:cs="Times New Roman"/>
          <w:sz w:val="24"/>
          <w:szCs w:val="24"/>
          <w:highlight w:val="none"/>
        </w:rPr>
        <w:t>甲  方：</w:t>
      </w:r>
      <w:r>
        <w:rPr>
          <w:rFonts w:hint="eastAsia" w:ascii="方正小标宋简体" w:hAnsi="宋体" w:eastAsia="方正小标宋简体" w:cs="Times New Roman"/>
          <w:sz w:val="24"/>
          <w:szCs w:val="24"/>
          <w:highlight w:val="none"/>
          <w:u w:val="thick"/>
        </w:rPr>
        <w:t xml:space="preserve">                           </w:t>
      </w:r>
    </w:p>
    <w:p w14:paraId="6CD0324D">
      <w:pPr>
        <w:adjustRightInd w:val="0"/>
        <w:snapToGrid w:val="0"/>
        <w:spacing w:line="360" w:lineRule="auto"/>
        <w:ind w:firstLine="1627" w:firstLineChars="6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4E158D84">
      <w:pPr>
        <w:adjustRightInd w:val="0"/>
        <w:snapToGrid w:val="0"/>
        <w:spacing w:line="360" w:lineRule="auto"/>
        <w:ind w:firstLine="2107" w:firstLineChars="8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3B4DD6BA">
      <w:pPr>
        <w:spacing w:line="360" w:lineRule="auto"/>
        <w:ind w:right="480"/>
        <w:rPr>
          <w:highlight w:val="none"/>
        </w:rPr>
        <w:sectPr>
          <w:footerReference r:id="rId16" w:type="default"/>
          <w:pgSz w:w="11907" w:h="16840"/>
          <w:pgMar w:top="1304" w:right="1418" w:bottom="1304" w:left="1418" w:header="724" w:footer="851" w:gutter="0"/>
          <w:cols w:space="720" w:num="1"/>
          <w:docGrid w:linePitch="290" w:charSpace="-3931"/>
        </w:sectPr>
      </w:pPr>
    </w:p>
    <w:p w14:paraId="07D0F888">
      <w:pPr>
        <w:spacing w:line="360" w:lineRule="auto"/>
        <w:rPr>
          <w:rFonts w:ascii="仿宋_GB2312" w:hAnsi="宋体" w:eastAsia="仿宋_GB2312" w:cs="宋体"/>
          <w:bCs/>
          <w:sz w:val="24"/>
          <w:szCs w:val="24"/>
          <w:highlight w:val="none"/>
        </w:rPr>
      </w:pPr>
      <w:r>
        <w:rPr>
          <w:rFonts w:hint="eastAsia" w:ascii="宋体" w:hAnsi="宋体" w:cs="宋体"/>
          <w:bCs/>
          <w:sz w:val="22"/>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14:paraId="0607E6A4">
      <w:pPr>
        <w:spacing w:line="360" w:lineRule="auto"/>
        <w:rPr>
          <w:rFonts w:ascii="仿宋_GB2312" w:hAnsi="宋体" w:eastAsia="仿宋_GB2312" w:cs="宋体"/>
          <w:bCs/>
          <w:sz w:val="24"/>
          <w:szCs w:val="24"/>
          <w:highlight w:val="none"/>
        </w:rPr>
      </w:pPr>
      <w:r>
        <w:rPr>
          <w:rFonts w:hint="eastAsia" w:ascii="仿宋_GB2312" w:hAnsi="宋体" w:eastAsia="仿宋_GB2312" w:cs="宋体"/>
          <w:bCs/>
          <w:sz w:val="24"/>
          <w:szCs w:val="24"/>
          <w:highlight w:val="none"/>
        </w:rPr>
        <w:t xml:space="preserve">    </w:t>
      </w:r>
    </w:p>
    <w:p w14:paraId="20970926">
      <w:pPr>
        <w:spacing w:line="360" w:lineRule="auto"/>
        <w:ind w:right="-189" w:rightChars="-90" w:firstLine="120" w:firstLineChars="50"/>
        <w:jc w:val="left"/>
        <w:rPr>
          <w:rFonts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p>
    <w:p w14:paraId="1FF3F738">
      <w:pPr>
        <w:spacing w:line="360" w:lineRule="auto"/>
        <w:ind w:right="-189" w:rightChars="-90"/>
        <w:jc w:val="left"/>
        <w:rPr>
          <w:rFonts w:ascii="仿宋_GB2312" w:hAnsi="宋体" w:eastAsia="仿宋_GB2312" w:cs="宋体"/>
          <w:b/>
          <w:bCs/>
          <w:sz w:val="24"/>
          <w:szCs w:val="24"/>
          <w:highlight w:val="none"/>
          <w:u w:val="single"/>
        </w:rPr>
      </w:pPr>
    </w:p>
    <w:p w14:paraId="182FD3E6">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本设备采购合同由甲乙双方于山东省济南市（可根据实际情况调整）签订：</w:t>
      </w:r>
    </w:p>
    <w:p w14:paraId="1E632410">
      <w:pPr>
        <w:spacing w:line="360" w:lineRule="auto"/>
        <w:ind w:right="-189" w:rightChars="-90" w:firstLine="480" w:firstLineChars="20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鉴于，买方向卖方购买</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项目</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设备</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台（套），就该设备的设计、制造、运输、定点卸货、安装（或指导安装）、调试、验收、培训及售后服务等有关问题，以上所列内容经买卖双方协商自愿达成本合同：</w:t>
      </w:r>
    </w:p>
    <w:p w14:paraId="216EB35F">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6" w:name="_Toc11930"/>
      <w:bookmarkStart w:id="57" w:name="_Toc9465"/>
      <w:bookmarkStart w:id="58" w:name="_Toc11823"/>
      <w:bookmarkStart w:id="59" w:name="_Toc16330018"/>
      <w:bookmarkStart w:id="60" w:name="_Toc17619"/>
      <w:r>
        <w:rPr>
          <w:rFonts w:hint="eastAsia" w:ascii="黑体" w:hAnsi="黑体" w:eastAsia="黑体" w:cstheme="minorEastAsia"/>
          <w:b w:val="0"/>
          <w:sz w:val="28"/>
          <w:szCs w:val="28"/>
          <w:highlight w:val="none"/>
        </w:rPr>
        <w:t>1 合同设备</w:t>
      </w:r>
      <w:bookmarkEnd w:id="56"/>
      <w:bookmarkEnd w:id="57"/>
      <w:bookmarkEnd w:id="58"/>
      <w:bookmarkEnd w:id="59"/>
      <w:bookmarkEnd w:id="60"/>
    </w:p>
    <w:p w14:paraId="67674D3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1.1买方向卖方购买的设备信息见附件一：《设备清单明细表》</w:t>
      </w:r>
    </w:p>
    <w:p w14:paraId="1187FC09">
      <w:pPr>
        <w:spacing w:line="360" w:lineRule="auto"/>
        <w:ind w:firstLine="453" w:firstLineChars="189"/>
        <w:rPr>
          <w:rFonts w:ascii="仿宋_GB2312" w:eastAsia="仿宋_GB2312" w:hAnsiTheme="minorEastAsia" w:cstheme="minorEastAsia"/>
          <w:sz w:val="24"/>
          <w:szCs w:val="24"/>
          <w:highlight w:val="none"/>
        </w:rPr>
      </w:pPr>
      <w:bookmarkStart w:id="61" w:name="_Toc22800"/>
      <w:bookmarkStart w:id="62" w:name="_Toc32510"/>
      <w:bookmarkStart w:id="63" w:name="_Toc29026"/>
      <w:r>
        <w:rPr>
          <w:rFonts w:hint="eastAsia" w:ascii="仿宋_GB2312" w:eastAsia="仿宋_GB2312" w:hAnsiTheme="minorEastAsia" w:cstheme="minorEastAsia"/>
          <w:sz w:val="24"/>
          <w:szCs w:val="24"/>
          <w:highlight w:val="none"/>
        </w:rPr>
        <w:t>1.2技术规格和标准</w:t>
      </w:r>
    </w:p>
    <w:p w14:paraId="68E6730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1.2.1本合同约定设备的技术规格详见附件二《技术协议书》。</w:t>
      </w:r>
    </w:p>
    <w:p w14:paraId="2202508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1330A4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1.3在设备所有权转移到买方之前，有关设备的保险由卖方负责办理并承担保险费用。</w:t>
      </w:r>
    </w:p>
    <w:p w14:paraId="43278828">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4" w:name="_Toc16330019"/>
      <w:bookmarkStart w:id="65" w:name="_Toc7716"/>
      <w:r>
        <w:rPr>
          <w:rFonts w:hint="eastAsia" w:ascii="黑体" w:hAnsi="黑体" w:eastAsia="黑体" w:cstheme="minorEastAsia"/>
          <w:b w:val="0"/>
          <w:sz w:val="28"/>
          <w:szCs w:val="28"/>
          <w:highlight w:val="none"/>
        </w:rPr>
        <w:t>2 包装</w:t>
      </w:r>
      <w:bookmarkEnd w:id="61"/>
      <w:bookmarkEnd w:id="62"/>
      <w:bookmarkEnd w:id="63"/>
      <w:bookmarkEnd w:id="64"/>
      <w:bookmarkEnd w:id="65"/>
    </w:p>
    <w:p w14:paraId="280D84C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F6BB1D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2.2每件包装应附有详细的装箱单和质量证书各两套，一套在包装箱里，一套在包装箱外。</w:t>
      </w:r>
    </w:p>
    <w:p w14:paraId="448906D1">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6" w:name="_Toc30507"/>
      <w:bookmarkStart w:id="67" w:name="_Toc27144"/>
      <w:bookmarkStart w:id="68" w:name="_Toc27453"/>
      <w:bookmarkStart w:id="69" w:name="_Toc16330020"/>
      <w:bookmarkStart w:id="70" w:name="_Toc2833"/>
      <w:r>
        <w:rPr>
          <w:rFonts w:hint="eastAsia" w:ascii="黑体" w:hAnsi="黑体" w:eastAsia="黑体" w:cstheme="minorEastAsia"/>
          <w:b w:val="0"/>
          <w:sz w:val="28"/>
          <w:szCs w:val="28"/>
          <w:highlight w:val="none"/>
        </w:rPr>
        <w:t>3 运输标记</w:t>
      </w:r>
      <w:bookmarkEnd w:id="66"/>
      <w:bookmarkEnd w:id="67"/>
      <w:bookmarkEnd w:id="68"/>
      <w:bookmarkEnd w:id="69"/>
      <w:bookmarkEnd w:id="70"/>
    </w:p>
    <w:p w14:paraId="4BF2B54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3.1卖方应在每一包装箱邻近的四个侧面用不易褪色的油漆以醒目的中文印刷字体标明以下各项：</w:t>
      </w:r>
    </w:p>
    <w:p w14:paraId="08FA098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3.1.1收货人</w:t>
      </w:r>
    </w:p>
    <w:p w14:paraId="22CA6A9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3.1.2合同号</w:t>
      </w:r>
    </w:p>
    <w:p w14:paraId="72CA9F8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3.1.3发货标记（唛头）</w:t>
      </w:r>
    </w:p>
    <w:p w14:paraId="2910C4D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3.1.4设备的名称、品目号、箱号</w:t>
      </w:r>
    </w:p>
    <w:p w14:paraId="2446F98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3.1.5毛重/净重（公斤）</w:t>
      </w:r>
    </w:p>
    <w:p w14:paraId="75156C0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3.1.6尺寸（长×宽×高，以厘米计）</w:t>
      </w:r>
    </w:p>
    <w:p w14:paraId="5A00650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39FAB1F">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71" w:name="_Toc7431"/>
      <w:bookmarkStart w:id="72" w:name="_Toc8624"/>
      <w:bookmarkStart w:id="73" w:name="_Toc16133"/>
      <w:bookmarkStart w:id="74" w:name="_Toc16330021"/>
      <w:bookmarkStart w:id="75" w:name="_Toc10630"/>
      <w:r>
        <w:rPr>
          <w:rFonts w:hint="eastAsia" w:ascii="黑体" w:hAnsi="黑体" w:eastAsia="黑体" w:cstheme="minorEastAsia"/>
          <w:b w:val="0"/>
          <w:sz w:val="28"/>
          <w:szCs w:val="28"/>
          <w:highlight w:val="none"/>
        </w:rPr>
        <w:t>4 检验</w:t>
      </w:r>
      <w:bookmarkEnd w:id="71"/>
      <w:bookmarkEnd w:id="72"/>
      <w:bookmarkEnd w:id="73"/>
      <w:bookmarkEnd w:id="74"/>
      <w:bookmarkEnd w:id="75"/>
    </w:p>
    <w:p w14:paraId="70EE041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4DDBB8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4.2国家强制检验检测的设备，需要经过国家有关部门进行检验检测，卖方保证提供的设备通过其检验并承担费用。</w:t>
      </w:r>
    </w:p>
    <w:p w14:paraId="518FC26D">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76" w:name="_Toc14275"/>
      <w:bookmarkStart w:id="77" w:name="_Toc11217"/>
      <w:bookmarkStart w:id="78" w:name="_Toc24467"/>
      <w:bookmarkStart w:id="79" w:name="_Toc19850"/>
      <w:bookmarkStart w:id="80" w:name="_Toc16330022"/>
      <w:r>
        <w:rPr>
          <w:rFonts w:hint="eastAsia" w:ascii="黑体" w:hAnsi="黑体" w:eastAsia="黑体" w:cstheme="minorEastAsia"/>
          <w:b w:val="0"/>
          <w:sz w:val="28"/>
          <w:szCs w:val="28"/>
          <w:highlight w:val="none"/>
        </w:rPr>
        <w:t>5 权利担保</w:t>
      </w:r>
      <w:bookmarkEnd w:id="76"/>
      <w:bookmarkEnd w:id="77"/>
      <w:bookmarkEnd w:id="78"/>
      <w:bookmarkEnd w:id="79"/>
      <w:bookmarkEnd w:id="80"/>
    </w:p>
    <w:p w14:paraId="20B1ED1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53A0C85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5.2卖方应保证第三方对其提交的设备不得以侵权或其他类似理由提出合法要求，如侵犯知识产权等。</w:t>
      </w:r>
    </w:p>
    <w:p w14:paraId="2D17D0B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5.3任何第三方如果提出侵权指控，卖方应与第三方交涉，并承担由此引起的一切法律责任和费用以及给买方所造成的损失。</w:t>
      </w:r>
    </w:p>
    <w:p w14:paraId="603BB79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5.4买方应在已知道第三方的权利或要求后的一段合理时间内，将此权利或要求的性质通知卖方。</w:t>
      </w:r>
    </w:p>
    <w:p w14:paraId="24A67E4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F886309">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81" w:name="_Toc20827"/>
      <w:bookmarkStart w:id="82" w:name="_Toc14809"/>
      <w:bookmarkStart w:id="83" w:name="_Toc27500"/>
      <w:bookmarkStart w:id="84" w:name="_Toc16330023"/>
      <w:bookmarkStart w:id="85" w:name="_Toc11759"/>
      <w:r>
        <w:rPr>
          <w:rFonts w:hint="eastAsia" w:ascii="黑体" w:hAnsi="黑体" w:eastAsia="黑体" w:cstheme="minorEastAsia"/>
          <w:b w:val="0"/>
          <w:sz w:val="28"/>
          <w:szCs w:val="28"/>
          <w:highlight w:val="none"/>
        </w:rPr>
        <w:t>6 交货</w:t>
      </w:r>
      <w:bookmarkEnd w:id="81"/>
      <w:bookmarkEnd w:id="82"/>
      <w:bookmarkEnd w:id="83"/>
      <w:bookmarkEnd w:id="84"/>
      <w:bookmarkEnd w:id="85"/>
    </w:p>
    <w:p w14:paraId="2FF952D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0B58C5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6.2卖方应在设备装运完成后当天以传真、邮件等的形式通知买方合同号、设备名称、数量、毛重、体积（立方米）、发票金额、启运日期、预计到达日期。</w:t>
      </w:r>
    </w:p>
    <w:p w14:paraId="616E9AD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5BC4F9C">
      <w:pPr>
        <w:spacing w:line="360" w:lineRule="auto"/>
        <w:ind w:firstLine="453" w:firstLineChars="189"/>
        <w:rPr>
          <w:rFonts w:ascii="仿宋_GB2312" w:eastAsia="仿宋_GB2312" w:hAnsiTheme="minorEastAsia" w:cstheme="minorEastAsia"/>
          <w:i/>
          <w:iCs/>
          <w:sz w:val="24"/>
          <w:szCs w:val="24"/>
          <w:highlight w:val="none"/>
          <w:u w:val="double"/>
        </w:rPr>
      </w:pPr>
      <w:r>
        <w:rPr>
          <w:rFonts w:hint="eastAsia" w:ascii="仿宋_GB2312" w:eastAsia="仿宋_GB2312" w:hAnsiTheme="minorEastAsia" w:cstheme="minorEastAsia"/>
          <w:sz w:val="24"/>
          <w:szCs w:val="24"/>
          <w:highlight w:val="none"/>
        </w:rPr>
        <w:t>6.4交货方式</w:t>
      </w:r>
      <w:r>
        <w:rPr>
          <w:rFonts w:hint="eastAsia" w:ascii="仿宋_GB2312" w:eastAsia="仿宋_GB2312" w:hAnsiTheme="minorEastAsia" w:cstheme="minorEastAsia"/>
          <w:bCs/>
          <w:sz w:val="24"/>
          <w:szCs w:val="24"/>
          <w:highlight w:val="none"/>
        </w:rPr>
        <w:t>：</w:t>
      </w:r>
      <w:r>
        <w:rPr>
          <w:rFonts w:hint="eastAsia" w:ascii="仿宋_GB2312" w:eastAsia="仿宋_GB2312" w:hAnsiTheme="minorEastAsia" w:cstheme="minorEastAsia"/>
          <w:bCs/>
          <w:sz w:val="24"/>
          <w:szCs w:val="24"/>
          <w:highlight w:val="none"/>
          <w:u w:val="single"/>
        </w:rPr>
        <w:t xml:space="preserve">        </w:t>
      </w:r>
      <w:r>
        <w:rPr>
          <w:rFonts w:hint="eastAsia" w:ascii="仿宋_GB2312" w:eastAsia="仿宋_GB2312" w:hAnsiTheme="minorEastAsia" w:cstheme="minorEastAsia"/>
          <w:iCs/>
          <w:sz w:val="24"/>
          <w:szCs w:val="24"/>
          <w:highlight w:val="none"/>
          <w:u w:val="single"/>
        </w:rPr>
        <w:t>（可选择6.4.1-6.4.3定义的方式或根据实际约定）</w:t>
      </w:r>
    </w:p>
    <w:p w14:paraId="22FC138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6.4.1交钥匙方式：卖方负责合同设备的设计、制造、运输、定点卸货、安装、调试、培训及售后服务等所有内容，直至买方验收合格并交付使用。</w:t>
      </w:r>
    </w:p>
    <w:p w14:paraId="14BF38D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05B38A3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6.4.3自提：买方依照合同约定到卖方所在地提取合同设备，经买方根据合同所约定的数量、型号及配置等内容逐一确认无误后，双方完成交付手续。</w:t>
      </w:r>
    </w:p>
    <w:p w14:paraId="26B9A40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6.5交货地点：</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 xml:space="preserve">      </w:t>
      </w:r>
    </w:p>
    <w:p w14:paraId="61ABA1A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6.6到货时间：</w:t>
      </w:r>
      <w:r>
        <w:rPr>
          <w:rFonts w:hint="eastAsia" w:ascii="仿宋_GB2312" w:eastAsia="仿宋_GB2312" w:hAnsiTheme="minorEastAsia" w:cstheme="minorEastAsia"/>
          <w:sz w:val="24"/>
          <w:szCs w:val="24"/>
          <w:highlight w:val="none"/>
          <w:u w:val="single"/>
        </w:rPr>
        <w:t>20  年  月   日前</w:t>
      </w:r>
      <w:r>
        <w:rPr>
          <w:rFonts w:hint="eastAsia" w:ascii="仿宋_GB2312" w:eastAsia="仿宋_GB2312" w:hAnsiTheme="minorEastAsia" w:cstheme="minorEastAsia"/>
          <w:sz w:val="24"/>
          <w:szCs w:val="24"/>
          <w:highlight w:val="none"/>
        </w:rPr>
        <w:t xml:space="preserve">         </w:t>
      </w:r>
    </w:p>
    <w:p w14:paraId="4400CD8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149476D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6.8如果卖方在规定的日期前交付设备，需经买方书面同意。</w:t>
      </w:r>
    </w:p>
    <w:p w14:paraId="370253B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6.9风险的转移：</w:t>
      </w:r>
    </w:p>
    <w:p w14:paraId="146E96BC">
      <w:pPr>
        <w:spacing w:line="360" w:lineRule="auto"/>
        <w:ind w:firstLine="453" w:firstLineChars="189"/>
        <w:rPr>
          <w:rFonts w:asciiTheme="minorEastAsia" w:hAnsiTheme="minorEastAsia" w:cstheme="minorEastAsia"/>
          <w:sz w:val="20"/>
          <w:szCs w:val="20"/>
          <w:highlight w:val="none"/>
        </w:rPr>
      </w:pPr>
      <w:r>
        <w:rPr>
          <w:rFonts w:hint="eastAsia" w:ascii="仿宋_GB2312" w:eastAsia="仿宋_GB2312" w:hAnsiTheme="minorEastAsia" w:cstheme="minorEastAsia"/>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202F0879">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86" w:name="_Toc2984"/>
      <w:bookmarkStart w:id="87" w:name="_Toc23308"/>
      <w:bookmarkStart w:id="88" w:name="_Toc16330024"/>
      <w:bookmarkStart w:id="89" w:name="_Toc25510"/>
      <w:bookmarkStart w:id="90" w:name="_Toc8024"/>
      <w:r>
        <w:rPr>
          <w:rFonts w:hint="eastAsia" w:ascii="黑体" w:hAnsi="黑体" w:eastAsia="黑体" w:cstheme="minorEastAsia"/>
          <w:b w:val="0"/>
          <w:sz w:val="28"/>
          <w:szCs w:val="28"/>
          <w:highlight w:val="none"/>
        </w:rPr>
        <w:t>7 安装、调试</w:t>
      </w:r>
      <w:bookmarkEnd w:id="86"/>
      <w:bookmarkEnd w:id="87"/>
      <w:bookmarkEnd w:id="88"/>
      <w:bookmarkEnd w:id="89"/>
      <w:bookmarkEnd w:id="90"/>
    </w:p>
    <w:p w14:paraId="26776FE0">
      <w:pPr>
        <w:pStyle w:val="14"/>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7.1 卖方须在到货后</w:t>
      </w:r>
      <w:r>
        <w:rPr>
          <w:rFonts w:hint="eastAsia"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日内安装调试完成。</w:t>
      </w:r>
    </w:p>
    <w:p w14:paraId="50CCF149">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7.2卖方应自带用以安装、调试过程中所需的各种工具、仪器、仪表及易损件。在安装、调试过程中，卖方应自负其工作人员的食宿、交通等费用。</w:t>
      </w:r>
    </w:p>
    <w:p w14:paraId="263E863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7.3在安装、调试过程中，安装场地及施工人员安全，由卖方负责。由于安装、调试等原因造成买方或他人人身损害或财产损失的，由卖方承担赔偿责任。</w:t>
      </w:r>
    </w:p>
    <w:p w14:paraId="2DF638F0">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7.4</w:t>
      </w:r>
      <w:r>
        <w:rPr>
          <w:rFonts w:hint="eastAsia" w:ascii="仿宋_GB2312" w:hAnsi="黑体" w:eastAsia="仿宋_GB2312" w:cstheme="minorEastAsia"/>
          <w:bCs/>
          <w:sz w:val="24"/>
          <w:szCs w:val="24"/>
          <w:highlight w:val="none"/>
        </w:rPr>
        <w:t xml:space="preserve"> </w:t>
      </w:r>
      <w:r>
        <w:rPr>
          <w:rFonts w:hint="eastAsia" w:ascii="仿宋_GB2312" w:hAnsi="黑体" w:eastAsia="仿宋_GB2312" w:cstheme="minorEastAsia"/>
          <w:sz w:val="24"/>
          <w:szCs w:val="24"/>
          <w:highlight w:val="none"/>
        </w:rPr>
        <w:t>卖方须对安装、调试过程中造成的买方或他人人身损害或财产损失承担赔偿责任。</w:t>
      </w:r>
    </w:p>
    <w:p w14:paraId="2943E93A">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1" w:name="_Toc6350"/>
      <w:bookmarkStart w:id="92" w:name="_Toc15547"/>
      <w:bookmarkStart w:id="93" w:name="_Toc16330025"/>
      <w:bookmarkStart w:id="94" w:name="_Toc14260"/>
      <w:bookmarkStart w:id="95" w:name="_Toc14098"/>
      <w:r>
        <w:rPr>
          <w:rFonts w:hint="eastAsia" w:ascii="黑体" w:hAnsi="黑体" w:eastAsia="黑体" w:cstheme="minorEastAsia"/>
          <w:b w:val="0"/>
          <w:sz w:val="28"/>
          <w:szCs w:val="28"/>
          <w:highlight w:val="none"/>
        </w:rPr>
        <w:t>8 价款与支付</w:t>
      </w:r>
      <w:bookmarkEnd w:id="91"/>
      <w:bookmarkEnd w:id="92"/>
      <w:bookmarkEnd w:id="93"/>
      <w:bookmarkEnd w:id="94"/>
      <w:bookmarkEnd w:id="95"/>
    </w:p>
    <w:p w14:paraId="4983B38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），增值税税率</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rPr>
        <w:t>【】</w:t>
      </w:r>
      <w:r>
        <w:rPr>
          <w:rFonts w:hint="eastAsia" w:ascii="仿宋_GB2312" w:hAnsi="黑体" w:eastAsia="仿宋_GB2312" w:cstheme="minorEastAsia"/>
          <w:sz w:val="24"/>
          <w:szCs w:val="24"/>
          <w:highlight w:val="none"/>
        </w:rPr>
        <w:t>%，税额</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元，含税总价</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元人民币（大写：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），若国家出台新政策对增值税率进行了调整，本合同含税总价保持不变。</w:t>
      </w:r>
    </w:p>
    <w:p w14:paraId="11137ED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23E38D11">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 xml:space="preserve">         </w:t>
      </w:r>
    </w:p>
    <w:p w14:paraId="5BB4220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8.3合同价款的支付：（如有不同付款比例，则按照招标文件约定据实填写）</w:t>
      </w:r>
    </w:p>
    <w:p w14:paraId="6F9C484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8.3.1合同生效后, 卖方提交金额为合同含税价款30%的收据（正本一份，复印件二份）及增值税专用发票（税率为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%，正本一份，复印件二份），经买方依照财务制度审核通过后30日支付。</w:t>
      </w:r>
    </w:p>
    <w:p w14:paraId="119466C9">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%，正本一份，复印件二份），经买方依照财务制度审核通过后30日支付。</w:t>
      </w:r>
    </w:p>
    <w:p w14:paraId="0F6D82B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%，正本一份，复印件二份）并附带该套合同设备最终验收报告的原件及其复印件两份，经买方依照财务制度审核通过后30日支付：</w:t>
      </w:r>
    </w:p>
    <w:p w14:paraId="5733048E">
      <w:pPr>
        <w:spacing w:line="360" w:lineRule="auto"/>
        <w:ind w:firstLine="453" w:firstLineChars="189"/>
        <w:rPr>
          <w:rFonts w:asciiTheme="minorEastAsia" w:hAnsiTheme="minorEastAsia" w:cstheme="minorEastAsia"/>
          <w:sz w:val="20"/>
          <w:szCs w:val="20"/>
          <w:highlight w:val="none"/>
        </w:rPr>
      </w:pPr>
      <w:bookmarkStart w:id="96" w:name="_Toc14531628"/>
      <w:bookmarkStart w:id="97" w:name="_Toc14676804"/>
      <w:r>
        <w:rPr>
          <w:rFonts w:hint="eastAsia" w:ascii="仿宋_GB2312" w:hAnsi="黑体" w:eastAsia="仿宋_GB2312" w:cstheme="minorEastAsia"/>
          <w:sz w:val="24"/>
          <w:szCs w:val="24"/>
          <w:highlight w:val="none"/>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96"/>
      <w:bookmarkEnd w:id="97"/>
    </w:p>
    <w:p w14:paraId="2E69DBAE">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8" w:name="_Toc16330026"/>
      <w:bookmarkStart w:id="99" w:name="_Toc25708"/>
      <w:bookmarkStart w:id="100" w:name="_Toc24085"/>
      <w:bookmarkStart w:id="101" w:name="_Toc21726"/>
      <w:bookmarkStart w:id="102" w:name="_Toc6726"/>
      <w:r>
        <w:rPr>
          <w:rFonts w:hint="eastAsia" w:ascii="黑体" w:hAnsi="黑体" w:eastAsia="黑体" w:cstheme="minorEastAsia"/>
          <w:b w:val="0"/>
          <w:sz w:val="28"/>
          <w:szCs w:val="28"/>
          <w:highlight w:val="none"/>
        </w:rPr>
        <w:t>9 质量保证及售后服务</w:t>
      </w:r>
      <w:bookmarkEnd w:id="98"/>
      <w:bookmarkEnd w:id="99"/>
      <w:bookmarkEnd w:id="100"/>
      <w:bookmarkEnd w:id="101"/>
      <w:bookmarkEnd w:id="102"/>
    </w:p>
    <w:p w14:paraId="2C0DCCB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890294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9.2卖方承诺其提供的设备不存在任何产品缺陷，否则因卖方提供的设备存在产品缺陷而给买方造成的一切后果和损失由卖方承担。</w:t>
      </w:r>
    </w:p>
    <w:p w14:paraId="3BDC7F4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1DE4990">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9.4本合同约定设备的质量保证期：自最终验收报告签署之日（以签署日期最晚者为准）起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462FF7E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D3D5D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9.6卖方负责在买方指定的地点免费为买方培训操作及维修人员，培训内容包括：基本原理、操作使用、安全操作注意事项以及维修保养等内容。</w:t>
      </w:r>
    </w:p>
    <w:p w14:paraId="604F8C7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9.7质量保证期满后，卖方保证向买方提供及时的、质优的、价格优惠的技术服务和备品备件供应。</w:t>
      </w:r>
    </w:p>
    <w:p w14:paraId="2FCE5F6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9.8质量保证期满后，如出现质量问题，卖方也应及时修复和更换，且只收取成本费，费用由买方承担，卖方对设备质量问题所负的责任直到设备使用寿命周期结束。</w:t>
      </w:r>
    </w:p>
    <w:p w14:paraId="3C0ED457">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03" w:name="_Toc10359"/>
      <w:bookmarkStart w:id="104" w:name="_Toc16330027"/>
      <w:bookmarkStart w:id="105" w:name="_Toc15570"/>
      <w:bookmarkStart w:id="106" w:name="_Toc26769"/>
      <w:bookmarkStart w:id="107" w:name="_Toc12927"/>
      <w:r>
        <w:rPr>
          <w:rFonts w:hint="eastAsia" w:ascii="黑体" w:hAnsi="黑体" w:eastAsia="黑体" w:cstheme="minorEastAsia"/>
          <w:b w:val="0"/>
          <w:sz w:val="28"/>
          <w:szCs w:val="28"/>
          <w:highlight w:val="none"/>
        </w:rPr>
        <w:t>10法定责任</w:t>
      </w:r>
      <w:bookmarkEnd w:id="103"/>
      <w:bookmarkEnd w:id="104"/>
      <w:bookmarkEnd w:id="105"/>
      <w:bookmarkEnd w:id="106"/>
      <w:bookmarkEnd w:id="107"/>
    </w:p>
    <w:p w14:paraId="7060533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10.1卖方需遵从国家有关的法律、法规，缴纳有关的法定费用和税项。若卖方未按期交纳法定费用、税项，则卖方须补偿买方由此造成的所有费用及损失。</w:t>
      </w:r>
    </w:p>
    <w:p w14:paraId="2390780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10.2除非本合同中另有规定或买方同意，卖方不得全部或部分转让本合同项下的权利义务。</w:t>
      </w:r>
    </w:p>
    <w:p w14:paraId="4D61D400">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73823F19">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10.4除对方预先书面同意外，任何一方在本合同签订和履行期间或本合同终止后不得向第三方披露在本合同履行过程中知悉的与对方有关的任何商业秘密。</w:t>
      </w:r>
    </w:p>
    <w:p w14:paraId="023CCAD8">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08" w:name="_Toc27314"/>
      <w:bookmarkStart w:id="109" w:name="_Toc7698"/>
      <w:bookmarkStart w:id="110" w:name="_Toc16330028"/>
      <w:bookmarkStart w:id="111" w:name="_Toc9708"/>
      <w:bookmarkStart w:id="112" w:name="_Toc30381"/>
      <w:r>
        <w:rPr>
          <w:rFonts w:hint="eastAsia" w:ascii="黑体" w:hAnsi="黑体" w:eastAsia="黑体" w:cstheme="minorEastAsia"/>
          <w:b w:val="0"/>
          <w:sz w:val="28"/>
          <w:szCs w:val="28"/>
          <w:highlight w:val="none"/>
        </w:rPr>
        <w:t>11 违约责任</w:t>
      </w:r>
      <w:bookmarkEnd w:id="108"/>
      <w:bookmarkEnd w:id="109"/>
      <w:bookmarkEnd w:id="110"/>
      <w:bookmarkEnd w:id="111"/>
      <w:bookmarkEnd w:id="112"/>
    </w:p>
    <w:p w14:paraId="233417B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008891A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0B05E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11.1.2根据设备的瑕疵和受损程度以及买方遭受损失的金额，经买方同意降低设备价格。</w:t>
      </w:r>
    </w:p>
    <w:p w14:paraId="39587D5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78E0EA21">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7CFD8F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2CEEAE1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4858D95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11.5买方延期付款时（有正当拒付理由者除外），每日按延付金额的 3 ‰向卖方偿付延期付款违约金，但违约金总额不超过延付金额的 50 ‰。</w:t>
      </w:r>
    </w:p>
    <w:p w14:paraId="7082BB8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‰的违约金（合同额不足10万元按照2000元/天计取），且不免除维修的责任。违约金在质保金中扣除。</w:t>
      </w:r>
    </w:p>
    <w:p w14:paraId="64A928A4">
      <w:pPr>
        <w:spacing w:line="360" w:lineRule="auto"/>
        <w:ind w:firstLine="453" w:firstLineChars="189"/>
        <w:rPr>
          <w:rFonts w:ascii="仿宋_GB2312" w:hAnsi="黑体" w:eastAsia="仿宋_GB2312" w:cstheme="minorEastAsia"/>
          <w:sz w:val="24"/>
          <w:szCs w:val="24"/>
          <w:highlight w:val="none"/>
        </w:rPr>
      </w:pPr>
      <w:bookmarkStart w:id="113" w:name="_Toc1827"/>
      <w:bookmarkStart w:id="114" w:name="_Toc9172"/>
      <w:bookmarkStart w:id="115" w:name="_Toc16330029"/>
      <w:bookmarkStart w:id="116" w:name="_Toc31554"/>
      <w:r>
        <w:rPr>
          <w:rFonts w:hint="eastAsia" w:ascii="仿宋_GB2312" w:hAnsi="黑体" w:eastAsia="仿宋_GB2312" w:cstheme="minorEastAsia"/>
          <w:sz w:val="24"/>
          <w:szCs w:val="24"/>
          <w:highlight w:val="none"/>
        </w:rPr>
        <w:t>1</w:t>
      </w:r>
      <w:r>
        <w:rPr>
          <w:rFonts w:ascii="仿宋_GB2312" w:hAnsi="黑体" w:eastAsia="仿宋_GB2312" w:cstheme="minorEastAsia"/>
          <w:sz w:val="24"/>
          <w:szCs w:val="24"/>
          <w:highlight w:val="none"/>
        </w:rPr>
        <w:t>1.7</w:t>
      </w:r>
      <w:r>
        <w:rPr>
          <w:rFonts w:hint="eastAsia" w:ascii="仿宋_GB2312" w:hAnsi="黑体" w:eastAsia="仿宋_GB2312" w:cstheme="minorEastAsia"/>
          <w:sz w:val="24"/>
          <w:szCs w:val="24"/>
          <w:highlight w:val="none"/>
        </w:rPr>
        <w:t>因发票违规给买方造成的增值税、所得税等损失，由卖方承担相关责任，包括但不限于税款、滞纳金、罚款及其它相关损失。</w:t>
      </w:r>
    </w:p>
    <w:p w14:paraId="37845469">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11.</w:t>
      </w:r>
      <w:r>
        <w:rPr>
          <w:rFonts w:ascii="仿宋_GB2312" w:hAnsi="黑体" w:eastAsia="仿宋_GB2312" w:cstheme="minorEastAsia"/>
          <w:sz w:val="24"/>
          <w:szCs w:val="24"/>
          <w:highlight w:val="none"/>
        </w:rPr>
        <w:t>8</w:t>
      </w:r>
      <w:r>
        <w:rPr>
          <w:rFonts w:hint="eastAsia" w:ascii="仿宋_GB2312" w:hAnsi="黑体" w:eastAsia="仿宋_GB2312" w:cstheme="minorEastAsia"/>
          <w:sz w:val="24"/>
          <w:szCs w:val="24"/>
          <w:highlight w:val="none"/>
        </w:rPr>
        <w:t>如果卖方违反本合同其他约定（包括本合同及所有附件）应赔偿因此给买方造成的一切损失。</w:t>
      </w:r>
    </w:p>
    <w:bookmarkEnd w:id="113"/>
    <w:bookmarkEnd w:id="114"/>
    <w:bookmarkEnd w:id="115"/>
    <w:bookmarkEnd w:id="116"/>
    <w:p w14:paraId="200316AE">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17" w:name="_Toc23793"/>
      <w:r>
        <w:rPr>
          <w:rFonts w:hint="eastAsia" w:ascii="黑体" w:hAnsi="黑体" w:eastAsia="黑体" w:cstheme="minorEastAsia"/>
          <w:b w:val="0"/>
          <w:sz w:val="28"/>
          <w:szCs w:val="28"/>
          <w:highlight w:val="none"/>
        </w:rPr>
        <w:t>12 合同的终止与解除</w:t>
      </w:r>
      <w:bookmarkEnd w:id="117"/>
    </w:p>
    <w:p w14:paraId="6383656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12.1本合同订立后，卖方由于履行义务的能力或信用有严重缺陷，买方可以终止履行本合同，要求卖方返还已支付的款项并不承担违约责任。</w:t>
      </w:r>
    </w:p>
    <w:p w14:paraId="49D938C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12.2经双方协商一致，可以解除本合同。</w:t>
      </w:r>
    </w:p>
    <w:p w14:paraId="011DE42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12.3有下列情形之一的，买方可以解除本合同：</w:t>
      </w:r>
    </w:p>
    <w:p w14:paraId="25CF79C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12.3.1卖方明确表示或者以自己的行为表明不履行主要义务的；</w:t>
      </w:r>
    </w:p>
    <w:p w14:paraId="37691B2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12.3.2按照本合同第11.3条或第11.4条的规定，达到违约金的最高限额；</w:t>
      </w:r>
    </w:p>
    <w:p w14:paraId="120A195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12.3.3卖方所提交的设备不符合本合同的规定；</w:t>
      </w:r>
    </w:p>
    <w:p w14:paraId="1F0113B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12.3.4卖方有其他违约行为。</w:t>
      </w:r>
    </w:p>
    <w:p w14:paraId="2707ADF0">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12.4卖方分批交付设备的，卖方对其中一批设备不交付或者交付不符合约定，致使该批设备不能实现本合同目的的，买方可以就该批设备解除合同。</w:t>
      </w:r>
    </w:p>
    <w:p w14:paraId="7C32BFB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12.5卖方不交付其中一批设备或者交付不符合约定，致使今后其他各批设备的交付不能实现本合同目的的，买方可以就该批以及今后其他各批设备解除合同。</w:t>
      </w:r>
    </w:p>
    <w:p w14:paraId="48E546F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12.6买方如果就其中一批设备解除合同，该批设备与其他各批设备相互依存的，可以就已经交付和未交付的各批设备解除合同。</w:t>
      </w:r>
    </w:p>
    <w:p w14:paraId="7C911CC5">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12.7因为卖方违约导致买方解除合同的，卖方应赔偿买方因此所遭受的一切损失。</w:t>
      </w:r>
    </w:p>
    <w:p w14:paraId="2CA79D36">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18" w:name="_Toc16330030"/>
      <w:bookmarkStart w:id="119" w:name="_Toc8620"/>
      <w:bookmarkStart w:id="120" w:name="_Toc13671"/>
      <w:bookmarkStart w:id="121" w:name="_Toc11937"/>
      <w:bookmarkStart w:id="122" w:name="_Toc31945"/>
      <w:r>
        <w:rPr>
          <w:rFonts w:hint="eastAsia" w:ascii="黑体" w:hAnsi="黑体" w:eastAsia="黑体" w:cstheme="minorEastAsia"/>
          <w:b w:val="0"/>
          <w:sz w:val="28"/>
          <w:szCs w:val="28"/>
          <w:highlight w:val="none"/>
        </w:rPr>
        <w:t>13 不可抗力</w:t>
      </w:r>
      <w:bookmarkEnd w:id="118"/>
      <w:bookmarkEnd w:id="119"/>
      <w:bookmarkEnd w:id="120"/>
      <w:bookmarkEnd w:id="121"/>
      <w:bookmarkEnd w:id="122"/>
    </w:p>
    <w:p w14:paraId="529AE91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96EF44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13.2各方应该通过协商决定是否终止本合同，或推迟全部或部分本合同的履行或免除对方全部或部分相关履行义务。</w:t>
      </w:r>
    </w:p>
    <w:p w14:paraId="2100F91F">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23" w:name="_Toc18772"/>
      <w:bookmarkStart w:id="124" w:name="_Toc16330031"/>
      <w:bookmarkStart w:id="125" w:name="_Toc30389"/>
      <w:bookmarkStart w:id="126" w:name="_Toc637"/>
      <w:bookmarkStart w:id="127" w:name="_Toc31243"/>
      <w:r>
        <w:rPr>
          <w:rFonts w:hint="eastAsia" w:ascii="黑体" w:hAnsi="黑体" w:eastAsia="黑体" w:cstheme="minorEastAsia"/>
          <w:b w:val="0"/>
          <w:sz w:val="28"/>
          <w:szCs w:val="28"/>
          <w:highlight w:val="none"/>
        </w:rPr>
        <w:t>14 通讯</w:t>
      </w:r>
      <w:bookmarkEnd w:id="123"/>
      <w:bookmarkEnd w:id="124"/>
      <w:bookmarkEnd w:id="125"/>
      <w:bookmarkEnd w:id="126"/>
      <w:bookmarkEnd w:id="127"/>
    </w:p>
    <w:p w14:paraId="04356EE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14.1通讯地址：</w:t>
      </w:r>
    </w:p>
    <w:p w14:paraId="2BF7529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本合同下的任何通讯按照本合同双方提供的信息，以书信、传真、电子通讯方式或电话作出。</w:t>
      </w:r>
    </w:p>
    <w:p w14:paraId="60C6C4A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14.2生效</w:t>
      </w:r>
    </w:p>
    <w:p w14:paraId="3B9F652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14.2.1书信。书信为送达时生效；</w:t>
      </w:r>
    </w:p>
    <w:p w14:paraId="19C6C4F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14.2.2传真。发送人取得成功传输的信息时生效；</w:t>
      </w:r>
    </w:p>
    <w:p w14:paraId="7537098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14.2.3电子邮件。电子邮件于发送之时生效，前提是寄件者于该邮件发送后24小时内没有收到发送失败通知；</w:t>
      </w:r>
    </w:p>
    <w:p w14:paraId="6CECC1E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14.2.4电话。电话于打出时生效，以电话作出的任何通讯必须以书信、传真或电子邮件确认，如果没有发送或者接收该确认不会使原有通讯失效。</w:t>
      </w:r>
    </w:p>
    <w:p w14:paraId="09CDF42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14.3书面法律证据。根据本合同以书信、传真或电子邮件方式送达任何订约方的任何通讯，将作为书面法律证据。</w:t>
      </w:r>
    </w:p>
    <w:p w14:paraId="2F4C13A2">
      <w:pPr>
        <w:pStyle w:val="2"/>
        <w:tabs>
          <w:tab w:val="right" w:leader="dot" w:pos="9061"/>
        </w:tabs>
        <w:spacing w:before="312" w:beforeLines="100"/>
        <w:rPr>
          <w:rFonts w:ascii="黑体" w:hAnsi="黑体" w:eastAsia="黑体" w:cstheme="minorEastAsia"/>
          <w:b w:val="0"/>
          <w:sz w:val="28"/>
          <w:szCs w:val="28"/>
          <w:highlight w:val="none"/>
        </w:rPr>
      </w:pPr>
      <w:bookmarkStart w:id="128" w:name="_Toc16330032"/>
      <w:bookmarkStart w:id="129" w:name="_Toc23011"/>
      <w:bookmarkStart w:id="130" w:name="_Toc9915"/>
      <w:bookmarkStart w:id="131" w:name="_Toc12984"/>
      <w:bookmarkStart w:id="132" w:name="_Toc11290"/>
      <w:r>
        <w:rPr>
          <w:rFonts w:hint="eastAsia" w:ascii="黑体" w:hAnsi="黑体" w:eastAsia="黑体" w:cstheme="minorEastAsia"/>
          <w:b w:val="0"/>
          <w:sz w:val="28"/>
          <w:szCs w:val="28"/>
          <w:highlight w:val="none"/>
        </w:rPr>
        <w:t>15 适用法律及争议解决</w:t>
      </w:r>
      <w:bookmarkEnd w:id="128"/>
      <w:bookmarkEnd w:id="129"/>
      <w:bookmarkEnd w:id="130"/>
      <w:bookmarkEnd w:id="131"/>
      <w:bookmarkEnd w:id="132"/>
    </w:p>
    <w:p w14:paraId="3B18B17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15.1本合同条款的效力和解释适用中华人民共和国法律。</w:t>
      </w:r>
    </w:p>
    <w:p w14:paraId="23FAF6B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7E0840C5">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33" w:name="_Toc5747"/>
      <w:bookmarkStart w:id="134" w:name="_Toc18207"/>
      <w:bookmarkStart w:id="135" w:name="_Toc16330033"/>
      <w:bookmarkStart w:id="136" w:name="_Toc23765"/>
      <w:bookmarkStart w:id="137" w:name="_Toc23906"/>
      <w:r>
        <w:rPr>
          <w:rFonts w:hint="eastAsia" w:ascii="黑体" w:hAnsi="黑体" w:eastAsia="黑体" w:cstheme="minorEastAsia"/>
          <w:b w:val="0"/>
          <w:sz w:val="28"/>
          <w:szCs w:val="28"/>
          <w:highlight w:val="none"/>
        </w:rPr>
        <w:t>16 附件</w:t>
      </w:r>
      <w:bookmarkEnd w:id="133"/>
      <w:bookmarkEnd w:id="134"/>
      <w:bookmarkEnd w:id="135"/>
      <w:bookmarkEnd w:id="136"/>
      <w:bookmarkEnd w:id="137"/>
    </w:p>
    <w:p w14:paraId="2E5CB24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本合同及其附件构成双方关于本合同标的之全部协议，包括但不限于下列文件：</w:t>
      </w:r>
    </w:p>
    <w:p w14:paraId="542EDE4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16.1技术协议书；</w:t>
      </w:r>
    </w:p>
    <w:p w14:paraId="420278D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16.2合同设备一览表；</w:t>
      </w:r>
    </w:p>
    <w:p w14:paraId="01AE935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16.3卖方中标的设备投标书以及一切书面承诺；</w:t>
      </w:r>
    </w:p>
    <w:p w14:paraId="3E846D7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16.4招标文件。</w:t>
      </w:r>
    </w:p>
    <w:p w14:paraId="5249130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上述附件内容与本合同约定有冲突的，以本合同约定为准。</w:t>
      </w:r>
    </w:p>
    <w:p w14:paraId="50B9DB3C">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38" w:name="_Toc31331"/>
      <w:bookmarkStart w:id="139" w:name="_Toc16330034"/>
      <w:bookmarkStart w:id="140" w:name="_Toc9594"/>
      <w:bookmarkStart w:id="141" w:name="_Toc17656"/>
      <w:bookmarkStart w:id="142" w:name="_Toc27202"/>
      <w:r>
        <w:rPr>
          <w:rFonts w:hint="eastAsia" w:ascii="黑体" w:hAnsi="黑体" w:eastAsia="黑体" w:cstheme="minorEastAsia"/>
          <w:b w:val="0"/>
          <w:sz w:val="28"/>
          <w:szCs w:val="28"/>
          <w:highlight w:val="none"/>
        </w:rPr>
        <w:t>17 其他规定</w:t>
      </w:r>
      <w:bookmarkEnd w:id="138"/>
      <w:bookmarkEnd w:id="139"/>
      <w:bookmarkEnd w:id="140"/>
      <w:bookmarkEnd w:id="141"/>
      <w:bookmarkEnd w:id="142"/>
    </w:p>
    <w:p w14:paraId="12B4AA1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17.1本合同及其附件构成了双方就本合同所含交易而达成的全部合同，并取代双方先前与该等交易有关的全部口头和书面合同。</w:t>
      </w:r>
    </w:p>
    <w:p w14:paraId="1F79BF0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17.2如果本合同的任何条款和条件在任何时间成为非法、无效或不可强制执行的，则其他条款不应受其影响。</w:t>
      </w:r>
    </w:p>
    <w:p w14:paraId="0F035B8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391821DA">
      <w:pPr>
        <w:spacing w:line="360" w:lineRule="auto"/>
        <w:ind w:firstLine="453" w:firstLineChars="189"/>
        <w:rPr>
          <w:rFonts w:ascii="仿宋_GB2312" w:eastAsia="仿宋_GB2312" w:hAnsiTheme="minorEastAsia" w:cstheme="minorEastAsia"/>
          <w:sz w:val="24"/>
          <w:szCs w:val="24"/>
          <w:highlight w:val="none"/>
        </w:rPr>
      </w:pPr>
      <w:bookmarkStart w:id="143" w:name="_Toc17952"/>
      <w:bookmarkStart w:id="144" w:name="_Toc29136"/>
      <w:bookmarkStart w:id="145" w:name="_Toc19077"/>
      <w:bookmarkStart w:id="146" w:name="_Toc16330035"/>
      <w:r>
        <w:rPr>
          <w:rFonts w:hint="eastAsia" w:ascii="仿宋_GB2312" w:eastAsia="仿宋_GB2312" w:hAnsiTheme="minorEastAsia" w:cstheme="minorEastAsia"/>
          <w:sz w:val="24"/>
          <w:szCs w:val="24"/>
          <w:highlight w:val="none"/>
        </w:rPr>
        <w:t>17.4监造，在合同设备的制造过程中，买方有权派出代表对合同设备制造过程中的关键工序进行质量监督，卖方有配合买方监造的义务。</w:t>
      </w:r>
    </w:p>
    <w:p w14:paraId="7FFB541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FE99752">
      <w:pPr>
        <w:pStyle w:val="2"/>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47" w:name="_Toc15340"/>
      <w:r>
        <w:rPr>
          <w:rFonts w:hint="eastAsia" w:ascii="黑体" w:hAnsi="黑体" w:eastAsia="黑体" w:cstheme="minorEastAsia"/>
          <w:b w:val="0"/>
          <w:sz w:val="28"/>
          <w:szCs w:val="28"/>
          <w:highlight w:val="none"/>
        </w:rPr>
        <w:t>18 签署事项</w:t>
      </w:r>
      <w:bookmarkEnd w:id="143"/>
      <w:bookmarkEnd w:id="144"/>
      <w:bookmarkEnd w:id="145"/>
      <w:bookmarkEnd w:id="146"/>
      <w:bookmarkEnd w:id="147"/>
    </w:p>
    <w:p w14:paraId="573FF27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本合同一式</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份，买方持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份，卖方持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份；本合同经双方签署后生效。</w:t>
      </w:r>
    </w:p>
    <w:p w14:paraId="36AC222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（以下无正文）</w:t>
      </w:r>
    </w:p>
    <w:p w14:paraId="143F5B50">
      <w:pPr>
        <w:spacing w:line="360" w:lineRule="auto"/>
        <w:ind w:firstLine="420" w:firstLineChars="200"/>
        <w:rPr>
          <w:rFonts w:asciiTheme="minorEastAsia" w:hAnsiTheme="minorEastAsia" w:cstheme="minorEastAsia"/>
          <w:sz w:val="20"/>
          <w:szCs w:val="20"/>
          <w:highlight w:val="none"/>
        </w:rPr>
      </w:pPr>
      <w:r>
        <w:rPr>
          <w:rFonts w:hint="eastAsia"/>
          <w:highlight w:val="none"/>
        </w:rPr>
        <w:t xml:space="preserve">    </w:t>
      </w:r>
    </w:p>
    <w:p w14:paraId="665DBFD8">
      <w:pPr>
        <w:spacing w:line="360" w:lineRule="auto"/>
        <w:rPr>
          <w:rFonts w:ascii="宋体" w:hAnsi="宋体"/>
          <w:snapToGrid w:val="0"/>
          <w:kern w:val="0"/>
          <w:sz w:val="20"/>
          <w:szCs w:val="20"/>
          <w:highlight w:val="none"/>
          <w:lang w:eastAsia="zh-Hans"/>
        </w:rPr>
      </w:pPr>
    </w:p>
    <w:p w14:paraId="36670707">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eastAsia="zh-Hans"/>
        </w:rPr>
        <w:t>乙方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p>
    <w:p w14:paraId="1F33AA01">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法定代表人或代理人（签字）：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法定代表人或代理人（签字）：</w:t>
      </w:r>
    </w:p>
    <w:p w14:paraId="0438437D">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地  址：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地  址： </w:t>
      </w:r>
    </w:p>
    <w:p w14:paraId="6B2F9AAD">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电话：                                       电话： </w:t>
      </w:r>
    </w:p>
    <w:p w14:paraId="65D1012D">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传真：                                       传真： </w:t>
      </w:r>
    </w:p>
    <w:p w14:paraId="63ACD2A6">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开户银行：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开户银行：   </w:t>
      </w:r>
    </w:p>
    <w:p w14:paraId="3509CC60">
      <w:pPr>
        <w:widowControl/>
        <w:adjustRightInd w:val="0"/>
        <w:snapToGrid w:val="0"/>
        <w:spacing w:line="360" w:lineRule="auto"/>
        <w:jc w:val="left"/>
        <w:rPr>
          <w:rFonts w:ascii="仿宋_GB2312" w:hAnsi="宋体" w:eastAsia="仿宋_GB2312"/>
          <w:snapToGrid w:val="0"/>
          <w:kern w:val="0"/>
          <w:sz w:val="24"/>
          <w:szCs w:val="24"/>
          <w:highlight w:val="none"/>
        </w:rPr>
      </w:pPr>
      <w:r>
        <w:rPr>
          <w:rFonts w:hint="eastAsia" w:ascii="仿宋_GB2312" w:hAnsi="宋体" w:eastAsia="仿宋_GB2312"/>
          <w:snapToGrid w:val="0"/>
          <w:color w:val="000000"/>
          <w:kern w:val="0"/>
          <w:sz w:val="24"/>
          <w:szCs w:val="24"/>
          <w:highlight w:val="none"/>
          <w:lang w:eastAsia="zh-Hans"/>
        </w:rPr>
        <w:t xml:space="preserve">账  号：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账 号： </w:t>
      </w:r>
    </w:p>
    <w:p w14:paraId="2BC1D0D3">
      <w:pPr>
        <w:pStyle w:val="2"/>
        <w:tabs>
          <w:tab w:val="right" w:leader="dot" w:pos="9061"/>
        </w:tabs>
        <w:ind w:firstLine="280" w:firstLineChars="100"/>
        <w:rPr>
          <w:rFonts w:ascii="黑体" w:hAnsi="黑体" w:eastAsia="黑体" w:cstheme="minorEastAsia"/>
          <w:b w:val="0"/>
          <w:sz w:val="28"/>
          <w:szCs w:val="28"/>
          <w:highlight w:val="none"/>
        </w:rPr>
      </w:pPr>
      <w:bookmarkStart w:id="148" w:name="_Toc14581"/>
      <w:r>
        <w:rPr>
          <w:rFonts w:hint="eastAsia" w:ascii="黑体" w:hAnsi="黑体" w:eastAsia="黑体" w:cstheme="minorEastAsia"/>
          <w:b w:val="0"/>
          <w:sz w:val="28"/>
          <w:szCs w:val="28"/>
          <w:highlight w:val="none"/>
        </w:rPr>
        <w:t>附件一：设备清单明细表</w:t>
      </w:r>
      <w:bookmarkEnd w:id="148"/>
    </w:p>
    <w:p w14:paraId="176C3CAE">
      <w:pPr>
        <w:rPr>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082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B6C5B25">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序号</w:t>
            </w:r>
          </w:p>
        </w:tc>
        <w:tc>
          <w:tcPr>
            <w:tcW w:w="1541" w:type="dxa"/>
            <w:vAlign w:val="center"/>
          </w:tcPr>
          <w:p w14:paraId="4EE41CD8">
            <w:pPr>
              <w:pStyle w:val="29"/>
              <w:spacing w:line="360" w:lineRule="auto"/>
              <w:ind w:left="480" w:hanging="48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产品及部件名称</w:t>
            </w:r>
          </w:p>
        </w:tc>
        <w:tc>
          <w:tcPr>
            <w:tcW w:w="2126" w:type="dxa"/>
            <w:vAlign w:val="center"/>
          </w:tcPr>
          <w:p w14:paraId="21DFF2E2">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规格型号及</w:t>
            </w:r>
          </w:p>
          <w:p w14:paraId="5F6A6F80">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技术参数</w:t>
            </w:r>
          </w:p>
        </w:tc>
        <w:tc>
          <w:tcPr>
            <w:tcW w:w="748" w:type="dxa"/>
            <w:vAlign w:val="center"/>
          </w:tcPr>
          <w:p w14:paraId="4B1FB02A">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单位</w:t>
            </w:r>
          </w:p>
        </w:tc>
        <w:tc>
          <w:tcPr>
            <w:tcW w:w="812" w:type="dxa"/>
            <w:vAlign w:val="center"/>
          </w:tcPr>
          <w:p w14:paraId="632305F7">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数量</w:t>
            </w:r>
          </w:p>
        </w:tc>
        <w:tc>
          <w:tcPr>
            <w:tcW w:w="708" w:type="dxa"/>
            <w:vAlign w:val="center"/>
          </w:tcPr>
          <w:p w14:paraId="0B744B55">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单价</w:t>
            </w:r>
          </w:p>
        </w:tc>
        <w:tc>
          <w:tcPr>
            <w:tcW w:w="708" w:type="dxa"/>
            <w:vAlign w:val="center"/>
          </w:tcPr>
          <w:p w14:paraId="5C709B89">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总价</w:t>
            </w:r>
          </w:p>
        </w:tc>
        <w:tc>
          <w:tcPr>
            <w:tcW w:w="708" w:type="dxa"/>
            <w:vAlign w:val="center"/>
          </w:tcPr>
          <w:p w14:paraId="2E4140CE">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品牌</w:t>
            </w:r>
          </w:p>
        </w:tc>
      </w:tr>
      <w:tr w14:paraId="7E24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9AB3B66">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w:t>
            </w:r>
          </w:p>
        </w:tc>
        <w:tc>
          <w:tcPr>
            <w:tcW w:w="1541" w:type="dxa"/>
            <w:vAlign w:val="center"/>
          </w:tcPr>
          <w:p w14:paraId="09C27E92">
            <w:pPr>
              <w:pStyle w:val="29"/>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6B138F2A">
            <w:pPr>
              <w:pStyle w:val="29"/>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2B9BBCE4">
            <w:pPr>
              <w:pStyle w:val="29"/>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2B345CC7">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F1B1742">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5DE0983F">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4FA02BD3">
            <w:pPr>
              <w:pStyle w:val="29"/>
              <w:spacing w:line="360" w:lineRule="auto"/>
              <w:ind w:left="480" w:hanging="480"/>
              <w:jc w:val="center"/>
              <w:rPr>
                <w:rFonts w:ascii="仿宋_GB2312" w:eastAsia="仿宋_GB2312" w:hAnsiTheme="minorEastAsia" w:cstheme="minorEastAsia"/>
                <w:sz w:val="24"/>
                <w:szCs w:val="24"/>
                <w:highlight w:val="none"/>
              </w:rPr>
            </w:pPr>
          </w:p>
        </w:tc>
      </w:tr>
      <w:tr w14:paraId="1A55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EB49FE">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w:t>
            </w:r>
          </w:p>
        </w:tc>
        <w:tc>
          <w:tcPr>
            <w:tcW w:w="1541" w:type="dxa"/>
            <w:vAlign w:val="center"/>
          </w:tcPr>
          <w:p w14:paraId="218D00D3">
            <w:pPr>
              <w:pStyle w:val="29"/>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10ADCE93">
            <w:pPr>
              <w:pStyle w:val="29"/>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6AAE9603">
            <w:pPr>
              <w:pStyle w:val="29"/>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1009D81B">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26A9F73">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5E35C8B2">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152DD037">
            <w:pPr>
              <w:pStyle w:val="29"/>
              <w:spacing w:line="360" w:lineRule="auto"/>
              <w:ind w:left="480" w:hanging="480"/>
              <w:jc w:val="center"/>
              <w:rPr>
                <w:rFonts w:ascii="仿宋_GB2312" w:eastAsia="仿宋_GB2312" w:hAnsiTheme="minorEastAsia" w:cstheme="minorEastAsia"/>
                <w:sz w:val="24"/>
                <w:szCs w:val="24"/>
                <w:highlight w:val="none"/>
              </w:rPr>
            </w:pPr>
          </w:p>
        </w:tc>
      </w:tr>
      <w:tr w14:paraId="22FD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E94AD97">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w:t>
            </w:r>
          </w:p>
        </w:tc>
        <w:tc>
          <w:tcPr>
            <w:tcW w:w="1541" w:type="dxa"/>
            <w:vAlign w:val="center"/>
          </w:tcPr>
          <w:p w14:paraId="2551C450">
            <w:pPr>
              <w:pStyle w:val="29"/>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0BD932CE">
            <w:pPr>
              <w:pStyle w:val="29"/>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62716BAE">
            <w:pPr>
              <w:pStyle w:val="29"/>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6E35F443">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2951B23">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1EF7E12">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46894B65">
            <w:pPr>
              <w:pStyle w:val="29"/>
              <w:spacing w:line="360" w:lineRule="auto"/>
              <w:ind w:left="480" w:hanging="480"/>
              <w:jc w:val="center"/>
              <w:rPr>
                <w:rFonts w:ascii="仿宋_GB2312" w:eastAsia="仿宋_GB2312" w:hAnsiTheme="minorEastAsia" w:cstheme="minorEastAsia"/>
                <w:sz w:val="24"/>
                <w:szCs w:val="24"/>
                <w:highlight w:val="none"/>
              </w:rPr>
            </w:pPr>
          </w:p>
        </w:tc>
      </w:tr>
      <w:tr w14:paraId="1A49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6F535CC">
            <w:pPr>
              <w:pStyle w:val="29"/>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合计</w:t>
            </w:r>
          </w:p>
        </w:tc>
        <w:tc>
          <w:tcPr>
            <w:tcW w:w="1541" w:type="dxa"/>
            <w:vAlign w:val="center"/>
          </w:tcPr>
          <w:p w14:paraId="1AA13A65">
            <w:pPr>
              <w:pStyle w:val="29"/>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667A4D7D">
            <w:pPr>
              <w:pStyle w:val="29"/>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4B8E02C6">
            <w:pPr>
              <w:pStyle w:val="29"/>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5BADA59A">
            <w:pPr>
              <w:pStyle w:val="29"/>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767B9088">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028F794F">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3E259B4C">
            <w:pPr>
              <w:spacing w:line="360" w:lineRule="auto"/>
              <w:jc w:val="center"/>
              <w:rPr>
                <w:rFonts w:ascii="仿宋_GB2312" w:eastAsia="仿宋_GB2312" w:hAnsiTheme="minorEastAsia" w:cstheme="minorEastAsia"/>
                <w:sz w:val="24"/>
                <w:szCs w:val="24"/>
                <w:highlight w:val="none"/>
              </w:rPr>
            </w:pPr>
          </w:p>
        </w:tc>
      </w:tr>
    </w:tbl>
    <w:p w14:paraId="52197600">
      <w:pPr>
        <w:tabs>
          <w:tab w:val="right" w:leader="dot" w:pos="9061"/>
        </w:tabs>
        <w:rPr>
          <w:rFonts w:asciiTheme="minorEastAsia" w:hAnsiTheme="minorEastAsia" w:cstheme="minorEastAsia"/>
          <w:sz w:val="20"/>
          <w:highlight w:val="none"/>
        </w:rPr>
      </w:pPr>
      <w:bookmarkStart w:id="149" w:name="_Toc5379"/>
      <w:bookmarkStart w:id="150" w:name="_Toc25120"/>
      <w:bookmarkStart w:id="151" w:name="_Toc3778"/>
      <w:bookmarkStart w:id="152" w:name="_Toc24623"/>
      <w:bookmarkStart w:id="153" w:name="_Toc16330037"/>
    </w:p>
    <w:p w14:paraId="1F65DA0B">
      <w:pPr>
        <w:rPr>
          <w:rFonts w:ascii="黑体" w:hAnsi="黑体" w:eastAsia="黑体" w:cstheme="minorEastAsia"/>
          <w:sz w:val="28"/>
          <w:szCs w:val="28"/>
          <w:highlight w:val="none"/>
        </w:rPr>
      </w:pPr>
      <w:bookmarkStart w:id="154" w:name="_Toc8175"/>
    </w:p>
    <w:p w14:paraId="0E9241C8">
      <w:pPr>
        <w:rPr>
          <w:rFonts w:ascii="黑体" w:hAnsi="黑体" w:eastAsia="黑体" w:cstheme="minorEastAsia"/>
          <w:sz w:val="28"/>
          <w:szCs w:val="28"/>
          <w:highlight w:val="none"/>
        </w:rPr>
      </w:pPr>
    </w:p>
    <w:p w14:paraId="7A0D85CD">
      <w:pPr>
        <w:rPr>
          <w:rFonts w:ascii="黑体" w:hAnsi="黑体" w:eastAsia="黑体" w:cstheme="minorEastAsia"/>
          <w:sz w:val="28"/>
          <w:szCs w:val="28"/>
          <w:highlight w:val="none"/>
        </w:rPr>
      </w:pPr>
    </w:p>
    <w:p w14:paraId="2812C6D7">
      <w:pPr>
        <w:rPr>
          <w:rFonts w:ascii="黑体" w:hAnsi="黑体" w:eastAsia="黑体" w:cstheme="minorEastAsia"/>
          <w:sz w:val="28"/>
          <w:szCs w:val="28"/>
          <w:highlight w:val="none"/>
        </w:rPr>
      </w:pPr>
    </w:p>
    <w:p w14:paraId="6280F60D">
      <w:pPr>
        <w:rPr>
          <w:highlight w:val="none"/>
        </w:rPr>
      </w:pPr>
      <w:r>
        <w:rPr>
          <w:rFonts w:hint="eastAsia" w:ascii="黑体" w:hAnsi="黑体" w:eastAsia="黑体" w:cstheme="minorEastAsia"/>
          <w:sz w:val="28"/>
          <w:szCs w:val="28"/>
          <w:highlight w:val="none"/>
        </w:rPr>
        <w:t xml:space="preserve">附件二 </w:t>
      </w:r>
      <w:bookmarkEnd w:id="149"/>
      <w:bookmarkEnd w:id="150"/>
      <w:bookmarkEnd w:id="151"/>
      <w:bookmarkEnd w:id="152"/>
      <w:bookmarkEnd w:id="153"/>
      <w:r>
        <w:rPr>
          <w:rFonts w:hint="eastAsia" w:ascii="黑体" w:hAnsi="黑体" w:eastAsia="黑体" w:cstheme="minorEastAsia"/>
          <w:sz w:val="28"/>
          <w:szCs w:val="28"/>
          <w:highlight w:val="none"/>
        </w:rPr>
        <w:t>技术协议书</w:t>
      </w:r>
      <w:bookmarkEnd w:id="154"/>
    </w:p>
    <w:p w14:paraId="680FAA9F">
      <w:pPr>
        <w:widowControl/>
        <w:adjustRightInd w:val="0"/>
        <w:snapToGrid w:val="0"/>
        <w:spacing w:line="360" w:lineRule="auto"/>
        <w:jc w:val="left"/>
        <w:rPr>
          <w:rFonts w:ascii="黑体" w:hAnsi="黑体" w:eastAsia="黑体" w:cstheme="minorEastAsia"/>
          <w:sz w:val="28"/>
          <w:szCs w:val="28"/>
          <w:highlight w:val="none"/>
          <w:lang w:eastAsia="zh-Hans"/>
        </w:rPr>
      </w:pPr>
      <w:r>
        <w:rPr>
          <w:rFonts w:hint="eastAsia" w:ascii="黑体" w:hAnsi="黑体" w:eastAsia="黑体" w:cstheme="minorEastAsia"/>
          <w:sz w:val="28"/>
          <w:szCs w:val="28"/>
          <w:highlight w:val="none"/>
        </w:rPr>
        <w:t>作为附件另附</w:t>
      </w:r>
    </w:p>
    <w:p w14:paraId="03BC1C31">
      <w:pPr>
        <w:rPr>
          <w:highlight w:val="none"/>
        </w:rPr>
        <w:sectPr>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117F56E4">
      <w:pPr>
        <w:keepNext/>
        <w:keepLines/>
        <w:jc w:val="center"/>
        <w:outlineLvl w:val="0"/>
        <w:rPr>
          <w:rFonts w:ascii="Calibri" w:hAnsi="Calibri" w:eastAsia="宋体" w:cs="Times New Roman"/>
          <w:b/>
          <w:bCs/>
          <w:kern w:val="44"/>
          <w:sz w:val="36"/>
          <w:szCs w:val="44"/>
          <w:highlight w:val="none"/>
        </w:rPr>
      </w:pPr>
      <w:bookmarkStart w:id="155" w:name="_Toc4513"/>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155"/>
    </w:p>
    <w:p w14:paraId="1F63D578">
      <w:pPr>
        <w:rPr>
          <w:rFonts w:ascii="Times New Roman" w:hAnsi="Times New Roman" w:eastAsia="宋体" w:cs="Times New Roman"/>
          <w:b/>
          <w:bCs/>
          <w:color w:val="000000"/>
          <w:sz w:val="24"/>
          <w:szCs w:val="24"/>
          <w:highlight w:val="none"/>
        </w:rPr>
      </w:pPr>
    </w:p>
    <w:p w14:paraId="5F89FD93">
      <w:pPr>
        <w:rPr>
          <w:rFonts w:ascii="Times New Roman" w:hAnsi="Times New Roman" w:eastAsia="宋体" w:cs="Times New Roman"/>
          <w:b/>
          <w:bCs/>
          <w:color w:val="000000"/>
          <w:sz w:val="24"/>
          <w:szCs w:val="24"/>
          <w:highlight w:val="none"/>
        </w:rPr>
      </w:pPr>
    </w:p>
    <w:p w14:paraId="04816D8B">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1BAF902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162FE4AA">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B35B74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29E9B92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0BCABD54">
      <w:pPr>
        <w:spacing w:line="420" w:lineRule="exact"/>
        <w:ind w:firstLine="480" w:firstLineChars="200"/>
        <w:rPr>
          <w:highlight w:val="none"/>
        </w:rPr>
      </w:pPr>
      <w:r>
        <w:rPr>
          <w:rFonts w:hint="eastAsia" w:ascii="宋体" w:hAnsi="宋体" w:eastAsia="宋体" w:cs="宋体"/>
          <w:sz w:val="24"/>
          <w:szCs w:val="24"/>
          <w:highlight w:val="none"/>
        </w:rPr>
        <w:t>5、所有附件文件应以中文书写，作为投标文件的组成部分。</w:t>
      </w:r>
    </w:p>
    <w:p w14:paraId="2919A536">
      <w:pPr>
        <w:rPr>
          <w:highlight w:val="none"/>
        </w:rPr>
      </w:pPr>
    </w:p>
    <w:p w14:paraId="2BC6067B">
      <w:pPr>
        <w:rPr>
          <w:highlight w:val="none"/>
        </w:rPr>
      </w:pPr>
    </w:p>
    <w:p w14:paraId="1220F6C6">
      <w:pPr>
        <w:rPr>
          <w:rFonts w:ascii="Times New Roman" w:hAnsi="Times New Roman" w:eastAsia="宋体" w:cs="Times New Roman"/>
          <w:b/>
          <w:bCs/>
          <w:color w:val="000000"/>
          <w:sz w:val="24"/>
          <w:szCs w:val="24"/>
          <w:highlight w:val="none"/>
        </w:rPr>
      </w:pPr>
    </w:p>
    <w:p w14:paraId="5F45058A">
      <w:pPr>
        <w:rPr>
          <w:rFonts w:ascii="Times New Roman" w:hAnsi="Times New Roman" w:eastAsia="宋体" w:cs="Times New Roman"/>
          <w:b/>
          <w:bCs/>
          <w:color w:val="000000"/>
          <w:sz w:val="24"/>
          <w:szCs w:val="24"/>
          <w:highlight w:val="none"/>
        </w:rPr>
      </w:pPr>
    </w:p>
    <w:p w14:paraId="5C86E843">
      <w:pPr>
        <w:rPr>
          <w:rFonts w:ascii="Times New Roman" w:hAnsi="Times New Roman" w:eastAsia="宋体" w:cs="Times New Roman"/>
          <w:b/>
          <w:bCs/>
          <w:color w:val="000000"/>
          <w:sz w:val="24"/>
          <w:szCs w:val="24"/>
          <w:highlight w:val="none"/>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552BF676">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56" w:name="_Toc639004"/>
      <w:bookmarkStart w:id="157" w:name="_Toc353881012"/>
      <w:bookmarkStart w:id="158" w:name="_Toc212369550"/>
      <w:bookmarkStart w:id="159" w:name="_Toc25811"/>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56"/>
      <w:bookmarkEnd w:id="157"/>
      <w:bookmarkEnd w:id="158"/>
      <w:bookmarkEnd w:id="159"/>
    </w:p>
    <w:p w14:paraId="03EC9CF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201D294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b/>
          <w:bCs/>
          <w:color w:val="000000"/>
          <w:sz w:val="24"/>
          <w:szCs w:val="24"/>
          <w:highlight w:val="none"/>
          <w:u w:val="single"/>
        </w:rPr>
        <w:t>中国重汽集团济南动力有限公司电性能测试系统招标项目</w:t>
      </w:r>
      <w:r>
        <w:rPr>
          <w:rFonts w:hint="eastAsia" w:ascii="宋体" w:hAnsi="宋体" w:eastAsia="宋体" w:cs="Times New Roman"/>
          <w:bCs/>
          <w:snapToGrid w:val="0"/>
          <w:color w:val="000000"/>
          <w:kern w:val="0"/>
          <w:sz w:val="24"/>
          <w:szCs w:val="24"/>
          <w:highlight w:val="none"/>
        </w:rPr>
        <w:t>招标公告</w:t>
      </w:r>
      <w:r>
        <w:rPr>
          <w:rFonts w:ascii="宋体" w:hAnsi="宋体" w:eastAsia="宋体" w:cs="Times New Roman"/>
          <w:b/>
          <w:bCs/>
          <w:snapToGrid w:val="0"/>
          <w:color w:val="000000"/>
          <w:kern w:val="0"/>
          <w:sz w:val="24"/>
          <w:szCs w:val="24"/>
          <w:highlight w:val="none"/>
          <w:u w:val="single"/>
        </w:rPr>
        <w:t xml:space="preserve">              </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highlight w:val="none"/>
        </w:rPr>
        <w:t>份、副本</w:t>
      </w:r>
      <w:r>
        <w:rPr>
          <w:rFonts w:hint="eastAsia" w:ascii="宋体" w:hAnsi="宋体" w:eastAsia="宋体" w:cs="Times New Roman"/>
          <w:color w:val="000000"/>
          <w:sz w:val="24"/>
          <w:szCs w:val="24"/>
          <w:highlight w:val="none"/>
        </w:rPr>
        <w:t>两</w:t>
      </w:r>
      <w:r>
        <w:rPr>
          <w:rFonts w:hint="eastAsia" w:ascii="宋体" w:hAnsi="宋体" w:eastAsia="宋体" w:cs="Times New Roman"/>
          <w:color w:val="000000"/>
          <w:sz w:val="24"/>
          <w:szCs w:val="24"/>
          <w:highlight w:val="none"/>
        </w:rPr>
        <w:t>份；电子版投标文件一份。</w:t>
      </w:r>
    </w:p>
    <w:p w14:paraId="6E9F2FF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407AC68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3EE77AE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1E90C4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346C072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98B506E">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BA1EFE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1FDE8BC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61DB8D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13F986B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6E6AED4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27C843F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BD4183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1B78522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575FDFE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744747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1C7B3A62">
      <w:pPr>
        <w:rPr>
          <w:rFonts w:ascii="黑体" w:hAnsi="Calibri" w:eastAsia="黑体" w:cs="Times New Roman"/>
          <w:color w:val="000000"/>
          <w:sz w:val="24"/>
          <w:szCs w:val="24"/>
          <w:highlight w:val="none"/>
        </w:rPr>
      </w:pPr>
    </w:p>
    <w:p w14:paraId="49C63E8B">
      <w:pPr>
        <w:pStyle w:val="20"/>
        <w:rPr>
          <w:rFonts w:ascii="黑体" w:hAnsi="Calibri" w:eastAsia="黑体" w:cs="Times New Roman"/>
          <w:color w:val="000000"/>
          <w:sz w:val="24"/>
          <w:szCs w:val="24"/>
          <w:highlight w:val="none"/>
        </w:rPr>
      </w:pPr>
    </w:p>
    <w:p w14:paraId="050498A4">
      <w:pPr>
        <w:pStyle w:val="20"/>
        <w:rPr>
          <w:rFonts w:ascii="黑体" w:hAnsi="Calibri" w:eastAsia="黑体" w:cs="Times New Roman"/>
          <w:color w:val="000000"/>
          <w:sz w:val="24"/>
          <w:szCs w:val="24"/>
          <w:highlight w:val="none"/>
        </w:rPr>
      </w:pPr>
    </w:p>
    <w:p w14:paraId="4CDC081C">
      <w:pPr>
        <w:rPr>
          <w:rFonts w:ascii="黑体" w:hAnsi="Calibri" w:eastAsia="黑体" w:cs="Times New Roman"/>
          <w:color w:val="000000"/>
          <w:sz w:val="24"/>
          <w:szCs w:val="24"/>
          <w:highlight w:val="none"/>
        </w:rPr>
      </w:pPr>
      <w:r>
        <w:rPr>
          <w:rFonts w:ascii="黑体" w:hAnsi="Calibri" w:eastAsia="黑体" w:cs="Times New Roman"/>
          <w:color w:val="000000"/>
          <w:sz w:val="24"/>
          <w:szCs w:val="24"/>
          <w:highlight w:val="none"/>
        </w:rPr>
        <w:br w:type="page"/>
      </w:r>
    </w:p>
    <w:p w14:paraId="2CA162F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3478C267">
      <w:pPr>
        <w:adjustRightInd w:val="0"/>
        <w:snapToGrid w:val="0"/>
        <w:spacing w:before="93" w:beforeLines="30" w:line="240" w:lineRule="exact"/>
        <w:jc w:val="center"/>
        <w:rPr>
          <w:rFonts w:ascii="宋体" w:hAnsi="Calibri" w:eastAsia="宋体" w:cs="Times New Roman"/>
          <w:sz w:val="24"/>
          <w:szCs w:val="20"/>
          <w:highlight w:val="none"/>
        </w:rPr>
      </w:pPr>
    </w:p>
    <w:p w14:paraId="4FB7839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中国重汽集团济南动力有限公司电性能测试系统招标项目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735A755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1B02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6184347">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4B0D8D1">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41E36DD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56FE485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74AC07A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49D5F4D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F356B7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346B2E7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375921B6">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6A3EEE5">
      <w:pPr>
        <w:rPr>
          <w:rFonts w:ascii="Calibri" w:hAnsi="Calibri" w:eastAsia="黑体" w:cs="Times New Roman"/>
          <w:b/>
          <w:bCs/>
          <w:color w:val="000000"/>
          <w:sz w:val="28"/>
          <w:szCs w:val="20"/>
          <w:highlight w:val="none"/>
        </w:rPr>
      </w:pPr>
    </w:p>
    <w:p w14:paraId="205BB456">
      <w:pPr>
        <w:pStyle w:val="20"/>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0AB109DA">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w:t>
      </w:r>
      <w:r>
        <w:rPr>
          <w:rFonts w:hint="eastAsia" w:ascii="Times New Roman" w:hAnsi="Times New Roman" w:eastAsia="宋体" w:cs="宋体"/>
          <w:b/>
          <w:bCs/>
          <w:color w:val="000000"/>
          <w:sz w:val="24"/>
          <w:szCs w:val="24"/>
          <w:highlight w:val="none"/>
          <w:lang w:val="en-US" w:eastAsia="zh-CN"/>
        </w:rPr>
        <w:t>3</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5C1EE2F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bCs/>
          <w:color w:val="000000"/>
          <w:sz w:val="24"/>
          <w:szCs w:val="24"/>
          <w:highlight w:val="none"/>
          <w:u w:val="single"/>
        </w:rPr>
        <w:t>中国重汽集团济南动力有限公司电性能测试系统招标项目</w:t>
      </w:r>
      <w:r>
        <w:rPr>
          <w:rFonts w:ascii="宋体" w:hAnsi="宋体" w:eastAsia="宋体" w:cs="Times New Roman"/>
          <w:color w:val="000000"/>
          <w:sz w:val="24"/>
          <w:szCs w:val="24"/>
          <w:highlight w:val="none"/>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5E6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F9C034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592B796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2D921D7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5E8A4BE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2FC1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trPr>
        <w:tc>
          <w:tcPr>
            <w:tcW w:w="1585" w:type="dxa"/>
          </w:tcPr>
          <w:p w14:paraId="79C10CB7">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1</w:t>
            </w:r>
          </w:p>
        </w:tc>
        <w:tc>
          <w:tcPr>
            <w:tcW w:w="3449" w:type="dxa"/>
          </w:tcPr>
          <w:p w14:paraId="5168857F">
            <w:pPr>
              <w:pStyle w:val="2"/>
              <w:ind w:firstLine="420"/>
              <w:rPr>
                <w:rFonts w:ascii="Times New Roman" w:hAnsi="Times New Roman" w:eastAsiaTheme="minorEastAsia"/>
                <w:szCs w:val="20"/>
                <w:highlight w:val="none"/>
              </w:rPr>
            </w:pPr>
            <w:r>
              <w:rPr>
                <w:rFonts w:hint="eastAsia" w:ascii="Times New Roman" w:hAnsi="Times New Roman"/>
                <w:bCs w:val="0"/>
                <w:szCs w:val="20"/>
                <w:highlight w:val="none"/>
              </w:rPr>
              <w:t>测试内容包括但不限于以下：电源分配测试、电平衡测试、地偏移测试、接地电流测试、接地失效测试、静态电流测试。</w:t>
            </w:r>
          </w:p>
        </w:tc>
        <w:tc>
          <w:tcPr>
            <w:tcW w:w="2414" w:type="dxa"/>
          </w:tcPr>
          <w:p w14:paraId="072D9981">
            <w:pPr>
              <w:jc w:val="center"/>
              <w:rPr>
                <w:rFonts w:ascii="Times New Roman" w:hAnsi="Times New Roman" w:eastAsia="宋体" w:cs="Times New Roman"/>
                <w:b/>
                <w:sz w:val="24"/>
                <w:szCs w:val="20"/>
                <w:highlight w:val="none"/>
              </w:rPr>
            </w:pPr>
          </w:p>
        </w:tc>
        <w:tc>
          <w:tcPr>
            <w:tcW w:w="1608" w:type="dxa"/>
          </w:tcPr>
          <w:p w14:paraId="2A1BD437">
            <w:pPr>
              <w:jc w:val="center"/>
              <w:rPr>
                <w:rFonts w:ascii="Times New Roman" w:hAnsi="Times New Roman" w:eastAsia="宋体" w:cs="Times New Roman"/>
                <w:b/>
                <w:sz w:val="24"/>
                <w:szCs w:val="20"/>
                <w:highlight w:val="none"/>
              </w:rPr>
            </w:pPr>
          </w:p>
        </w:tc>
      </w:tr>
      <w:tr w14:paraId="1BA5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081163">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2</w:t>
            </w:r>
          </w:p>
        </w:tc>
        <w:tc>
          <w:tcPr>
            <w:tcW w:w="3449" w:type="dxa"/>
          </w:tcPr>
          <w:p w14:paraId="6117F2E7">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电压采集，量程±60V，接口8个，精度：0.04%of reading+0.07%rang，最高采样频率：10Ks/s，分辨率：12bits</w:t>
            </w:r>
          </w:p>
        </w:tc>
        <w:tc>
          <w:tcPr>
            <w:tcW w:w="2414" w:type="dxa"/>
          </w:tcPr>
          <w:p w14:paraId="5E408A65">
            <w:pPr>
              <w:jc w:val="center"/>
              <w:rPr>
                <w:rFonts w:ascii="Times New Roman" w:hAnsi="Times New Roman" w:eastAsia="宋体" w:cs="Times New Roman"/>
                <w:b/>
                <w:sz w:val="24"/>
                <w:szCs w:val="20"/>
                <w:highlight w:val="none"/>
              </w:rPr>
            </w:pPr>
          </w:p>
        </w:tc>
        <w:tc>
          <w:tcPr>
            <w:tcW w:w="1608" w:type="dxa"/>
          </w:tcPr>
          <w:p w14:paraId="31602090">
            <w:pPr>
              <w:jc w:val="center"/>
              <w:rPr>
                <w:rFonts w:ascii="Times New Roman" w:hAnsi="Times New Roman" w:eastAsia="宋体" w:cs="Times New Roman"/>
                <w:b/>
                <w:sz w:val="24"/>
                <w:szCs w:val="20"/>
                <w:highlight w:val="none"/>
              </w:rPr>
            </w:pPr>
          </w:p>
        </w:tc>
      </w:tr>
      <w:tr w14:paraId="2856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0B9AA7">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3</w:t>
            </w:r>
          </w:p>
        </w:tc>
        <w:tc>
          <w:tcPr>
            <w:tcW w:w="3449" w:type="dxa"/>
          </w:tcPr>
          <w:p w14:paraId="5D24DE25">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电压采集，量程±10V，接口8个，绝对精度：6.23mV，最高采样频率：10Ks/s，分辨率：16bits</w:t>
            </w:r>
          </w:p>
        </w:tc>
        <w:tc>
          <w:tcPr>
            <w:tcW w:w="2414" w:type="dxa"/>
          </w:tcPr>
          <w:p w14:paraId="588267C7">
            <w:pPr>
              <w:jc w:val="center"/>
              <w:rPr>
                <w:rFonts w:ascii="Times New Roman" w:hAnsi="Times New Roman" w:eastAsia="宋体" w:cs="Times New Roman"/>
                <w:b/>
                <w:sz w:val="24"/>
                <w:szCs w:val="20"/>
                <w:highlight w:val="none"/>
              </w:rPr>
            </w:pPr>
          </w:p>
        </w:tc>
        <w:tc>
          <w:tcPr>
            <w:tcW w:w="1608" w:type="dxa"/>
          </w:tcPr>
          <w:p w14:paraId="55DFAA7E">
            <w:pPr>
              <w:jc w:val="center"/>
              <w:rPr>
                <w:rFonts w:ascii="Times New Roman" w:hAnsi="Times New Roman" w:eastAsia="宋体" w:cs="Times New Roman"/>
                <w:b/>
                <w:sz w:val="24"/>
                <w:szCs w:val="20"/>
                <w:highlight w:val="none"/>
              </w:rPr>
            </w:pPr>
          </w:p>
        </w:tc>
      </w:tr>
      <w:tr w14:paraId="4055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DC2DC7">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4</w:t>
            </w:r>
          </w:p>
        </w:tc>
        <w:tc>
          <w:tcPr>
            <w:tcW w:w="3449" w:type="dxa"/>
          </w:tcPr>
          <w:p w14:paraId="5DA1EB5C">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电流采集，量程±5A，接口4个，精度：0.1%of reading+0.05%rang，最高采样频率：10Ks/s，分辨率：24bits</w:t>
            </w:r>
          </w:p>
        </w:tc>
        <w:tc>
          <w:tcPr>
            <w:tcW w:w="2414" w:type="dxa"/>
          </w:tcPr>
          <w:p w14:paraId="5F848E26">
            <w:pPr>
              <w:jc w:val="center"/>
              <w:rPr>
                <w:rFonts w:ascii="Times New Roman" w:hAnsi="Times New Roman" w:eastAsia="宋体" w:cs="Times New Roman"/>
                <w:b/>
                <w:sz w:val="24"/>
                <w:szCs w:val="20"/>
                <w:highlight w:val="none"/>
              </w:rPr>
            </w:pPr>
          </w:p>
        </w:tc>
        <w:tc>
          <w:tcPr>
            <w:tcW w:w="1608" w:type="dxa"/>
          </w:tcPr>
          <w:p w14:paraId="2B44F819">
            <w:pPr>
              <w:jc w:val="center"/>
              <w:rPr>
                <w:rFonts w:ascii="Times New Roman" w:hAnsi="Times New Roman" w:eastAsia="宋体" w:cs="Times New Roman"/>
                <w:b/>
                <w:sz w:val="24"/>
                <w:szCs w:val="20"/>
                <w:highlight w:val="none"/>
              </w:rPr>
            </w:pPr>
          </w:p>
        </w:tc>
      </w:tr>
      <w:tr w14:paraId="066B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3BB42B1">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5</w:t>
            </w:r>
          </w:p>
        </w:tc>
        <w:tc>
          <w:tcPr>
            <w:tcW w:w="3449" w:type="dxa"/>
          </w:tcPr>
          <w:p w14:paraId="7DFD4A04">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电流采集，量程±5A，接口4个，精度：0.1%of reading+0.05%rang，最高采样频率：10Ks/s，分辨率：24bits</w:t>
            </w:r>
          </w:p>
        </w:tc>
        <w:tc>
          <w:tcPr>
            <w:tcW w:w="2414" w:type="dxa"/>
          </w:tcPr>
          <w:p w14:paraId="1CD559A9">
            <w:pPr>
              <w:jc w:val="center"/>
              <w:rPr>
                <w:rFonts w:ascii="Times New Roman" w:hAnsi="Times New Roman" w:eastAsia="宋体" w:cs="Times New Roman"/>
                <w:b/>
                <w:sz w:val="24"/>
                <w:szCs w:val="20"/>
                <w:highlight w:val="none"/>
              </w:rPr>
            </w:pPr>
          </w:p>
        </w:tc>
        <w:tc>
          <w:tcPr>
            <w:tcW w:w="1608" w:type="dxa"/>
          </w:tcPr>
          <w:p w14:paraId="619F2A8D">
            <w:pPr>
              <w:jc w:val="center"/>
              <w:rPr>
                <w:rFonts w:ascii="Times New Roman" w:hAnsi="Times New Roman" w:eastAsia="宋体" w:cs="Times New Roman"/>
                <w:b/>
                <w:sz w:val="24"/>
                <w:szCs w:val="20"/>
                <w:highlight w:val="none"/>
              </w:rPr>
            </w:pPr>
          </w:p>
        </w:tc>
      </w:tr>
      <w:tr w14:paraId="51E2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815303">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6</w:t>
            </w:r>
          </w:p>
        </w:tc>
        <w:tc>
          <w:tcPr>
            <w:tcW w:w="3449" w:type="dxa"/>
          </w:tcPr>
          <w:p w14:paraId="0B6F7238">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电流采集，量程±50A、±100A、±200A、±1000A，接口12个，最高采样频率：10Ks/s，分辨率：16bits</w:t>
            </w:r>
          </w:p>
        </w:tc>
        <w:tc>
          <w:tcPr>
            <w:tcW w:w="2414" w:type="dxa"/>
          </w:tcPr>
          <w:p w14:paraId="3C53641A">
            <w:pPr>
              <w:jc w:val="center"/>
              <w:rPr>
                <w:rFonts w:ascii="Times New Roman" w:hAnsi="Times New Roman" w:eastAsia="宋体" w:cs="Times New Roman"/>
                <w:b/>
                <w:sz w:val="24"/>
                <w:szCs w:val="20"/>
                <w:highlight w:val="none"/>
              </w:rPr>
            </w:pPr>
          </w:p>
        </w:tc>
        <w:tc>
          <w:tcPr>
            <w:tcW w:w="1608" w:type="dxa"/>
          </w:tcPr>
          <w:p w14:paraId="1809C766">
            <w:pPr>
              <w:jc w:val="center"/>
              <w:rPr>
                <w:rFonts w:ascii="Times New Roman" w:hAnsi="Times New Roman" w:eastAsia="宋体" w:cs="Times New Roman"/>
                <w:b/>
                <w:sz w:val="24"/>
                <w:szCs w:val="20"/>
                <w:highlight w:val="none"/>
              </w:rPr>
            </w:pPr>
          </w:p>
        </w:tc>
      </w:tr>
      <w:tr w14:paraId="0F55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7AFF96">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7</w:t>
            </w:r>
          </w:p>
        </w:tc>
        <w:tc>
          <w:tcPr>
            <w:tcW w:w="3449" w:type="dxa"/>
          </w:tcPr>
          <w:p w14:paraId="219DBA44">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电流采集，模拟输入通道，接口4个，搭配电流钳，最高采样频率：10Ks/s，分辨率：16bits</w:t>
            </w:r>
          </w:p>
        </w:tc>
        <w:tc>
          <w:tcPr>
            <w:tcW w:w="2414" w:type="dxa"/>
          </w:tcPr>
          <w:p w14:paraId="513A266F">
            <w:pPr>
              <w:jc w:val="center"/>
              <w:rPr>
                <w:rFonts w:ascii="Times New Roman" w:hAnsi="Times New Roman" w:eastAsia="宋体" w:cs="Times New Roman"/>
                <w:b/>
                <w:sz w:val="24"/>
                <w:szCs w:val="20"/>
                <w:highlight w:val="none"/>
              </w:rPr>
            </w:pPr>
          </w:p>
        </w:tc>
        <w:tc>
          <w:tcPr>
            <w:tcW w:w="1608" w:type="dxa"/>
          </w:tcPr>
          <w:p w14:paraId="0CA7EE06">
            <w:pPr>
              <w:jc w:val="center"/>
              <w:rPr>
                <w:rFonts w:ascii="Times New Roman" w:hAnsi="Times New Roman" w:eastAsia="宋体" w:cs="Times New Roman"/>
                <w:b/>
                <w:sz w:val="24"/>
                <w:szCs w:val="20"/>
                <w:highlight w:val="none"/>
              </w:rPr>
            </w:pPr>
          </w:p>
        </w:tc>
      </w:tr>
      <w:tr w14:paraId="3E31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6924EDC">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8</w:t>
            </w:r>
          </w:p>
        </w:tc>
        <w:tc>
          <w:tcPr>
            <w:tcW w:w="3449" w:type="dxa"/>
          </w:tcPr>
          <w:p w14:paraId="348AE939">
            <w:pPr>
              <w:pStyle w:val="34"/>
              <w:spacing w:after="0" w:line="300" w:lineRule="auto"/>
              <w:ind w:firstLine="482" w:firstLineChars="200"/>
              <w:rPr>
                <w:rFonts w:ascii="Times New Roman" w:hAnsi="Times New Roman"/>
                <w:b/>
                <w:highlight w:val="none"/>
              </w:rPr>
            </w:pPr>
            <w:r>
              <w:rPr>
                <w:rFonts w:hint="eastAsia" w:ascii="Times New Roman" w:hAnsi="Times New Roman"/>
                <w:b/>
                <w:highlight w:val="none"/>
              </w:rPr>
              <w:t>电性能测试设备软件的主要功能包括：上位机软件可对设备的通信故障进行报错，提示用户进行处理；上位机软件可对系统中的核心设备进行参数配置和管理，并可形成相应配置文件；支持硬件设备通道选择，自定义名称；支持采样频率、采集时间修改；支持不同电压测试量程的选择，例如±</w:t>
            </w:r>
            <w:r>
              <w:rPr>
                <w:rFonts w:ascii="Times New Roman" w:hAnsi="Times New Roman"/>
                <w:b/>
                <w:highlight w:val="none"/>
              </w:rPr>
              <w:t>10V</w:t>
            </w:r>
            <w:r>
              <w:rPr>
                <w:rFonts w:hint="eastAsia" w:ascii="Times New Roman" w:hAnsi="Times New Roman"/>
                <w:b/>
                <w:highlight w:val="none"/>
              </w:rPr>
              <w:t>；±</w:t>
            </w:r>
            <w:r>
              <w:rPr>
                <w:rFonts w:ascii="Times New Roman" w:hAnsi="Times New Roman"/>
                <w:b/>
                <w:highlight w:val="none"/>
              </w:rPr>
              <w:t>60V</w:t>
            </w:r>
            <w:r>
              <w:rPr>
                <w:rFonts w:hint="eastAsia" w:ascii="Times New Roman" w:hAnsi="Times New Roman"/>
                <w:b/>
                <w:highlight w:val="none"/>
              </w:rPr>
              <w:t>；</w:t>
            </w:r>
            <w:r>
              <w:rPr>
                <w:rFonts w:ascii="Times New Roman" w:hAnsi="Times New Roman"/>
                <w:b/>
                <w:highlight w:val="none"/>
              </w:rPr>
              <w:t>200V</w:t>
            </w:r>
            <w:r>
              <w:rPr>
                <w:rFonts w:hint="eastAsia" w:ascii="Times New Roman" w:hAnsi="Times New Roman"/>
                <w:b/>
                <w:highlight w:val="none"/>
              </w:rPr>
              <w:t>；支持总线数据库文件解析，如</w:t>
            </w:r>
            <w:r>
              <w:rPr>
                <w:rFonts w:ascii="Times New Roman" w:hAnsi="Times New Roman"/>
                <w:b/>
                <w:highlight w:val="none"/>
              </w:rPr>
              <w:t>DBC</w:t>
            </w:r>
            <w:r>
              <w:rPr>
                <w:rFonts w:hint="eastAsia" w:ascii="Times New Roman" w:hAnsi="Times New Roman"/>
                <w:b/>
                <w:highlight w:val="none"/>
              </w:rPr>
              <w:t>等；支持测试结果显示精度的自定义配置；</w:t>
            </w:r>
            <w:r>
              <w:rPr>
                <w:rFonts w:ascii="Times New Roman" w:hAnsi="Times New Roman"/>
                <w:b/>
                <w:highlight w:val="none"/>
              </w:rPr>
              <w:t xml:space="preserve"> </w:t>
            </w:r>
          </w:p>
        </w:tc>
        <w:tc>
          <w:tcPr>
            <w:tcW w:w="2414" w:type="dxa"/>
          </w:tcPr>
          <w:p w14:paraId="0AF1A23F">
            <w:pPr>
              <w:jc w:val="center"/>
              <w:rPr>
                <w:rFonts w:ascii="Times New Roman" w:hAnsi="Times New Roman" w:eastAsia="宋体" w:cs="Times New Roman"/>
                <w:b/>
                <w:sz w:val="24"/>
                <w:szCs w:val="20"/>
                <w:highlight w:val="none"/>
              </w:rPr>
            </w:pPr>
          </w:p>
        </w:tc>
        <w:tc>
          <w:tcPr>
            <w:tcW w:w="1608" w:type="dxa"/>
          </w:tcPr>
          <w:p w14:paraId="72D49A6F">
            <w:pPr>
              <w:jc w:val="center"/>
              <w:rPr>
                <w:rFonts w:ascii="Times New Roman" w:hAnsi="Times New Roman" w:eastAsia="宋体" w:cs="Times New Roman"/>
                <w:b/>
                <w:sz w:val="24"/>
                <w:szCs w:val="20"/>
                <w:highlight w:val="none"/>
              </w:rPr>
            </w:pPr>
          </w:p>
        </w:tc>
      </w:tr>
      <w:tr w14:paraId="45C3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222DAC">
            <w:pPr>
              <w:jc w:val="center"/>
              <w:rPr>
                <w:rFonts w:ascii="Times New Roman" w:hAnsi="Times New Roman" w:eastAsia="宋体" w:cs="Times New Roman"/>
                <w:b/>
                <w:sz w:val="24"/>
                <w:szCs w:val="20"/>
                <w:highlight w:val="none"/>
              </w:rPr>
            </w:pPr>
            <w:r>
              <w:rPr>
                <w:rFonts w:hint="eastAsia" w:ascii="Times New Roman" w:hAnsi="Times New Roman" w:eastAsia="宋体" w:cs="Times New Roman"/>
                <w:b/>
                <w:sz w:val="24"/>
                <w:szCs w:val="20"/>
                <w:highlight w:val="none"/>
              </w:rPr>
              <w:t>9</w:t>
            </w:r>
          </w:p>
        </w:tc>
        <w:tc>
          <w:tcPr>
            <w:tcW w:w="3449" w:type="dxa"/>
          </w:tcPr>
          <w:p w14:paraId="3DDAE655">
            <w:pPr>
              <w:pStyle w:val="34"/>
              <w:spacing w:after="0" w:line="300" w:lineRule="auto"/>
              <w:ind w:firstLine="482" w:firstLineChars="200"/>
              <w:rPr>
                <w:rFonts w:ascii="Times New Roman" w:hAnsi="Times New Roman"/>
                <w:b/>
                <w:highlight w:val="none"/>
              </w:rPr>
            </w:pPr>
            <w:r>
              <w:rPr>
                <w:rFonts w:hint="eastAsia" w:ascii="Times New Roman" w:hAnsi="Times New Roman"/>
                <w:b/>
                <w:highlight w:val="none"/>
              </w:rPr>
              <w:t>电性能测试设备软件的主要功能还包括：支持不同类型信号曲线可生成在同一图形界面中；</w:t>
            </w:r>
            <w:r>
              <w:rPr>
                <w:rFonts w:ascii="Times New Roman" w:hAnsi="Times New Roman"/>
                <w:b/>
                <w:highlight w:val="none"/>
              </w:rPr>
              <w:t xml:space="preserve"> </w:t>
            </w:r>
            <w:r>
              <w:rPr>
                <w:rFonts w:hint="eastAsia" w:ascii="Times New Roman" w:hAnsi="Times New Roman"/>
                <w:b/>
                <w:highlight w:val="none"/>
              </w:rPr>
              <w:t>支持数据的离线分析功能，自动计算数据曲线的最大值、最小值、平均值参数；支持游标分析曲线功能；支持数据曲线横纵坐标缩放；支持历史数据的回放功能；</w:t>
            </w:r>
          </w:p>
        </w:tc>
        <w:tc>
          <w:tcPr>
            <w:tcW w:w="2414" w:type="dxa"/>
          </w:tcPr>
          <w:p w14:paraId="24604DBF">
            <w:pPr>
              <w:jc w:val="center"/>
              <w:rPr>
                <w:rFonts w:ascii="Times New Roman" w:hAnsi="Times New Roman" w:eastAsia="宋体" w:cs="Times New Roman"/>
                <w:b/>
                <w:sz w:val="24"/>
                <w:szCs w:val="20"/>
                <w:highlight w:val="none"/>
              </w:rPr>
            </w:pPr>
          </w:p>
        </w:tc>
        <w:tc>
          <w:tcPr>
            <w:tcW w:w="1608" w:type="dxa"/>
          </w:tcPr>
          <w:p w14:paraId="12A712FF">
            <w:pPr>
              <w:jc w:val="center"/>
              <w:rPr>
                <w:rFonts w:ascii="Times New Roman" w:hAnsi="Times New Roman" w:eastAsia="宋体" w:cs="Times New Roman"/>
                <w:b/>
                <w:sz w:val="24"/>
                <w:szCs w:val="20"/>
                <w:highlight w:val="none"/>
              </w:rPr>
            </w:pPr>
          </w:p>
        </w:tc>
      </w:tr>
      <w:tr w14:paraId="01A0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C247EC6">
            <w:pPr>
              <w:jc w:val="center"/>
              <w:rPr>
                <w:rFonts w:ascii="Times New Roman" w:hAnsi="Times New Roman" w:eastAsia="宋体" w:cs="Times New Roman"/>
                <w:b/>
                <w:sz w:val="24"/>
                <w:szCs w:val="20"/>
                <w:highlight w:val="none"/>
              </w:rPr>
            </w:pPr>
          </w:p>
        </w:tc>
        <w:tc>
          <w:tcPr>
            <w:tcW w:w="3449" w:type="dxa"/>
          </w:tcPr>
          <w:p w14:paraId="0F2325EA">
            <w:pPr>
              <w:jc w:val="center"/>
              <w:rPr>
                <w:rFonts w:ascii="Times New Roman" w:hAnsi="Times New Roman" w:eastAsia="宋体" w:cs="Times New Roman"/>
                <w:b/>
                <w:sz w:val="24"/>
                <w:szCs w:val="20"/>
                <w:highlight w:val="none"/>
              </w:rPr>
            </w:pPr>
          </w:p>
        </w:tc>
        <w:tc>
          <w:tcPr>
            <w:tcW w:w="2414" w:type="dxa"/>
          </w:tcPr>
          <w:p w14:paraId="6213E5C4">
            <w:pPr>
              <w:jc w:val="center"/>
              <w:rPr>
                <w:rFonts w:ascii="Times New Roman" w:hAnsi="Times New Roman" w:eastAsia="宋体" w:cs="Times New Roman"/>
                <w:b/>
                <w:sz w:val="24"/>
                <w:szCs w:val="20"/>
                <w:highlight w:val="none"/>
              </w:rPr>
            </w:pPr>
          </w:p>
        </w:tc>
        <w:tc>
          <w:tcPr>
            <w:tcW w:w="1608" w:type="dxa"/>
          </w:tcPr>
          <w:p w14:paraId="74BB8D3D">
            <w:pPr>
              <w:jc w:val="center"/>
              <w:rPr>
                <w:rFonts w:ascii="Times New Roman" w:hAnsi="Times New Roman" w:eastAsia="宋体" w:cs="Times New Roman"/>
                <w:b/>
                <w:sz w:val="24"/>
                <w:szCs w:val="20"/>
                <w:highlight w:val="none"/>
              </w:rPr>
            </w:pPr>
          </w:p>
        </w:tc>
      </w:tr>
    </w:tbl>
    <w:p w14:paraId="77D220C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4858BC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D0480FC">
      <w:pPr>
        <w:rPr>
          <w:rFonts w:ascii="宋体" w:hAnsi="Calibri" w:eastAsia="宋体" w:cs="宋体"/>
          <w:b/>
          <w:bCs/>
          <w:color w:val="000000"/>
          <w:sz w:val="28"/>
          <w:szCs w:val="20"/>
          <w:highlight w:val="none"/>
        </w:rPr>
      </w:pPr>
    </w:p>
    <w:p w14:paraId="4DFAD1C9">
      <w:pPr>
        <w:rPr>
          <w:rFonts w:ascii="宋体" w:hAnsi="Calibri" w:eastAsia="宋体" w:cs="宋体"/>
          <w:b/>
          <w:bCs/>
          <w:color w:val="000000"/>
          <w:sz w:val="28"/>
          <w:szCs w:val="20"/>
          <w:highlight w:val="none"/>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2873324E">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hint="eastAsia" w:ascii="Times New Roman" w:hAnsi="Times New Roman" w:eastAsia="宋体" w:cs="Times New Roman"/>
          <w:b/>
          <w:bCs/>
          <w:color w:val="000000"/>
          <w:sz w:val="24"/>
          <w:szCs w:val="24"/>
          <w:highlight w:val="none"/>
          <w:lang w:val="en-US" w:eastAsia="zh-CN"/>
        </w:rPr>
        <w:t>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36BD119E">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5CD4A13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bCs/>
          <w:color w:val="000000"/>
          <w:sz w:val="24"/>
          <w:szCs w:val="24"/>
          <w:highlight w:val="none"/>
          <w:u w:val="single"/>
        </w:rPr>
        <w:t>中国重汽集团济南动力有限公司电性能测试系统招标项目</w:t>
      </w:r>
      <w:r>
        <w:rPr>
          <w:rFonts w:ascii="宋体" w:hAnsi="宋体" w:eastAsia="宋体" w:cs="Times New Roman"/>
          <w:color w:val="000000"/>
          <w:sz w:val="24"/>
          <w:szCs w:val="24"/>
          <w:highlight w:val="none"/>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14:paraId="269A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86B96D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461" w:type="dxa"/>
            <w:vAlign w:val="center"/>
          </w:tcPr>
          <w:p w14:paraId="4B7EDE7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780" w:type="dxa"/>
            <w:vAlign w:val="center"/>
          </w:tcPr>
          <w:p w14:paraId="49ED875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1580" w:type="dxa"/>
            <w:vAlign w:val="center"/>
          </w:tcPr>
          <w:p w14:paraId="655AC8A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990" w:type="dxa"/>
            <w:vAlign w:val="center"/>
          </w:tcPr>
          <w:p w14:paraId="4573FCD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375" w:type="dxa"/>
            <w:vAlign w:val="center"/>
          </w:tcPr>
          <w:p w14:paraId="516B378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12328A4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1065" w:type="dxa"/>
            <w:vAlign w:val="center"/>
          </w:tcPr>
          <w:p w14:paraId="117657F8">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1132" w:type="dxa"/>
            <w:vAlign w:val="center"/>
          </w:tcPr>
          <w:p w14:paraId="037A2FBF">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3122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379C6AF">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461" w:type="dxa"/>
            <w:vAlign w:val="center"/>
          </w:tcPr>
          <w:p w14:paraId="7C199427">
            <w:pPr>
              <w:jc w:val="center"/>
              <w:rPr>
                <w:rFonts w:ascii="Times New Roman" w:hAnsi="Times New Roman" w:eastAsia="宋体" w:cs="Times New Roman"/>
                <w:b/>
                <w:szCs w:val="21"/>
                <w:highlight w:val="none"/>
              </w:rPr>
            </w:pPr>
            <w:r>
              <w:rPr>
                <w:rFonts w:hint="eastAsia" w:ascii="宋体" w:hAnsi="宋体" w:eastAsia="宋体" w:cs="Times New Roman"/>
                <w:b/>
                <w:bCs/>
                <w:color w:val="000000"/>
                <w:szCs w:val="21"/>
                <w:highlight w:val="none"/>
                <w:u w:val="single"/>
              </w:rPr>
              <w:t>电性能测试系统</w:t>
            </w:r>
            <w:r>
              <w:rPr>
                <w:rFonts w:ascii="宋体" w:hAnsi="宋体" w:eastAsia="宋体" w:cs="Times New Roman"/>
                <w:color w:val="000000"/>
                <w:szCs w:val="21"/>
                <w:highlight w:val="none"/>
              </w:rPr>
              <w:t xml:space="preserve"> </w:t>
            </w:r>
          </w:p>
        </w:tc>
        <w:tc>
          <w:tcPr>
            <w:tcW w:w="780" w:type="dxa"/>
            <w:vAlign w:val="center"/>
          </w:tcPr>
          <w:p w14:paraId="722063D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1套</w:t>
            </w:r>
          </w:p>
        </w:tc>
        <w:tc>
          <w:tcPr>
            <w:tcW w:w="1580" w:type="dxa"/>
            <w:vAlign w:val="center"/>
          </w:tcPr>
          <w:p w14:paraId="6C65846F">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2173CCF2">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p>
          <w:p w14:paraId="4756E77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990" w:type="dxa"/>
            <w:vAlign w:val="center"/>
          </w:tcPr>
          <w:p w14:paraId="1958A71C">
            <w:pPr>
              <w:jc w:val="center"/>
              <w:rPr>
                <w:rFonts w:ascii="Times New Roman" w:hAnsi="Times New Roman" w:eastAsia="宋体" w:cs="Times New Roman"/>
                <w:b/>
                <w:szCs w:val="20"/>
                <w:highlight w:val="none"/>
              </w:rPr>
            </w:pPr>
          </w:p>
        </w:tc>
        <w:tc>
          <w:tcPr>
            <w:tcW w:w="1375" w:type="dxa"/>
            <w:vAlign w:val="center"/>
          </w:tcPr>
          <w:p w14:paraId="24CA9279">
            <w:pPr>
              <w:jc w:val="center"/>
              <w:rPr>
                <w:rFonts w:ascii="Times New Roman" w:hAnsi="Times New Roman" w:eastAsia="宋体" w:cs="Times New Roman"/>
                <w:b/>
                <w:szCs w:val="20"/>
                <w:highlight w:val="none"/>
              </w:rPr>
            </w:pPr>
          </w:p>
        </w:tc>
        <w:tc>
          <w:tcPr>
            <w:tcW w:w="1065" w:type="dxa"/>
            <w:vAlign w:val="center"/>
          </w:tcPr>
          <w:p w14:paraId="4110988C">
            <w:pPr>
              <w:jc w:val="center"/>
              <w:rPr>
                <w:rFonts w:ascii="Times New Roman" w:hAnsi="Times New Roman" w:eastAsia="宋体" w:cs="Times New Roman"/>
                <w:b/>
                <w:szCs w:val="20"/>
                <w:highlight w:val="none"/>
              </w:rPr>
            </w:pPr>
          </w:p>
        </w:tc>
        <w:tc>
          <w:tcPr>
            <w:tcW w:w="1132" w:type="dxa"/>
            <w:vAlign w:val="center"/>
          </w:tcPr>
          <w:p w14:paraId="574E1C8F">
            <w:pPr>
              <w:jc w:val="center"/>
              <w:rPr>
                <w:rFonts w:ascii="Times New Roman" w:hAnsi="Times New Roman" w:eastAsia="宋体" w:cs="Times New Roman"/>
                <w:b/>
                <w:szCs w:val="20"/>
                <w:highlight w:val="none"/>
              </w:rPr>
            </w:pPr>
          </w:p>
        </w:tc>
      </w:tr>
    </w:tbl>
    <w:p w14:paraId="36EEAB7A">
      <w:pPr>
        <w:rPr>
          <w:rFonts w:ascii="宋体" w:hAnsi="Arial" w:eastAsia="宋体" w:cs="Times New Roman"/>
          <w:sz w:val="24"/>
          <w:szCs w:val="24"/>
          <w:highlight w:val="none"/>
        </w:rPr>
      </w:pPr>
    </w:p>
    <w:p w14:paraId="661E978B">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1ACA0F5A">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5DF6198C">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533AE546">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3E06BF8C">
      <w:pPr>
        <w:pStyle w:val="20"/>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0C2A7DCF">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B695D7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E2B5AD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02A935A">
      <w:pPr>
        <w:ind w:firstLine="480"/>
        <w:rPr>
          <w:rFonts w:ascii="宋体" w:hAnsi="Calibri" w:eastAsia="宋体" w:cs="Times New Roman"/>
          <w:color w:val="000000"/>
          <w:sz w:val="24"/>
          <w:szCs w:val="24"/>
          <w:highlight w:val="none"/>
        </w:rPr>
      </w:pPr>
    </w:p>
    <w:p w14:paraId="608A4348">
      <w:pPr>
        <w:pStyle w:val="20"/>
        <w:rPr>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EC4A541">
      <w:pPr>
        <w:rPr>
          <w:rFonts w:ascii="宋体" w:hAnsi="宋体" w:cs="宋体"/>
          <w:color w:val="000000"/>
          <w:sz w:val="24"/>
          <w:szCs w:val="24"/>
          <w:highlight w:val="none"/>
        </w:rPr>
      </w:pPr>
    </w:p>
    <w:p w14:paraId="273DCFB2">
      <w:pPr>
        <w:pStyle w:val="5"/>
        <w:spacing w:before="140" w:after="14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附件</w:t>
      </w:r>
      <w:r>
        <w:rPr>
          <w:rFonts w:hint="eastAsia" w:ascii="宋体" w:hAnsi="宋体" w:cs="宋体"/>
          <w:color w:val="000000"/>
          <w:sz w:val="24"/>
          <w:szCs w:val="24"/>
          <w:highlight w:val="none"/>
          <w:lang w:val="en-US" w:eastAsia="zh-CN"/>
        </w:rPr>
        <w:t>5</w:t>
      </w:r>
      <w:r>
        <w:rPr>
          <w:rFonts w:hint="eastAsia" w:ascii="宋体" w:hAnsi="宋体" w:cs="宋体"/>
          <w:color w:val="000000"/>
          <w:sz w:val="24"/>
          <w:szCs w:val="24"/>
          <w:highlight w:val="none"/>
        </w:rPr>
        <w:t xml:space="preserve">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1DBCECDF">
      <w:pPr>
        <w:rPr>
          <w:highlight w:val="none"/>
        </w:rPr>
      </w:pPr>
      <w:r>
        <w:rPr>
          <w:rFonts w:ascii="宋体" w:hAnsi="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cs="宋体"/>
          <w:spacing w:val="-7"/>
          <w:sz w:val="24"/>
          <w:szCs w:val="24"/>
          <w:highlight w:val="none"/>
        </w:rPr>
        <w:t xml:space="preserve"> </w:t>
      </w:r>
      <w:r>
        <w:rPr>
          <w:rFonts w:hint="eastAsia" w:ascii="宋体" w:hAnsi="宋体" w:cs="宋体"/>
          <w:spacing w:val="-7"/>
          <w:sz w:val="24"/>
          <w:szCs w:val="24"/>
          <w:highlight w:val="none"/>
          <w:lang w:val="en-US" w:eastAsia="zh-CN"/>
          <w14:textOutline w14:w="4356" w14:cap="flat" w14:cmpd="sng" w14:algn="ctr">
            <w14:solidFill>
              <w14:srgbClr w14:val="000000"/>
            </w14:solidFill>
            <w14:prstDash w14:val="solid"/>
            <w14:miter w14:val="0"/>
          </w14:textOutline>
        </w:rPr>
        <w:t>5</w:t>
      </w:r>
      <w:r>
        <w:rPr>
          <w:rFonts w:ascii="宋体" w:hAnsi="宋体" w:cs="宋体"/>
          <w:spacing w:val="-7"/>
          <w:sz w:val="24"/>
          <w:szCs w:val="24"/>
          <w:highlight w:val="none"/>
          <w14:textOutline w14:w="4356" w14:cap="flat" w14:cmpd="sng" w14:algn="ctr">
            <w14:solidFill>
              <w14:srgbClr w14:val="000000"/>
            </w14:solidFill>
            <w14:prstDash w14:val="solid"/>
            <w14:miter w14:val="0"/>
          </w14:textOutline>
        </w:rPr>
        <w:t>-1</w:t>
      </w:r>
    </w:p>
    <w:p w14:paraId="5D1CB73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F82D329">
      <w:pPr>
        <w:spacing w:before="52" w:line="221" w:lineRule="auto"/>
        <w:ind w:left="9"/>
        <w:rPr>
          <w:rFonts w:ascii="宋体" w:hAnsi="宋体" w:eastAsia="宋体" w:cs="宋体"/>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hint="eastAsia" w:ascii="宋体" w:hAnsi="宋体" w:eastAsia="宋体" w:cs="宋体"/>
          <w:szCs w:val="21"/>
          <w:highlight w:val="none"/>
        </w:rPr>
        <w:t>1</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1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39"/>
        <w:tblW w:w="5000" w:type="pct"/>
        <w:tblInd w:w="0" w:type="dxa"/>
        <w:tblLayout w:type="autofit"/>
        <w:tblCellMar>
          <w:top w:w="0" w:type="dxa"/>
          <w:left w:w="108" w:type="dxa"/>
          <w:bottom w:w="0" w:type="dxa"/>
          <w:right w:w="108" w:type="dxa"/>
        </w:tblCellMar>
      </w:tblPr>
      <w:tblGrid>
        <w:gridCol w:w="1576"/>
        <w:gridCol w:w="6465"/>
        <w:gridCol w:w="2311"/>
        <w:gridCol w:w="2235"/>
        <w:gridCol w:w="1610"/>
      </w:tblGrid>
      <w:tr w14:paraId="5B040E74">
        <w:tblPrEx>
          <w:tblCellMar>
            <w:top w:w="0" w:type="dxa"/>
            <w:left w:w="108" w:type="dxa"/>
            <w:bottom w:w="0" w:type="dxa"/>
            <w:right w:w="108" w:type="dxa"/>
          </w:tblCellMar>
        </w:tblPrEx>
        <w:trPr>
          <w:trHeight w:val="883"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82876">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电性能测试系统项目预算成本构成展开总表</w:t>
            </w:r>
          </w:p>
        </w:tc>
      </w:tr>
      <w:tr w14:paraId="50DCF61B">
        <w:tblPrEx>
          <w:tblCellMar>
            <w:top w:w="0" w:type="dxa"/>
            <w:left w:w="108" w:type="dxa"/>
            <w:bottom w:w="0" w:type="dxa"/>
            <w:right w:w="108" w:type="dxa"/>
          </w:tblCellMar>
        </w:tblPrEx>
        <w:trPr>
          <w:trHeight w:val="94" w:hRule="atLeast"/>
        </w:trPr>
        <w:tc>
          <w:tcPr>
            <w:tcW w:w="555"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0BC6AE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2277"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291601D">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项目名称</w:t>
            </w:r>
          </w:p>
        </w:tc>
        <w:tc>
          <w:tcPr>
            <w:tcW w:w="160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B4BA4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金额(元)</w:t>
            </w:r>
          </w:p>
        </w:tc>
        <w:tc>
          <w:tcPr>
            <w:tcW w:w="56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4328E7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备注</w:t>
            </w:r>
          </w:p>
        </w:tc>
      </w:tr>
      <w:tr w14:paraId="6AC787E0">
        <w:tblPrEx>
          <w:tblCellMar>
            <w:top w:w="0" w:type="dxa"/>
            <w:left w:w="108" w:type="dxa"/>
            <w:bottom w:w="0" w:type="dxa"/>
            <w:right w:w="108" w:type="dxa"/>
          </w:tblCellMar>
        </w:tblPrEx>
        <w:trPr>
          <w:trHeight w:val="90" w:hRule="atLeast"/>
        </w:trPr>
        <w:tc>
          <w:tcPr>
            <w:tcW w:w="555"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182821B6">
            <w:pPr>
              <w:jc w:val="center"/>
              <w:rPr>
                <w:rFonts w:ascii="Times New Roman" w:hAnsi="Times New Roman" w:eastAsia="宋体" w:cs="Times New Roman"/>
                <w:b/>
                <w:szCs w:val="20"/>
                <w:highlight w:val="none"/>
              </w:rPr>
            </w:pPr>
          </w:p>
        </w:tc>
        <w:tc>
          <w:tcPr>
            <w:tcW w:w="2277"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003AA565">
            <w:pPr>
              <w:jc w:val="center"/>
              <w:rPr>
                <w:rFonts w:ascii="Times New Roman" w:hAnsi="Times New Roman" w:eastAsia="宋体" w:cs="Times New Roman"/>
                <w:b/>
                <w:szCs w:val="20"/>
                <w:highlight w:val="none"/>
              </w:rPr>
            </w:pPr>
          </w:p>
        </w:tc>
        <w:tc>
          <w:tcPr>
            <w:tcW w:w="81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61B5771">
            <w:pPr>
              <w:widowControl/>
              <w:jc w:val="center"/>
              <w:textAlignment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未税金额</w:t>
            </w:r>
          </w:p>
        </w:tc>
        <w:tc>
          <w:tcPr>
            <w:tcW w:w="78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E1F1DBA">
            <w:pPr>
              <w:widowControl/>
              <w:jc w:val="center"/>
              <w:textAlignment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含税金额</w:t>
            </w:r>
          </w:p>
        </w:tc>
        <w:tc>
          <w:tcPr>
            <w:tcW w:w="56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FAF4193">
            <w:pPr>
              <w:jc w:val="center"/>
              <w:rPr>
                <w:rFonts w:ascii="Times New Roman" w:hAnsi="Times New Roman" w:eastAsia="宋体" w:cs="Times New Roman"/>
                <w:b/>
                <w:szCs w:val="20"/>
                <w:highlight w:val="none"/>
              </w:rPr>
            </w:pPr>
          </w:p>
        </w:tc>
      </w:tr>
      <w:tr w14:paraId="3E971C38">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23AA306">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一</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E77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便携式电性能测试系统</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B3F13">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1769">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18764">
            <w:pPr>
              <w:jc w:val="center"/>
              <w:rPr>
                <w:rFonts w:ascii="Times New Roman" w:hAnsi="Times New Roman" w:eastAsia="宋体" w:cs="Times New Roman"/>
                <w:b/>
                <w:szCs w:val="20"/>
                <w:highlight w:val="none"/>
              </w:rPr>
            </w:pPr>
          </w:p>
        </w:tc>
      </w:tr>
      <w:tr w14:paraId="188EB3D8">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24579E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1.1</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D1B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电压电流及信号采集系统</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92B2">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DF18E">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33B3">
            <w:pPr>
              <w:jc w:val="center"/>
              <w:rPr>
                <w:rFonts w:ascii="Times New Roman" w:hAnsi="Times New Roman" w:eastAsia="宋体" w:cs="Times New Roman"/>
                <w:b/>
                <w:szCs w:val="20"/>
                <w:highlight w:val="none"/>
              </w:rPr>
            </w:pPr>
          </w:p>
        </w:tc>
      </w:tr>
      <w:tr w14:paraId="18473DCA">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2B1E87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1.2</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942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主机软硬件集成调试</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C7AD">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A310A">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D6FE">
            <w:pPr>
              <w:jc w:val="center"/>
              <w:rPr>
                <w:rFonts w:ascii="Times New Roman" w:hAnsi="Times New Roman" w:eastAsia="宋体" w:cs="Times New Roman"/>
                <w:b/>
                <w:szCs w:val="20"/>
                <w:highlight w:val="none"/>
              </w:rPr>
            </w:pPr>
          </w:p>
        </w:tc>
      </w:tr>
      <w:tr w14:paraId="1F7A103D">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6ABF33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1.3</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CFCB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配套上位机软件</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CBCF5">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9CC1">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A0472">
            <w:pPr>
              <w:jc w:val="center"/>
              <w:rPr>
                <w:rFonts w:ascii="Times New Roman" w:hAnsi="Times New Roman" w:eastAsia="宋体" w:cs="Times New Roman"/>
                <w:b/>
                <w:szCs w:val="20"/>
                <w:highlight w:val="none"/>
              </w:rPr>
            </w:pPr>
          </w:p>
        </w:tc>
      </w:tr>
      <w:tr w14:paraId="4B6776FE">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70BD91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二</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29B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测试附件</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B696">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A7772">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1A06">
            <w:pPr>
              <w:jc w:val="center"/>
              <w:rPr>
                <w:rFonts w:ascii="Times New Roman" w:hAnsi="Times New Roman" w:eastAsia="宋体" w:cs="Times New Roman"/>
                <w:b/>
                <w:szCs w:val="20"/>
                <w:highlight w:val="none"/>
              </w:rPr>
            </w:pPr>
          </w:p>
        </w:tc>
      </w:tr>
      <w:tr w14:paraId="52FC3CF4">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BB2764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2.1</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048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霍尔电流传感器</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600D4">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7B601">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BA48">
            <w:pPr>
              <w:jc w:val="center"/>
              <w:rPr>
                <w:rFonts w:ascii="Times New Roman" w:hAnsi="Times New Roman" w:eastAsia="宋体" w:cs="Times New Roman"/>
                <w:b/>
                <w:szCs w:val="20"/>
                <w:highlight w:val="none"/>
              </w:rPr>
            </w:pPr>
          </w:p>
        </w:tc>
      </w:tr>
      <w:tr w14:paraId="4AA12A4A">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4185B3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2.2</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ECAB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热电偶</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90C2D">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3B71F">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EB5E">
            <w:pPr>
              <w:jc w:val="center"/>
              <w:rPr>
                <w:rFonts w:ascii="Times New Roman" w:hAnsi="Times New Roman" w:eastAsia="宋体" w:cs="Times New Roman"/>
                <w:b/>
                <w:szCs w:val="20"/>
                <w:highlight w:val="none"/>
              </w:rPr>
            </w:pPr>
          </w:p>
        </w:tc>
      </w:tr>
      <w:tr w14:paraId="45DAF039">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92CFE5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2.3</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5D7E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电压测试刺针组</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8C26">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EFA9">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0FFF">
            <w:pPr>
              <w:jc w:val="center"/>
              <w:rPr>
                <w:rFonts w:ascii="Times New Roman" w:hAnsi="Times New Roman" w:eastAsia="宋体" w:cs="Times New Roman"/>
                <w:b/>
                <w:szCs w:val="20"/>
                <w:highlight w:val="none"/>
              </w:rPr>
            </w:pPr>
          </w:p>
        </w:tc>
      </w:tr>
      <w:tr w14:paraId="1E9D0A38">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B029C7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2.4</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8F33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电流卡钳</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689D">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600A">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5FDCE">
            <w:pPr>
              <w:jc w:val="center"/>
              <w:rPr>
                <w:rFonts w:ascii="Times New Roman" w:hAnsi="Times New Roman" w:eastAsia="宋体" w:cs="Times New Roman"/>
                <w:b/>
                <w:szCs w:val="20"/>
                <w:highlight w:val="none"/>
              </w:rPr>
            </w:pPr>
          </w:p>
        </w:tc>
      </w:tr>
      <w:tr w14:paraId="750F9C15">
        <w:tblPrEx>
          <w:tblCellMar>
            <w:top w:w="0" w:type="dxa"/>
            <w:left w:w="108" w:type="dxa"/>
            <w:bottom w:w="0" w:type="dxa"/>
            <w:right w:w="108" w:type="dxa"/>
          </w:tblCellMar>
        </w:tblPrEx>
        <w:trPr>
          <w:trHeight w:val="90" w:hRule="atLeast"/>
        </w:trPr>
        <w:tc>
          <w:tcPr>
            <w:tcW w:w="555"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F8338E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2.5</w:t>
            </w:r>
          </w:p>
        </w:tc>
        <w:tc>
          <w:tcPr>
            <w:tcW w:w="2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4C87D">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便携式示波器</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716C">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60FFA">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009E">
            <w:pPr>
              <w:jc w:val="center"/>
              <w:rPr>
                <w:rFonts w:ascii="Times New Roman" w:hAnsi="Times New Roman" w:eastAsia="宋体" w:cs="Times New Roman"/>
                <w:b/>
                <w:szCs w:val="20"/>
                <w:highlight w:val="none"/>
              </w:rPr>
            </w:pPr>
          </w:p>
        </w:tc>
      </w:tr>
      <w:tr w14:paraId="77E251C6">
        <w:tblPrEx>
          <w:tblCellMar>
            <w:top w:w="0" w:type="dxa"/>
            <w:left w:w="108" w:type="dxa"/>
            <w:bottom w:w="0" w:type="dxa"/>
            <w:right w:w="108" w:type="dxa"/>
          </w:tblCellMar>
        </w:tblPrEx>
        <w:trPr>
          <w:trHeight w:val="730" w:hRule="atLeast"/>
        </w:trPr>
        <w:tc>
          <w:tcPr>
            <w:tcW w:w="28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A4574B">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预算合计=一+二</w:t>
            </w:r>
          </w:p>
        </w:tc>
        <w:tc>
          <w:tcPr>
            <w:tcW w:w="81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CE03DB3">
            <w:pPr>
              <w:jc w:val="center"/>
              <w:rPr>
                <w:rFonts w:ascii="Times New Roman" w:hAnsi="Times New Roman" w:eastAsia="宋体" w:cs="Times New Roman"/>
                <w:b/>
                <w:szCs w:val="20"/>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78AEBD8">
            <w:pPr>
              <w:jc w:val="center"/>
              <w:rPr>
                <w:rFonts w:ascii="Times New Roman" w:hAnsi="Times New Roman" w:eastAsia="宋体" w:cs="Times New Roman"/>
                <w:b/>
                <w:szCs w:val="20"/>
                <w:highlight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1A24">
            <w:pPr>
              <w:jc w:val="center"/>
              <w:rPr>
                <w:rFonts w:ascii="Times New Roman" w:hAnsi="Times New Roman" w:eastAsia="宋体" w:cs="Times New Roman"/>
                <w:b/>
                <w:szCs w:val="20"/>
                <w:highlight w:val="none"/>
              </w:rPr>
            </w:pPr>
          </w:p>
        </w:tc>
      </w:tr>
    </w:tbl>
    <w:p w14:paraId="3FC92443">
      <w:pPr>
        <w:spacing w:before="58" w:line="219" w:lineRule="auto"/>
        <w:ind w:left="8"/>
        <w:rPr>
          <w:rFonts w:ascii="宋体" w:hAnsi="宋体" w:eastAsia="宋体" w:cs="宋体"/>
          <w:spacing w:val="-8"/>
          <w:szCs w:val="21"/>
          <w:highlight w:val="none"/>
        </w:rPr>
      </w:pPr>
    </w:p>
    <w:p w14:paraId="3EFF7128">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4E22A70E">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763ED0C9">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58A81F0B">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E26C2F9">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968D669">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51E6741A">
      <w:pPr>
        <w:spacing w:line="105" w:lineRule="exact"/>
        <w:rPr>
          <w:highlight w:val="none"/>
        </w:rPr>
      </w:pPr>
    </w:p>
    <w:p w14:paraId="491C2035">
      <w:pPr>
        <w:spacing w:before="85" w:line="198" w:lineRule="auto"/>
        <w:ind w:left="432"/>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ascii="宋体" w:hAnsi="宋体" w:eastAsia="宋体" w:cs="宋体"/>
          <w:spacing w:val="-4"/>
          <w:sz w:val="24"/>
          <w:szCs w:val="24"/>
          <w:highlight w:val="none"/>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48125097">
      <w:pPr>
        <w:rPr>
          <w:rFonts w:ascii="宋体" w:hAnsi="宋体" w:eastAsia="宋体" w:cs="宋体"/>
          <w:sz w:val="24"/>
          <w:szCs w:val="24"/>
          <w:highlight w:val="none"/>
        </w:rPr>
        <w:sectPr>
          <w:footerReference r:id="rId25" w:type="default"/>
          <w:type w:val="continuous"/>
          <w:pgSz w:w="16841" w:h="11907"/>
          <w:pgMar w:top="400" w:right="1387" w:bottom="1168" w:left="1473" w:header="0" w:footer="990" w:gutter="0"/>
          <w:cols w:space="720" w:num="1"/>
        </w:sectPr>
      </w:pPr>
    </w:p>
    <w:p w14:paraId="2ED1D598">
      <w:pPr>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lang w:val="en-US" w:eastAsia="zh-CN"/>
          <w14:textOutline w14:w="3835" w14:cap="flat" w14:cmpd="sng" w14:algn="ctr">
            <w14:solidFill>
              <w14:srgbClr w14:val="000000"/>
            </w14:solidFill>
            <w14:prstDash w14:val="solid"/>
            <w14:miter w14:val="0"/>
          </w14:textOutline>
        </w:rPr>
        <w:t>5</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2</w:t>
      </w:r>
    </w:p>
    <w:p w14:paraId="22FA47ED">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20"/>
          <w:sz w:val="24"/>
          <w:szCs w:val="24"/>
          <w:highlight w:val="none"/>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highlight w:val="none"/>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252D76A8">
      <w:pPr>
        <w:spacing w:line="220" w:lineRule="auto"/>
        <w:ind w:left="1"/>
        <w:rPr>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1EF05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0F1DF6E1">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5E62CD07">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00F4AC94">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24A968D5">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940" w:type="dxa"/>
          </w:tcPr>
          <w:p w14:paraId="24702888">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770" w:type="dxa"/>
          </w:tcPr>
          <w:p w14:paraId="75E12D90">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88" w:type="dxa"/>
          </w:tcPr>
          <w:p w14:paraId="36CE7777">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35AC6656">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082A4669">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62A64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38B2DD94">
            <w:pPr>
              <w:spacing w:before="146" w:line="211" w:lineRule="auto"/>
              <w:ind w:left="89"/>
              <w:rPr>
                <w:rFonts w:ascii="宋体" w:hAnsi="宋体" w:eastAsia="宋体" w:cs="宋体"/>
                <w:szCs w:val="21"/>
                <w:highlight w:val="none"/>
              </w:rPr>
            </w:pPr>
            <w:r>
              <w:rPr>
                <w:rFonts w:ascii="宋体" w:hAnsi="宋体" w:eastAsia="宋体" w:cs="宋体"/>
                <w:spacing w:val="4"/>
                <w:szCs w:val="21"/>
                <w:highlight w:val="none"/>
                <w14:textOutline w14:w="3835" w14:cap="flat" w14:cmpd="sng" w14:algn="ctr">
                  <w14:solidFill>
                    <w14:srgbClr w14:val="000000"/>
                  </w14:solidFill>
                  <w14:prstDash w14:val="solid"/>
                  <w14:miter w14:val="0"/>
                </w14:textOutline>
              </w:rPr>
              <w:t>序</w:t>
            </w:r>
            <w:r>
              <w:rPr>
                <w:rFonts w:ascii="宋体" w:hAnsi="宋体" w:eastAsia="宋体" w:cs="宋体"/>
                <w:spacing w:val="4"/>
                <w:szCs w:val="21"/>
                <w:highlight w:val="none"/>
              </w:rPr>
              <w:t xml:space="preserve"> </w:t>
            </w:r>
            <w:r>
              <w:rPr>
                <w:rFonts w:ascii="宋体" w:hAnsi="宋体" w:eastAsia="宋体" w:cs="宋体"/>
                <w:spacing w:val="4"/>
                <w:szCs w:val="21"/>
                <w:highlight w:val="none"/>
                <w14:textOutline w14:w="3835" w14:cap="flat" w14:cmpd="sng" w14:algn="ctr">
                  <w14:solidFill>
                    <w14:srgbClr w14:val="000000"/>
                  </w14:solidFill>
                  <w14:prstDash w14:val="solid"/>
                  <w14:miter w14:val="0"/>
                </w14:textOutline>
              </w:rPr>
              <w:t>号</w:t>
            </w:r>
          </w:p>
        </w:tc>
        <w:tc>
          <w:tcPr>
            <w:tcW w:w="2543" w:type="dxa"/>
          </w:tcPr>
          <w:p w14:paraId="7369BE94">
            <w:pPr>
              <w:spacing w:before="252" w:line="221" w:lineRule="auto"/>
              <w:ind w:left="538"/>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ascii="宋体" w:hAnsi="宋体" w:eastAsia="宋体" w:cs="宋体"/>
                <w:szCs w:val="21"/>
                <w:highlight w:val="none"/>
                <w14:textOutline w14:w="3835" w14:cap="flat" w14:cmpd="sng" w14:algn="ctr">
                  <w14:solidFill>
                    <w14:srgbClr w14:val="000000"/>
                  </w14:solidFill>
                  <w14:prstDash w14:val="solid"/>
                  <w14:miter w14:val="0"/>
                </w14:textOutline>
              </w:rPr>
              <w:t>工具名称</w:t>
            </w:r>
          </w:p>
        </w:tc>
        <w:tc>
          <w:tcPr>
            <w:tcW w:w="2100" w:type="dxa"/>
          </w:tcPr>
          <w:p w14:paraId="0E9A2D15">
            <w:pPr>
              <w:spacing w:before="252" w:line="221" w:lineRule="auto"/>
              <w:ind w:left="534"/>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tcPr>
          <w:p w14:paraId="2B19405B">
            <w:pPr>
              <w:spacing w:before="252" w:line="221" w:lineRule="auto"/>
              <w:ind w:left="215"/>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数量</w:t>
            </w:r>
          </w:p>
        </w:tc>
        <w:tc>
          <w:tcPr>
            <w:tcW w:w="1940" w:type="dxa"/>
          </w:tcPr>
          <w:p w14:paraId="001F5660">
            <w:pPr>
              <w:spacing w:before="89" w:line="327" w:lineRule="exact"/>
              <w:ind w:left="708"/>
              <w:rPr>
                <w:rFonts w:ascii="宋体" w:hAnsi="宋体" w:eastAsia="宋体" w:cs="宋体"/>
                <w:szCs w:val="21"/>
                <w:highlight w:val="none"/>
              </w:rPr>
            </w:pPr>
            <w:r>
              <w:rPr>
                <w:rFonts w:ascii="宋体" w:hAnsi="宋体" w:eastAsia="宋体" w:cs="宋体"/>
                <w:spacing w:val="-2"/>
                <w:position w:val="8"/>
                <w:szCs w:val="21"/>
                <w:highlight w:val="none"/>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highlight w:val="none"/>
                <w14:textOutline w14:w="3835" w14:cap="flat" w14:cmpd="sng" w14:algn="ctr">
                  <w14:solidFill>
                    <w14:srgbClr w14:val="000000"/>
                  </w14:solidFill>
                  <w14:prstDash w14:val="solid"/>
                  <w14:miter w14:val="0"/>
                </w14:textOutline>
              </w:rPr>
              <w:t>和</w:t>
            </w:r>
          </w:p>
          <w:p w14:paraId="539D2C3A">
            <w:pPr>
              <w:spacing w:line="221" w:lineRule="auto"/>
              <w:ind w:left="598"/>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ascii="宋体" w:hAnsi="宋体" w:eastAsia="宋体" w:cs="宋体"/>
                <w:szCs w:val="21"/>
                <w:highlight w:val="none"/>
                <w14:textOutline w14:w="3835" w14:cap="flat" w14:cmpd="sng" w14:algn="ctr">
                  <w14:solidFill>
                    <w14:srgbClr w14:val="000000"/>
                  </w14:solidFill>
                  <w14:prstDash w14:val="solid"/>
                  <w14:miter w14:val="0"/>
                </w14:textOutline>
              </w:rPr>
              <w:t>名称</w:t>
            </w:r>
          </w:p>
        </w:tc>
        <w:tc>
          <w:tcPr>
            <w:tcW w:w="1770" w:type="dxa"/>
          </w:tcPr>
          <w:p w14:paraId="47018A13">
            <w:pPr>
              <w:spacing w:before="90" w:line="219" w:lineRule="auto"/>
              <w:ind w:left="271"/>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w:t>
            </w:r>
            <w:r>
              <w:rPr>
                <w:rFonts w:ascii="宋体" w:hAnsi="宋体" w:eastAsia="宋体" w:cs="宋体"/>
                <w:szCs w:val="21"/>
                <w:highlight w:val="none"/>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72E76AEA">
            <w:pPr>
              <w:spacing w:before="77" w:line="221" w:lineRule="auto"/>
              <w:ind w:firstLine="712" w:firstLineChars="400"/>
              <w:rPr>
                <w:rFonts w:ascii="宋体" w:hAnsi="宋体" w:eastAsia="宋体" w:cs="宋体"/>
                <w:szCs w:val="21"/>
                <w:highlight w:val="none"/>
              </w:rPr>
            </w:pPr>
            <w:r>
              <w:rPr>
                <w:rFonts w:ascii="宋体" w:hAnsi="宋体" w:eastAsia="宋体" w:cs="宋体"/>
                <w:spacing w:val="-16"/>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14"/>
                <w:szCs w:val="21"/>
                <w:highlight w:val="none"/>
                <w14:textOutline w14:w="3835" w14:cap="flat" w14:cmpd="sng" w14:algn="ctr">
                  <w14:solidFill>
                    <w14:srgbClr w14:val="000000"/>
                  </w14:solidFill>
                  <w14:prstDash w14:val="solid"/>
                  <w14:miter w14:val="0"/>
                </w14:textOutline>
              </w:rPr>
              <w:t>元)</w:t>
            </w:r>
          </w:p>
        </w:tc>
        <w:tc>
          <w:tcPr>
            <w:tcW w:w="1888" w:type="dxa"/>
          </w:tcPr>
          <w:p w14:paraId="250E8909">
            <w:pPr>
              <w:spacing w:before="90" w:line="219" w:lineRule="auto"/>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ascii="宋体" w:hAnsi="宋体" w:eastAsia="宋体" w:cs="宋体"/>
                <w:szCs w:val="21"/>
                <w:highlight w:val="none"/>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258E81A1">
            <w:pPr>
              <w:spacing w:before="77" w:line="221" w:lineRule="auto"/>
              <w:ind w:left="747"/>
              <w:rPr>
                <w:rFonts w:ascii="宋体" w:hAnsi="宋体" w:eastAsia="宋体" w:cs="宋体"/>
                <w:szCs w:val="21"/>
                <w:highlight w:val="none"/>
              </w:rPr>
            </w:pPr>
            <w:r>
              <w:rPr>
                <w:rFonts w:ascii="宋体" w:hAnsi="宋体" w:eastAsia="宋体" w:cs="宋体"/>
                <w:spacing w:val="27"/>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26"/>
                <w:szCs w:val="21"/>
                <w:highlight w:val="none"/>
                <w14:textOutline w14:w="3835" w14:cap="flat" w14:cmpd="sng" w14:algn="ctr">
                  <w14:solidFill>
                    <w14:srgbClr w14:val="000000"/>
                  </w14:solidFill>
                  <w14:prstDash w14:val="solid"/>
                  <w14:miter w14:val="0"/>
                </w14:textOutline>
              </w:rPr>
              <w:t>元)</w:t>
            </w:r>
          </w:p>
        </w:tc>
        <w:tc>
          <w:tcPr>
            <w:tcW w:w="1120" w:type="dxa"/>
          </w:tcPr>
          <w:p w14:paraId="1A4C5C2A">
            <w:pPr>
              <w:spacing w:before="89" w:line="327" w:lineRule="exact"/>
              <w:ind w:left="360"/>
              <w:rPr>
                <w:rFonts w:ascii="宋体" w:hAnsi="宋体" w:eastAsia="宋体" w:cs="宋体"/>
                <w:szCs w:val="21"/>
                <w:highlight w:val="none"/>
              </w:rPr>
            </w:pPr>
            <w:r>
              <w:rPr>
                <w:rFonts w:ascii="宋体" w:hAnsi="宋体" w:eastAsia="宋体" w:cs="宋体"/>
                <w:spacing w:val="-3"/>
                <w:position w:val="8"/>
                <w:szCs w:val="21"/>
                <w:highlight w:val="none"/>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highlight w:val="none"/>
                <w14:textOutline w14:w="3835" w14:cap="flat" w14:cmpd="sng" w14:algn="ctr">
                  <w14:solidFill>
                    <w14:srgbClr w14:val="000000"/>
                  </w14:solidFill>
                  <w14:prstDash w14:val="solid"/>
                  <w14:miter w14:val="0"/>
                </w14:textOutline>
              </w:rPr>
              <w:t>换</w:t>
            </w:r>
          </w:p>
          <w:p w14:paraId="3CF4F3C2">
            <w:pPr>
              <w:spacing w:line="221" w:lineRule="auto"/>
              <w:ind w:left="358"/>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周期</w:t>
            </w:r>
          </w:p>
        </w:tc>
        <w:tc>
          <w:tcPr>
            <w:tcW w:w="1125" w:type="dxa"/>
          </w:tcPr>
          <w:p w14:paraId="18A194F9">
            <w:pPr>
              <w:spacing w:before="253" w:line="222" w:lineRule="auto"/>
              <w:ind w:left="252"/>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注</w:t>
            </w:r>
          </w:p>
        </w:tc>
      </w:tr>
      <w:tr w14:paraId="15BDE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39BCD025">
            <w:pPr>
              <w:pStyle w:val="128"/>
              <w:spacing w:before="60" w:after="60"/>
              <w:jc w:val="center"/>
              <w:rPr>
                <w:rFonts w:ascii="宋体" w:hAnsi="宋体" w:eastAsia="宋体" w:cs="宋体"/>
                <w:szCs w:val="21"/>
                <w:highlight w:val="none"/>
              </w:rPr>
            </w:pPr>
            <w:r>
              <w:rPr>
                <w:rFonts w:hint="eastAsia" w:ascii="宋体" w:hAnsi="宋体" w:eastAsia="宋体" w:cs="宋体"/>
                <w:szCs w:val="21"/>
                <w:highlight w:val="none"/>
              </w:rPr>
              <w:t>1</w:t>
            </w:r>
          </w:p>
        </w:tc>
        <w:tc>
          <w:tcPr>
            <w:tcW w:w="2543" w:type="dxa"/>
            <w:vAlign w:val="center"/>
          </w:tcPr>
          <w:p w14:paraId="2EFF4C4F">
            <w:pPr>
              <w:pStyle w:val="128"/>
              <w:spacing w:before="60" w:after="60"/>
              <w:jc w:val="center"/>
              <w:rPr>
                <w:rFonts w:ascii="宋体" w:hAnsi="宋体" w:eastAsia="宋体" w:cs="宋体"/>
                <w:szCs w:val="21"/>
                <w:highlight w:val="none"/>
              </w:rPr>
            </w:pPr>
          </w:p>
        </w:tc>
        <w:tc>
          <w:tcPr>
            <w:tcW w:w="2100" w:type="dxa"/>
            <w:vAlign w:val="center"/>
          </w:tcPr>
          <w:p w14:paraId="41B7A48E">
            <w:pPr>
              <w:jc w:val="center"/>
              <w:rPr>
                <w:rFonts w:ascii="Arial"/>
                <w:highlight w:val="none"/>
              </w:rPr>
            </w:pPr>
          </w:p>
        </w:tc>
        <w:tc>
          <w:tcPr>
            <w:tcW w:w="840" w:type="dxa"/>
            <w:vAlign w:val="center"/>
          </w:tcPr>
          <w:p w14:paraId="3B5E4FB3">
            <w:pPr>
              <w:spacing w:line="360" w:lineRule="auto"/>
              <w:jc w:val="center"/>
              <w:textAlignment w:val="center"/>
              <w:rPr>
                <w:rFonts w:ascii="宋体" w:hAnsi="宋体" w:eastAsia="宋体" w:cs="宋体"/>
                <w:szCs w:val="21"/>
                <w:highlight w:val="none"/>
              </w:rPr>
            </w:pPr>
          </w:p>
        </w:tc>
        <w:tc>
          <w:tcPr>
            <w:tcW w:w="1940" w:type="dxa"/>
          </w:tcPr>
          <w:p w14:paraId="5D952463">
            <w:pPr>
              <w:rPr>
                <w:rFonts w:ascii="Arial"/>
                <w:highlight w:val="none"/>
              </w:rPr>
            </w:pPr>
          </w:p>
        </w:tc>
        <w:tc>
          <w:tcPr>
            <w:tcW w:w="1770" w:type="dxa"/>
          </w:tcPr>
          <w:p w14:paraId="4AFDB2A4">
            <w:pPr>
              <w:rPr>
                <w:highlight w:val="none"/>
              </w:rPr>
            </w:pPr>
          </w:p>
        </w:tc>
        <w:tc>
          <w:tcPr>
            <w:tcW w:w="1888" w:type="dxa"/>
          </w:tcPr>
          <w:p w14:paraId="64B88738">
            <w:pPr>
              <w:rPr>
                <w:rFonts w:ascii="Arial"/>
                <w:highlight w:val="none"/>
              </w:rPr>
            </w:pPr>
          </w:p>
        </w:tc>
        <w:tc>
          <w:tcPr>
            <w:tcW w:w="1120" w:type="dxa"/>
          </w:tcPr>
          <w:p w14:paraId="3989D362">
            <w:pPr>
              <w:rPr>
                <w:rFonts w:ascii="Arial"/>
                <w:highlight w:val="none"/>
              </w:rPr>
            </w:pPr>
          </w:p>
        </w:tc>
        <w:tc>
          <w:tcPr>
            <w:tcW w:w="1125" w:type="dxa"/>
          </w:tcPr>
          <w:p w14:paraId="4905202B">
            <w:pPr>
              <w:rPr>
                <w:rFonts w:ascii="Arial"/>
                <w:highlight w:val="none"/>
              </w:rPr>
            </w:pPr>
          </w:p>
        </w:tc>
      </w:tr>
      <w:tr w14:paraId="0A430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1B14A546">
            <w:pPr>
              <w:pStyle w:val="128"/>
              <w:spacing w:before="60" w:after="60"/>
              <w:jc w:val="center"/>
              <w:rPr>
                <w:rFonts w:ascii="宋体" w:hAnsi="宋体" w:eastAsia="宋体" w:cs="宋体"/>
                <w:szCs w:val="21"/>
                <w:highlight w:val="none"/>
              </w:rPr>
            </w:pPr>
            <w:r>
              <w:rPr>
                <w:rFonts w:hint="eastAsia" w:ascii="宋体" w:hAnsi="宋体" w:eastAsia="宋体" w:cs="宋体"/>
                <w:szCs w:val="21"/>
                <w:highlight w:val="none"/>
              </w:rPr>
              <w:t>2</w:t>
            </w:r>
          </w:p>
        </w:tc>
        <w:tc>
          <w:tcPr>
            <w:tcW w:w="2543" w:type="dxa"/>
            <w:vAlign w:val="center"/>
          </w:tcPr>
          <w:p w14:paraId="1679EC60">
            <w:pPr>
              <w:pStyle w:val="128"/>
              <w:spacing w:before="60" w:after="60"/>
              <w:rPr>
                <w:rFonts w:ascii="宋体" w:hAnsi="宋体" w:eastAsia="宋体" w:cs="宋体"/>
                <w:szCs w:val="21"/>
                <w:highlight w:val="none"/>
              </w:rPr>
            </w:pPr>
          </w:p>
        </w:tc>
        <w:tc>
          <w:tcPr>
            <w:tcW w:w="2100" w:type="dxa"/>
            <w:vAlign w:val="center"/>
          </w:tcPr>
          <w:p w14:paraId="2DA4AC04">
            <w:pPr>
              <w:jc w:val="center"/>
              <w:rPr>
                <w:rFonts w:ascii="Arial"/>
                <w:highlight w:val="none"/>
              </w:rPr>
            </w:pPr>
          </w:p>
        </w:tc>
        <w:tc>
          <w:tcPr>
            <w:tcW w:w="840" w:type="dxa"/>
            <w:vAlign w:val="center"/>
          </w:tcPr>
          <w:p w14:paraId="5AEA9FF4">
            <w:pPr>
              <w:spacing w:line="360" w:lineRule="auto"/>
              <w:jc w:val="center"/>
              <w:textAlignment w:val="center"/>
              <w:rPr>
                <w:rFonts w:ascii="宋体" w:hAnsi="宋体" w:eastAsia="宋体" w:cs="宋体"/>
                <w:szCs w:val="21"/>
                <w:highlight w:val="none"/>
              </w:rPr>
            </w:pPr>
          </w:p>
        </w:tc>
        <w:tc>
          <w:tcPr>
            <w:tcW w:w="1940" w:type="dxa"/>
          </w:tcPr>
          <w:p w14:paraId="73586589">
            <w:pPr>
              <w:rPr>
                <w:rFonts w:ascii="Arial"/>
                <w:highlight w:val="none"/>
              </w:rPr>
            </w:pPr>
          </w:p>
        </w:tc>
        <w:tc>
          <w:tcPr>
            <w:tcW w:w="1770" w:type="dxa"/>
          </w:tcPr>
          <w:p w14:paraId="3EE9B43E">
            <w:pPr>
              <w:rPr>
                <w:rFonts w:ascii="Arial"/>
                <w:highlight w:val="none"/>
              </w:rPr>
            </w:pPr>
          </w:p>
        </w:tc>
        <w:tc>
          <w:tcPr>
            <w:tcW w:w="1888" w:type="dxa"/>
          </w:tcPr>
          <w:p w14:paraId="520E65A5">
            <w:pPr>
              <w:rPr>
                <w:rFonts w:ascii="Arial"/>
                <w:highlight w:val="none"/>
              </w:rPr>
            </w:pPr>
          </w:p>
        </w:tc>
        <w:tc>
          <w:tcPr>
            <w:tcW w:w="1120" w:type="dxa"/>
          </w:tcPr>
          <w:p w14:paraId="1DEA3831">
            <w:pPr>
              <w:rPr>
                <w:rFonts w:ascii="Arial"/>
                <w:highlight w:val="none"/>
              </w:rPr>
            </w:pPr>
          </w:p>
        </w:tc>
        <w:tc>
          <w:tcPr>
            <w:tcW w:w="1125" w:type="dxa"/>
          </w:tcPr>
          <w:p w14:paraId="7F367373">
            <w:pPr>
              <w:rPr>
                <w:rFonts w:ascii="Arial"/>
                <w:highlight w:val="none"/>
              </w:rPr>
            </w:pPr>
          </w:p>
        </w:tc>
      </w:tr>
      <w:tr w14:paraId="78A1F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67602CCC">
            <w:pPr>
              <w:pStyle w:val="128"/>
              <w:spacing w:before="60" w:after="60"/>
              <w:jc w:val="center"/>
              <w:rPr>
                <w:rFonts w:ascii="宋体" w:hAnsi="宋体" w:eastAsia="宋体" w:cs="宋体"/>
                <w:szCs w:val="21"/>
                <w:highlight w:val="none"/>
              </w:rPr>
            </w:pPr>
            <w:r>
              <w:rPr>
                <w:rFonts w:hint="eastAsia" w:ascii="宋体" w:hAnsi="宋体" w:eastAsia="宋体" w:cs="宋体"/>
                <w:szCs w:val="21"/>
                <w:highlight w:val="none"/>
              </w:rPr>
              <w:t>3</w:t>
            </w:r>
          </w:p>
        </w:tc>
        <w:tc>
          <w:tcPr>
            <w:tcW w:w="2543" w:type="dxa"/>
            <w:vAlign w:val="center"/>
          </w:tcPr>
          <w:p w14:paraId="68B9706E">
            <w:pPr>
              <w:pStyle w:val="128"/>
              <w:spacing w:before="60" w:after="60"/>
              <w:rPr>
                <w:rFonts w:ascii="宋体" w:hAnsi="宋体" w:eastAsia="宋体" w:cs="宋体"/>
                <w:szCs w:val="21"/>
                <w:highlight w:val="none"/>
              </w:rPr>
            </w:pPr>
          </w:p>
        </w:tc>
        <w:tc>
          <w:tcPr>
            <w:tcW w:w="2100" w:type="dxa"/>
            <w:vAlign w:val="center"/>
          </w:tcPr>
          <w:p w14:paraId="0F4EC48F">
            <w:pPr>
              <w:jc w:val="center"/>
              <w:rPr>
                <w:rFonts w:ascii="Arial"/>
                <w:highlight w:val="none"/>
              </w:rPr>
            </w:pPr>
          </w:p>
        </w:tc>
        <w:tc>
          <w:tcPr>
            <w:tcW w:w="840" w:type="dxa"/>
            <w:vAlign w:val="center"/>
          </w:tcPr>
          <w:p w14:paraId="092CCD49">
            <w:pPr>
              <w:spacing w:line="360" w:lineRule="auto"/>
              <w:jc w:val="center"/>
              <w:textAlignment w:val="center"/>
              <w:rPr>
                <w:rFonts w:ascii="宋体" w:hAnsi="宋体" w:eastAsia="宋体" w:cs="宋体"/>
                <w:szCs w:val="21"/>
                <w:highlight w:val="none"/>
              </w:rPr>
            </w:pPr>
          </w:p>
        </w:tc>
        <w:tc>
          <w:tcPr>
            <w:tcW w:w="1940" w:type="dxa"/>
          </w:tcPr>
          <w:p w14:paraId="220B89A5">
            <w:pPr>
              <w:rPr>
                <w:rFonts w:ascii="Arial"/>
                <w:highlight w:val="none"/>
              </w:rPr>
            </w:pPr>
          </w:p>
        </w:tc>
        <w:tc>
          <w:tcPr>
            <w:tcW w:w="1770" w:type="dxa"/>
          </w:tcPr>
          <w:p w14:paraId="02EF65C9">
            <w:pPr>
              <w:rPr>
                <w:rFonts w:ascii="Arial"/>
                <w:highlight w:val="none"/>
              </w:rPr>
            </w:pPr>
          </w:p>
        </w:tc>
        <w:tc>
          <w:tcPr>
            <w:tcW w:w="1888" w:type="dxa"/>
          </w:tcPr>
          <w:p w14:paraId="181B6538">
            <w:pPr>
              <w:rPr>
                <w:rFonts w:ascii="Arial"/>
                <w:highlight w:val="none"/>
              </w:rPr>
            </w:pPr>
          </w:p>
        </w:tc>
        <w:tc>
          <w:tcPr>
            <w:tcW w:w="1120" w:type="dxa"/>
          </w:tcPr>
          <w:p w14:paraId="2AC54F32">
            <w:pPr>
              <w:rPr>
                <w:rFonts w:ascii="Arial"/>
                <w:highlight w:val="none"/>
              </w:rPr>
            </w:pPr>
          </w:p>
        </w:tc>
        <w:tc>
          <w:tcPr>
            <w:tcW w:w="1125" w:type="dxa"/>
          </w:tcPr>
          <w:p w14:paraId="0FB30400">
            <w:pPr>
              <w:rPr>
                <w:rFonts w:ascii="Arial"/>
                <w:highlight w:val="none"/>
              </w:rPr>
            </w:pPr>
          </w:p>
        </w:tc>
      </w:tr>
      <w:tr w14:paraId="3CD0C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14:paraId="5811DD3A">
            <w:pPr>
              <w:pStyle w:val="128"/>
              <w:spacing w:before="60" w:after="60"/>
              <w:jc w:val="center"/>
              <w:rPr>
                <w:rFonts w:ascii="宋体" w:hAnsi="宋体" w:eastAsia="宋体" w:cs="宋体"/>
                <w:szCs w:val="21"/>
                <w:highlight w:val="none"/>
              </w:rPr>
            </w:pPr>
            <w:r>
              <w:rPr>
                <w:rFonts w:hint="eastAsia" w:ascii="宋体" w:hAnsi="宋体" w:eastAsia="宋体" w:cs="宋体"/>
                <w:szCs w:val="21"/>
                <w:highlight w:val="none"/>
              </w:rPr>
              <w:t>4</w:t>
            </w:r>
          </w:p>
        </w:tc>
        <w:tc>
          <w:tcPr>
            <w:tcW w:w="2543" w:type="dxa"/>
            <w:vAlign w:val="center"/>
          </w:tcPr>
          <w:p w14:paraId="77EEC57F">
            <w:pPr>
              <w:pStyle w:val="128"/>
              <w:spacing w:before="60" w:after="60"/>
              <w:rPr>
                <w:rFonts w:ascii="宋体" w:hAnsi="宋体" w:eastAsia="宋体" w:cs="宋体"/>
                <w:szCs w:val="21"/>
                <w:highlight w:val="none"/>
              </w:rPr>
            </w:pPr>
          </w:p>
        </w:tc>
        <w:tc>
          <w:tcPr>
            <w:tcW w:w="2100" w:type="dxa"/>
            <w:vAlign w:val="center"/>
          </w:tcPr>
          <w:p w14:paraId="6BC1BB88">
            <w:pPr>
              <w:jc w:val="center"/>
              <w:rPr>
                <w:rFonts w:ascii="Arial"/>
                <w:highlight w:val="none"/>
              </w:rPr>
            </w:pPr>
          </w:p>
        </w:tc>
        <w:tc>
          <w:tcPr>
            <w:tcW w:w="840" w:type="dxa"/>
            <w:vAlign w:val="center"/>
          </w:tcPr>
          <w:p w14:paraId="7C9B451A">
            <w:pPr>
              <w:spacing w:line="360" w:lineRule="auto"/>
              <w:jc w:val="center"/>
              <w:textAlignment w:val="center"/>
              <w:rPr>
                <w:rFonts w:ascii="宋体" w:hAnsi="宋体" w:eastAsia="宋体" w:cs="宋体"/>
                <w:szCs w:val="21"/>
                <w:highlight w:val="none"/>
              </w:rPr>
            </w:pPr>
          </w:p>
        </w:tc>
        <w:tc>
          <w:tcPr>
            <w:tcW w:w="1940" w:type="dxa"/>
          </w:tcPr>
          <w:p w14:paraId="684ACE21">
            <w:pPr>
              <w:rPr>
                <w:rFonts w:ascii="Arial"/>
                <w:highlight w:val="none"/>
              </w:rPr>
            </w:pPr>
          </w:p>
        </w:tc>
        <w:tc>
          <w:tcPr>
            <w:tcW w:w="1770" w:type="dxa"/>
          </w:tcPr>
          <w:p w14:paraId="47401C1E">
            <w:pPr>
              <w:rPr>
                <w:rFonts w:ascii="Arial"/>
                <w:highlight w:val="none"/>
              </w:rPr>
            </w:pPr>
          </w:p>
        </w:tc>
        <w:tc>
          <w:tcPr>
            <w:tcW w:w="1888" w:type="dxa"/>
          </w:tcPr>
          <w:p w14:paraId="0A8C311E">
            <w:pPr>
              <w:rPr>
                <w:rFonts w:ascii="Arial"/>
                <w:highlight w:val="none"/>
              </w:rPr>
            </w:pPr>
          </w:p>
        </w:tc>
        <w:tc>
          <w:tcPr>
            <w:tcW w:w="1120" w:type="dxa"/>
          </w:tcPr>
          <w:p w14:paraId="2DDF96BF">
            <w:pPr>
              <w:rPr>
                <w:rFonts w:ascii="Arial"/>
                <w:highlight w:val="none"/>
              </w:rPr>
            </w:pPr>
          </w:p>
        </w:tc>
        <w:tc>
          <w:tcPr>
            <w:tcW w:w="1125" w:type="dxa"/>
          </w:tcPr>
          <w:p w14:paraId="2F985EB2">
            <w:pPr>
              <w:rPr>
                <w:rFonts w:ascii="Arial"/>
                <w:highlight w:val="none"/>
              </w:rPr>
            </w:pPr>
          </w:p>
        </w:tc>
      </w:tr>
      <w:tr w14:paraId="151D5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76847530">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1-</w:t>
            </w:r>
            <w:r>
              <w:rPr>
                <w:rFonts w:hint="eastAsia" w:ascii="宋体" w:hAnsi="宋体" w:eastAsia="宋体" w:cs="宋体"/>
                <w:spacing w:val="-4"/>
                <w:szCs w:val="21"/>
                <w:highlight w:val="none"/>
              </w:rPr>
              <w:t>5</w:t>
            </w:r>
          </w:p>
        </w:tc>
        <w:tc>
          <w:tcPr>
            <w:tcW w:w="4133" w:type="dxa"/>
            <w:gridSpan w:val="3"/>
          </w:tcPr>
          <w:p w14:paraId="0BD4CFA5">
            <w:pPr>
              <w:spacing w:before="207" w:line="219" w:lineRule="auto"/>
              <w:ind w:firstLine="630" w:firstLineChars="300"/>
              <w:rPr>
                <w:rFonts w:ascii="宋体" w:hAnsi="宋体" w:eastAsia="宋体" w:cs="宋体"/>
                <w:szCs w:val="21"/>
                <w:highlight w:val="none"/>
              </w:rPr>
            </w:pPr>
            <w:r>
              <w:rPr>
                <w:rFonts w:ascii="宋体" w:hAnsi="宋体" w:eastAsia="宋体" w:cs="宋体"/>
                <w:szCs w:val="21"/>
                <w:highlight w:val="none"/>
              </w:rPr>
              <w:t>总价合计</w:t>
            </w:r>
            <w:r>
              <w:rPr>
                <w:rFonts w:hint="eastAsia" w:ascii="宋体" w:hAnsi="宋体" w:eastAsia="宋体" w:cs="宋体"/>
                <w:szCs w:val="21"/>
                <w:highlight w:val="none"/>
              </w:rPr>
              <w:t>（不含税）</w:t>
            </w:r>
            <w:r>
              <w:rPr>
                <w:rFonts w:ascii="宋体" w:hAnsi="宋体" w:eastAsia="宋体" w:cs="宋体"/>
                <w:szCs w:val="21"/>
                <w:highlight w:val="none"/>
              </w:rPr>
              <w:t>￥    元</w:t>
            </w:r>
          </w:p>
        </w:tc>
      </w:tr>
    </w:tbl>
    <w:p w14:paraId="565DB10F">
      <w:pPr>
        <w:spacing w:before="69" w:line="219" w:lineRule="auto"/>
        <w:rPr>
          <w:rFonts w:ascii="宋体" w:hAnsi="宋体" w:eastAsia="宋体" w:cs="宋体"/>
          <w:spacing w:val="-3"/>
          <w:szCs w:val="21"/>
          <w:highlight w:val="none"/>
        </w:rPr>
      </w:pPr>
    </w:p>
    <w:p w14:paraId="40FB711F">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1D13EFB2">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49239DD0">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7F51B5F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9F06B39">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9D00B26">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76F41E96">
      <w:pPr>
        <w:spacing w:before="140" w:line="220" w:lineRule="auto"/>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30A8E2F1">
      <w:pPr>
        <w:spacing w:before="87" w:line="198" w:lineRule="auto"/>
        <w:ind w:left="411"/>
        <w:rPr>
          <w:rFonts w:ascii="宋体" w:hAnsi="宋体" w:eastAsia="宋体" w:cs="宋体"/>
          <w:spacing w:val="-2"/>
          <w:sz w:val="24"/>
          <w:szCs w:val="24"/>
          <w:highlight w:val="none"/>
        </w:rPr>
        <w:sectPr>
          <w:footerReference r:id="rId26" w:type="default"/>
          <w:pgSz w:w="16841" w:h="11907"/>
          <w:pgMar w:top="400" w:right="1500" w:bottom="1184" w:left="1480" w:header="0" w:footer="1022" w:gutter="0"/>
          <w:cols w:space="720" w:num="1"/>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p>
    <w:p w14:paraId="12C12CC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hint="eastAsia" w:ascii="Times New Roman" w:hAnsi="Times New Roman" w:eastAsia="宋体" w:cs="Times New Roman"/>
          <w:b/>
          <w:bCs/>
          <w:color w:val="000000"/>
          <w:sz w:val="24"/>
          <w:szCs w:val="24"/>
          <w:highlight w:val="none"/>
          <w:lang w:val="en-US" w:eastAsia="zh-CN"/>
        </w:rPr>
        <w:t>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18831A9E">
      <w:pPr>
        <w:spacing w:line="240" w:lineRule="exact"/>
        <w:jc w:val="center"/>
        <w:rPr>
          <w:rFonts w:ascii="宋体" w:hAnsi="Calibri" w:eastAsia="宋体" w:cs="Times New Roman"/>
          <w:b/>
          <w:bCs/>
          <w:sz w:val="36"/>
          <w:szCs w:val="20"/>
          <w:highlight w:val="none"/>
        </w:rPr>
      </w:pPr>
    </w:p>
    <w:p w14:paraId="5ED33E94">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b/>
          <w:bCs/>
          <w:color w:val="000000"/>
          <w:sz w:val="24"/>
          <w:szCs w:val="24"/>
          <w:highlight w:val="none"/>
          <w:u w:val="single"/>
        </w:rPr>
        <w:t>中国重汽集团济南动力有限公司电性能测试系统招标项目</w:t>
      </w:r>
    </w:p>
    <w:p w14:paraId="4ACA823C">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3906BDF9">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我代表（投标单位名称）对中标合同产品的服务作如下承诺：</w:t>
      </w:r>
    </w:p>
    <w:p w14:paraId="358CE78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07378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35A65B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57833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8FEA9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DFDA10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2A4F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46CFD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6FE759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14811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CF2F22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8B2A8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35FB22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68450E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7054E7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46B8FB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04FAD0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BE6FC64">
      <w:pPr>
        <w:spacing w:line="360" w:lineRule="auto"/>
        <w:ind w:firstLine="480" w:firstLineChars="200"/>
        <w:rPr>
          <w:rFonts w:ascii="宋体" w:hAnsi="宋体" w:eastAsia="宋体" w:cs="Times New Roman"/>
          <w:sz w:val="24"/>
          <w:szCs w:val="20"/>
          <w:highlight w:val="none"/>
          <w:u w:val="single"/>
        </w:rPr>
      </w:pPr>
    </w:p>
    <w:p w14:paraId="1F8DB97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24489B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605D23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299C05E">
      <w:pPr>
        <w:rPr>
          <w:rFonts w:ascii="宋体" w:hAnsi="Calibri" w:eastAsia="宋体" w:cs="宋体"/>
          <w:b/>
          <w:bCs/>
          <w:color w:val="000000"/>
          <w:sz w:val="28"/>
          <w:szCs w:val="20"/>
          <w:highlight w:val="none"/>
        </w:rPr>
      </w:pPr>
    </w:p>
    <w:p w14:paraId="17B1383C">
      <w:pPr>
        <w:rPr>
          <w:rFonts w:ascii="宋体" w:hAnsi="Calibri" w:cs="宋体"/>
          <w:color w:val="000000"/>
          <w:sz w:val="28"/>
          <w:szCs w:val="20"/>
          <w:highlight w:val="none"/>
        </w:rPr>
      </w:pPr>
    </w:p>
    <w:p w14:paraId="55C26ECD">
      <w:pPr>
        <w:rPr>
          <w:rFonts w:ascii="宋体" w:hAnsi="Calibri" w:eastAsia="宋体" w:cs="宋体"/>
          <w:b/>
          <w:bCs/>
          <w:color w:val="000000"/>
          <w:sz w:val="28"/>
          <w:szCs w:val="20"/>
          <w:highlight w:val="none"/>
        </w:rPr>
      </w:pPr>
    </w:p>
    <w:p w14:paraId="6DC71EDC">
      <w:pPr>
        <w:rPr>
          <w:rFonts w:ascii="宋体" w:hAnsi="Calibri" w:cs="宋体"/>
          <w:color w:val="000000"/>
          <w:sz w:val="28"/>
          <w:szCs w:val="20"/>
          <w:highlight w:val="none"/>
        </w:rPr>
      </w:pPr>
    </w:p>
    <w:p w14:paraId="72B85498">
      <w:pPr>
        <w:rPr>
          <w:rFonts w:ascii="宋体" w:hAnsi="Calibri" w:eastAsia="宋体" w:cs="宋体"/>
          <w:b/>
          <w:bCs/>
          <w:color w:val="000000"/>
          <w:sz w:val="28"/>
          <w:szCs w:val="20"/>
          <w:highlight w:val="none"/>
        </w:rPr>
      </w:pPr>
    </w:p>
    <w:p w14:paraId="1D4D386E">
      <w:pPr>
        <w:outlineLvl w:val="2"/>
        <w:rPr>
          <w:rFonts w:ascii="Times New Roman" w:hAnsi="Times New Roman" w:eastAsia="宋体" w:cs="Times New Roman"/>
          <w:b/>
          <w:bCs/>
          <w:color w:val="000000"/>
          <w:sz w:val="24"/>
          <w:szCs w:val="24"/>
          <w:highlight w:val="none"/>
        </w:rPr>
        <w:sectPr>
          <w:footerReference r:id="rId27" w:type="default"/>
          <w:pgSz w:w="11906" w:h="16839"/>
          <w:pgMar w:top="1431" w:right="1417" w:bottom="1179" w:left="1304" w:header="850" w:footer="992" w:gutter="0"/>
          <w:cols w:space="720" w:num="1"/>
        </w:sectPr>
      </w:pPr>
    </w:p>
    <w:p w14:paraId="1CE2CB88">
      <w:pPr>
        <w:outlineLvl w:val="2"/>
        <w:rPr>
          <w:rFonts w:ascii="Calibri" w:hAnsi="Calibri" w:eastAsia="宋体" w:cs="Times New Roman"/>
          <w:szCs w:val="20"/>
          <w:highlight w:val="none"/>
        </w:rPr>
      </w:pPr>
      <w:r>
        <w:rPr>
          <w:rFonts w:hint="eastAsia" w:ascii="Times New Roman" w:hAnsi="Times New Roman" w:eastAsia="宋体" w:cs="Times New Roman"/>
          <w:b/>
          <w:bCs/>
          <w:color w:val="000000"/>
          <w:sz w:val="24"/>
          <w:szCs w:val="24"/>
          <w:highlight w:val="none"/>
        </w:rPr>
        <w:t>附件</w:t>
      </w:r>
      <w:r>
        <w:rPr>
          <w:rFonts w:hint="eastAsia" w:ascii="Times New Roman" w:hAnsi="Times New Roman" w:eastAsia="宋体" w:cs="Times New Roman"/>
          <w:b/>
          <w:bCs/>
          <w:color w:val="000000"/>
          <w:sz w:val="24"/>
          <w:szCs w:val="24"/>
          <w:highlight w:val="none"/>
          <w:lang w:val="en-US" w:eastAsia="zh-CN"/>
        </w:rPr>
        <w:t>7</w:t>
      </w:r>
      <w:r>
        <w:rPr>
          <w:rFonts w:hint="eastAsia" w:ascii="Times New Roman" w:hAnsi="Times New Roman" w:eastAsia="宋体" w:cs="Times New Roman"/>
          <w:b/>
          <w:bCs/>
          <w:color w:val="000000"/>
          <w:sz w:val="24"/>
          <w:szCs w:val="24"/>
          <w:highlight w:val="none"/>
        </w:rPr>
        <w:t xml:space="preserve"> 投标文件封面及封口格式</w:t>
      </w:r>
    </w:p>
    <w:p w14:paraId="4E5E520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A32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E4EE5CB">
            <w:pPr>
              <w:jc w:val="center"/>
              <w:rPr>
                <w:rFonts w:ascii="Times New Roman" w:hAnsi="Times New Roman" w:eastAsia="宋体" w:cs="Times New Roman"/>
                <w:b/>
                <w:szCs w:val="20"/>
                <w:highlight w:val="none"/>
              </w:rPr>
            </w:pPr>
          </w:p>
          <w:p w14:paraId="68532F90">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4C71C22A">
            <w:pPr>
              <w:rPr>
                <w:rFonts w:ascii="Times New Roman" w:hAnsi="Times New Roman" w:eastAsia="等线" w:cs="Times New Roman"/>
                <w:b/>
                <w:sz w:val="30"/>
                <w:szCs w:val="30"/>
                <w:highlight w:val="none"/>
              </w:rPr>
            </w:pPr>
          </w:p>
          <w:p w14:paraId="6AA9C2E3">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ascii="Times New Roman" w:hAnsi="Times New Roman" w:eastAsia="宋体" w:cs="Times New Roman"/>
                <w:b/>
                <w:sz w:val="30"/>
                <w:szCs w:val="30"/>
                <w:highlight w:val="none"/>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33C6093C">
            <w:pPr>
              <w:jc w:val="center"/>
              <w:rPr>
                <w:rFonts w:ascii="Times New Roman" w:hAnsi="Times New Roman" w:eastAsia="宋体" w:cs="Times New Roman"/>
                <w:b/>
                <w:szCs w:val="20"/>
                <w:highlight w:val="none"/>
              </w:rPr>
            </w:pPr>
          </w:p>
          <w:p w14:paraId="0BE00613">
            <w:pPr>
              <w:jc w:val="center"/>
              <w:rPr>
                <w:rFonts w:ascii="Times New Roman" w:hAnsi="Times New Roman" w:eastAsia="宋体" w:cs="Times New Roman"/>
                <w:b/>
                <w:szCs w:val="20"/>
                <w:highlight w:val="none"/>
              </w:rPr>
            </w:pPr>
          </w:p>
          <w:p w14:paraId="2ADC899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Times New Roman"/>
                <w:b/>
                <w:bCs/>
                <w:color w:val="000000"/>
                <w:sz w:val="24"/>
                <w:szCs w:val="24"/>
                <w:highlight w:val="none"/>
                <w:u w:val="single"/>
              </w:rPr>
              <w:t>中国重汽集团济南动力有限公司桌面电性能测试系统招标项目</w:t>
            </w:r>
          </w:p>
          <w:p w14:paraId="09A7505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2E15BB4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6008882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0E2D3BD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361D7AA8">
            <w:pPr>
              <w:jc w:val="center"/>
              <w:rPr>
                <w:rFonts w:ascii="Times New Roman" w:hAnsi="Times New Roman" w:eastAsia="宋体" w:cs="Times New Roman"/>
                <w:b/>
                <w:szCs w:val="20"/>
                <w:highlight w:val="none"/>
              </w:rPr>
            </w:pPr>
          </w:p>
          <w:p w14:paraId="69F559CA">
            <w:pPr>
              <w:jc w:val="center"/>
              <w:rPr>
                <w:rFonts w:ascii="Times New Roman" w:hAnsi="Times New Roman" w:eastAsia="宋体" w:cs="Times New Roman"/>
                <w:b/>
                <w:szCs w:val="20"/>
                <w:highlight w:val="none"/>
              </w:rPr>
            </w:pPr>
          </w:p>
        </w:tc>
      </w:tr>
    </w:tbl>
    <w:p w14:paraId="07848155">
      <w:pPr>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3F2F49A">
      <w:pPr>
        <w:pStyle w:val="20"/>
        <w:rPr>
          <w:highlight w:val="none"/>
        </w:rPr>
      </w:pPr>
    </w:p>
    <w:p w14:paraId="66DE956B">
      <w:pPr>
        <w:rPr>
          <w:highlight w:val="none"/>
        </w:rPr>
      </w:pPr>
    </w:p>
    <w:p w14:paraId="4B8EDA5F">
      <w:pPr>
        <w:pStyle w:val="20"/>
        <w:rPr>
          <w:rFonts w:hAnsi="Calibri" w:eastAsia="宋体" w:cs="宋体"/>
          <w:b/>
          <w:bCs/>
          <w:color w:val="000000"/>
          <w:sz w:val="28"/>
          <w:szCs w:val="20"/>
          <w:highlight w:val="none"/>
        </w:rPr>
      </w:pPr>
    </w:p>
    <w:p w14:paraId="176BA0FF">
      <w:pPr>
        <w:pStyle w:val="2"/>
        <w:rPr>
          <w:highlight w:val="none"/>
        </w:rPr>
        <w:sectPr>
          <w:pgSz w:w="11906" w:h="16839"/>
          <w:pgMar w:top="1431" w:right="1417" w:bottom="1179" w:left="1304" w:header="850" w:footer="992" w:gutter="0"/>
          <w:cols w:space="720" w:num="1"/>
        </w:sectPr>
      </w:pPr>
    </w:p>
    <w:p w14:paraId="7FC69B08">
      <w:pPr>
        <w:rPr>
          <w:highlight w:val="none"/>
        </w:rPr>
      </w:pPr>
    </w:p>
    <w:p w14:paraId="70BBB49A">
      <w:pPr>
        <w:jc w:val="center"/>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hint="eastAsia" w:ascii="Times New Roman" w:hAnsi="Times New Roman" w:eastAsia="宋体" w:cs="Times New Roman"/>
          <w:b/>
          <w:bCs/>
          <w:color w:val="000000"/>
          <w:sz w:val="24"/>
          <w:szCs w:val="24"/>
          <w:highlight w:val="none"/>
          <w:lang w:val="en-US" w:eastAsia="zh-CN"/>
        </w:rPr>
        <w:t>8</w:t>
      </w:r>
      <w:r>
        <w:rPr>
          <w:rFonts w:hint="eastAsia" w:ascii="Times New Roman" w:hAnsi="Times New Roman" w:eastAsia="宋体" w:cs="Times New Roman"/>
          <w:b/>
          <w:bCs/>
          <w:color w:val="000000"/>
          <w:sz w:val="24"/>
          <w:szCs w:val="24"/>
          <w:highlight w:val="none"/>
        </w:rPr>
        <w:t xml:space="preserve">  技术标评审表（100分）</w:t>
      </w:r>
    </w:p>
    <w:tbl>
      <w:tblPr>
        <w:tblStyle w:val="39"/>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3100"/>
        <w:gridCol w:w="817"/>
        <w:gridCol w:w="7781"/>
      </w:tblGrid>
      <w:tr w14:paraId="3FDA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14:paraId="3CC64E92">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评价类型</w:t>
            </w:r>
          </w:p>
        </w:tc>
        <w:tc>
          <w:tcPr>
            <w:tcW w:w="750" w:type="dxa"/>
            <w:vAlign w:val="center"/>
          </w:tcPr>
          <w:p w14:paraId="4600340B">
            <w:pPr>
              <w:tabs>
                <w:tab w:val="left" w:pos="13965"/>
              </w:tabs>
              <w:spacing w:line="360" w:lineRule="auto"/>
              <w:ind w:right="-6"/>
              <w:jc w:val="center"/>
              <w:rPr>
                <w:rFonts w:ascii="宋体" w:hAnsi="宋体" w:eastAsia="宋体" w:cs="Times New Roman"/>
                <w:b/>
                <w:sz w:val="24"/>
                <w:szCs w:val="24"/>
                <w:highlight w:val="none"/>
              </w:rPr>
            </w:pPr>
            <w:r>
              <w:rPr>
                <w:rFonts w:hint="eastAsia" w:ascii="宋体" w:hAnsi="宋体" w:eastAsia="宋体" w:cs="Times New Roman"/>
                <w:b/>
                <w:sz w:val="24"/>
                <w:szCs w:val="24"/>
                <w:highlight w:val="none"/>
              </w:rPr>
              <w:t>评审内容</w:t>
            </w:r>
          </w:p>
        </w:tc>
        <w:tc>
          <w:tcPr>
            <w:tcW w:w="533" w:type="dxa"/>
            <w:vAlign w:val="center"/>
          </w:tcPr>
          <w:p w14:paraId="3541A066">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序号</w:t>
            </w:r>
          </w:p>
        </w:tc>
        <w:tc>
          <w:tcPr>
            <w:tcW w:w="3100" w:type="dxa"/>
            <w:vAlign w:val="center"/>
          </w:tcPr>
          <w:p w14:paraId="2D9FF3DC">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内</w:t>
            </w:r>
            <w:r>
              <w:rPr>
                <w:rFonts w:ascii="宋体" w:hAnsi="宋体" w:eastAsia="宋体" w:cs="Times New Roman"/>
                <w:b/>
                <w:sz w:val="24"/>
                <w:szCs w:val="24"/>
                <w:highlight w:val="none"/>
              </w:rPr>
              <w:t xml:space="preserve">   </w:t>
            </w:r>
            <w:r>
              <w:rPr>
                <w:rFonts w:hint="eastAsia" w:ascii="宋体" w:hAnsi="宋体" w:eastAsia="宋体" w:cs="Times New Roman"/>
                <w:b/>
                <w:sz w:val="24"/>
                <w:szCs w:val="24"/>
                <w:highlight w:val="none"/>
              </w:rPr>
              <w:t>容</w:t>
            </w:r>
          </w:p>
        </w:tc>
        <w:tc>
          <w:tcPr>
            <w:tcW w:w="817" w:type="dxa"/>
            <w:vAlign w:val="center"/>
          </w:tcPr>
          <w:p w14:paraId="3E7CDBDA">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标准分</w:t>
            </w:r>
          </w:p>
        </w:tc>
        <w:tc>
          <w:tcPr>
            <w:tcW w:w="7781" w:type="dxa"/>
            <w:vAlign w:val="center"/>
          </w:tcPr>
          <w:p w14:paraId="750D3241">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评分标准</w:t>
            </w:r>
          </w:p>
        </w:tc>
      </w:tr>
      <w:tr w14:paraId="23AE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Merge w:val="restart"/>
            <w:vAlign w:val="center"/>
          </w:tcPr>
          <w:p w14:paraId="622AD31C">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w:t>
            </w:r>
          </w:p>
          <w:p w14:paraId="53F2674A">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10</w:t>
            </w:r>
            <w:r>
              <w:rPr>
                <w:rFonts w:ascii="宋体" w:hAnsi="宋体" w:eastAsia="宋体" w:cs="Times New Roman"/>
                <w:sz w:val="24"/>
                <w:szCs w:val="24"/>
                <w:highlight w:val="none"/>
              </w:rPr>
              <w:t>0</w:t>
            </w:r>
            <w:r>
              <w:rPr>
                <w:rFonts w:hint="eastAsia" w:ascii="宋体" w:hAnsi="宋体" w:eastAsia="宋体" w:cs="Times New Roman"/>
                <w:sz w:val="24"/>
                <w:szCs w:val="24"/>
                <w:highlight w:val="none"/>
              </w:rPr>
              <w:t>分</w:t>
            </w:r>
          </w:p>
        </w:tc>
        <w:tc>
          <w:tcPr>
            <w:tcW w:w="750" w:type="dxa"/>
            <w:vAlign w:val="center"/>
          </w:tcPr>
          <w:p w14:paraId="13518B0B">
            <w:pPr>
              <w:tabs>
                <w:tab w:val="left" w:pos="13965"/>
              </w:tabs>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业绩</w:t>
            </w:r>
          </w:p>
        </w:tc>
        <w:tc>
          <w:tcPr>
            <w:tcW w:w="533" w:type="dxa"/>
            <w:vAlign w:val="center"/>
          </w:tcPr>
          <w:p w14:paraId="06E917F6">
            <w:pPr>
              <w:tabs>
                <w:tab w:val="left" w:pos="13965"/>
              </w:tabs>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1</w:t>
            </w:r>
          </w:p>
        </w:tc>
        <w:tc>
          <w:tcPr>
            <w:tcW w:w="3100" w:type="dxa"/>
            <w:vAlign w:val="center"/>
          </w:tcPr>
          <w:p w14:paraId="0AD611BB">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设备制造商同类型项目业绩</w:t>
            </w:r>
          </w:p>
        </w:tc>
        <w:tc>
          <w:tcPr>
            <w:tcW w:w="817" w:type="dxa"/>
            <w:vAlign w:val="center"/>
          </w:tcPr>
          <w:p w14:paraId="70669456">
            <w:pPr>
              <w:tabs>
                <w:tab w:val="left" w:pos="13965"/>
              </w:tabs>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6</w:t>
            </w:r>
          </w:p>
        </w:tc>
        <w:tc>
          <w:tcPr>
            <w:tcW w:w="7781" w:type="dxa"/>
            <w:vAlign w:val="center"/>
          </w:tcPr>
          <w:p w14:paraId="70E37B81">
            <w:pPr>
              <w:spacing w:line="240" w:lineRule="auto"/>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由评标委员会成员独立进行客观、公正的评价，按照优、良、一般进行赋分，优得6分，良得4分，一般得2分（时间以签订日期为准）。</w:t>
            </w:r>
          </w:p>
          <w:p w14:paraId="3BE23F3E">
            <w:pPr>
              <w:spacing w:line="240" w:lineRule="auto"/>
              <w:rPr>
                <w:highlight w:val="none"/>
              </w:rPr>
            </w:pPr>
            <w:r>
              <w:rPr>
                <w:rFonts w:hint="eastAsia" w:ascii="宋体" w:hAnsi="宋体" w:eastAsia="宋体" w:cs="Times New Roman"/>
                <w:bCs/>
                <w:sz w:val="24"/>
                <w:szCs w:val="24"/>
                <w:highlight w:val="none"/>
              </w:rPr>
              <w:t>投标人在2019年1月1日以来在中国与本标同类规格产品的业绩，以合同复印件加盖公章为准（须有客户联系方式及联系人以供招标人核实确认）。</w:t>
            </w:r>
          </w:p>
        </w:tc>
      </w:tr>
      <w:tr w14:paraId="3AD7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3698C6D8">
            <w:pPr>
              <w:spacing w:line="240" w:lineRule="auto"/>
              <w:jc w:val="center"/>
              <w:rPr>
                <w:rFonts w:ascii="宋体" w:hAnsi="Times New Roman" w:eastAsia="宋体" w:cs="Times New Roman"/>
                <w:sz w:val="24"/>
                <w:szCs w:val="24"/>
                <w:highlight w:val="none"/>
              </w:rPr>
            </w:pPr>
          </w:p>
        </w:tc>
        <w:tc>
          <w:tcPr>
            <w:tcW w:w="750" w:type="dxa"/>
            <w:vMerge w:val="restart"/>
            <w:vAlign w:val="center"/>
          </w:tcPr>
          <w:p w14:paraId="7F56E273">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产品技术</w:t>
            </w:r>
          </w:p>
        </w:tc>
        <w:tc>
          <w:tcPr>
            <w:tcW w:w="533" w:type="dxa"/>
            <w:vAlign w:val="center"/>
          </w:tcPr>
          <w:p w14:paraId="333AB3D0">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2</w:t>
            </w:r>
          </w:p>
        </w:tc>
        <w:tc>
          <w:tcPr>
            <w:tcW w:w="3100" w:type="dxa"/>
            <w:vAlign w:val="center"/>
          </w:tcPr>
          <w:p w14:paraId="17354151">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设备制造商装备制造能力、生产设备、加工工艺、完善程度</w:t>
            </w:r>
          </w:p>
        </w:tc>
        <w:tc>
          <w:tcPr>
            <w:tcW w:w="817" w:type="dxa"/>
            <w:vAlign w:val="center"/>
          </w:tcPr>
          <w:p w14:paraId="5861649E">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6</w:t>
            </w:r>
          </w:p>
        </w:tc>
        <w:tc>
          <w:tcPr>
            <w:tcW w:w="7781" w:type="dxa"/>
            <w:vAlign w:val="center"/>
          </w:tcPr>
          <w:p w14:paraId="1CE5CC9F">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w:t>
            </w:r>
            <w:r>
              <w:rPr>
                <w:rFonts w:hint="eastAsia" w:ascii="宋体" w:hAnsi="Times New Roman" w:eastAsia="宋体" w:cs="Times New Roman"/>
                <w:bCs/>
                <w:sz w:val="24"/>
                <w:szCs w:val="24"/>
                <w:highlight w:val="none"/>
              </w:rPr>
              <w:t>2</w:t>
            </w:r>
            <w:r>
              <w:rPr>
                <w:rFonts w:hint="eastAsia" w:ascii="宋体" w:hAnsi="宋体" w:eastAsia="宋体" w:cs="Times New Roman"/>
                <w:bCs/>
                <w:sz w:val="24"/>
                <w:szCs w:val="24"/>
                <w:highlight w:val="none"/>
              </w:rPr>
              <w:t>分。</w:t>
            </w:r>
          </w:p>
        </w:tc>
      </w:tr>
      <w:tr w14:paraId="3E2F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307C3590">
            <w:pPr>
              <w:spacing w:line="240" w:lineRule="auto"/>
              <w:jc w:val="center"/>
              <w:rPr>
                <w:rFonts w:ascii="宋体" w:hAnsi="Times New Roman" w:eastAsia="宋体" w:cs="Times New Roman"/>
                <w:sz w:val="24"/>
                <w:szCs w:val="24"/>
                <w:highlight w:val="none"/>
              </w:rPr>
            </w:pPr>
          </w:p>
        </w:tc>
        <w:tc>
          <w:tcPr>
            <w:tcW w:w="750" w:type="dxa"/>
            <w:vMerge w:val="continue"/>
            <w:vAlign w:val="center"/>
          </w:tcPr>
          <w:p w14:paraId="7D7916C2">
            <w:pPr>
              <w:spacing w:line="240" w:lineRule="auto"/>
              <w:jc w:val="center"/>
              <w:rPr>
                <w:rFonts w:ascii="宋体" w:hAnsi="宋体" w:eastAsia="宋体" w:cs="Times New Roman"/>
                <w:sz w:val="24"/>
                <w:szCs w:val="24"/>
                <w:highlight w:val="none"/>
              </w:rPr>
            </w:pPr>
          </w:p>
        </w:tc>
        <w:tc>
          <w:tcPr>
            <w:tcW w:w="533" w:type="dxa"/>
            <w:vAlign w:val="center"/>
          </w:tcPr>
          <w:p w14:paraId="20C956F5">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3</w:t>
            </w:r>
          </w:p>
        </w:tc>
        <w:tc>
          <w:tcPr>
            <w:tcW w:w="3100" w:type="dxa"/>
            <w:vAlign w:val="center"/>
          </w:tcPr>
          <w:p w14:paraId="09AD962E">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产品方案技术先进、各系统完善、性能可靠，设备主要核心部件，具备自身技术优势</w:t>
            </w:r>
          </w:p>
        </w:tc>
        <w:tc>
          <w:tcPr>
            <w:tcW w:w="817" w:type="dxa"/>
            <w:vAlign w:val="center"/>
          </w:tcPr>
          <w:p w14:paraId="4038AAA6">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50</w:t>
            </w:r>
          </w:p>
        </w:tc>
        <w:tc>
          <w:tcPr>
            <w:tcW w:w="7781" w:type="dxa"/>
            <w:vAlign w:val="center"/>
          </w:tcPr>
          <w:p w14:paraId="435E5012">
            <w:pPr>
              <w:spacing w:line="24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以下各项由评标委员会成员独立进行客观、公正的评价打分。</w:t>
            </w:r>
            <w:r>
              <w:rPr>
                <w:rFonts w:ascii="宋体" w:hAnsi="宋体" w:eastAsia="宋体" w:cs="Times New Roman"/>
                <w:sz w:val="24"/>
                <w:szCs w:val="24"/>
                <w:highlight w:val="none"/>
              </w:rPr>
              <w:t xml:space="preserve"> </w:t>
            </w:r>
          </w:p>
          <w:p w14:paraId="264F1A08">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①定制系统方案已到达招标要求，设备主要核心部件，具备自身技术优势，打分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rPr>
              <w:t>16分。</w:t>
            </w:r>
          </w:p>
          <w:p w14:paraId="2F73844A">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②系统配置齐全，其精度、参数、技术水平、可靠性等优势明显，打分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rPr>
              <w:t>16分</w:t>
            </w:r>
            <w:r>
              <w:rPr>
                <w:rFonts w:hint="eastAsia" w:ascii="宋体" w:hAnsi="宋体" w:eastAsia="宋体" w:cs="Times New Roman"/>
                <w:sz w:val="24"/>
                <w:szCs w:val="24"/>
                <w:highlight w:val="none"/>
              </w:rPr>
              <w:t>。</w:t>
            </w:r>
          </w:p>
          <w:p w14:paraId="7FBE4CD8">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③操作灵活方便，系统开放程度高，</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rPr>
              <w:t>10分</w:t>
            </w:r>
            <w:r>
              <w:rPr>
                <w:rFonts w:hint="eastAsia" w:ascii="宋体" w:hAnsi="宋体" w:eastAsia="宋体" w:cs="Times New Roman"/>
                <w:sz w:val="24"/>
                <w:szCs w:val="24"/>
                <w:highlight w:val="none"/>
              </w:rPr>
              <w:t>。</w:t>
            </w:r>
          </w:p>
          <w:p w14:paraId="72AB028B">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④综合评价，</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rPr>
              <w:t>8分</w:t>
            </w:r>
            <w:r>
              <w:rPr>
                <w:rFonts w:hint="eastAsia" w:ascii="宋体" w:hAnsi="宋体" w:eastAsia="宋体" w:cs="Times New Roman"/>
                <w:sz w:val="24"/>
                <w:szCs w:val="24"/>
                <w:highlight w:val="none"/>
              </w:rPr>
              <w:t>。</w:t>
            </w:r>
          </w:p>
        </w:tc>
      </w:tr>
      <w:tr w14:paraId="3946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1A8561EC">
            <w:pPr>
              <w:spacing w:line="240" w:lineRule="auto"/>
              <w:jc w:val="center"/>
              <w:rPr>
                <w:rFonts w:ascii="宋体" w:hAnsi="Times New Roman" w:eastAsia="宋体" w:cs="Times New Roman"/>
                <w:sz w:val="24"/>
                <w:szCs w:val="24"/>
                <w:highlight w:val="none"/>
              </w:rPr>
            </w:pPr>
          </w:p>
        </w:tc>
        <w:tc>
          <w:tcPr>
            <w:tcW w:w="750" w:type="dxa"/>
            <w:vAlign w:val="center"/>
          </w:tcPr>
          <w:p w14:paraId="2680E2E0">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答疑</w:t>
            </w:r>
          </w:p>
        </w:tc>
        <w:tc>
          <w:tcPr>
            <w:tcW w:w="533" w:type="dxa"/>
            <w:vAlign w:val="center"/>
          </w:tcPr>
          <w:p w14:paraId="29274049">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4</w:t>
            </w:r>
          </w:p>
        </w:tc>
        <w:tc>
          <w:tcPr>
            <w:tcW w:w="3100" w:type="dxa"/>
            <w:vAlign w:val="center"/>
          </w:tcPr>
          <w:p w14:paraId="69210D16">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现场答疑</w:t>
            </w:r>
          </w:p>
        </w:tc>
        <w:tc>
          <w:tcPr>
            <w:tcW w:w="817" w:type="dxa"/>
            <w:vAlign w:val="center"/>
          </w:tcPr>
          <w:p w14:paraId="6B01DFB7">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8</w:t>
            </w:r>
          </w:p>
        </w:tc>
        <w:tc>
          <w:tcPr>
            <w:tcW w:w="7781" w:type="dxa"/>
            <w:vAlign w:val="center"/>
          </w:tcPr>
          <w:p w14:paraId="46D402E7">
            <w:pPr>
              <w:spacing w:line="240" w:lineRule="auto"/>
              <w:rPr>
                <w:rFonts w:ascii="宋体" w:hAnsi="Times New Roman" w:eastAsia="宋体" w:cs="Times New Roman"/>
                <w:bCs/>
                <w:sz w:val="24"/>
                <w:szCs w:val="24"/>
                <w:highlight w:val="none"/>
              </w:rPr>
            </w:pPr>
            <w:r>
              <w:rPr>
                <w:rFonts w:hint="eastAsia" w:ascii="宋体" w:hAnsi="宋体" w:eastAsia="宋体" w:cs="Times New Roman"/>
                <w:sz w:val="24"/>
                <w:szCs w:val="24"/>
                <w:highlight w:val="none"/>
              </w:rPr>
              <w:t>投标人代表对方案、技术优势的讲解，以及就该项目难点回答评标专家现场提问，打分0-8分。</w:t>
            </w:r>
          </w:p>
        </w:tc>
      </w:tr>
      <w:tr w14:paraId="04E4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14:paraId="556EAE1F">
            <w:pPr>
              <w:spacing w:line="240" w:lineRule="auto"/>
              <w:jc w:val="center"/>
              <w:rPr>
                <w:rFonts w:ascii="宋体" w:hAnsi="Times New Roman" w:eastAsia="宋体" w:cs="Times New Roman"/>
                <w:sz w:val="24"/>
                <w:szCs w:val="24"/>
                <w:highlight w:val="none"/>
              </w:rPr>
            </w:pPr>
          </w:p>
        </w:tc>
        <w:tc>
          <w:tcPr>
            <w:tcW w:w="750" w:type="dxa"/>
            <w:vAlign w:val="center"/>
          </w:tcPr>
          <w:p w14:paraId="786E576D">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技术偏离</w:t>
            </w:r>
          </w:p>
        </w:tc>
        <w:tc>
          <w:tcPr>
            <w:tcW w:w="533" w:type="dxa"/>
            <w:vAlign w:val="center"/>
          </w:tcPr>
          <w:p w14:paraId="7E6558C2">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5</w:t>
            </w:r>
          </w:p>
        </w:tc>
        <w:tc>
          <w:tcPr>
            <w:tcW w:w="3100" w:type="dxa"/>
            <w:vAlign w:val="center"/>
          </w:tcPr>
          <w:p w14:paraId="6ECABF97">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技术偏离</w:t>
            </w:r>
          </w:p>
        </w:tc>
        <w:tc>
          <w:tcPr>
            <w:tcW w:w="817" w:type="dxa"/>
            <w:vAlign w:val="center"/>
          </w:tcPr>
          <w:p w14:paraId="52EEDF97">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12</w:t>
            </w:r>
          </w:p>
        </w:tc>
        <w:tc>
          <w:tcPr>
            <w:tcW w:w="7781" w:type="dxa"/>
            <w:vAlign w:val="center"/>
          </w:tcPr>
          <w:p w14:paraId="0AE3C040">
            <w:pPr>
              <w:spacing w:line="240" w:lineRule="auto"/>
              <w:jc w:val="lef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根据各投标人的核心产品的配置参数、技术偏离情况，在满足我司技术基本要求的前提下偏离，无偏离得满分12分，较大偏离每一项扣4分，一般偏离每一项扣2分，最低</w:t>
            </w:r>
            <w:r>
              <w:rPr>
                <w:rFonts w:ascii="宋体" w:hAnsi="Times New Roman" w:eastAsia="宋体" w:cs="Times New Roman"/>
                <w:bCs/>
                <w:sz w:val="24"/>
                <w:szCs w:val="24"/>
                <w:highlight w:val="none"/>
              </w:rPr>
              <w:t>0</w:t>
            </w:r>
            <w:r>
              <w:rPr>
                <w:rFonts w:hint="eastAsia" w:ascii="宋体" w:hAnsi="宋体" w:eastAsia="宋体" w:cs="Times New Roman"/>
                <w:bCs/>
                <w:sz w:val="24"/>
                <w:szCs w:val="24"/>
                <w:highlight w:val="none"/>
              </w:rPr>
              <w:t>分。</w:t>
            </w:r>
          </w:p>
        </w:tc>
      </w:tr>
      <w:tr w14:paraId="5E5D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3F8D18C5">
            <w:pPr>
              <w:spacing w:line="240" w:lineRule="auto"/>
              <w:jc w:val="center"/>
              <w:rPr>
                <w:rFonts w:ascii="宋体" w:hAnsi="Times New Roman" w:eastAsia="宋体" w:cs="Times New Roman"/>
                <w:sz w:val="24"/>
                <w:szCs w:val="24"/>
                <w:highlight w:val="none"/>
              </w:rPr>
            </w:pPr>
          </w:p>
        </w:tc>
        <w:tc>
          <w:tcPr>
            <w:tcW w:w="750" w:type="dxa"/>
            <w:vMerge w:val="restart"/>
            <w:vAlign w:val="center"/>
          </w:tcPr>
          <w:p w14:paraId="67856F0B">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售后服务</w:t>
            </w:r>
          </w:p>
        </w:tc>
        <w:tc>
          <w:tcPr>
            <w:tcW w:w="533" w:type="dxa"/>
            <w:vAlign w:val="center"/>
          </w:tcPr>
          <w:p w14:paraId="5163A204">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6</w:t>
            </w:r>
          </w:p>
        </w:tc>
        <w:tc>
          <w:tcPr>
            <w:tcW w:w="3100" w:type="dxa"/>
            <w:vAlign w:val="center"/>
          </w:tcPr>
          <w:p w14:paraId="684AAFA9">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技术培训方案：对采购方人员的技术培训方案安排科学、合理、可行</w:t>
            </w:r>
          </w:p>
        </w:tc>
        <w:tc>
          <w:tcPr>
            <w:tcW w:w="817" w:type="dxa"/>
            <w:vAlign w:val="center"/>
          </w:tcPr>
          <w:p w14:paraId="517C2EDC">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6</w:t>
            </w:r>
          </w:p>
        </w:tc>
        <w:tc>
          <w:tcPr>
            <w:tcW w:w="7781" w:type="dxa"/>
            <w:vAlign w:val="center"/>
          </w:tcPr>
          <w:p w14:paraId="1C2C196F">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由评标委员会成员独立进行客观、公正的评价，按照优、良、一般进行赋分，优得6分，良得4分，一般得2分。</w:t>
            </w:r>
          </w:p>
        </w:tc>
      </w:tr>
      <w:tr w14:paraId="5C30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1473C1D5">
            <w:pPr>
              <w:spacing w:line="240" w:lineRule="auto"/>
              <w:jc w:val="center"/>
              <w:rPr>
                <w:rFonts w:ascii="宋体" w:hAnsi="Times New Roman" w:eastAsia="宋体" w:cs="Times New Roman"/>
                <w:sz w:val="24"/>
                <w:szCs w:val="24"/>
                <w:highlight w:val="none"/>
              </w:rPr>
            </w:pPr>
          </w:p>
        </w:tc>
        <w:tc>
          <w:tcPr>
            <w:tcW w:w="750" w:type="dxa"/>
            <w:vMerge w:val="continue"/>
            <w:vAlign w:val="center"/>
          </w:tcPr>
          <w:p w14:paraId="7CAB346F">
            <w:pPr>
              <w:spacing w:line="240" w:lineRule="auto"/>
              <w:jc w:val="center"/>
              <w:rPr>
                <w:rFonts w:ascii="宋体" w:hAnsi="宋体" w:eastAsia="宋体" w:cs="Times New Roman"/>
                <w:sz w:val="24"/>
                <w:szCs w:val="24"/>
                <w:highlight w:val="none"/>
              </w:rPr>
            </w:pPr>
          </w:p>
        </w:tc>
        <w:tc>
          <w:tcPr>
            <w:tcW w:w="533" w:type="dxa"/>
            <w:vAlign w:val="center"/>
          </w:tcPr>
          <w:p w14:paraId="100DB4B9">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7</w:t>
            </w:r>
          </w:p>
        </w:tc>
        <w:tc>
          <w:tcPr>
            <w:tcW w:w="3100" w:type="dxa"/>
            <w:vAlign w:val="center"/>
          </w:tcPr>
          <w:p w14:paraId="00015D92">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投标人在中国有常驻的专业技术力量的维保机构并具有实施本项目维保的专业技术人员：</w:t>
            </w:r>
          </w:p>
        </w:tc>
        <w:tc>
          <w:tcPr>
            <w:tcW w:w="817" w:type="dxa"/>
            <w:vAlign w:val="center"/>
          </w:tcPr>
          <w:p w14:paraId="7366C87B">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6</w:t>
            </w:r>
          </w:p>
        </w:tc>
        <w:tc>
          <w:tcPr>
            <w:tcW w:w="7781" w:type="dxa"/>
            <w:vAlign w:val="center"/>
          </w:tcPr>
          <w:p w14:paraId="5ADC095A">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由评标委员会成员独立进行客观、公正的评价，按照优、良、一般进行赋分，优得6分，良得4分，一般得2分。</w:t>
            </w:r>
          </w:p>
        </w:tc>
      </w:tr>
      <w:tr w14:paraId="2B49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71D94F00">
            <w:pPr>
              <w:spacing w:line="240" w:lineRule="auto"/>
              <w:jc w:val="center"/>
              <w:rPr>
                <w:rFonts w:ascii="宋体" w:hAnsi="Times New Roman" w:eastAsia="宋体" w:cs="Times New Roman"/>
                <w:sz w:val="24"/>
                <w:szCs w:val="24"/>
                <w:highlight w:val="none"/>
              </w:rPr>
            </w:pPr>
          </w:p>
        </w:tc>
        <w:tc>
          <w:tcPr>
            <w:tcW w:w="750" w:type="dxa"/>
            <w:vMerge w:val="continue"/>
            <w:vAlign w:val="center"/>
          </w:tcPr>
          <w:p w14:paraId="76E908A0">
            <w:pPr>
              <w:spacing w:line="240" w:lineRule="auto"/>
              <w:jc w:val="center"/>
              <w:rPr>
                <w:rFonts w:ascii="宋体" w:hAnsi="宋体" w:eastAsia="宋体" w:cs="Times New Roman"/>
                <w:sz w:val="24"/>
                <w:szCs w:val="24"/>
                <w:highlight w:val="none"/>
              </w:rPr>
            </w:pPr>
          </w:p>
        </w:tc>
        <w:tc>
          <w:tcPr>
            <w:tcW w:w="533" w:type="dxa"/>
            <w:vAlign w:val="center"/>
          </w:tcPr>
          <w:p w14:paraId="6027479B">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8</w:t>
            </w:r>
          </w:p>
        </w:tc>
        <w:tc>
          <w:tcPr>
            <w:tcW w:w="3100" w:type="dxa"/>
            <w:vAlign w:val="center"/>
          </w:tcPr>
          <w:p w14:paraId="7C805331">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售后服务及时周到，有相应的服务承诺和具体的保证措施</w:t>
            </w:r>
          </w:p>
        </w:tc>
        <w:tc>
          <w:tcPr>
            <w:tcW w:w="817" w:type="dxa"/>
            <w:vAlign w:val="center"/>
          </w:tcPr>
          <w:p w14:paraId="3A134F17">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6</w:t>
            </w:r>
          </w:p>
        </w:tc>
        <w:tc>
          <w:tcPr>
            <w:tcW w:w="7781" w:type="dxa"/>
            <w:vAlign w:val="center"/>
          </w:tcPr>
          <w:p w14:paraId="61A95451">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由评标委员会成员独立进行客观、公正的评价，按照优、良、一般进行赋分，优得6分，良得4分，一般得2分。</w:t>
            </w:r>
          </w:p>
        </w:tc>
      </w:tr>
    </w:tbl>
    <w:p w14:paraId="0915556A">
      <w:pPr>
        <w:pStyle w:val="20"/>
        <w:rPr>
          <w:rFonts w:hAnsi="宋体" w:eastAsia="宋体" w:cs="Times New Roman"/>
          <w:b/>
          <w:color w:val="000000"/>
          <w:sz w:val="24"/>
          <w:szCs w:val="24"/>
          <w:highlight w:val="none"/>
        </w:rPr>
      </w:pPr>
    </w:p>
    <w:p w14:paraId="1F75CDD1">
      <w:pPr>
        <w:rPr>
          <w:rFonts w:ascii="宋体" w:hAnsi="宋体"/>
          <w:szCs w:val="24"/>
          <w:highlight w:val="none"/>
        </w:rPr>
      </w:pPr>
    </w:p>
    <w:p w14:paraId="4AD17CD7">
      <w:pPr>
        <w:rPr>
          <w:rFonts w:ascii="宋体" w:hAnsi="宋体" w:eastAsia="宋体" w:cs="Times New Roman"/>
          <w:b/>
          <w:bCs/>
          <w:sz w:val="24"/>
          <w:szCs w:val="24"/>
          <w:highlight w:val="none"/>
        </w:rPr>
      </w:pPr>
    </w:p>
    <w:p w14:paraId="5A374AD1">
      <w:pPr>
        <w:pStyle w:val="2"/>
        <w:rPr>
          <w:highlight w:val="none"/>
        </w:rPr>
        <w:sectPr>
          <w:headerReference r:id="rId29" w:type="first"/>
          <w:footerReference r:id="rId31" w:type="first"/>
          <w:headerReference r:id="rId28" w:type="default"/>
          <w:footerReference r:id="rId30" w:type="default"/>
          <w:pgSz w:w="16838" w:h="11906" w:orient="landscape"/>
          <w:pgMar w:top="1418" w:right="1588" w:bottom="1418" w:left="1134" w:header="851" w:footer="992" w:gutter="0"/>
          <w:cols w:space="720" w:num="1"/>
          <w:titlePg/>
          <w:docGrid w:type="lines" w:linePitch="312" w:charSpace="0"/>
        </w:sectPr>
      </w:pPr>
    </w:p>
    <w:p w14:paraId="2FDD228E">
      <w:pPr>
        <w:pStyle w:val="20"/>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附件</w:t>
      </w:r>
      <w:r>
        <w:rPr>
          <w:rFonts w:hint="eastAsia" w:hAnsi="宋体" w:eastAsia="宋体" w:cs="宋体"/>
          <w:b/>
          <w:bCs/>
          <w:color w:val="000000"/>
          <w:sz w:val="24"/>
          <w:szCs w:val="24"/>
          <w:highlight w:val="none"/>
          <w:lang w:val="en-US" w:eastAsia="zh-CN"/>
        </w:rPr>
        <w:t>9</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5A019599">
      <w:pPr>
        <w:adjustRightInd w:val="0"/>
        <w:snapToGrid w:val="0"/>
        <w:jc w:val="left"/>
        <w:rPr>
          <w:rFonts w:ascii="宋体" w:hAnsi="宋体" w:eastAsia="宋体" w:cs="宋体"/>
          <w:sz w:val="24"/>
          <w:szCs w:val="24"/>
          <w:highlight w:val="none"/>
        </w:rPr>
      </w:pPr>
    </w:p>
    <w:p w14:paraId="1A5DAD16">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53694FD1">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32F05A1C">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37B9CEC6">
      <w:pPr>
        <w:snapToGrid w:val="0"/>
        <w:spacing w:line="312" w:lineRule="auto"/>
        <w:rPr>
          <w:highlight w:val="none"/>
        </w:rPr>
      </w:pPr>
      <w:r>
        <w:rPr>
          <w:highlight w:val="none"/>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5450F3FA">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553240E3">
      <w:pPr>
        <w:snapToGrid w:val="0"/>
        <w:spacing w:line="312" w:lineRule="auto"/>
        <w:rPr>
          <w:highlight w:val="none"/>
        </w:rPr>
      </w:pPr>
      <w:r>
        <w:rPr>
          <w:highlight w:val="none"/>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3573D980">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7E4AF139">
      <w:pPr>
        <w:snapToGrid w:val="0"/>
        <w:spacing w:line="312" w:lineRule="auto"/>
        <w:rPr>
          <w:highlight w:val="none"/>
        </w:rPr>
      </w:pPr>
      <w:r>
        <w:rPr>
          <w:highlight w:val="none"/>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3207F313">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37417FCF">
      <w:pPr>
        <w:snapToGrid w:val="0"/>
        <w:spacing w:line="312" w:lineRule="auto"/>
        <w:rPr>
          <w:highlight w:val="none"/>
        </w:rPr>
      </w:pPr>
      <w:r>
        <w:rPr>
          <w:highlight w:val="none"/>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1B190E07">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5FB5386D">
      <w:pPr>
        <w:rPr>
          <w:rFonts w:ascii="宋体" w:hAnsi="宋体" w:eastAsia="宋体" w:cs="宋体"/>
          <w:color w:val="000000"/>
          <w:highlight w:val="none"/>
        </w:rPr>
      </w:pPr>
    </w:p>
    <w:p w14:paraId="0E30D442">
      <w:pPr>
        <w:rPr>
          <w:highlight w:val="none"/>
        </w:rPr>
      </w:pPr>
      <w:r>
        <w:rPr>
          <w:highlight w:val="none"/>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43633446">
      <w:pPr>
        <w:pStyle w:val="20"/>
        <w:rPr>
          <w:highlight w:val="none"/>
        </w:rPr>
        <w:sectPr>
          <w:pgSz w:w="11906" w:h="16838"/>
          <w:pgMar w:top="1588" w:right="1418" w:bottom="1134" w:left="1418" w:header="851" w:footer="992" w:gutter="0"/>
          <w:cols w:space="720" w:num="1"/>
          <w:titlePg/>
          <w:docGrid w:type="lines" w:linePitch="312" w:charSpace="0"/>
        </w:sectPr>
      </w:pPr>
      <w:r>
        <w:rPr>
          <w:highlight w:val="none"/>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32ED7033">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7"/>
          <w:rFonts w:hint="eastAsia" w:ascii="宋体" w:hAnsi="宋体" w:eastAsia="宋体" w:cs="宋体"/>
          <w:sz w:val="24"/>
          <w:szCs w:val="24"/>
          <w:highlight w:val="none"/>
        </w:rPr>
        <w:t>http</w:t>
      </w:r>
      <w:r>
        <w:rPr>
          <w:rStyle w:val="47"/>
          <w:rFonts w:hint="eastAsia" w:ascii="宋体" w:hAnsi="宋体" w:eastAsia="宋体" w:cs="宋体"/>
          <w:sz w:val="24"/>
          <w:szCs w:val="24"/>
          <w:highlight w:val="none"/>
          <w:lang w:val="en-US" w:eastAsia="zh-CN"/>
        </w:rPr>
        <w:t>s</w:t>
      </w:r>
      <w:r>
        <w:rPr>
          <w:rStyle w:val="47"/>
          <w:rFonts w:hint="eastAsia" w:ascii="宋体" w:hAnsi="宋体" w:eastAsia="宋体" w:cs="宋体"/>
          <w:sz w:val="24"/>
          <w:szCs w:val="24"/>
          <w:highlight w:val="none"/>
        </w:rPr>
        <w:t>://ecaitong.sinotruk.com:8012/</w:t>
      </w:r>
      <w:r>
        <w:rPr>
          <w:rStyle w:val="47"/>
          <w:rFonts w:hint="eastAsia" w:ascii="宋体" w:hAnsi="宋体" w:eastAsia="宋体" w:cs="宋体"/>
          <w:sz w:val="24"/>
          <w:szCs w:val="24"/>
          <w:highlight w:val="none"/>
        </w:rPr>
        <w:fldChar w:fldCharType="end"/>
      </w:r>
    </w:p>
    <w:p w14:paraId="3C7D8550">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p>
    <w:p w14:paraId="4BD8A694">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初始密码：@2025</w:t>
      </w:r>
    </w:p>
    <w:p w14:paraId="7649B118">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41C606E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7079931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19D33FB3">
      <w:pPr>
        <w:rPr>
          <w:highlight w:val="none"/>
        </w:rPr>
      </w:pPr>
      <w:r>
        <w:rPr>
          <w:highlight w:val="none"/>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3"/>
                    <a:stretch>
                      <a:fillRect/>
                    </a:stretch>
                  </pic:blipFill>
                  <pic:spPr>
                    <a:xfrm>
                      <a:off x="0" y="0"/>
                      <a:ext cx="5760085" cy="2269864"/>
                    </a:xfrm>
                    <a:prstGeom prst="rect">
                      <a:avLst/>
                    </a:prstGeom>
                  </pic:spPr>
                </pic:pic>
              </a:graphicData>
            </a:graphic>
          </wp:inline>
        </w:drawing>
      </w:r>
    </w:p>
    <w:p w14:paraId="2A2AFD6C">
      <w:pPr>
        <w:rPr>
          <w:highlight w:val="none"/>
        </w:rPr>
      </w:pPr>
    </w:p>
    <w:p w14:paraId="5DE2C4C1">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B88AD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59F03A0">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4"/>
                    <a:stretch>
                      <a:fillRect/>
                    </a:stretch>
                  </pic:blipFill>
                  <pic:spPr>
                    <a:xfrm>
                      <a:off x="0" y="0"/>
                      <a:ext cx="5760085" cy="2125673"/>
                    </a:xfrm>
                    <a:prstGeom prst="rect">
                      <a:avLst/>
                    </a:prstGeom>
                  </pic:spPr>
                </pic:pic>
              </a:graphicData>
            </a:graphic>
          </wp:inline>
        </w:drawing>
      </w:r>
    </w:p>
    <w:p w14:paraId="2DEB8AF4">
      <w:pPr>
        <w:spacing w:line="360" w:lineRule="auto"/>
        <w:rPr>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792A1136">
      <w:pPr>
        <w:rPr>
          <w:rFonts w:eastAsia="Arial" w:cs="Arial"/>
          <w:color w:val="000000"/>
          <w:highlight w:val="none"/>
        </w:rPr>
      </w:pPr>
      <w:r>
        <w:rPr>
          <w:rFonts w:eastAsia="Arial" w:cs="Arial"/>
          <w:color w:val="000000"/>
          <w:highlight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5"/>
                    <a:stretch>
                      <a:fillRect/>
                    </a:stretch>
                  </pic:blipFill>
                  <pic:spPr>
                    <a:xfrm>
                      <a:off x="0" y="0"/>
                      <a:ext cx="5490210" cy="2669498"/>
                    </a:xfrm>
                    <a:prstGeom prst="rect">
                      <a:avLst/>
                    </a:prstGeom>
                  </pic:spPr>
                </pic:pic>
              </a:graphicData>
            </a:graphic>
          </wp:inline>
        </w:drawing>
      </w:r>
    </w:p>
    <w:p w14:paraId="77088650">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2CBA61DB">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4C8FBD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3AEE9AB">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6"/>
                    <a:stretch>
                      <a:fillRect/>
                    </a:stretch>
                  </pic:blipFill>
                  <pic:spPr>
                    <a:xfrm>
                      <a:off x="0" y="0"/>
                      <a:ext cx="5490210" cy="1992743"/>
                    </a:xfrm>
                    <a:prstGeom prst="rect">
                      <a:avLst/>
                    </a:prstGeom>
                  </pic:spPr>
                </pic:pic>
              </a:graphicData>
            </a:graphic>
          </wp:inline>
        </w:drawing>
      </w:r>
    </w:p>
    <w:p w14:paraId="4E366436">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12FFD35A">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045EB2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41115DF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24DE7C3F">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06DDEA3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0E20755D">
      <w:pPr>
        <w:rPr>
          <w:rFonts w:eastAsia="Arial" w:cs="Arial"/>
          <w:color w:val="000000"/>
          <w:highlight w:val="none"/>
        </w:rPr>
      </w:pPr>
      <w:r>
        <w:rPr>
          <w:rFonts w:eastAsia="Arial" w:cs="Arial"/>
          <w:color w:val="000000"/>
          <w:highlight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7"/>
                    <a:stretch>
                      <a:fillRect/>
                    </a:stretch>
                  </pic:blipFill>
                  <pic:spPr>
                    <a:xfrm>
                      <a:off x="0" y="0"/>
                      <a:ext cx="5490210" cy="2544669"/>
                    </a:xfrm>
                    <a:prstGeom prst="rect">
                      <a:avLst/>
                    </a:prstGeom>
                  </pic:spPr>
                </pic:pic>
              </a:graphicData>
            </a:graphic>
          </wp:inline>
        </w:drawing>
      </w:r>
    </w:p>
    <w:p w14:paraId="2E642A0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221CCD9A">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0E9662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1BBDA438">
      <w:pPr>
        <w:rPr>
          <w:highlight w:val="none"/>
        </w:rPr>
      </w:pPr>
      <w:r>
        <w:rPr>
          <w:highlight w:val="none"/>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8"/>
                    <a:stretch>
                      <a:fillRect/>
                    </a:stretch>
                  </pic:blipFill>
                  <pic:spPr>
                    <a:xfrm>
                      <a:off x="0" y="0"/>
                      <a:ext cx="5760085" cy="1956600"/>
                    </a:xfrm>
                    <a:prstGeom prst="rect">
                      <a:avLst/>
                    </a:prstGeom>
                  </pic:spPr>
                </pic:pic>
              </a:graphicData>
            </a:graphic>
          </wp:inline>
        </w:drawing>
      </w:r>
    </w:p>
    <w:p w14:paraId="1486C77F">
      <w:pPr>
        <w:pStyle w:val="20"/>
        <w:rPr>
          <w:rFonts w:hAnsi="宋体" w:eastAsia="宋体" w:cs="Times New Roman"/>
          <w:b/>
          <w:color w:val="000000"/>
          <w:sz w:val="24"/>
          <w:szCs w:val="24"/>
          <w:highlight w:val="none"/>
        </w:rPr>
      </w:pPr>
    </w:p>
    <w:p w14:paraId="2AF1CC81">
      <w:pPr>
        <w:adjustRightInd w:val="0"/>
        <w:snapToGrid w:val="0"/>
        <w:spacing w:line="360" w:lineRule="auto"/>
        <w:jc w:val="left"/>
        <w:rPr>
          <w:rFonts w:ascii="宋体" w:hAnsi="宋体"/>
          <w:sz w:val="20"/>
          <w:szCs w:val="20"/>
          <w:highlight w:val="none"/>
        </w:rPr>
      </w:pPr>
    </w:p>
    <w:p w14:paraId="700F8C6C">
      <w:pPr>
        <w:adjustRightInd w:val="0"/>
        <w:snapToGrid w:val="0"/>
        <w:spacing w:line="360" w:lineRule="auto"/>
        <w:jc w:val="left"/>
        <w:rPr>
          <w:rFonts w:ascii="宋体" w:hAnsi="宋体"/>
          <w:sz w:val="20"/>
          <w:szCs w:val="20"/>
          <w:highlight w:val="none"/>
        </w:rPr>
      </w:pPr>
    </w:p>
    <w:p w14:paraId="15BB3903">
      <w:pPr>
        <w:adjustRightInd w:val="0"/>
        <w:snapToGrid w:val="0"/>
        <w:spacing w:line="360" w:lineRule="auto"/>
        <w:jc w:val="left"/>
        <w:rPr>
          <w:rFonts w:ascii="宋体" w:hAnsi="宋体"/>
          <w:sz w:val="20"/>
          <w:szCs w:val="20"/>
          <w:highlight w:val="none"/>
        </w:rPr>
      </w:pPr>
    </w:p>
    <w:p w14:paraId="2240969A">
      <w:pPr>
        <w:adjustRightInd w:val="0"/>
        <w:snapToGrid w:val="0"/>
        <w:spacing w:line="360" w:lineRule="auto"/>
        <w:jc w:val="center"/>
        <w:rPr>
          <w:rFonts w:ascii="方正小标宋简体" w:hAnsi="宋体" w:eastAsia="方正小标宋简体"/>
          <w:bCs/>
          <w:sz w:val="52"/>
          <w:szCs w:val="36"/>
          <w:highlight w:val="none"/>
        </w:rPr>
      </w:pPr>
    </w:p>
    <w:p w14:paraId="279C91DE">
      <w:pPr>
        <w:adjustRightInd w:val="0"/>
        <w:snapToGrid w:val="0"/>
        <w:spacing w:line="360" w:lineRule="auto"/>
        <w:jc w:val="center"/>
        <w:rPr>
          <w:rFonts w:ascii="方正小标宋简体" w:hAnsi="宋体" w:eastAsia="方正小标宋简体"/>
          <w:bCs/>
          <w:sz w:val="52"/>
          <w:szCs w:val="36"/>
          <w:highlight w:val="none"/>
        </w:rPr>
      </w:pPr>
    </w:p>
    <w:p w14:paraId="682E1E2E">
      <w:pPr>
        <w:rPr>
          <w:highlight w:val="none"/>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0E2EC">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A272D">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200A272D">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049A8">
    <w:pPr>
      <w:pStyle w:val="25"/>
      <w:tabs>
        <w:tab w:val="clear" w:pos="4153"/>
      </w:tabs>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6A7E7">
                          <w:pPr>
                            <w:pStyle w:val="2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14:paraId="4C86A7E7">
                    <w:pPr>
                      <w:pStyle w:val="2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7F620">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DCA1B6">
                          <w:pPr>
                            <w:pStyle w:val="2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ADCA1B6">
                    <w:pPr>
                      <w:pStyle w:val="2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7AC71">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9833D">
                          <w:pPr>
                            <w:pStyle w:val="2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3689833D">
                    <w:pPr>
                      <w:pStyle w:val="2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50798">
    <w:pPr>
      <w:pStyle w:val="2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8A8D2">
                          <w:pPr>
                            <w:pStyle w:val="2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4268A8D2">
                    <w:pPr>
                      <w:pStyle w:val="2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14189">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E713E">
                          <w:pPr>
                            <w:pStyle w:val="2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1D1E713E">
                    <w:pPr>
                      <w:pStyle w:val="2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FD7C">
    <w:pPr>
      <w:pStyle w:val="25"/>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BC69D">
                          <w:pPr>
                            <w:pStyle w:val="25"/>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0BEBC69D">
                    <w:pPr>
                      <w:pStyle w:val="25"/>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C8CE7">
    <w:pPr>
      <w:pStyle w:val="25"/>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C9EF5">
                          <w:pPr>
                            <w:pStyle w:val="2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375C9EF5">
                    <w:pPr>
                      <w:pStyle w:val="2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C3456">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80EE1">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21E80EE1">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06530">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B36F3">
                          <w:pPr>
                            <w:pStyle w:val="25"/>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14:paraId="1BCB36F3">
                    <w:pPr>
                      <w:pStyle w:val="25"/>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6EA51">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E5FF0">
                          <w:pPr>
                            <w:pStyle w:val="2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14:paraId="06FE5FF0">
                    <w:pPr>
                      <w:pStyle w:val="2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9D97D">
    <w:pPr>
      <w:pStyle w:val="25"/>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90DA37">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5D90DA37">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A20C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33D52">
                          <w:pPr>
                            <w:pStyle w:val="25"/>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14:paraId="3F733D52">
                    <w:pPr>
                      <w:pStyle w:val="25"/>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767B4">
    <w:pPr>
      <w:pStyle w:val="25"/>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9DD4D">
                          <w:pPr>
                            <w:pStyle w:val="25"/>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14:paraId="72A9DD4D">
                    <w:pPr>
                      <w:pStyle w:val="25"/>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015F4">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9739C">
                          <w:pPr>
                            <w:pStyle w:val="2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F99739C">
                    <w:pPr>
                      <w:pStyle w:val="25"/>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54ABA">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DEF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7FDEF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E8974">
    <w:pPr>
      <w:pStyle w:val="25"/>
      <w:tabs>
        <w:tab w:val="clear" w:pos="4153"/>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E9E32">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4BCE9E32">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5105F">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5683A">
                          <w:pPr>
                            <w:pStyle w:val="2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8C5683A">
                    <w:pPr>
                      <w:pStyle w:val="2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8E269">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5134F">
                          <w:pPr>
                            <w:pStyle w:val="25"/>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5325134F">
                    <w:pPr>
                      <w:pStyle w:val="25"/>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61DFE">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28BDF">
                          <w:pPr>
                            <w:pStyle w:val="2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0528BDF">
                    <w:pPr>
                      <w:pStyle w:val="2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A3F1A">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5656D">
                          <w:pPr>
                            <w:pStyle w:val="2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D05656D">
                    <w:pPr>
                      <w:pStyle w:val="2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B0AC7">
    <w:pPr>
      <w:pStyle w:val="2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B3896">
                          <w:pPr>
                            <w:pStyle w:val="2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E0B3896">
                    <w:pPr>
                      <w:pStyle w:val="2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F743A">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30BA6">
                          <w:pPr>
                            <w:pStyle w:val="2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14:paraId="76A30BA6">
                    <w:pPr>
                      <w:pStyle w:val="2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837BA">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F382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BB7">
    <w:pPr>
      <w:pStyle w:val="26"/>
      <w:pBdr>
        <w:bottom w:val="none" w:color="auto" w:sz="0" w:space="0"/>
      </w:pBdr>
    </w:pPr>
    <w:r>
      <w:pict>
        <v:shape id="PowerPlusWaterMarkObject6583733" o:spid="_x0000_s3073" o:spt="136" type="#_x0000_t136" style="position:absolute;left:0pt;margin-left:472.35pt;margin-top:400.05pt;height:14pt;width:129pt;mso-position-horizontal-relative:margin;mso-position-vertical-relative:margin;rotation:-2949120f;z-index:-25162035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669056" o:spid="_x0000_s3074" o:spt="136" type="#_x0000_t136" style="position:absolute;left:0pt;margin-left:359.95pt;margin-top:512.5pt;height:14pt;width:129pt;mso-position-horizontal-relative:margin;mso-position-vertical-relative:margin;rotation:-2949120f;z-index:-25162137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605855" o:spid="_x0000_s3075" o:spt="136" type="#_x0000_t136" style="position:absolute;left:0pt;margin-left:247.5pt;margin-top:624.95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492874" o:spid="_x0000_s3076" o:spt="136" type="#_x0000_t136" style="position:absolute;left:0pt;margin-left:135.05pt;margin-top:737.35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4524395" o:spid="_x0000_s3077" o:spt="136" type="#_x0000_t136" style="position:absolute;left:0pt;margin-left:472.35pt;margin-top:40.75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922554" o:spid="_x0000_s3078" o:spt="136" type="#_x0000_t136" style="position:absolute;left:0pt;margin-left:359.95pt;margin-top:153.15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742771" o:spid="_x0000_s3079" o:spt="136" type="#_x0000_t136" style="position:absolute;left:0pt;margin-left:247.5pt;margin-top:265.6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640632" o:spid="_x0000_s3080" o:spt="136" type="#_x0000_t136" style="position:absolute;left:0pt;margin-left:135.05pt;margin-top:378.05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892114" o:spid="_x0000_s3081" o:spt="136" type="#_x0000_t136" style="position:absolute;left:0pt;margin-left:22.65pt;margin-top:490.45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302924" o:spid="_x0000_s3082" o:spt="136" type="#_x0000_t136" style="position:absolute;left:0pt;margin-left:-89.8pt;margin-top:602.9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021685" o:spid="_x0000_s3083" o:spt="136" type="#_x0000_t136" style="position:absolute;left:0pt;margin-left:247.5pt;margin-top:-93.75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1942085" o:spid="_x0000_s3084" o:spt="136" type="#_x0000_t136" style="position:absolute;left:0pt;margin-left:135.05pt;margin-top:18.7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1537174" o:spid="_x0000_s3085" o:spt="136" type="#_x0000_t136" style="position:absolute;left:0pt;margin-left:22.65pt;margin-top:131.1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687094" o:spid="_x0000_s3086" o:spt="136" type="#_x0000_t136" style="position:absolute;left:0pt;margin-left:-89.8pt;margin-top:243.55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897DE">
    <w:pPr>
      <w:pStyle w:val="2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6FF8E">
    <w:pPr>
      <w:pStyle w:val="26"/>
    </w:pPr>
  </w:p>
  <w:p w14:paraId="7DA19425">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A33D3">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A0C03">
    <w:pPr>
      <w:pStyle w:val="26"/>
    </w:pPr>
  </w:p>
  <w:p w14:paraId="796D6554">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212AE">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1"/>
      <w:lvlText w:val="%1.%2.%3."/>
      <w:lvlJc w:val="left"/>
      <w:pPr>
        <w:ind w:left="709" w:hanging="709"/>
      </w:pPr>
    </w:lvl>
    <w:lvl w:ilvl="3" w:tentative="0">
      <w:start w:val="1"/>
      <w:numFmt w:val="decimal"/>
      <w:pStyle w:val="150"/>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5">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49"/>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7">
    <w:nsid w:val="3E766EBB"/>
    <w:multiLevelType w:val="multilevel"/>
    <w:tmpl w:val="3E766EBB"/>
    <w:lvl w:ilvl="0" w:tentative="0">
      <w:start w:val="1"/>
      <w:numFmt w:val="decimal"/>
      <w:lvlText w:val="1.%1"/>
      <w:lvlJc w:val="left"/>
      <w:pPr>
        <w:ind w:left="98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5"/>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num w:numId="1">
    <w:abstractNumId w:val="9"/>
  </w:num>
  <w:num w:numId="2">
    <w:abstractNumId w:val="4"/>
  </w:num>
  <w:num w:numId="3">
    <w:abstractNumId w:val="8"/>
  </w:num>
  <w:num w:numId="4">
    <w:abstractNumId w:val="5"/>
  </w:num>
  <w:num w:numId="5">
    <w:abstractNumId w:val="2"/>
  </w:num>
  <w:num w:numId="6">
    <w:abstractNumId w:val="10"/>
  </w:num>
  <w:num w:numId="7">
    <w:abstractNumId w:val="0"/>
  </w:num>
  <w:num w:numId="8">
    <w:abstractNumId w:val="1"/>
  </w:num>
  <w:num w:numId="9">
    <w:abstractNumId w:val="3"/>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noExtraLineSpacing/>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5F05"/>
    <w:rsid w:val="00036836"/>
    <w:rsid w:val="0005777A"/>
    <w:rsid w:val="00064DB8"/>
    <w:rsid w:val="00065382"/>
    <w:rsid w:val="00075455"/>
    <w:rsid w:val="00080223"/>
    <w:rsid w:val="00097119"/>
    <w:rsid w:val="000A5309"/>
    <w:rsid w:val="000B289A"/>
    <w:rsid w:val="000C4B52"/>
    <w:rsid w:val="000D6A51"/>
    <w:rsid w:val="000E0B43"/>
    <w:rsid w:val="000E4081"/>
    <w:rsid w:val="000F45A3"/>
    <w:rsid w:val="000F7D80"/>
    <w:rsid w:val="00106095"/>
    <w:rsid w:val="00110222"/>
    <w:rsid w:val="00112D34"/>
    <w:rsid w:val="00126689"/>
    <w:rsid w:val="00127FF2"/>
    <w:rsid w:val="00137DB7"/>
    <w:rsid w:val="00140DE4"/>
    <w:rsid w:val="001536C7"/>
    <w:rsid w:val="00155314"/>
    <w:rsid w:val="001571F3"/>
    <w:rsid w:val="00157D44"/>
    <w:rsid w:val="00160977"/>
    <w:rsid w:val="00180BC5"/>
    <w:rsid w:val="001825AC"/>
    <w:rsid w:val="0018385E"/>
    <w:rsid w:val="001A5993"/>
    <w:rsid w:val="001C0136"/>
    <w:rsid w:val="001C1EE3"/>
    <w:rsid w:val="001C713C"/>
    <w:rsid w:val="001D75B9"/>
    <w:rsid w:val="001F2AD2"/>
    <w:rsid w:val="001F363A"/>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B54C5"/>
    <w:rsid w:val="002B778C"/>
    <w:rsid w:val="002E3F00"/>
    <w:rsid w:val="002F7170"/>
    <w:rsid w:val="003009E4"/>
    <w:rsid w:val="003033F6"/>
    <w:rsid w:val="0031312B"/>
    <w:rsid w:val="00326B77"/>
    <w:rsid w:val="003367C1"/>
    <w:rsid w:val="003458AA"/>
    <w:rsid w:val="00355C82"/>
    <w:rsid w:val="00366C60"/>
    <w:rsid w:val="00374772"/>
    <w:rsid w:val="00377FB3"/>
    <w:rsid w:val="003A4540"/>
    <w:rsid w:val="003B1EF2"/>
    <w:rsid w:val="003B4D7D"/>
    <w:rsid w:val="003C1CA3"/>
    <w:rsid w:val="003C2982"/>
    <w:rsid w:val="003D1E89"/>
    <w:rsid w:val="003D42BD"/>
    <w:rsid w:val="003E0AB3"/>
    <w:rsid w:val="003E3690"/>
    <w:rsid w:val="003F50B8"/>
    <w:rsid w:val="00401C42"/>
    <w:rsid w:val="00401F46"/>
    <w:rsid w:val="004076DE"/>
    <w:rsid w:val="004318EF"/>
    <w:rsid w:val="00435228"/>
    <w:rsid w:val="004532A5"/>
    <w:rsid w:val="00460AFB"/>
    <w:rsid w:val="00463BA2"/>
    <w:rsid w:val="00470130"/>
    <w:rsid w:val="00483B0A"/>
    <w:rsid w:val="00483BA8"/>
    <w:rsid w:val="00490E35"/>
    <w:rsid w:val="00495476"/>
    <w:rsid w:val="00497A74"/>
    <w:rsid w:val="004A26E2"/>
    <w:rsid w:val="004B5126"/>
    <w:rsid w:val="004B5B2E"/>
    <w:rsid w:val="004E502E"/>
    <w:rsid w:val="004F7838"/>
    <w:rsid w:val="004F7F0F"/>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421F"/>
    <w:rsid w:val="005D0FA0"/>
    <w:rsid w:val="005E0B92"/>
    <w:rsid w:val="005F16F0"/>
    <w:rsid w:val="00606267"/>
    <w:rsid w:val="00610A2C"/>
    <w:rsid w:val="00613107"/>
    <w:rsid w:val="0063068E"/>
    <w:rsid w:val="00631DDB"/>
    <w:rsid w:val="00640346"/>
    <w:rsid w:val="006467EE"/>
    <w:rsid w:val="0065185D"/>
    <w:rsid w:val="0065397F"/>
    <w:rsid w:val="006648AC"/>
    <w:rsid w:val="00680629"/>
    <w:rsid w:val="00680ADF"/>
    <w:rsid w:val="00686C52"/>
    <w:rsid w:val="00694A82"/>
    <w:rsid w:val="00696DF9"/>
    <w:rsid w:val="006B18C5"/>
    <w:rsid w:val="006C31A7"/>
    <w:rsid w:val="006D7A41"/>
    <w:rsid w:val="006F1414"/>
    <w:rsid w:val="00700F21"/>
    <w:rsid w:val="00715F53"/>
    <w:rsid w:val="00735DDE"/>
    <w:rsid w:val="00741EDD"/>
    <w:rsid w:val="007432BF"/>
    <w:rsid w:val="00747A9C"/>
    <w:rsid w:val="007525BF"/>
    <w:rsid w:val="00762442"/>
    <w:rsid w:val="007655EB"/>
    <w:rsid w:val="00765F6A"/>
    <w:rsid w:val="00766F71"/>
    <w:rsid w:val="0077033B"/>
    <w:rsid w:val="007800DC"/>
    <w:rsid w:val="007838AA"/>
    <w:rsid w:val="00783D5E"/>
    <w:rsid w:val="00784402"/>
    <w:rsid w:val="00784956"/>
    <w:rsid w:val="00785FD6"/>
    <w:rsid w:val="007B212D"/>
    <w:rsid w:val="007D31E8"/>
    <w:rsid w:val="007F08FA"/>
    <w:rsid w:val="007F1199"/>
    <w:rsid w:val="007F4254"/>
    <w:rsid w:val="00806A61"/>
    <w:rsid w:val="008171DD"/>
    <w:rsid w:val="00824BFD"/>
    <w:rsid w:val="0082578E"/>
    <w:rsid w:val="00843BFE"/>
    <w:rsid w:val="008453B3"/>
    <w:rsid w:val="008509E9"/>
    <w:rsid w:val="00854DD8"/>
    <w:rsid w:val="00857153"/>
    <w:rsid w:val="00865E90"/>
    <w:rsid w:val="00873F46"/>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971D9"/>
    <w:rsid w:val="009B511E"/>
    <w:rsid w:val="009D3AFA"/>
    <w:rsid w:val="009D4F66"/>
    <w:rsid w:val="009D72A0"/>
    <w:rsid w:val="009E0F5E"/>
    <w:rsid w:val="009F3A36"/>
    <w:rsid w:val="00A04E51"/>
    <w:rsid w:val="00A14BA9"/>
    <w:rsid w:val="00A21EB2"/>
    <w:rsid w:val="00A250A2"/>
    <w:rsid w:val="00A2559C"/>
    <w:rsid w:val="00A27A5A"/>
    <w:rsid w:val="00A31561"/>
    <w:rsid w:val="00A34595"/>
    <w:rsid w:val="00A373BE"/>
    <w:rsid w:val="00A4214A"/>
    <w:rsid w:val="00A4730C"/>
    <w:rsid w:val="00A52502"/>
    <w:rsid w:val="00A53140"/>
    <w:rsid w:val="00A541E0"/>
    <w:rsid w:val="00A54E95"/>
    <w:rsid w:val="00A751CA"/>
    <w:rsid w:val="00A80564"/>
    <w:rsid w:val="00A876F7"/>
    <w:rsid w:val="00A8772A"/>
    <w:rsid w:val="00A960B2"/>
    <w:rsid w:val="00AB7931"/>
    <w:rsid w:val="00AD1289"/>
    <w:rsid w:val="00AE6430"/>
    <w:rsid w:val="00AE6633"/>
    <w:rsid w:val="00AF5997"/>
    <w:rsid w:val="00B006C6"/>
    <w:rsid w:val="00B01FF1"/>
    <w:rsid w:val="00B325E7"/>
    <w:rsid w:val="00B72516"/>
    <w:rsid w:val="00B83105"/>
    <w:rsid w:val="00B83C20"/>
    <w:rsid w:val="00B875DA"/>
    <w:rsid w:val="00B92C97"/>
    <w:rsid w:val="00B94909"/>
    <w:rsid w:val="00BA3C70"/>
    <w:rsid w:val="00BB4E42"/>
    <w:rsid w:val="00BC0442"/>
    <w:rsid w:val="00BC1BE6"/>
    <w:rsid w:val="00BC6295"/>
    <w:rsid w:val="00BD20FB"/>
    <w:rsid w:val="00C01073"/>
    <w:rsid w:val="00C10F34"/>
    <w:rsid w:val="00C118CC"/>
    <w:rsid w:val="00C11D53"/>
    <w:rsid w:val="00C2340B"/>
    <w:rsid w:val="00C24BB7"/>
    <w:rsid w:val="00C320CF"/>
    <w:rsid w:val="00C37824"/>
    <w:rsid w:val="00C5621A"/>
    <w:rsid w:val="00C679D7"/>
    <w:rsid w:val="00C77578"/>
    <w:rsid w:val="00C855F6"/>
    <w:rsid w:val="00C87C4C"/>
    <w:rsid w:val="00C92F53"/>
    <w:rsid w:val="00CA1357"/>
    <w:rsid w:val="00CA285D"/>
    <w:rsid w:val="00CD18CC"/>
    <w:rsid w:val="00CD5223"/>
    <w:rsid w:val="00CE5010"/>
    <w:rsid w:val="00CE6E17"/>
    <w:rsid w:val="00CF059C"/>
    <w:rsid w:val="00D025E5"/>
    <w:rsid w:val="00D0528A"/>
    <w:rsid w:val="00D11B37"/>
    <w:rsid w:val="00D2501F"/>
    <w:rsid w:val="00D300E9"/>
    <w:rsid w:val="00D31FFB"/>
    <w:rsid w:val="00D342BC"/>
    <w:rsid w:val="00D35F03"/>
    <w:rsid w:val="00D408EF"/>
    <w:rsid w:val="00D42F3E"/>
    <w:rsid w:val="00D45C93"/>
    <w:rsid w:val="00D5145C"/>
    <w:rsid w:val="00D5218F"/>
    <w:rsid w:val="00D53EB2"/>
    <w:rsid w:val="00D60E4F"/>
    <w:rsid w:val="00D64DAE"/>
    <w:rsid w:val="00D67021"/>
    <w:rsid w:val="00D72024"/>
    <w:rsid w:val="00D729A1"/>
    <w:rsid w:val="00D75908"/>
    <w:rsid w:val="00D80074"/>
    <w:rsid w:val="00D87E11"/>
    <w:rsid w:val="00D94D7F"/>
    <w:rsid w:val="00DA2BDA"/>
    <w:rsid w:val="00DA3834"/>
    <w:rsid w:val="00DB2A94"/>
    <w:rsid w:val="00DB5225"/>
    <w:rsid w:val="00DB5435"/>
    <w:rsid w:val="00DC4DC6"/>
    <w:rsid w:val="00DD1E5E"/>
    <w:rsid w:val="00DD51F1"/>
    <w:rsid w:val="00DE609E"/>
    <w:rsid w:val="00DE6417"/>
    <w:rsid w:val="00DE6912"/>
    <w:rsid w:val="00E10C5E"/>
    <w:rsid w:val="00E14026"/>
    <w:rsid w:val="00E1627A"/>
    <w:rsid w:val="00E32F1C"/>
    <w:rsid w:val="00E34C35"/>
    <w:rsid w:val="00E650A8"/>
    <w:rsid w:val="00E66301"/>
    <w:rsid w:val="00E669EE"/>
    <w:rsid w:val="00E77F10"/>
    <w:rsid w:val="00E82BF0"/>
    <w:rsid w:val="00E878B4"/>
    <w:rsid w:val="00E97DA2"/>
    <w:rsid w:val="00EB3D00"/>
    <w:rsid w:val="00EC5674"/>
    <w:rsid w:val="00F156D2"/>
    <w:rsid w:val="00F253C4"/>
    <w:rsid w:val="00F259A0"/>
    <w:rsid w:val="00F27D93"/>
    <w:rsid w:val="00F3236D"/>
    <w:rsid w:val="00F34BD7"/>
    <w:rsid w:val="00F42161"/>
    <w:rsid w:val="00F60849"/>
    <w:rsid w:val="00F67864"/>
    <w:rsid w:val="00F70B67"/>
    <w:rsid w:val="00F71720"/>
    <w:rsid w:val="00F77334"/>
    <w:rsid w:val="00F8052E"/>
    <w:rsid w:val="00F844F3"/>
    <w:rsid w:val="00F955C7"/>
    <w:rsid w:val="00FD2032"/>
    <w:rsid w:val="00FE040F"/>
    <w:rsid w:val="00FE42B3"/>
    <w:rsid w:val="0133784E"/>
    <w:rsid w:val="014832F2"/>
    <w:rsid w:val="014D51C1"/>
    <w:rsid w:val="016C2D84"/>
    <w:rsid w:val="01714809"/>
    <w:rsid w:val="01C52478"/>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AD0D35"/>
    <w:rsid w:val="0BDB06E0"/>
    <w:rsid w:val="0BE12DB6"/>
    <w:rsid w:val="0BE65DB3"/>
    <w:rsid w:val="0C345AD1"/>
    <w:rsid w:val="0C5F6C41"/>
    <w:rsid w:val="0C626CE4"/>
    <w:rsid w:val="0C851B7F"/>
    <w:rsid w:val="0CBA0771"/>
    <w:rsid w:val="0D0C2B7B"/>
    <w:rsid w:val="0D9308F8"/>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5F67A8"/>
    <w:rsid w:val="118B5473"/>
    <w:rsid w:val="119A7465"/>
    <w:rsid w:val="11C07DA5"/>
    <w:rsid w:val="12491386"/>
    <w:rsid w:val="12746E74"/>
    <w:rsid w:val="12781EDB"/>
    <w:rsid w:val="12E60579"/>
    <w:rsid w:val="130D3C66"/>
    <w:rsid w:val="13695B36"/>
    <w:rsid w:val="1372609F"/>
    <w:rsid w:val="14092DB2"/>
    <w:rsid w:val="140E390C"/>
    <w:rsid w:val="145A6A37"/>
    <w:rsid w:val="1467440F"/>
    <w:rsid w:val="14F73019"/>
    <w:rsid w:val="15433A9B"/>
    <w:rsid w:val="15D13671"/>
    <w:rsid w:val="15FC2F04"/>
    <w:rsid w:val="15FD3709"/>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6F5D50"/>
    <w:rsid w:val="1C9F6814"/>
    <w:rsid w:val="1D5C514E"/>
    <w:rsid w:val="1D834723"/>
    <w:rsid w:val="1D85395E"/>
    <w:rsid w:val="1D865D14"/>
    <w:rsid w:val="1D8705EC"/>
    <w:rsid w:val="1E43150B"/>
    <w:rsid w:val="1EA93E80"/>
    <w:rsid w:val="1EC024D4"/>
    <w:rsid w:val="1EC923D3"/>
    <w:rsid w:val="1ED33FB6"/>
    <w:rsid w:val="1EE81332"/>
    <w:rsid w:val="1EED2D98"/>
    <w:rsid w:val="1F32415A"/>
    <w:rsid w:val="1F594EF0"/>
    <w:rsid w:val="1F5A4199"/>
    <w:rsid w:val="1F7E2174"/>
    <w:rsid w:val="1FC32513"/>
    <w:rsid w:val="20107567"/>
    <w:rsid w:val="208717DB"/>
    <w:rsid w:val="20AB56C6"/>
    <w:rsid w:val="20E17EDB"/>
    <w:rsid w:val="21253EF1"/>
    <w:rsid w:val="2176507C"/>
    <w:rsid w:val="21BA10C4"/>
    <w:rsid w:val="21BE35AF"/>
    <w:rsid w:val="21C11174"/>
    <w:rsid w:val="22244B28"/>
    <w:rsid w:val="223C4932"/>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F2718"/>
    <w:rsid w:val="253A0491"/>
    <w:rsid w:val="253D4C0F"/>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F5DD3"/>
    <w:rsid w:val="288047CB"/>
    <w:rsid w:val="288A7505"/>
    <w:rsid w:val="289E62FA"/>
    <w:rsid w:val="291E2CA6"/>
    <w:rsid w:val="29331862"/>
    <w:rsid w:val="29736C18"/>
    <w:rsid w:val="299E147F"/>
    <w:rsid w:val="29C32A87"/>
    <w:rsid w:val="29CF26DC"/>
    <w:rsid w:val="2A1C5DA0"/>
    <w:rsid w:val="2A200D39"/>
    <w:rsid w:val="2A507EFF"/>
    <w:rsid w:val="2A6579DF"/>
    <w:rsid w:val="2A756869"/>
    <w:rsid w:val="2ADC05A4"/>
    <w:rsid w:val="2B0423C1"/>
    <w:rsid w:val="2B4544FA"/>
    <w:rsid w:val="2B54318E"/>
    <w:rsid w:val="2B6F0D7F"/>
    <w:rsid w:val="2B797443"/>
    <w:rsid w:val="2B8716BD"/>
    <w:rsid w:val="2B8B76FF"/>
    <w:rsid w:val="2BA04BD8"/>
    <w:rsid w:val="2BC22DD1"/>
    <w:rsid w:val="2BD5034F"/>
    <w:rsid w:val="2C0B6845"/>
    <w:rsid w:val="2C362F31"/>
    <w:rsid w:val="2C60275E"/>
    <w:rsid w:val="2C9E432B"/>
    <w:rsid w:val="2D025012"/>
    <w:rsid w:val="2D4178F0"/>
    <w:rsid w:val="2DA535EC"/>
    <w:rsid w:val="2DAE631A"/>
    <w:rsid w:val="2DD877E0"/>
    <w:rsid w:val="2DDC0B49"/>
    <w:rsid w:val="2DE616C9"/>
    <w:rsid w:val="2DFC2451"/>
    <w:rsid w:val="2E2C1BB4"/>
    <w:rsid w:val="2E3422F8"/>
    <w:rsid w:val="2E392F37"/>
    <w:rsid w:val="2E536027"/>
    <w:rsid w:val="2E6D31FB"/>
    <w:rsid w:val="2E6D565A"/>
    <w:rsid w:val="2E6E566D"/>
    <w:rsid w:val="2E7F188E"/>
    <w:rsid w:val="2EBC0905"/>
    <w:rsid w:val="2EC73739"/>
    <w:rsid w:val="2EFB1B0E"/>
    <w:rsid w:val="2F510CFA"/>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2EE5A1E"/>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1205E"/>
    <w:rsid w:val="362666BC"/>
    <w:rsid w:val="362D71B8"/>
    <w:rsid w:val="368A6B11"/>
    <w:rsid w:val="36A77DAA"/>
    <w:rsid w:val="37085B1F"/>
    <w:rsid w:val="370A19E9"/>
    <w:rsid w:val="372E04CB"/>
    <w:rsid w:val="37742729"/>
    <w:rsid w:val="37C85FF9"/>
    <w:rsid w:val="37DB5D8E"/>
    <w:rsid w:val="389F67CD"/>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91192E"/>
    <w:rsid w:val="3CAA596A"/>
    <w:rsid w:val="3CB1587B"/>
    <w:rsid w:val="3CB735F2"/>
    <w:rsid w:val="3D186684"/>
    <w:rsid w:val="3D363C36"/>
    <w:rsid w:val="3D4C7C96"/>
    <w:rsid w:val="3D8B2178"/>
    <w:rsid w:val="3DB34909"/>
    <w:rsid w:val="3DD115F5"/>
    <w:rsid w:val="3DE435F0"/>
    <w:rsid w:val="3DE5122C"/>
    <w:rsid w:val="3DF37E53"/>
    <w:rsid w:val="3E1F280B"/>
    <w:rsid w:val="3ED26DE9"/>
    <w:rsid w:val="3EED17D0"/>
    <w:rsid w:val="3F0C0304"/>
    <w:rsid w:val="3FAC48C7"/>
    <w:rsid w:val="3FE25AA0"/>
    <w:rsid w:val="3FEC147E"/>
    <w:rsid w:val="40086734"/>
    <w:rsid w:val="4024153A"/>
    <w:rsid w:val="403703F1"/>
    <w:rsid w:val="40376375"/>
    <w:rsid w:val="40EF47EC"/>
    <w:rsid w:val="40F441C9"/>
    <w:rsid w:val="412732B7"/>
    <w:rsid w:val="4127791F"/>
    <w:rsid w:val="41281794"/>
    <w:rsid w:val="413C1FDF"/>
    <w:rsid w:val="41806A69"/>
    <w:rsid w:val="41863A79"/>
    <w:rsid w:val="41B0259C"/>
    <w:rsid w:val="41BC6F1C"/>
    <w:rsid w:val="41EF2363"/>
    <w:rsid w:val="41F7786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485923"/>
    <w:rsid w:val="44905B1F"/>
    <w:rsid w:val="45007767"/>
    <w:rsid w:val="45316885"/>
    <w:rsid w:val="4577147D"/>
    <w:rsid w:val="45A95EE9"/>
    <w:rsid w:val="45FB0F21"/>
    <w:rsid w:val="46167166"/>
    <w:rsid w:val="461A2194"/>
    <w:rsid w:val="465E515F"/>
    <w:rsid w:val="47200EE3"/>
    <w:rsid w:val="47435AC2"/>
    <w:rsid w:val="47544B78"/>
    <w:rsid w:val="47587AF7"/>
    <w:rsid w:val="47745A86"/>
    <w:rsid w:val="478255BB"/>
    <w:rsid w:val="47E239AC"/>
    <w:rsid w:val="480C3F11"/>
    <w:rsid w:val="480F4B73"/>
    <w:rsid w:val="482F5B69"/>
    <w:rsid w:val="48334AEC"/>
    <w:rsid w:val="48A47EB8"/>
    <w:rsid w:val="48DB38E3"/>
    <w:rsid w:val="49001B5E"/>
    <w:rsid w:val="490552B7"/>
    <w:rsid w:val="49376DB0"/>
    <w:rsid w:val="49804BB7"/>
    <w:rsid w:val="49826DCB"/>
    <w:rsid w:val="499013E7"/>
    <w:rsid w:val="49C8088A"/>
    <w:rsid w:val="49CB3D06"/>
    <w:rsid w:val="49F775F5"/>
    <w:rsid w:val="4A301C93"/>
    <w:rsid w:val="4A3302AB"/>
    <w:rsid w:val="4A495C63"/>
    <w:rsid w:val="4A7F3A12"/>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7322D5"/>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14066"/>
    <w:rsid w:val="4F846A83"/>
    <w:rsid w:val="50070E2C"/>
    <w:rsid w:val="504B57F2"/>
    <w:rsid w:val="509A4341"/>
    <w:rsid w:val="50B05172"/>
    <w:rsid w:val="50C62BC7"/>
    <w:rsid w:val="50F72A66"/>
    <w:rsid w:val="5123368C"/>
    <w:rsid w:val="5130747C"/>
    <w:rsid w:val="515C765A"/>
    <w:rsid w:val="515E0B8A"/>
    <w:rsid w:val="516610D8"/>
    <w:rsid w:val="516A1A68"/>
    <w:rsid w:val="51905BB3"/>
    <w:rsid w:val="51946FCB"/>
    <w:rsid w:val="51DD796B"/>
    <w:rsid w:val="51DF373B"/>
    <w:rsid w:val="52EF4CB5"/>
    <w:rsid w:val="52F959F0"/>
    <w:rsid w:val="5302488E"/>
    <w:rsid w:val="5307426A"/>
    <w:rsid w:val="53136173"/>
    <w:rsid w:val="53951560"/>
    <w:rsid w:val="539A4AC7"/>
    <w:rsid w:val="53A454FB"/>
    <w:rsid w:val="53D004E8"/>
    <w:rsid w:val="54252C7A"/>
    <w:rsid w:val="542631B6"/>
    <w:rsid w:val="545F0C78"/>
    <w:rsid w:val="54647343"/>
    <w:rsid w:val="54813CFC"/>
    <w:rsid w:val="54A61722"/>
    <w:rsid w:val="54B31FAF"/>
    <w:rsid w:val="54E26C0B"/>
    <w:rsid w:val="54FB4092"/>
    <w:rsid w:val="5529054C"/>
    <w:rsid w:val="55326D63"/>
    <w:rsid w:val="555D1A10"/>
    <w:rsid w:val="55BE344D"/>
    <w:rsid w:val="55CE2B4A"/>
    <w:rsid w:val="56AC4A78"/>
    <w:rsid w:val="56B1063E"/>
    <w:rsid w:val="56B63E52"/>
    <w:rsid w:val="56DB16B9"/>
    <w:rsid w:val="574436DA"/>
    <w:rsid w:val="57772F69"/>
    <w:rsid w:val="577A3463"/>
    <w:rsid w:val="57F967AD"/>
    <w:rsid w:val="58052975"/>
    <w:rsid w:val="5870229A"/>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E76CD7"/>
    <w:rsid w:val="5BFB631F"/>
    <w:rsid w:val="5C034D53"/>
    <w:rsid w:val="5C1C5EAD"/>
    <w:rsid w:val="5C5139A3"/>
    <w:rsid w:val="5C87659C"/>
    <w:rsid w:val="5C903B7A"/>
    <w:rsid w:val="5D166FEC"/>
    <w:rsid w:val="5D2109C8"/>
    <w:rsid w:val="5DF94293"/>
    <w:rsid w:val="5E1D6F56"/>
    <w:rsid w:val="5E52187F"/>
    <w:rsid w:val="5E6A13CD"/>
    <w:rsid w:val="5E705D15"/>
    <w:rsid w:val="5E92274E"/>
    <w:rsid w:val="5E93326C"/>
    <w:rsid w:val="5E9F1A7A"/>
    <w:rsid w:val="5EAA6F51"/>
    <w:rsid w:val="5EFB4BA4"/>
    <w:rsid w:val="5F541AED"/>
    <w:rsid w:val="5F5F46B5"/>
    <w:rsid w:val="5F895CFD"/>
    <w:rsid w:val="5FA476D1"/>
    <w:rsid w:val="5FB25360"/>
    <w:rsid w:val="5FBA3CC0"/>
    <w:rsid w:val="5FC45EE2"/>
    <w:rsid w:val="5FD90D61"/>
    <w:rsid w:val="60177697"/>
    <w:rsid w:val="602329DB"/>
    <w:rsid w:val="602C13CC"/>
    <w:rsid w:val="607777D6"/>
    <w:rsid w:val="60911000"/>
    <w:rsid w:val="60BC76A1"/>
    <w:rsid w:val="60F60B1B"/>
    <w:rsid w:val="610B7637"/>
    <w:rsid w:val="615F5624"/>
    <w:rsid w:val="61847970"/>
    <w:rsid w:val="61AD71CC"/>
    <w:rsid w:val="61BE4076"/>
    <w:rsid w:val="61D215CF"/>
    <w:rsid w:val="622C5484"/>
    <w:rsid w:val="625C563D"/>
    <w:rsid w:val="626A1704"/>
    <w:rsid w:val="62AD7E76"/>
    <w:rsid w:val="62B362C8"/>
    <w:rsid w:val="62C1330E"/>
    <w:rsid w:val="630C5A29"/>
    <w:rsid w:val="6342085E"/>
    <w:rsid w:val="636F415C"/>
    <w:rsid w:val="63C01E0A"/>
    <w:rsid w:val="645B5526"/>
    <w:rsid w:val="64785A9C"/>
    <w:rsid w:val="64917820"/>
    <w:rsid w:val="64AA1CC5"/>
    <w:rsid w:val="651D5BE5"/>
    <w:rsid w:val="655F1E1A"/>
    <w:rsid w:val="656B2909"/>
    <w:rsid w:val="657D5B4F"/>
    <w:rsid w:val="65914A0B"/>
    <w:rsid w:val="65A3045D"/>
    <w:rsid w:val="65CE19A5"/>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17BAC"/>
    <w:rsid w:val="689A5E59"/>
    <w:rsid w:val="68E91861"/>
    <w:rsid w:val="68EE72DF"/>
    <w:rsid w:val="690F0B4D"/>
    <w:rsid w:val="692E2EB0"/>
    <w:rsid w:val="69485FEA"/>
    <w:rsid w:val="694C7BCA"/>
    <w:rsid w:val="69677DC0"/>
    <w:rsid w:val="69684298"/>
    <w:rsid w:val="69937EC7"/>
    <w:rsid w:val="69D64558"/>
    <w:rsid w:val="69E24E99"/>
    <w:rsid w:val="6A042548"/>
    <w:rsid w:val="6A1A53E9"/>
    <w:rsid w:val="6A471EFD"/>
    <w:rsid w:val="6A7F64C7"/>
    <w:rsid w:val="6A90616B"/>
    <w:rsid w:val="6AB51A05"/>
    <w:rsid w:val="6AB57116"/>
    <w:rsid w:val="6AE73176"/>
    <w:rsid w:val="6B17424A"/>
    <w:rsid w:val="6B2218FA"/>
    <w:rsid w:val="6B691672"/>
    <w:rsid w:val="6BC8641A"/>
    <w:rsid w:val="6BD0347D"/>
    <w:rsid w:val="6BE97F42"/>
    <w:rsid w:val="6C103720"/>
    <w:rsid w:val="6C296590"/>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0B6421"/>
    <w:rsid w:val="6F255B5D"/>
    <w:rsid w:val="6F7F7CB0"/>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32D4B5D"/>
    <w:rsid w:val="73393C88"/>
    <w:rsid w:val="7362513F"/>
    <w:rsid w:val="7372081D"/>
    <w:rsid w:val="73740A39"/>
    <w:rsid w:val="73771D49"/>
    <w:rsid w:val="73A1354E"/>
    <w:rsid w:val="74031B3E"/>
    <w:rsid w:val="740C328F"/>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D79E7"/>
    <w:rsid w:val="7AB879FE"/>
    <w:rsid w:val="7B005560"/>
    <w:rsid w:val="7B3264DD"/>
    <w:rsid w:val="7B7374F2"/>
    <w:rsid w:val="7B81188A"/>
    <w:rsid w:val="7B9E2902"/>
    <w:rsid w:val="7BA434D7"/>
    <w:rsid w:val="7BB128EA"/>
    <w:rsid w:val="7BB46DC3"/>
    <w:rsid w:val="7BC854E2"/>
    <w:rsid w:val="7BEC1468"/>
    <w:rsid w:val="7C0562EC"/>
    <w:rsid w:val="7C27683F"/>
    <w:rsid w:val="7C86057F"/>
    <w:rsid w:val="7C8B6DF3"/>
    <w:rsid w:val="7CB14B4D"/>
    <w:rsid w:val="7CC33EB4"/>
    <w:rsid w:val="7CF26969"/>
    <w:rsid w:val="7D25523C"/>
    <w:rsid w:val="7D651213"/>
    <w:rsid w:val="7D836D0C"/>
    <w:rsid w:val="7D8E4A46"/>
    <w:rsid w:val="7DB23041"/>
    <w:rsid w:val="7E5F7809"/>
    <w:rsid w:val="7EB22415"/>
    <w:rsid w:val="7ED56C53"/>
    <w:rsid w:val="7EEA1BAF"/>
    <w:rsid w:val="7EEC6013"/>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2">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link w:val="152"/>
    <w:qFormat/>
    <w:uiPriority w:val="99"/>
    <w:pPr>
      <w:ind w:firstLine="420"/>
    </w:pPr>
    <w:rPr>
      <w:rFonts w:ascii="Times New Roman" w:hAnsi="Times New Roman"/>
      <w:kern w:val="0"/>
      <w:sz w:val="20"/>
      <w:szCs w:val="20"/>
    </w:rPr>
  </w:style>
  <w:style w:type="paragraph" w:styleId="11">
    <w:name w:val="caption"/>
    <w:basedOn w:val="1"/>
    <w:next w:val="1"/>
    <w:qFormat/>
    <w:uiPriority w:val="35"/>
    <w:pPr>
      <w:spacing w:before="152"/>
    </w:pPr>
    <w:rPr>
      <w:rFonts w:ascii="Arial" w:hAnsi="Arial" w:eastAsia="黑体" w:cs="Arial"/>
      <w:sz w:val="20"/>
      <w:szCs w:val="20"/>
    </w:rPr>
  </w:style>
  <w:style w:type="paragraph" w:styleId="12">
    <w:name w:val="Document Map"/>
    <w:basedOn w:val="1"/>
    <w:link w:val="72"/>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3"/>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4"/>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17">
    <w:name w:val="Body Text Indent"/>
    <w:basedOn w:val="1"/>
    <w:link w:val="81"/>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4"/>
    <w:qFormat/>
    <w:uiPriority w:val="99"/>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4"/>
    <w:next w:val="14"/>
    <w:link w:val="54"/>
    <w:qFormat/>
    <w:uiPriority w:val="0"/>
    <w:rPr>
      <w:b/>
    </w:rPr>
  </w:style>
  <w:style w:type="paragraph" w:styleId="38">
    <w:name w:val="Body Text First Indent 2"/>
    <w:basedOn w:val="17"/>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2"/>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4"/>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rPr>
  </w:style>
  <w:style w:type="paragraph" w:customStyle="1" w:styleId="67">
    <w:name w:val="ATXT_Bullets"/>
    <w:link w:val="66"/>
    <w:qFormat/>
    <w:uiPriority w:val="99"/>
    <w:pPr>
      <w:widowControl w:val="0"/>
      <w:tabs>
        <w:tab w:val="left" w:pos="360"/>
        <w:tab w:val="left" w:pos="2040"/>
      </w:tabs>
      <w:autoSpaceDE w:val="0"/>
      <w:autoSpaceDN w:val="0"/>
      <w:adjustRightInd w:val="0"/>
      <w:spacing w:after="160" w:line="278" w:lineRule="auto"/>
      <w:ind w:left="1494"/>
      <w:jc w:val="both"/>
    </w:pPr>
    <w:rPr>
      <w:rFonts w:ascii="Arial" w:hAnsi="Arial" w:eastAsiaTheme="minorEastAsia" w:cstheme="minorBidi"/>
      <w:kern w:val="2"/>
      <w:sz w:val="21"/>
      <w:szCs w:val="22"/>
      <w:lang w:val="en-US" w:eastAsia="zh-CN" w:bidi="ar-SA"/>
    </w:rPr>
  </w:style>
  <w:style w:type="character" w:customStyle="1" w:styleId="68">
    <w:name w:val="Char Char5"/>
    <w:qFormat/>
    <w:uiPriority w:val="0"/>
    <w:rPr>
      <w:rFonts w:ascii="宋体" w:hAnsi="Courier New" w:eastAsia="宋体"/>
      <w:kern w:val="2"/>
      <w:sz w:val="21"/>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2"/>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spacing w:after="160" w:line="278" w:lineRule="auto"/>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7"/>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6"/>
    <w:qFormat/>
    <w:uiPriority w:val="99"/>
    <w:rPr>
      <w:rFonts w:ascii="Calibri" w:hAnsi="Calibri" w:eastAsia="新宋体"/>
      <w:kern w:val="2"/>
      <w:sz w:val="21"/>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line="240" w:lineRule="exact"/>
      <w:jc w:val="left"/>
    </w:pPr>
    <w:rPr>
      <w:rFonts w:ascii="Arial" w:hAnsi="Arial" w:eastAsia="宋体" w:cs="Verdana"/>
      <w:b/>
      <w:kern w:val="0"/>
      <w:sz w:val="24"/>
      <w:szCs w:val="24"/>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spacing w:after="160" w:line="278" w:lineRule="auto"/>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line="240" w:lineRule="exact"/>
      <w:ind w:left="425" w:hanging="425"/>
      <w:jc w:val="left"/>
    </w:pPr>
    <w:rPr>
      <w:rFonts w:ascii="Verdana" w:hAnsi="Verdana" w:eastAsia="宋体" w:cs="Times New Roman"/>
      <w:kern w:val="0"/>
      <w:sz w:val="20"/>
      <w:szCs w:val="20"/>
    </w:rPr>
  </w:style>
  <w:style w:type="paragraph" w:customStyle="1" w:styleId="110">
    <w:name w:val="Char Char Char Char Char Char Char"/>
    <w:basedOn w:val="1"/>
    <w:qFormat/>
    <w:uiPriority w:val="0"/>
    <w:rPr>
      <w:rFonts w:ascii="Verdana" w:hAnsi="Verdana" w:eastAsia="宋体" w:cs="Times New Roman"/>
      <w:kern w:val="0"/>
      <w:sz w:val="20"/>
      <w:szCs w:val="20"/>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line="240" w:lineRule="exact"/>
      <w:jc w:val="left"/>
    </w:pPr>
    <w:rPr>
      <w:rFonts w:ascii="Arial" w:hAnsi="Arial" w:eastAsia="宋体" w:cs="Verdana"/>
      <w:b/>
      <w:kern w:val="0"/>
      <w:sz w:val="24"/>
      <w:szCs w:val="24"/>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4">
    <w:name w:val="AVL_Continuous_normal"/>
    <w:qFormat/>
    <w:uiPriority w:val="99"/>
    <w:pPr>
      <w:widowControl w:val="0"/>
      <w:autoSpaceDE w:val="0"/>
      <w:autoSpaceDN w:val="0"/>
      <w:adjustRightInd w:val="0"/>
      <w:spacing w:after="160" w:line="278" w:lineRule="auto"/>
    </w:pPr>
    <w:rPr>
      <w:rFonts w:ascii="Arial" w:hAnsi="Arial" w:eastAsia="宋体" w:cs="Arial"/>
      <w:color w:val="070000"/>
      <w:sz w:val="19"/>
      <w:szCs w:val="19"/>
      <w:lang w:val="en-US" w:eastAsia="zh-CN" w:bidi="ar-SA"/>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2"/>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pPr>
      <w:spacing w:after="160" w:line="278" w:lineRule="auto"/>
    </w:pPr>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spacing w:after="160" w:line="278" w:lineRule="auto"/>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160" w:afterLines="50" w:line="278" w:lineRule="auto"/>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0">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qFormat/>
    <w:uiPriority w:val="0"/>
    <w:pPr>
      <w:numPr>
        <w:ilvl w:val="0"/>
        <w:numId w:val="2"/>
      </w:numPr>
      <w:spacing w:before="240" w:beforeLines="100" w:after="16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qFormat/>
    <w:uiPriority w:val="0"/>
    <w:pPr>
      <w:numPr>
        <w:ilvl w:val="1"/>
        <w:numId w:val="2"/>
      </w:numPr>
      <w:spacing w:after="160"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qFormat/>
    <w:uiPriority w:val="0"/>
    <w:pPr>
      <w:numPr>
        <w:ilvl w:val="2"/>
        <w:numId w:val="2"/>
      </w:numPr>
      <w:spacing w:after="160"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link w:val="153"/>
    <w:qFormat/>
    <w:uiPriority w:val="0"/>
    <w:pPr>
      <w:numPr>
        <w:ilvl w:val="1"/>
        <w:numId w:val="3"/>
      </w:numPr>
      <w:spacing w:line="300" w:lineRule="auto"/>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HR数字分点"/>
    <w:basedOn w:val="145"/>
    <w:qFormat/>
    <w:uiPriority w:val="0"/>
    <w:pPr>
      <w:numPr>
        <w:numId w:val="4"/>
      </w:numPr>
      <w:ind w:firstLine="0"/>
    </w:pPr>
    <w:rPr>
      <w:rFonts w:ascii="Times New Roman" w:hAnsi="Times New Roman" w:eastAsia="宋体" w:cs="Times New Roman"/>
    </w:rPr>
  </w:style>
  <w:style w:type="paragraph" w:customStyle="1" w:styleId="150">
    <w:name w:val="HR标题4"/>
    <w:basedOn w:val="1"/>
    <w:next w:val="145"/>
    <w:qFormat/>
    <w:uiPriority w:val="0"/>
    <w:pPr>
      <w:numPr>
        <w:ilvl w:val="3"/>
        <w:numId w:val="5"/>
      </w:numPr>
      <w:tabs>
        <w:tab w:val="left" w:pos="794"/>
      </w:tabs>
      <w:spacing w:line="360" w:lineRule="auto"/>
      <w:outlineLvl w:val="3"/>
    </w:pPr>
    <w:rPr>
      <w:rFonts w:ascii="Times New Roman" w:hAnsi="Times New Roman" w:eastAsia="宋体" w:cs="Times New Roman"/>
      <w:sz w:val="24"/>
      <w:szCs w:val="24"/>
    </w:rPr>
  </w:style>
  <w:style w:type="paragraph" w:customStyle="1" w:styleId="151">
    <w:name w:val="HR标题3"/>
    <w:basedOn w:val="1"/>
    <w:next w:val="145"/>
    <w:qFormat/>
    <w:uiPriority w:val="0"/>
    <w:pPr>
      <w:numPr>
        <w:ilvl w:val="2"/>
        <w:numId w:val="5"/>
      </w:numPr>
      <w:tabs>
        <w:tab w:val="left" w:pos="984"/>
      </w:tabs>
      <w:spacing w:line="360" w:lineRule="auto"/>
      <w:outlineLvl w:val="2"/>
    </w:pPr>
    <w:rPr>
      <w:rFonts w:ascii="Times New Roman" w:hAnsi="Times New Roman" w:eastAsia="宋体" w:cs="Times New Roman"/>
      <w:sz w:val="24"/>
      <w:szCs w:val="24"/>
    </w:rPr>
  </w:style>
  <w:style w:type="character" w:customStyle="1" w:styleId="152">
    <w:name w:val="正文缩进 字符"/>
    <w:link w:val="10"/>
    <w:qFormat/>
    <w:uiPriority w:val="99"/>
    <w:rPr>
      <w:rFonts w:eastAsiaTheme="minorEastAsia" w:cstheme="minorBidi"/>
    </w:rPr>
  </w:style>
  <w:style w:type="character" w:customStyle="1" w:styleId="153">
    <w:name w:val="HR正文 Char"/>
    <w:link w:val="145"/>
    <w:qFormat/>
    <w:uiPriority w:val="0"/>
    <w:rPr>
      <w:rFonts w:asciiTheme="minorHAnsi" w:hAnsiTheme="minorHAnsi" w:eastAsiaTheme="minorEastAsia" w:cstheme="minorBidi"/>
      <w:kern w:val="2"/>
      <w:sz w:val="24"/>
      <w:szCs w:val="24"/>
    </w:rPr>
  </w:style>
  <w:style w:type="paragraph" w:customStyle="1" w:styleId="154">
    <w:name w:val="_Style 153"/>
    <w:basedOn w:val="1"/>
    <w:next w:val="129"/>
    <w:link w:val="155"/>
    <w:qFormat/>
    <w:uiPriority w:val="34"/>
    <w:pPr>
      <w:spacing w:line="340" w:lineRule="atLeast"/>
      <w:ind w:firstLine="420" w:firstLineChars="200"/>
    </w:pPr>
    <w:rPr>
      <w:rFonts w:ascii="Times New Roman" w:hAnsi="Times New Roman" w:eastAsia="宋体" w:cs="Times New Roman"/>
      <w:szCs w:val="20"/>
    </w:rPr>
  </w:style>
  <w:style w:type="character" w:customStyle="1" w:styleId="155">
    <w:name w:val="列出段落 Char"/>
    <w:link w:val="154"/>
    <w:qFormat/>
    <w:locked/>
    <w:uiPriority w:val="34"/>
    <w:rPr>
      <w:kern w:val="2"/>
      <w:sz w:val="21"/>
    </w:rPr>
  </w:style>
  <w:style w:type="character" w:customStyle="1" w:styleId="156">
    <w:name w:val="HR正文 Char1"/>
    <w:qFormat/>
    <w:uiPriority w:val="0"/>
    <w:rPr>
      <w:sz w:val="24"/>
      <w:szCs w:val="24"/>
    </w:rPr>
  </w:style>
  <w:style w:type="paragraph" w:customStyle="1" w:styleId="157">
    <w:name w:val="p0"/>
    <w:basedOn w:val="1"/>
    <w:qFormat/>
    <w:uiPriority w:val="0"/>
    <w:pPr>
      <w:widowControl/>
      <w:spacing w:after="0" w:line="240" w:lineRule="auto"/>
      <w:jc w:val="left"/>
    </w:pPr>
    <w:rPr>
      <w:rFonts w:ascii="宋体" w:hAnsi="宋体" w:eastAsia="宋体" w:cs="宋体"/>
      <w:kern w:val="0"/>
      <w:sz w:val="24"/>
      <w:szCs w:val="24"/>
    </w:rPr>
  </w:style>
  <w:style w:type="character" w:customStyle="1" w:styleId="158">
    <w:name w:val="HR正文 Char Char"/>
    <w:basedOn w:val="41"/>
    <w:qFormat/>
    <w:uiPriority w:val="0"/>
    <w:rPr>
      <w:kern w:val="2"/>
      <w:sz w:val="24"/>
      <w:szCs w:val="24"/>
    </w:rPr>
  </w:style>
  <w:style w:type="paragraph" w:customStyle="1" w:styleId="159">
    <w:name w:val="标书正文"/>
    <w:basedOn w:val="20"/>
    <w:link w:val="160"/>
    <w:qFormat/>
    <w:uiPriority w:val="9"/>
    <w:pPr>
      <w:spacing w:after="0" w:line="360" w:lineRule="auto"/>
      <w:jc w:val="left"/>
    </w:pPr>
    <w:rPr>
      <w:rFonts w:eastAsia="宋体" w:cs="Courier New"/>
      <w:szCs w:val="20"/>
    </w:rPr>
  </w:style>
  <w:style w:type="character" w:customStyle="1" w:styleId="160">
    <w:name w:val="标书正文 字符"/>
    <w:basedOn w:val="85"/>
    <w:link w:val="159"/>
    <w:qFormat/>
    <w:uiPriority w:val="9"/>
    <w:rPr>
      <w:rFonts w:ascii="宋体" w:hAnsi="Courier New" w:cs="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3E6A2F-4C81-4D3B-A4E1-CA566984715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77</Pages>
  <Words>6566</Words>
  <Characters>37432</Characters>
  <Lines>311</Lines>
  <Paragraphs>87</Paragraphs>
  <TotalTime>38</TotalTime>
  <ScaleCrop>false</ScaleCrop>
  <LinksUpToDate>false</LinksUpToDate>
  <CharactersWithSpaces>43911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2025-12-11T03:18:00Z</dcterms:created>
  <dc:creator>ZQNet</dc:creator>
  <cp:lastModifiedBy>宁静致远</cp:lastModifiedBy>
  <cp:lastPrinted>2024-06-21T03:25:00Z</cp:lastPrinted>
  <dcterms:modified xsi:type="dcterms:W3CDTF">2026-01-21T03:07:38Z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8529CDF9BF064BA49D4FF8FC630BE1DE_13</vt:lpwstr>
  </property>
  <property fmtid="{D5CDD505-2E9C-101B-9397-08002B2CF9AE}" pid="4" name="KSOTemplateDocerSaveRecord">
    <vt:lpwstr>eyJoZGlkIjoiZDYwZjM1NGJmNTRkNGViNDg5MTM1NWZkZmExYzc1NzMiLCJ1c2VySWQiOiI2NTEyMTg0NzIifQ==</vt:lpwstr>
  </property>
</Properties>
</file>