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7CDE389">
      <w:pPr>
        <w:ind w:right="280"/>
        <w:jc w:val="both"/>
        <w:rPr>
          <w:rFonts w:ascii="楷体_GB2312" w:hAnsi="宋体" w:eastAsia="楷体_GB2312"/>
          <w:sz w:val="52"/>
          <w:szCs w:val="52"/>
        </w:rPr>
      </w:pPr>
    </w:p>
    <w:p w14:paraId="6BC57198">
      <w:pPr>
        <w:jc w:val="center"/>
        <w:rPr>
          <w:rFonts w:hint="eastAsia" w:ascii="楷体_GB2312" w:hAnsi="宋体" w:eastAsia="楷体_GB2312"/>
          <w:sz w:val="52"/>
          <w:szCs w:val="52"/>
          <w:highlight w:val="none"/>
          <w:lang w:val="en-US" w:eastAsia="zh-CN"/>
        </w:rPr>
      </w:pPr>
      <w:r>
        <w:rPr>
          <w:rFonts w:hint="eastAsia" w:ascii="楷体_GB2312" w:hAnsi="宋体" w:eastAsia="楷体_GB2312"/>
          <w:sz w:val="52"/>
          <w:szCs w:val="52"/>
          <w:highlight w:val="none"/>
          <w:lang w:val="en-US" w:eastAsia="zh-CN"/>
        </w:rPr>
        <w:t>重庆汽车职业健康体检项目</w:t>
      </w:r>
    </w:p>
    <w:p w14:paraId="6418E5FF">
      <w:pPr>
        <w:jc w:val="center"/>
        <w:rPr>
          <w:rFonts w:ascii="宋体" w:hAnsi="宋体" w:cs="宋体"/>
          <w:sz w:val="72"/>
          <w:szCs w:val="72"/>
        </w:rPr>
      </w:pPr>
      <w:r>
        <w:rPr>
          <w:rFonts w:hint="eastAsia" w:ascii="宋体" w:hAnsi="宋体" w:cs="宋体"/>
          <w:sz w:val="72"/>
          <w:szCs w:val="72"/>
        </w:rPr>
        <w:t>招标文件</w:t>
      </w:r>
    </w:p>
    <w:p w14:paraId="2A3C624C">
      <w:pPr>
        <w:jc w:val="center"/>
        <w:rPr>
          <w:rFonts w:ascii="宋体" w:hAnsi="宋体"/>
          <w:sz w:val="48"/>
          <w:szCs w:val="48"/>
        </w:rPr>
      </w:pPr>
    </w:p>
    <w:p w14:paraId="6993BE58">
      <w:pPr>
        <w:jc w:val="center"/>
        <w:rPr>
          <w:rFonts w:ascii="宋体" w:hAnsi="宋体"/>
          <w:sz w:val="48"/>
          <w:szCs w:val="48"/>
        </w:rPr>
      </w:pPr>
    </w:p>
    <w:p w14:paraId="63FA33C5">
      <w:pPr>
        <w:widowControl/>
        <w:spacing w:line="360" w:lineRule="auto"/>
        <w:ind w:firstLine="2249" w:firstLineChars="700"/>
        <w:jc w:val="both"/>
        <w:rPr>
          <w:rFonts w:hint="eastAsia" w:ascii="宋体" w:hAnsi="宋体" w:cs="宋体"/>
          <w:b/>
          <w:bCs/>
          <w:kern w:val="0"/>
          <w:sz w:val="32"/>
          <w:szCs w:val="32"/>
          <w:highlight w:val="none"/>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highlight w:val="none"/>
          <w:u w:val="single"/>
          <w:lang w:val="en-US" w:eastAsia="zh-CN"/>
        </w:rPr>
        <w:t>FSCZB2025120182</w:t>
      </w:r>
    </w:p>
    <w:p w14:paraId="10A10BCC">
      <w:pPr>
        <w:jc w:val="center"/>
        <w:rPr>
          <w:rFonts w:ascii="宋体" w:hAnsi="宋体"/>
          <w:sz w:val="48"/>
          <w:szCs w:val="48"/>
        </w:rPr>
      </w:pPr>
    </w:p>
    <w:p w14:paraId="111CA3F9">
      <w:pPr>
        <w:jc w:val="both"/>
        <w:rPr>
          <w:rFonts w:ascii="宋体" w:hAnsi="宋体"/>
          <w:sz w:val="28"/>
          <w:szCs w:val="28"/>
        </w:rPr>
      </w:pPr>
    </w:p>
    <w:p w14:paraId="12CB50D1">
      <w:pPr>
        <w:jc w:val="center"/>
        <w:rPr>
          <w:rFonts w:ascii="宋体" w:hAnsi="宋体"/>
          <w:sz w:val="28"/>
          <w:szCs w:val="28"/>
        </w:rPr>
      </w:pPr>
    </w:p>
    <w:p w14:paraId="1CE80EBC">
      <w:pPr>
        <w:jc w:val="center"/>
        <w:rPr>
          <w:rFonts w:ascii="宋体" w:hAnsi="宋体"/>
          <w:sz w:val="28"/>
          <w:szCs w:val="28"/>
        </w:rPr>
      </w:pPr>
      <w:r>
        <w:rPr>
          <w:rFonts w:hint="eastAsia" w:ascii="宋体" w:hAnsi="宋体"/>
          <w:sz w:val="28"/>
          <w:szCs w:val="28"/>
        </w:rPr>
        <w:t>招 标 人：重汽（重庆）轻型汽车有限公司</w:t>
      </w:r>
    </w:p>
    <w:p w14:paraId="0D8A0D9A">
      <w:pPr>
        <w:jc w:val="center"/>
        <w:rPr>
          <w:rFonts w:ascii="宋体" w:hAnsi="宋体"/>
          <w:sz w:val="28"/>
          <w:szCs w:val="28"/>
        </w:rPr>
      </w:pPr>
    </w:p>
    <w:p w14:paraId="09CB3C92">
      <w:pPr>
        <w:jc w:val="center"/>
        <w:rPr>
          <w:rFonts w:ascii="宋体" w:hAnsi="宋体"/>
          <w:b/>
          <w:bCs/>
          <w:sz w:val="48"/>
          <w:szCs w:val="48"/>
        </w:rPr>
      </w:pPr>
      <w:r>
        <w:rPr>
          <w:rFonts w:hint="eastAsia" w:ascii="宋体" w:hAnsi="宋体"/>
          <w:sz w:val="28"/>
          <w:szCs w:val="28"/>
          <w:u w:val="single"/>
        </w:rPr>
        <w:t>20</w:t>
      </w:r>
      <w:r>
        <w:rPr>
          <w:rFonts w:hint="eastAsia" w:ascii="宋体" w:hAnsi="宋体"/>
          <w:sz w:val="28"/>
          <w:szCs w:val="28"/>
          <w:u w:val="single"/>
          <w:lang w:val="en-US" w:eastAsia="zh-CN"/>
        </w:rPr>
        <w:t>25</w:t>
      </w:r>
      <w:r>
        <w:rPr>
          <w:rFonts w:hint="eastAsia" w:ascii="宋体" w:hAnsi="宋体"/>
          <w:sz w:val="28"/>
          <w:szCs w:val="28"/>
          <w:u w:val="single"/>
        </w:rPr>
        <w:t>年</w:t>
      </w:r>
      <w:r>
        <w:rPr>
          <w:rFonts w:hint="eastAsia" w:ascii="宋体" w:hAnsi="宋体"/>
          <w:sz w:val="28"/>
          <w:szCs w:val="28"/>
          <w:highlight w:val="none"/>
          <w:u w:val="single"/>
          <w:lang w:val="en-US" w:eastAsia="zh-CN"/>
        </w:rPr>
        <w:t>12</w:t>
      </w:r>
      <w:r>
        <w:rPr>
          <w:rFonts w:hint="eastAsia" w:ascii="宋体" w:hAnsi="宋体"/>
          <w:sz w:val="28"/>
          <w:szCs w:val="28"/>
          <w:u w:val="single"/>
        </w:rPr>
        <w:t>月</w:t>
      </w:r>
    </w:p>
    <w:p w14:paraId="2A256B4F">
      <w:pPr>
        <w:spacing w:line="480" w:lineRule="auto"/>
        <w:jc w:val="center"/>
        <w:rPr>
          <w:rFonts w:ascii="宋体" w:hAnsi="宋体"/>
          <w:b/>
          <w:bCs/>
          <w:sz w:val="48"/>
          <w:szCs w:val="48"/>
        </w:rPr>
        <w:sectPr>
          <w:footerReference r:id="rId5" w:type="first"/>
          <w:footerReference r:id="rId3" w:type="default"/>
          <w:footerReference r:id="rId4"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olor w:val="auto"/>
          <w:kern w:val="2"/>
          <w:sz w:val="21"/>
          <w:szCs w:val="20"/>
          <w:lang w:val="zh-CN"/>
        </w:rPr>
      </w:sdtEndPr>
      <w:sdtContent>
        <w:p w14:paraId="176426B1">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46B5AC1E">
          <w:pPr>
            <w:pStyle w:val="20"/>
            <w:tabs>
              <w:tab w:val="right" w:leader="middle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rPr>
              <w:rFonts w:hint="eastAsia" w:ascii="Calibri" w:hAnsi="Calibri"/>
              <w:bCs/>
              <w:kern w:val="44"/>
              <w:szCs w:val="44"/>
            </w:rPr>
            <w:fldChar w:fldCharType="begin"/>
          </w:r>
          <w:r>
            <w:rPr>
              <w:rFonts w:hint="eastAsia" w:ascii="Calibri" w:hAnsi="Calibri"/>
              <w:bCs/>
              <w:kern w:val="44"/>
              <w:szCs w:val="44"/>
            </w:rPr>
            <w:instrText xml:space="preserve"> HYPERLINK \l _Toc7104 </w:instrText>
          </w:r>
          <w:r>
            <w:rPr>
              <w:rFonts w:hint="eastAsia" w:ascii="Calibri" w:hAnsi="Calibri"/>
              <w:bCs/>
              <w:kern w:val="44"/>
              <w:szCs w:val="44"/>
            </w:rPr>
            <w:fldChar w:fldCharType="separate"/>
          </w:r>
          <w:r>
            <w:rPr>
              <w:rFonts w:hint="eastAsia"/>
            </w:rPr>
            <w:t>招标公告</w:t>
          </w:r>
          <w:r>
            <w:tab/>
          </w:r>
          <w:r>
            <w:fldChar w:fldCharType="begin"/>
          </w:r>
          <w:r>
            <w:instrText xml:space="preserve"> PAGEREF _Toc7104 \h </w:instrText>
          </w:r>
          <w:r>
            <w:fldChar w:fldCharType="separate"/>
          </w:r>
          <w:r>
            <w:t>- 1 -</w:t>
          </w:r>
          <w:r>
            <w:fldChar w:fldCharType="end"/>
          </w:r>
          <w:r>
            <w:rPr>
              <w:rFonts w:hint="eastAsia" w:ascii="Calibri" w:hAnsi="Calibri"/>
              <w:bCs/>
              <w:kern w:val="44"/>
              <w:szCs w:val="44"/>
            </w:rPr>
            <w:fldChar w:fldCharType="end"/>
          </w:r>
        </w:p>
        <w:p w14:paraId="3718B9B5">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_Toc7753 </w:instrText>
          </w:r>
          <w:r>
            <w:rPr>
              <w:rFonts w:hint="eastAsia" w:ascii="Calibri" w:hAnsi="Calibri" w:eastAsia="宋体" w:cs="Times New Roman"/>
              <w:bCs/>
              <w:kern w:val="44"/>
              <w:szCs w:val="44"/>
            </w:rPr>
            <w:fldChar w:fldCharType="separate"/>
          </w:r>
          <w:r>
            <w:rPr>
              <w:rFonts w:hint="eastAsia"/>
            </w:rPr>
            <w:t>第一部分  投标人须知</w:t>
          </w:r>
          <w:r>
            <w:tab/>
          </w:r>
          <w:r>
            <w:fldChar w:fldCharType="begin"/>
          </w:r>
          <w:r>
            <w:instrText xml:space="preserve"> PAGEREF _Toc7753 \h </w:instrText>
          </w:r>
          <w:r>
            <w:fldChar w:fldCharType="separate"/>
          </w:r>
          <w:r>
            <w:t>- 2 -</w:t>
          </w:r>
          <w:r>
            <w:fldChar w:fldCharType="end"/>
          </w:r>
          <w:r>
            <w:rPr>
              <w:rFonts w:hint="eastAsia" w:ascii="Calibri" w:hAnsi="Calibri" w:eastAsia="宋体" w:cs="Times New Roman"/>
              <w:bCs/>
              <w:kern w:val="44"/>
              <w:szCs w:val="44"/>
            </w:rPr>
            <w:fldChar w:fldCharType="end"/>
          </w:r>
        </w:p>
        <w:p w14:paraId="4D6E9C52">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_Toc1910 </w:instrText>
          </w:r>
          <w:r>
            <w:rPr>
              <w:rFonts w:hint="eastAsia" w:ascii="Calibri" w:hAnsi="Calibri" w:eastAsia="宋体" w:cs="Times New Roman"/>
              <w:bCs/>
              <w:kern w:val="44"/>
              <w:szCs w:val="44"/>
            </w:rPr>
            <w:fldChar w:fldCharType="separate"/>
          </w:r>
          <w:r>
            <w:rPr>
              <w:rFonts w:hint="eastAsia"/>
            </w:rPr>
            <w:t>第二部分　</w:t>
          </w:r>
          <w:r>
            <w:rPr>
              <w:rFonts w:hint="eastAsia"/>
              <w:lang w:val="en-US" w:eastAsia="zh-CN"/>
            </w:rPr>
            <w:t>技术标书</w:t>
          </w:r>
          <w:r>
            <w:tab/>
          </w:r>
          <w:r>
            <w:fldChar w:fldCharType="begin"/>
          </w:r>
          <w:r>
            <w:instrText xml:space="preserve"> PAGEREF _Toc1910 \h </w:instrText>
          </w:r>
          <w:r>
            <w:fldChar w:fldCharType="separate"/>
          </w:r>
          <w:r>
            <w:t>- 8 -</w:t>
          </w:r>
          <w:r>
            <w:fldChar w:fldCharType="end"/>
          </w:r>
          <w:r>
            <w:rPr>
              <w:rFonts w:hint="eastAsia" w:ascii="Calibri" w:hAnsi="Calibri" w:eastAsia="宋体" w:cs="Times New Roman"/>
              <w:bCs/>
              <w:kern w:val="44"/>
              <w:szCs w:val="44"/>
            </w:rPr>
            <w:fldChar w:fldCharType="end"/>
          </w:r>
        </w:p>
        <w:p w14:paraId="5D6BEB3E">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_Toc20595 </w:instrText>
          </w:r>
          <w:r>
            <w:rPr>
              <w:rFonts w:hint="eastAsia" w:ascii="Calibri" w:hAnsi="Calibri" w:eastAsia="宋体" w:cs="Times New Roman"/>
              <w:bCs/>
              <w:kern w:val="44"/>
              <w:szCs w:val="44"/>
            </w:rPr>
            <w:fldChar w:fldCharType="separate"/>
          </w:r>
          <w:r>
            <w:rPr>
              <w:rFonts w:hint="eastAsia"/>
            </w:rPr>
            <w:t>第三部分　合同主要条款</w:t>
          </w:r>
          <w:r>
            <w:tab/>
          </w:r>
          <w:r>
            <w:fldChar w:fldCharType="begin"/>
          </w:r>
          <w:r>
            <w:instrText xml:space="preserve"> PAGEREF _Toc20595 \h </w:instrText>
          </w:r>
          <w:r>
            <w:fldChar w:fldCharType="separate"/>
          </w:r>
          <w:r>
            <w:t>- 8 -</w:t>
          </w:r>
          <w:r>
            <w:fldChar w:fldCharType="end"/>
          </w:r>
          <w:r>
            <w:rPr>
              <w:rFonts w:hint="eastAsia" w:ascii="Calibri" w:hAnsi="Calibri" w:eastAsia="宋体" w:cs="Times New Roman"/>
              <w:bCs/>
              <w:kern w:val="44"/>
              <w:szCs w:val="44"/>
            </w:rPr>
            <w:fldChar w:fldCharType="end"/>
          </w:r>
        </w:p>
        <w:p w14:paraId="7691DBF9">
          <w:pPr>
            <w:pStyle w:val="20"/>
            <w:tabs>
              <w:tab w:val="right" w:leader="middleDot" w:pos="9070"/>
              <w:tab w:val="clear" w:pos="8729"/>
            </w:tabs>
          </w:pPr>
          <w:r>
            <w:rPr>
              <w:rFonts w:hint="eastAsia" w:ascii="Calibri" w:hAnsi="Calibri" w:eastAsia="宋体" w:cs="Times New Roman"/>
              <w:bCs/>
              <w:kern w:val="44"/>
              <w:szCs w:val="44"/>
            </w:rPr>
            <w:fldChar w:fldCharType="begin"/>
          </w:r>
          <w:r>
            <w:rPr>
              <w:rFonts w:hint="eastAsia" w:ascii="Calibri" w:hAnsi="Calibri" w:eastAsia="宋体" w:cs="Times New Roman"/>
              <w:bCs/>
              <w:kern w:val="44"/>
              <w:szCs w:val="44"/>
            </w:rPr>
            <w:instrText xml:space="preserve"> HYPERLINK \l _Toc5925 </w:instrText>
          </w:r>
          <w:r>
            <w:rPr>
              <w:rFonts w:hint="eastAsia" w:ascii="Calibri" w:hAnsi="Calibri" w:eastAsia="宋体" w:cs="Times New Roman"/>
              <w:bCs/>
              <w:kern w:val="44"/>
              <w:szCs w:val="44"/>
            </w:rPr>
            <w:fldChar w:fldCharType="separate"/>
          </w:r>
          <w:r>
            <w:rPr>
              <w:rFonts w:hint="eastAsia"/>
            </w:rPr>
            <w:t>第四部分　</w:t>
          </w:r>
          <w:r>
            <w:rPr>
              <w:rFonts w:hint="eastAsia"/>
              <w:lang w:val="en-US" w:eastAsia="zh-CN"/>
            </w:rPr>
            <w:t>投标文件附件</w:t>
          </w:r>
          <w:r>
            <w:tab/>
          </w:r>
          <w:r>
            <w:fldChar w:fldCharType="begin"/>
          </w:r>
          <w:r>
            <w:instrText xml:space="preserve"> PAGEREF _Toc5925 \h </w:instrText>
          </w:r>
          <w:r>
            <w:fldChar w:fldCharType="separate"/>
          </w:r>
          <w:r>
            <w:t>- 9 -</w:t>
          </w:r>
          <w:r>
            <w:fldChar w:fldCharType="end"/>
          </w:r>
          <w:r>
            <w:rPr>
              <w:rFonts w:hint="eastAsia" w:ascii="Calibri" w:hAnsi="Calibri" w:eastAsia="宋体" w:cs="Times New Roman"/>
              <w:bCs/>
              <w:kern w:val="44"/>
              <w:szCs w:val="44"/>
            </w:rPr>
            <w:fldChar w:fldCharType="end"/>
          </w:r>
        </w:p>
        <w:p w14:paraId="6617A57C">
          <w:pPr>
            <w:pStyle w:val="20"/>
          </w:pPr>
          <w:r>
            <w:rPr>
              <w:rFonts w:hint="eastAsia" w:ascii="Calibri" w:hAnsi="Calibri" w:eastAsia="宋体" w:cs="Times New Roman"/>
              <w:bCs/>
              <w:kern w:val="44"/>
              <w:szCs w:val="44"/>
            </w:rPr>
            <w:fldChar w:fldCharType="end"/>
          </w:r>
        </w:p>
      </w:sdtContent>
    </w:sdt>
    <w:p w14:paraId="582BF911">
      <w:pPr>
        <w:pStyle w:val="14"/>
        <w:tabs>
          <w:tab w:val="left" w:pos="2940"/>
        </w:tabs>
        <w:spacing w:line="360" w:lineRule="auto"/>
      </w:pPr>
      <w:r>
        <w:tab/>
      </w:r>
    </w:p>
    <w:p w14:paraId="29FEE1FC">
      <w:pPr>
        <w:pStyle w:val="14"/>
        <w:spacing w:line="360" w:lineRule="auto"/>
        <w:jc w:val="center"/>
      </w:pPr>
    </w:p>
    <w:p w14:paraId="31D57579">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0230EEDA">
      <w:pPr>
        <w:pStyle w:val="71"/>
      </w:pPr>
      <w:bookmarkStart w:id="0" w:name="_Toc7104"/>
      <w:bookmarkStart w:id="1" w:name="_Toc47976587"/>
      <w:r>
        <w:rPr>
          <w:rFonts w:hint="eastAsia"/>
        </w:rPr>
        <w:t>招标公告</w:t>
      </w:r>
      <w:bookmarkEnd w:id="0"/>
      <w:bookmarkEnd w:id="1"/>
    </w:p>
    <w:p w14:paraId="3B867C39">
      <w:pPr>
        <w:pStyle w:val="71"/>
        <w:rPr>
          <w:rFonts w:hint="eastAsia"/>
        </w:rPr>
      </w:pPr>
    </w:p>
    <w:p w14:paraId="2A47C58A">
      <w:pPr>
        <w:pStyle w:val="72"/>
      </w:pPr>
      <w:bookmarkStart w:id="2" w:name="_Toc47976588"/>
      <w:r>
        <w:rPr>
          <w:rFonts w:hint="eastAsia"/>
        </w:rPr>
        <w:t>项目名称及项目编号</w:t>
      </w:r>
      <w:bookmarkEnd w:id="2"/>
    </w:p>
    <w:p w14:paraId="1E71F649">
      <w:pPr>
        <w:pStyle w:val="73"/>
        <w:rPr>
          <w:highlight w:val="none"/>
        </w:rPr>
      </w:pPr>
      <w:r>
        <w:rPr>
          <w:rFonts w:hint="eastAsia"/>
          <w:highlight w:val="none"/>
        </w:rPr>
        <w:t>项目名称：</w:t>
      </w:r>
      <w:r>
        <w:rPr>
          <w:rFonts w:hint="eastAsia"/>
          <w:highlight w:val="none"/>
          <w:lang w:val="en-US" w:eastAsia="zh-CN"/>
        </w:rPr>
        <w:t>重庆汽车职业健康体检项目</w:t>
      </w:r>
    </w:p>
    <w:p w14:paraId="15020D03">
      <w:pPr>
        <w:pStyle w:val="73"/>
      </w:pPr>
      <w:r>
        <w:rPr>
          <w:rFonts w:hint="eastAsia"/>
        </w:rPr>
        <w:t>项目编号：FSCZB2025120182</w:t>
      </w:r>
    </w:p>
    <w:p w14:paraId="0AB9F24D">
      <w:pPr>
        <w:pStyle w:val="72"/>
      </w:pPr>
      <w:bookmarkStart w:id="3" w:name="_Toc47976589"/>
      <w:r>
        <w:rPr>
          <w:rFonts w:hint="eastAsia"/>
          <w:lang w:val="en-US" w:eastAsia="zh-CN"/>
        </w:rPr>
        <w:t>项目概况</w:t>
      </w:r>
      <w:r>
        <w:rPr>
          <w:rFonts w:hint="eastAsia"/>
        </w:rPr>
        <w:t>及招标形式</w:t>
      </w:r>
      <w:bookmarkEnd w:id="3"/>
    </w:p>
    <w:p w14:paraId="1A912F05">
      <w:pPr>
        <w:pStyle w:val="73"/>
        <w:numPr>
          <w:ilvl w:val="0"/>
          <w:numId w:val="9"/>
        </w:numPr>
      </w:pPr>
      <w:r>
        <w:rPr>
          <w:rFonts w:hint="eastAsia"/>
          <w:highlight w:val="none"/>
          <w:lang w:val="en-US" w:eastAsia="zh-CN"/>
        </w:rPr>
        <w:t>项目概况</w:t>
      </w:r>
      <w:r>
        <w:rPr>
          <w:rFonts w:hint="eastAsia"/>
        </w:rPr>
        <w:t>：</w:t>
      </w:r>
    </w:p>
    <w:p w14:paraId="2017AEA6">
      <w:pPr>
        <w:pStyle w:val="73"/>
        <w:numPr>
          <w:ilvl w:val="0"/>
          <w:numId w:val="0"/>
        </w:numPr>
        <w:ind w:left="710" w:leftChars="0"/>
        <w:rPr>
          <w:rFonts w:hint="eastAsia"/>
          <w:b w:val="0"/>
          <w:bCs/>
        </w:rPr>
      </w:pPr>
      <w:r>
        <w:rPr>
          <w:rFonts w:hint="eastAsia"/>
          <w:b w:val="0"/>
          <w:bCs/>
        </w:rPr>
        <w:t>重汽（重庆）轻型汽车有限公司位于重庆市江津区双福生产基地在进行生产经营活动中，需对涉及职业病危害因素岗位人员的职业健康进行体检。现委托中标人，对生产基地涉及职业病危害因素岗位人员的职业健康进行体检，包括上岗前、在岗期间、离岗时、应急体检。</w:t>
      </w:r>
    </w:p>
    <w:p w14:paraId="4EC58B63">
      <w:pPr>
        <w:pStyle w:val="73"/>
        <w:numPr>
          <w:ilvl w:val="0"/>
          <w:numId w:val="0"/>
        </w:numPr>
        <w:ind w:left="710" w:leftChars="0"/>
        <w:rPr>
          <w:rFonts w:hint="default"/>
          <w:lang w:val="en-US"/>
        </w:rPr>
      </w:pPr>
      <w:r>
        <w:rPr>
          <w:rFonts w:hint="eastAsia"/>
        </w:rPr>
        <w:t>招标形式：</w:t>
      </w:r>
      <w:r>
        <w:rPr>
          <w:rFonts w:hint="eastAsia"/>
          <w:b w:val="0"/>
          <w:bCs/>
          <w:highlight w:val="none"/>
          <w:lang w:val="en-US" w:eastAsia="zh-CN"/>
        </w:rPr>
        <w:t>公开招标</w:t>
      </w:r>
    </w:p>
    <w:p w14:paraId="0B813421">
      <w:pPr>
        <w:pStyle w:val="72"/>
        <w:rPr>
          <w:highlight w:val="none"/>
        </w:rPr>
      </w:pPr>
      <w:bookmarkStart w:id="4" w:name="_Toc47976590"/>
      <w:r>
        <w:rPr>
          <w:rFonts w:hint="eastAsia"/>
          <w:highlight w:val="none"/>
        </w:rPr>
        <w:t>投标人资格要求</w:t>
      </w:r>
      <w:bookmarkEnd w:id="4"/>
    </w:p>
    <w:p w14:paraId="41703A27">
      <w:pPr>
        <w:pStyle w:val="73"/>
        <w:numPr>
          <w:ilvl w:val="0"/>
          <w:numId w:val="10"/>
        </w:numPr>
        <w:bidi w:val="0"/>
        <w:rPr>
          <w:rFonts w:hint="eastAsia"/>
          <w:highlight w:val="none"/>
          <w:lang w:val="en-US" w:eastAsia="zh-CN"/>
        </w:rPr>
      </w:pPr>
      <w:r>
        <w:rPr>
          <w:rFonts w:hint="eastAsia"/>
          <w:highlight w:val="none"/>
          <w:lang w:val="en-US" w:eastAsia="zh-CN"/>
        </w:rPr>
        <w:t>应标报名投标人条件</w:t>
      </w:r>
    </w:p>
    <w:p w14:paraId="314E9649">
      <w:pPr>
        <w:pStyle w:val="63"/>
        <w:numPr>
          <w:ilvl w:val="0"/>
          <w:numId w:val="11"/>
        </w:numPr>
        <w:adjustRightInd w:val="0"/>
        <w:snapToGrid w:val="0"/>
        <w:spacing w:line="360" w:lineRule="auto"/>
        <w:ind w:left="480" w:hanging="480" w:hangingChars="200"/>
        <w:jc w:val="left"/>
        <w:rPr>
          <w:rFonts w:hint="eastAsia" w:ascii="仿宋" w:hAnsi="仿宋" w:eastAsia="仿宋" w:cs="Times New Roman"/>
          <w:bCs/>
          <w:sz w:val="24"/>
          <w:szCs w:val="24"/>
        </w:rPr>
      </w:pPr>
      <w:r>
        <w:rPr>
          <w:rFonts w:hint="eastAsia" w:ascii="仿宋" w:hAnsi="仿宋" w:eastAsia="仿宋"/>
          <w:bCs/>
          <w:sz w:val="24"/>
          <w:szCs w:val="24"/>
        </w:rPr>
        <w:t>投标方必须是在中华人民共和国境内注册的独立法人机构，具</w:t>
      </w:r>
      <w:r>
        <w:rPr>
          <w:rFonts w:hint="eastAsia" w:ascii="仿宋" w:hAnsi="仿宋" w:eastAsia="仿宋" w:cs="Times New Roman"/>
          <w:bCs/>
          <w:sz w:val="24"/>
          <w:szCs w:val="24"/>
        </w:rPr>
        <w:t>有独立承担民事责任能力</w:t>
      </w:r>
      <w:r>
        <w:rPr>
          <w:rFonts w:hint="eastAsia" w:ascii="仿宋" w:hAnsi="仿宋" w:eastAsia="仿宋" w:cs="Times New Roman"/>
          <w:bCs/>
          <w:sz w:val="24"/>
          <w:szCs w:val="24"/>
          <w:lang w:eastAsia="zh-CN"/>
        </w:rPr>
        <w:t>，</w:t>
      </w:r>
      <w:r>
        <w:rPr>
          <w:rFonts w:hint="eastAsia" w:ascii="仿宋" w:hAnsi="仿宋" w:eastAsia="仿宋" w:cs="Times New Roman"/>
          <w:bCs/>
          <w:sz w:val="24"/>
          <w:szCs w:val="24"/>
        </w:rPr>
        <w:t>且成立三年以上（含三年，以注册日期开始计算，至开标之日不少于三年）</w:t>
      </w:r>
      <w:r>
        <w:rPr>
          <w:rFonts w:hint="eastAsia" w:ascii="仿宋" w:hAnsi="仿宋" w:eastAsia="仿宋" w:cs="Times New Roman"/>
          <w:bCs/>
          <w:sz w:val="24"/>
          <w:szCs w:val="24"/>
          <w:lang w:eastAsia="zh-CN"/>
        </w:rPr>
        <w:t>。</w:t>
      </w:r>
    </w:p>
    <w:p w14:paraId="618F94A2">
      <w:pPr>
        <w:pStyle w:val="63"/>
        <w:numPr>
          <w:ilvl w:val="0"/>
          <w:numId w:val="11"/>
        </w:numPr>
        <w:adjustRightInd w:val="0"/>
        <w:snapToGrid w:val="0"/>
        <w:spacing w:line="360" w:lineRule="auto"/>
        <w:ind w:left="480" w:hanging="480" w:hangingChars="200"/>
        <w:jc w:val="left"/>
        <w:rPr>
          <w:rFonts w:hint="eastAsia" w:ascii="仿宋" w:hAnsi="仿宋" w:eastAsia="仿宋"/>
          <w:bCs/>
          <w:sz w:val="24"/>
          <w:szCs w:val="24"/>
        </w:rPr>
      </w:pPr>
      <w:r>
        <w:rPr>
          <w:rFonts w:hint="eastAsia" w:ascii="仿宋" w:hAnsi="仿宋" w:eastAsia="仿宋"/>
          <w:bCs/>
          <w:sz w:val="24"/>
          <w:szCs w:val="24"/>
        </w:rPr>
        <w:t>投标方的注册资</w:t>
      </w:r>
      <w:r>
        <w:rPr>
          <w:rFonts w:hint="eastAsia" w:ascii="仿宋" w:hAnsi="仿宋" w:eastAsia="仿宋"/>
          <w:bCs/>
          <w:color w:val="auto"/>
          <w:sz w:val="24"/>
          <w:szCs w:val="24"/>
        </w:rPr>
        <w:t>本不少于</w:t>
      </w:r>
      <w:r>
        <w:rPr>
          <w:rFonts w:hint="eastAsia" w:ascii="仿宋" w:hAnsi="仿宋" w:eastAsia="仿宋"/>
          <w:bCs/>
          <w:color w:val="auto"/>
          <w:sz w:val="24"/>
          <w:szCs w:val="24"/>
          <w:lang w:val="en-US" w:eastAsia="zh-CN"/>
        </w:rPr>
        <w:t>50</w:t>
      </w:r>
      <w:r>
        <w:rPr>
          <w:rFonts w:hint="eastAsia" w:ascii="仿宋" w:hAnsi="仿宋" w:eastAsia="仿宋"/>
          <w:bCs/>
          <w:sz w:val="24"/>
          <w:szCs w:val="24"/>
        </w:rPr>
        <w:t>万元人民币（或等值其他货币），近</w:t>
      </w:r>
      <w:r>
        <w:rPr>
          <w:rFonts w:hint="eastAsia" w:ascii="仿宋" w:hAnsi="仿宋" w:eastAsia="仿宋"/>
          <w:bCs/>
          <w:sz w:val="24"/>
          <w:szCs w:val="24"/>
          <w:lang w:val="en-US" w:eastAsia="zh-CN"/>
        </w:rPr>
        <w:t>两</w:t>
      </w:r>
      <w:r>
        <w:rPr>
          <w:rFonts w:hint="eastAsia" w:ascii="仿宋" w:hAnsi="仿宋" w:eastAsia="仿宋"/>
          <w:bCs/>
          <w:sz w:val="24"/>
          <w:szCs w:val="24"/>
        </w:rPr>
        <w:t>年（截止到报名时）三个以上同类型项目的业绩证明。</w:t>
      </w:r>
    </w:p>
    <w:p w14:paraId="3EAA4154">
      <w:pPr>
        <w:pStyle w:val="63"/>
        <w:numPr>
          <w:ilvl w:val="0"/>
          <w:numId w:val="11"/>
        </w:numPr>
        <w:adjustRightInd w:val="0"/>
        <w:snapToGrid w:val="0"/>
        <w:spacing w:line="360" w:lineRule="auto"/>
        <w:ind w:left="480" w:hanging="480" w:hangingChars="200"/>
        <w:jc w:val="left"/>
        <w:rPr>
          <w:rFonts w:hint="eastAsia" w:ascii="仿宋" w:hAnsi="仿宋" w:eastAsia="仿宋"/>
          <w:bCs/>
          <w:sz w:val="24"/>
          <w:szCs w:val="24"/>
        </w:rPr>
      </w:pPr>
      <w:r>
        <w:rPr>
          <w:rFonts w:hint="eastAsia" w:ascii="仿宋" w:hAnsi="仿宋" w:eastAsia="仿宋" w:cs="Times New Roman"/>
          <w:bCs/>
          <w:sz w:val="24"/>
          <w:szCs w:val="24"/>
        </w:rPr>
        <w:t>满足《医疗机构管理条例》、《职业健康检查管理办法》要求，持有有效的《医疗机构执业许可证》及副本，满足《重庆市卫生健康委员会关于印发重庆市职业健康检查机构备案管理规定的通知》要求，在《重庆市职业健康检查机构备案名单》内，持有《职业健康检查机构备案回执》</w:t>
      </w:r>
      <w:r>
        <w:rPr>
          <w:rFonts w:hint="eastAsia" w:ascii="仿宋" w:hAnsi="仿宋" w:eastAsia="仿宋" w:cs="Times New Roman"/>
          <w:bCs/>
          <w:sz w:val="24"/>
          <w:szCs w:val="24"/>
          <w:lang w:eastAsia="zh-CN"/>
        </w:rPr>
        <w:t>。</w:t>
      </w:r>
    </w:p>
    <w:p w14:paraId="74827999">
      <w:pPr>
        <w:pStyle w:val="63"/>
        <w:numPr>
          <w:ilvl w:val="0"/>
          <w:numId w:val="11"/>
        </w:numPr>
        <w:adjustRightInd w:val="0"/>
        <w:snapToGrid w:val="0"/>
        <w:spacing w:line="360" w:lineRule="auto"/>
        <w:ind w:left="480" w:hanging="480" w:hangingChars="200"/>
        <w:jc w:val="left"/>
        <w:rPr>
          <w:rFonts w:hint="eastAsia" w:ascii="仿宋" w:hAnsi="仿宋" w:eastAsia="仿宋"/>
          <w:bCs/>
          <w:sz w:val="24"/>
          <w:szCs w:val="24"/>
        </w:rPr>
      </w:pPr>
      <w:r>
        <w:rPr>
          <w:rFonts w:hint="eastAsia" w:ascii="仿宋" w:hAnsi="仿宋" w:eastAsia="仿宋"/>
          <w:bCs/>
          <w:sz w:val="24"/>
          <w:szCs w:val="24"/>
        </w:rPr>
        <w:t>投标方满足技术、质量、资金等要求，财务状况良好、经营稳定，具有全面履约的能力。</w:t>
      </w:r>
    </w:p>
    <w:p w14:paraId="4386301E">
      <w:pPr>
        <w:pStyle w:val="63"/>
        <w:numPr>
          <w:ilvl w:val="0"/>
          <w:numId w:val="11"/>
        </w:numPr>
        <w:adjustRightInd w:val="0"/>
        <w:snapToGrid w:val="0"/>
        <w:spacing w:line="360" w:lineRule="auto"/>
        <w:ind w:left="480" w:hanging="480" w:hangingChars="200"/>
        <w:jc w:val="left"/>
        <w:rPr>
          <w:rFonts w:hint="eastAsia" w:ascii="仿宋" w:hAnsi="仿宋" w:eastAsia="仿宋" w:cs="Times New Roman"/>
          <w:bCs/>
          <w:kern w:val="2"/>
          <w:sz w:val="24"/>
          <w:szCs w:val="24"/>
          <w:lang w:val="en-US" w:eastAsia="zh-CN" w:bidi="ar-SA"/>
        </w:rPr>
      </w:pPr>
      <w:r>
        <w:rPr>
          <w:rFonts w:hint="eastAsia" w:ascii="仿宋" w:hAnsi="仿宋" w:eastAsia="仿宋"/>
          <w:bCs/>
          <w:sz w:val="24"/>
          <w:szCs w:val="24"/>
        </w:rPr>
        <w:t>投标方有专业售后服务团队，满足我司售后服务要求。</w:t>
      </w:r>
    </w:p>
    <w:p w14:paraId="7067EE7E">
      <w:pPr>
        <w:pStyle w:val="63"/>
        <w:numPr>
          <w:ilvl w:val="0"/>
          <w:numId w:val="11"/>
        </w:numPr>
        <w:adjustRightInd w:val="0"/>
        <w:snapToGrid w:val="0"/>
        <w:spacing w:line="360" w:lineRule="auto"/>
        <w:ind w:left="480" w:hanging="480" w:hangingChars="200"/>
        <w:jc w:val="left"/>
        <w:rPr>
          <w:rFonts w:hint="eastAsia" w:ascii="仿宋" w:hAnsi="仿宋" w:eastAsia="仿宋"/>
          <w:bCs/>
          <w:sz w:val="24"/>
          <w:szCs w:val="24"/>
        </w:rPr>
      </w:pPr>
      <w:r>
        <w:rPr>
          <w:rFonts w:hint="eastAsia" w:ascii="仿宋" w:hAnsi="仿宋" w:eastAsia="仿宋"/>
          <w:bCs/>
          <w:sz w:val="24"/>
          <w:szCs w:val="24"/>
        </w:rPr>
        <w:t>投标方信誉良好，无违法违规等不良行</w:t>
      </w:r>
      <w:r>
        <w:rPr>
          <w:rFonts w:hint="eastAsia" w:ascii="仿宋" w:hAnsi="仿宋" w:eastAsia="仿宋" w:cs="Times New Roman"/>
          <w:bCs/>
          <w:kern w:val="2"/>
          <w:sz w:val="24"/>
          <w:szCs w:val="24"/>
          <w:lang w:val="en-US" w:eastAsia="zh-CN" w:bidi="ar-SA"/>
        </w:rPr>
        <w:t>为，近三年内无</w:t>
      </w:r>
      <w:r>
        <w:rPr>
          <w:rFonts w:hint="eastAsia" w:ascii="仿宋" w:hAnsi="仿宋" w:eastAsia="仿宋"/>
          <w:bCs/>
          <w:sz w:val="24"/>
          <w:szCs w:val="24"/>
          <w:lang w:val="en-US" w:eastAsia="zh-CN"/>
        </w:rPr>
        <w:t>违法及重大违规记录</w:t>
      </w:r>
      <w:r>
        <w:rPr>
          <w:rFonts w:hint="eastAsia" w:ascii="仿宋" w:hAnsi="仿宋" w:eastAsia="仿宋"/>
          <w:bCs/>
          <w:sz w:val="24"/>
          <w:szCs w:val="24"/>
        </w:rPr>
        <w:t>及重大医疗事故记录</w:t>
      </w:r>
      <w:r>
        <w:rPr>
          <w:rFonts w:hint="eastAsia" w:ascii="仿宋" w:hAnsi="仿宋" w:eastAsia="仿宋"/>
          <w:bCs/>
          <w:sz w:val="24"/>
          <w:szCs w:val="24"/>
          <w:lang w:val="en-US" w:eastAsia="zh-CN"/>
        </w:rPr>
        <w:t>，</w:t>
      </w:r>
      <w:r>
        <w:rPr>
          <w:rFonts w:hint="eastAsia" w:ascii="仿宋" w:hAnsi="仿宋" w:eastAsia="仿宋"/>
          <w:bCs/>
          <w:sz w:val="24"/>
          <w:szCs w:val="24"/>
        </w:rPr>
        <w:t>未受到过相关行政部门的处罚</w:t>
      </w:r>
      <w:r>
        <w:rPr>
          <w:rFonts w:hint="eastAsia" w:ascii="仿宋" w:hAnsi="仿宋" w:eastAsia="仿宋"/>
          <w:bCs/>
          <w:sz w:val="24"/>
          <w:szCs w:val="24"/>
          <w:lang w:eastAsia="zh-CN"/>
        </w:rPr>
        <w:t>；</w:t>
      </w:r>
    </w:p>
    <w:p w14:paraId="7D5B2CB5">
      <w:pPr>
        <w:pStyle w:val="63"/>
        <w:numPr>
          <w:ilvl w:val="0"/>
          <w:numId w:val="11"/>
        </w:numPr>
        <w:adjustRightInd w:val="0"/>
        <w:snapToGrid w:val="0"/>
        <w:spacing w:line="360" w:lineRule="auto"/>
        <w:ind w:left="480" w:hanging="480" w:hangingChars="200"/>
        <w:jc w:val="left"/>
        <w:rPr>
          <w:rFonts w:hint="eastAsia" w:ascii="仿宋" w:hAnsi="仿宋" w:eastAsia="仿宋"/>
          <w:bCs/>
          <w:sz w:val="24"/>
          <w:szCs w:val="24"/>
        </w:rPr>
      </w:pPr>
      <w:r>
        <w:rPr>
          <w:rFonts w:hint="eastAsia" w:ascii="仿宋" w:hAnsi="仿宋" w:eastAsia="仿宋"/>
          <w:bCs/>
          <w:sz w:val="24"/>
          <w:szCs w:val="24"/>
        </w:rPr>
        <w:t>无招标违规、谎报年度报告信息、提供虚假资质资料等行为或其他行政处罚记录。</w:t>
      </w:r>
    </w:p>
    <w:p w14:paraId="5DCFB073">
      <w:pPr>
        <w:pStyle w:val="63"/>
        <w:numPr>
          <w:ilvl w:val="0"/>
          <w:numId w:val="11"/>
        </w:numPr>
        <w:adjustRightInd w:val="0"/>
        <w:snapToGrid w:val="0"/>
        <w:spacing w:line="360" w:lineRule="auto"/>
        <w:ind w:left="480" w:hanging="480" w:hangingChars="200"/>
        <w:jc w:val="left"/>
        <w:rPr>
          <w:rFonts w:hint="eastAsia" w:ascii="仿宋" w:hAnsi="仿宋" w:eastAsia="仿宋"/>
          <w:bCs/>
          <w:sz w:val="24"/>
          <w:szCs w:val="24"/>
        </w:rPr>
      </w:pPr>
      <w:r>
        <w:rPr>
          <w:rFonts w:hint="eastAsia" w:ascii="仿宋" w:hAnsi="仿宋" w:eastAsia="仿宋"/>
          <w:bCs/>
          <w:sz w:val="24"/>
          <w:szCs w:val="24"/>
        </w:rPr>
        <w:t>投标方的直接或间接股东、法定代表人、董事、监事、高管非重汽员工及其亲属。</w:t>
      </w:r>
    </w:p>
    <w:p w14:paraId="64320B35">
      <w:pPr>
        <w:pStyle w:val="63"/>
        <w:numPr>
          <w:ilvl w:val="0"/>
          <w:numId w:val="11"/>
        </w:numPr>
        <w:adjustRightInd w:val="0"/>
        <w:snapToGrid w:val="0"/>
        <w:spacing w:line="360" w:lineRule="auto"/>
        <w:ind w:left="480" w:hanging="480" w:hangingChars="200"/>
        <w:jc w:val="left"/>
        <w:rPr>
          <w:rFonts w:hint="eastAsia" w:ascii="仿宋" w:hAnsi="仿宋" w:eastAsia="仿宋"/>
          <w:bCs/>
          <w:sz w:val="24"/>
          <w:szCs w:val="24"/>
        </w:rPr>
      </w:pPr>
      <w:r>
        <w:rPr>
          <w:rFonts w:hint="eastAsia" w:ascii="仿宋" w:hAnsi="仿宋" w:eastAsia="仿宋"/>
          <w:bCs/>
          <w:sz w:val="24"/>
          <w:szCs w:val="24"/>
        </w:rPr>
        <w:t>没有被中国重汽集团列入黑名单。</w:t>
      </w:r>
    </w:p>
    <w:p w14:paraId="2558F088">
      <w:pPr>
        <w:pStyle w:val="63"/>
        <w:numPr>
          <w:ilvl w:val="0"/>
          <w:numId w:val="11"/>
        </w:numPr>
        <w:adjustRightInd w:val="0"/>
        <w:snapToGrid w:val="0"/>
        <w:spacing w:line="360" w:lineRule="auto"/>
        <w:ind w:left="480" w:hanging="480" w:hangingChars="200"/>
        <w:jc w:val="left"/>
        <w:rPr>
          <w:rFonts w:hint="eastAsia" w:ascii="仿宋" w:hAnsi="仿宋" w:eastAsia="仿宋"/>
          <w:bCs/>
          <w:sz w:val="24"/>
          <w:szCs w:val="24"/>
        </w:rPr>
      </w:pPr>
      <w:r>
        <w:rPr>
          <w:rFonts w:hint="eastAsia" w:ascii="仿宋" w:hAnsi="仿宋" w:eastAsia="仿宋"/>
          <w:bCs/>
          <w:sz w:val="24"/>
          <w:szCs w:val="24"/>
        </w:rPr>
        <w:t>法律法规对合格投标方的其他要求、规定。</w:t>
      </w:r>
    </w:p>
    <w:p w14:paraId="16BC18DD">
      <w:pPr>
        <w:pStyle w:val="63"/>
        <w:numPr>
          <w:ilvl w:val="0"/>
          <w:numId w:val="11"/>
        </w:numPr>
        <w:adjustRightInd w:val="0"/>
        <w:snapToGrid w:val="0"/>
        <w:spacing w:line="360" w:lineRule="auto"/>
        <w:ind w:left="480" w:hanging="480" w:hangingChars="200"/>
        <w:jc w:val="left"/>
        <w:rPr>
          <w:rFonts w:ascii="仿宋" w:hAnsi="仿宋" w:eastAsia="仿宋"/>
          <w:bCs/>
          <w:sz w:val="24"/>
          <w:szCs w:val="24"/>
        </w:rPr>
      </w:pPr>
      <w:r>
        <w:rPr>
          <w:rFonts w:hint="eastAsia" w:ascii="仿宋" w:hAnsi="仿宋" w:eastAsia="仿宋"/>
          <w:bCs/>
          <w:sz w:val="24"/>
          <w:szCs w:val="24"/>
        </w:rPr>
        <w:t>不接受联合体投标</w:t>
      </w:r>
      <w:r>
        <w:rPr>
          <w:rFonts w:hint="eastAsia" w:ascii="仿宋" w:hAnsi="仿宋" w:eastAsia="仿宋"/>
          <w:bCs/>
          <w:sz w:val="24"/>
          <w:szCs w:val="24"/>
          <w:lang w:val="en-US" w:eastAsia="zh-CN"/>
        </w:rPr>
        <w:t>及代理商投标</w:t>
      </w:r>
      <w:r>
        <w:rPr>
          <w:rFonts w:hint="eastAsia" w:ascii="仿宋" w:hAnsi="仿宋" w:eastAsia="仿宋"/>
          <w:bCs/>
          <w:sz w:val="24"/>
          <w:szCs w:val="24"/>
        </w:rPr>
        <w:t>。</w:t>
      </w:r>
    </w:p>
    <w:p w14:paraId="76B97D53">
      <w:pPr>
        <w:pStyle w:val="72"/>
        <w:rPr>
          <w:highlight w:val="none"/>
        </w:rPr>
      </w:pPr>
      <w:bookmarkStart w:id="5" w:name="_Toc47976591"/>
      <w:r>
        <w:rPr>
          <w:rFonts w:hint="eastAsia"/>
          <w:highlight w:val="none"/>
        </w:rPr>
        <w:t>报名及招标文件的获取</w:t>
      </w:r>
      <w:bookmarkEnd w:id="5"/>
    </w:p>
    <w:p w14:paraId="485CA7D6">
      <w:pPr>
        <w:pStyle w:val="73"/>
        <w:numPr>
          <w:ilvl w:val="0"/>
          <w:numId w:val="12"/>
        </w:numPr>
        <w:bidi w:val="0"/>
        <w:rPr>
          <w:rFonts w:hint="eastAsia"/>
          <w:lang w:val="en-US" w:eastAsia="zh-CN"/>
        </w:rPr>
      </w:pPr>
      <w:r>
        <w:rPr>
          <w:rFonts w:hint="eastAsia"/>
          <w:lang w:val="en-US" w:eastAsia="zh-CN"/>
        </w:rPr>
        <w:t>应标报名截止时间：</w:t>
      </w:r>
      <w:r>
        <w:rPr>
          <w:rFonts w:hint="eastAsia"/>
          <w:highlight w:val="cyan"/>
          <w:lang w:val="en-US" w:eastAsia="zh-CN"/>
        </w:rPr>
        <w:t>2025年  12 月  23日17点</w:t>
      </w:r>
    </w:p>
    <w:p w14:paraId="40DCF92F">
      <w:pPr>
        <w:pStyle w:val="73"/>
        <w:bidi w:val="0"/>
        <w:rPr>
          <w:rFonts w:hint="eastAsia"/>
          <w:highlight w:val="none"/>
          <w:lang w:val="en-US" w:eastAsia="zh-CN"/>
        </w:rPr>
      </w:pPr>
      <w:r>
        <w:rPr>
          <w:rFonts w:hint="eastAsia"/>
          <w:highlight w:val="none"/>
          <w:lang w:val="en-US" w:eastAsia="zh-CN"/>
        </w:rPr>
        <w:t>招标文件获取方式：投标人应标报名成功后，在中国重汽e采通平台上获取招标文件。</w:t>
      </w:r>
    </w:p>
    <w:p w14:paraId="04DB969B">
      <w:pPr>
        <w:pStyle w:val="73"/>
        <w:bidi w:val="0"/>
        <w:rPr>
          <w:rFonts w:hint="default"/>
          <w:lang w:val="en-US" w:eastAsia="zh-CN"/>
        </w:rPr>
      </w:pPr>
      <w:r>
        <w:rPr>
          <w:rFonts w:hint="eastAsia"/>
          <w:lang w:val="en-US" w:eastAsia="zh-CN"/>
        </w:rPr>
        <w:t>报名方式：拟投标人根据招标人在中国重汽官网等公开媒体上发布的招标信息，在“中国重汽e采通”平台报名。按照中国重汽e采通“SRM非生产供应商注册手册”</w:t>
      </w:r>
      <w:r>
        <w:rPr>
          <w:rFonts w:hint="eastAsia"/>
          <w:highlight w:val="none"/>
          <w:lang w:val="en-US" w:eastAsia="zh-CN"/>
        </w:rPr>
        <w:t>（附件）</w:t>
      </w:r>
      <w:r>
        <w:rPr>
          <w:rFonts w:hint="eastAsia"/>
          <w:lang w:val="en-US" w:eastAsia="zh-CN"/>
        </w:rPr>
        <w:t>进行注册，注册完毕后按照“SRM系统供应商用户手册”</w:t>
      </w:r>
      <w:r>
        <w:rPr>
          <w:rFonts w:hint="eastAsia"/>
          <w:highlight w:val="none"/>
          <w:lang w:val="en-US" w:eastAsia="zh-CN"/>
        </w:rPr>
        <w:t>（附件）</w:t>
      </w:r>
      <w:r>
        <w:rPr>
          <w:rFonts w:hint="eastAsia"/>
          <w:lang w:val="en-US" w:eastAsia="zh-CN"/>
        </w:rPr>
        <w:t>，登录重汽e采通平台后进入“供应商应标”，选择对应的项目，点击“应标”后按照招标公告中“投标人资格要求-资质文件”中的</w:t>
      </w:r>
      <w:r>
        <w:rPr>
          <w:rFonts w:hint="eastAsia"/>
          <w:highlight w:val="none"/>
          <w:lang w:val="en-US" w:eastAsia="zh-CN"/>
        </w:rPr>
        <w:t>2.1-2.6</w:t>
      </w:r>
      <w:r>
        <w:rPr>
          <w:rFonts w:hint="eastAsia"/>
          <w:lang w:val="en-US" w:eastAsia="zh-CN"/>
        </w:rPr>
        <w:t>准备资料并上传，资质审查通过即为报名成功；公示期间请尽快报名。</w:t>
      </w:r>
    </w:p>
    <w:p w14:paraId="4713B400">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eastAsia="宋体"/>
          <w:lang w:val="en-US" w:eastAsia="zh-CN"/>
        </w:rPr>
      </w:pPr>
      <w:r>
        <w:rPr>
          <w:rFonts w:hint="eastAsia"/>
          <w:b/>
          <w:bCs/>
          <w:lang w:val="en-US" w:eastAsia="zh-CN"/>
        </w:rPr>
        <w:t>注：请务必在应标截止时间前完成注册、</w:t>
      </w:r>
      <w:r>
        <w:rPr>
          <w:rFonts w:hint="eastAsia"/>
          <w:b/>
          <w:bCs/>
          <w:highlight w:val="yellow"/>
        </w:rPr>
        <w:t>E采通系统近三年财务数据信息更新</w:t>
      </w:r>
      <w:r>
        <w:rPr>
          <w:rFonts w:hint="eastAsia"/>
          <w:b/>
          <w:bCs/>
          <w:lang w:val="en-US" w:eastAsia="zh-CN"/>
        </w:rPr>
        <w:t>及应标操作，注册审核需2-4日，应标截止时间精确到秒，逾期将无法应标。请自行掌握时间，避免无法应标。</w:t>
      </w:r>
      <w:r>
        <w:rPr>
          <w:rFonts w:hint="eastAsia"/>
          <w:b/>
          <w:bCs/>
          <w:highlight w:val="yellow"/>
        </w:rPr>
        <w:t>E采通系统近三年财务数据信息更新</w:t>
      </w:r>
      <w:r>
        <w:rPr>
          <w:rFonts w:hint="eastAsia"/>
          <w:b/>
          <w:bCs/>
          <w:highlight w:val="yellow"/>
          <w:lang w:val="en-US" w:eastAsia="zh-CN"/>
        </w:rPr>
        <w:t>步骤：重汽e采通-供应商中心-供应商财务数据变更管理-发起变更。</w:t>
      </w:r>
    </w:p>
    <w:p w14:paraId="4509C0DA">
      <w:pPr>
        <w:pStyle w:val="72"/>
        <w:rPr>
          <w:highlight w:val="none"/>
        </w:rPr>
      </w:pPr>
      <w:bookmarkStart w:id="6" w:name="_Toc47976592"/>
      <w:r>
        <w:rPr>
          <w:rFonts w:hint="eastAsia"/>
          <w:highlight w:val="none"/>
        </w:rPr>
        <w:t>投标文件的递交</w:t>
      </w:r>
      <w:bookmarkEnd w:id="6"/>
    </w:p>
    <w:p w14:paraId="7FBD455B">
      <w:pPr>
        <w:pStyle w:val="73"/>
        <w:numPr>
          <w:ilvl w:val="0"/>
          <w:numId w:val="13"/>
        </w:numPr>
        <w:bidi w:val="0"/>
        <w:rPr>
          <w:rFonts w:hint="eastAsia"/>
          <w:lang w:val="en-US" w:eastAsia="zh-CN"/>
        </w:rPr>
      </w:pPr>
      <w:r>
        <w:rPr>
          <w:rFonts w:hint="eastAsia"/>
          <w:lang w:val="en-US" w:eastAsia="zh-CN"/>
        </w:rPr>
        <w:t>投标截止时间：</w:t>
      </w:r>
      <w:r>
        <w:rPr>
          <w:rFonts w:hint="eastAsia"/>
          <w:highlight w:val="cyan"/>
          <w:lang w:val="en-US" w:eastAsia="zh-CN"/>
        </w:rPr>
        <w:t xml:space="preserve">2025年 12 月  29日 9点   </w:t>
      </w:r>
    </w:p>
    <w:p w14:paraId="0BAC6D46">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val="0"/>
          <w:bCs w:val="0"/>
          <w:lang w:val="en-US" w:eastAsia="zh-CN"/>
        </w:rPr>
      </w:pPr>
      <w:r>
        <w:rPr>
          <w:rFonts w:hint="default"/>
          <w:b w:val="0"/>
          <w:bCs w:val="0"/>
          <w:lang w:val="en-US" w:eastAsia="zh-CN"/>
        </w:rPr>
        <w:t>注：请务必在投标文件递交截止时间前完成投标操作，截止时间精确到秒，逾期将无法投标。请自行掌握时间，避免无法投标。</w:t>
      </w:r>
    </w:p>
    <w:p w14:paraId="787E4E9B">
      <w:pPr>
        <w:pStyle w:val="73"/>
        <w:bidi w:val="0"/>
        <w:rPr>
          <w:rFonts w:hint="eastAsia"/>
          <w:b w:val="0"/>
          <w:bCs/>
          <w:lang w:val="en-US" w:eastAsia="zh-CN"/>
        </w:rPr>
      </w:pPr>
      <w:r>
        <w:rPr>
          <w:rFonts w:hint="eastAsia"/>
          <w:b w:val="0"/>
          <w:bCs w:val="0"/>
          <w:lang w:val="en-US" w:eastAsia="zh-CN"/>
        </w:rPr>
        <w:t>投标文件的组成：项目投标文件为电子版投标文件（电子版为纸质盖章版的扫</w:t>
      </w:r>
      <w:r>
        <w:rPr>
          <w:rFonts w:hint="eastAsia"/>
          <w:b w:val="0"/>
          <w:bCs/>
          <w:lang w:val="en-US" w:eastAsia="zh-CN"/>
        </w:rPr>
        <w:t>描件或加盖电子章，不盖章无效），由</w:t>
      </w:r>
      <w:r>
        <w:rPr>
          <w:rFonts w:hint="eastAsia"/>
          <w:b w:val="0"/>
          <w:bCs/>
          <w:highlight w:val="none"/>
          <w:lang w:val="en-US" w:eastAsia="zh-CN"/>
        </w:rPr>
        <w:t>《投标文件（资质标）》、《投标文件（商务标）》（开标一览表）文</w:t>
      </w:r>
      <w:r>
        <w:rPr>
          <w:rFonts w:hint="eastAsia"/>
          <w:b w:val="0"/>
          <w:bCs/>
          <w:lang w:val="en-US" w:eastAsia="zh-CN"/>
        </w:rPr>
        <w:t>件组成，共计3个文件。</w:t>
      </w:r>
    </w:p>
    <w:p w14:paraId="47E13133">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val="0"/>
          <w:bCs/>
          <w:highlight w:val="none"/>
          <w:lang w:val="en-US" w:eastAsia="zh-CN"/>
        </w:rPr>
      </w:pPr>
      <w:r>
        <w:rPr>
          <w:rFonts w:hint="default"/>
          <w:b w:val="0"/>
          <w:bCs/>
          <w:highlight w:val="none"/>
          <w:lang w:val="en-US" w:eastAsia="zh-CN"/>
        </w:rPr>
        <w:t>《投标文件（资质标）》一个文件（里面是全部资质投标书），《投标文件（商务标）》（开标一览表）一个文件（里面是全部商务投标书），具体组成等详细要求见招标文件“第一部分投标人须知-投标说明-投标文件的组成”。</w:t>
      </w:r>
    </w:p>
    <w:p w14:paraId="763F14AB">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default"/>
          <w:b w:val="0"/>
          <w:bCs/>
          <w:lang w:val="en-US" w:eastAsia="zh-CN"/>
        </w:rPr>
      </w:pPr>
      <w:r>
        <w:rPr>
          <w:rFonts w:hint="default"/>
          <w:b w:val="0"/>
          <w:bCs/>
          <w:lang w:val="en-US" w:eastAsia="zh-CN"/>
        </w:rPr>
        <w:t>注意不按此要求提供投标文件的，投标文件做无效标处理。以中国重汽e采通系统提交的材料为准。</w:t>
      </w:r>
    </w:p>
    <w:p w14:paraId="4B64074D">
      <w:pPr>
        <w:pStyle w:val="73"/>
        <w:bidi w:val="0"/>
        <w:rPr>
          <w:rFonts w:hint="default"/>
          <w:b w:val="0"/>
          <w:bCs/>
          <w:lang w:val="en-US" w:eastAsia="zh-CN"/>
        </w:rPr>
      </w:pPr>
      <w:r>
        <w:rPr>
          <w:rFonts w:hint="eastAsia"/>
          <w:b w:val="0"/>
          <w:bCs/>
          <w:lang w:val="en-US" w:eastAsia="zh-CN"/>
        </w:rPr>
        <w:t>投标方式：在中国重汽e采通平台应标成功后，进入“供应商投标”环节，投递盖章扫描版电子</w:t>
      </w:r>
      <w:r>
        <w:rPr>
          <w:rFonts w:hint="eastAsia"/>
          <w:b w:val="0"/>
          <w:bCs/>
          <w:highlight w:val="none"/>
          <w:lang w:val="en-US" w:eastAsia="zh-CN"/>
        </w:rPr>
        <w:t>标书（包含资质标书、商务标书）</w:t>
      </w:r>
      <w:r>
        <w:rPr>
          <w:rFonts w:hint="eastAsia"/>
          <w:b w:val="0"/>
          <w:bCs/>
          <w:lang w:val="en-US" w:eastAsia="zh-CN"/>
        </w:rPr>
        <w:t>，若逾期未在中国重汽e采通平台上传电子标书，一律视为无效投标。</w:t>
      </w:r>
    </w:p>
    <w:p w14:paraId="27B65ABD">
      <w:pPr>
        <w:pStyle w:val="72"/>
        <w:rPr>
          <w:highlight w:val="none"/>
        </w:rPr>
      </w:pPr>
      <w:r>
        <w:rPr>
          <w:rFonts w:hint="eastAsia"/>
          <w:highlight w:val="none"/>
          <w:lang w:val="en-US" w:eastAsia="zh-CN"/>
        </w:rPr>
        <w:t>开标时间和地点</w:t>
      </w:r>
    </w:p>
    <w:p w14:paraId="114306E8">
      <w:pPr>
        <w:pStyle w:val="73"/>
        <w:numPr>
          <w:ilvl w:val="0"/>
          <w:numId w:val="14"/>
        </w:numPr>
        <w:bidi w:val="0"/>
        <w:rPr>
          <w:rFonts w:hint="default"/>
          <w:highlight w:val="cyan"/>
          <w:lang w:val="en-US" w:eastAsia="zh-CN"/>
        </w:rPr>
      </w:pPr>
      <w:r>
        <w:rPr>
          <w:rFonts w:hint="eastAsia"/>
          <w:highlight w:val="cyan"/>
          <w:lang w:val="en-US" w:eastAsia="zh-CN"/>
        </w:rPr>
        <w:t>开标时间：2025年 12 月  29日  9点  （时间若有变化另行通知）</w:t>
      </w:r>
    </w:p>
    <w:p w14:paraId="1EEA171A">
      <w:pPr>
        <w:pStyle w:val="73"/>
        <w:bidi w:val="0"/>
        <w:rPr>
          <w:rFonts w:hint="default"/>
          <w:highlight w:val="none"/>
          <w:lang w:val="en-US" w:eastAsia="zh-CN"/>
        </w:rPr>
      </w:pPr>
      <w:r>
        <w:rPr>
          <w:rFonts w:hint="eastAsia"/>
          <w:highlight w:val="none"/>
          <w:lang w:val="en-US" w:eastAsia="zh-CN"/>
        </w:rPr>
        <w:t>开标地点：线上</w:t>
      </w:r>
    </w:p>
    <w:p w14:paraId="22385406">
      <w:pPr>
        <w:pStyle w:val="72"/>
      </w:pPr>
      <w:bookmarkStart w:id="7" w:name="_Toc47976593"/>
      <w:r>
        <w:rPr>
          <w:rFonts w:hint="eastAsia"/>
        </w:rPr>
        <w:t>招标公告发布媒介</w:t>
      </w:r>
      <w:bookmarkEnd w:id="7"/>
    </w:p>
    <w:p w14:paraId="15C59335">
      <w:pPr>
        <w:keepNext w:val="0"/>
        <w:keepLines w:val="0"/>
        <w:pageBreakBefore w:val="0"/>
        <w:widowControl w:val="0"/>
        <w:kinsoku/>
        <w:wordWrap/>
        <w:overflowPunct/>
        <w:topLinePunct w:val="0"/>
        <w:autoSpaceDE/>
        <w:autoSpaceDN/>
        <w:bidi w:val="0"/>
        <w:adjustRightInd/>
        <w:snapToGrid/>
        <w:spacing w:line="360" w:lineRule="auto"/>
        <w:ind w:left="709"/>
        <w:textAlignment w:val="auto"/>
        <w:rPr>
          <w:rFonts w:hint="eastAsia"/>
          <w:b/>
          <w:bCs/>
        </w:rPr>
      </w:pPr>
      <w:r>
        <w:rPr>
          <w:rFonts w:hint="eastAsia"/>
          <w:b/>
          <w:bCs/>
        </w:rPr>
        <w:t>本次招标公告同时在</w:t>
      </w:r>
      <w:r>
        <w:rPr>
          <w:rFonts w:hint="eastAsia"/>
          <w:b/>
          <w:bCs/>
          <w:highlight w:val="none"/>
        </w:rPr>
        <w:t>中国重汽官网</w:t>
      </w:r>
      <w:r>
        <w:rPr>
          <w:rFonts w:hint="eastAsia"/>
          <w:b/>
          <w:bCs/>
        </w:rPr>
        <w:t>等公开媒体上发布。</w:t>
      </w:r>
    </w:p>
    <w:p w14:paraId="65FC2213">
      <w:pPr>
        <w:pStyle w:val="72"/>
        <w:rPr>
          <w:highlight w:val="none"/>
        </w:rPr>
      </w:pPr>
      <w:bookmarkStart w:id="8" w:name="_Toc47976594"/>
      <w:r>
        <w:rPr>
          <w:rFonts w:hint="eastAsia"/>
          <w:highlight w:val="none"/>
        </w:rPr>
        <w:t>联系方式</w:t>
      </w:r>
      <w:bookmarkEnd w:id="8"/>
    </w:p>
    <w:p w14:paraId="6C22F13D">
      <w:pPr>
        <w:pStyle w:val="73"/>
        <w:numPr>
          <w:ilvl w:val="0"/>
          <w:numId w:val="15"/>
        </w:numPr>
        <w:bidi w:val="0"/>
        <w:rPr>
          <w:rFonts w:hint="default"/>
          <w:lang w:val="en-US" w:eastAsia="zh-CN"/>
        </w:rPr>
      </w:pPr>
      <w:r>
        <w:rPr>
          <w:rFonts w:hint="eastAsia"/>
          <w:lang w:val="en-US" w:eastAsia="zh-CN"/>
        </w:rPr>
        <w:t xml:space="preserve">招标联系人： 李帅威/17860605079             </w:t>
      </w:r>
    </w:p>
    <w:p w14:paraId="3A8424F3">
      <w:pPr>
        <w:pStyle w:val="73"/>
        <w:numPr>
          <w:ilvl w:val="0"/>
          <w:numId w:val="3"/>
        </w:numPr>
        <w:rPr>
          <w:rFonts w:hint="default"/>
          <w:lang w:val="en-US" w:eastAsia="zh-CN"/>
        </w:rPr>
      </w:pPr>
      <w:r>
        <w:rPr>
          <w:rFonts w:hint="eastAsia"/>
          <w:lang w:val="en-US" w:eastAsia="zh-CN"/>
        </w:rPr>
        <w:t>商务及技术联系人：</w:t>
      </w:r>
      <w:r>
        <w:rPr>
          <w:rFonts w:hint="eastAsia" w:ascii="仿宋" w:hAnsi="仿宋" w:eastAsia="仿宋"/>
          <w:b/>
          <w:color w:val="auto"/>
          <w:sz w:val="24"/>
          <w:szCs w:val="24"/>
          <w:u w:val="none"/>
          <w:lang w:val="en-US" w:eastAsia="zh-CN"/>
        </w:rPr>
        <w:t>钟婷婷</w:t>
      </w:r>
      <w:r>
        <w:rPr>
          <w:rFonts w:hint="eastAsia" w:ascii="仿宋" w:hAnsi="仿宋" w:eastAsia="仿宋"/>
          <w:b/>
          <w:color w:val="auto"/>
          <w:sz w:val="24"/>
          <w:szCs w:val="24"/>
          <w:u w:val="none"/>
        </w:rPr>
        <w:t>，18711309082</w:t>
      </w:r>
      <w:r>
        <w:rPr>
          <w:rFonts w:hint="eastAsia" w:ascii="仿宋" w:hAnsi="仿宋" w:eastAsia="仿宋"/>
          <w:b/>
          <w:color w:val="auto"/>
          <w:sz w:val="24"/>
          <w:szCs w:val="24"/>
          <w:u w:val="none"/>
          <w:lang w:eastAsia="zh-CN"/>
        </w:rPr>
        <w:t>；</w:t>
      </w:r>
      <w:r>
        <w:rPr>
          <w:rFonts w:ascii="Helvetica" w:hAnsi="Helvetica" w:eastAsia="Helvetica" w:cs="Helvetica"/>
          <w:i w:val="0"/>
          <w:iCs w:val="0"/>
          <w:caps w:val="0"/>
          <w:color w:val="111111"/>
          <w:spacing w:val="0"/>
          <w:sz w:val="22"/>
          <w:szCs w:val="22"/>
          <w:shd w:val="clear" w:fill="F6F7F8"/>
        </w:rPr>
        <w:t>谢琴</w:t>
      </w:r>
      <w:r>
        <w:rPr>
          <w:rFonts w:hint="eastAsia"/>
          <w:lang w:val="en-US" w:eastAsia="zh-CN"/>
        </w:rPr>
        <w:t>/</w:t>
      </w:r>
      <w:r>
        <w:rPr>
          <w:rFonts w:hint="eastAsia"/>
        </w:rPr>
        <w:t>13883696452</w:t>
      </w:r>
    </w:p>
    <w:p w14:paraId="623F7287">
      <w:pPr>
        <w:pStyle w:val="76"/>
      </w:pPr>
    </w:p>
    <w:p w14:paraId="04C96706">
      <w:pPr>
        <w:pStyle w:val="76"/>
      </w:pPr>
    </w:p>
    <w:p w14:paraId="3D820EEC">
      <w:pPr>
        <w:pStyle w:val="71"/>
      </w:pPr>
      <w:bookmarkStart w:id="9" w:name="_Toc7753"/>
      <w:bookmarkStart w:id="10" w:name="_Toc47976595"/>
      <w:r>
        <w:rPr>
          <w:rFonts w:hint="eastAsia"/>
        </w:rPr>
        <w:t>第一部分  投标人须知</w:t>
      </w:r>
      <w:bookmarkEnd w:id="9"/>
      <w:bookmarkEnd w:id="10"/>
    </w:p>
    <w:p w14:paraId="418340FC">
      <w:pPr>
        <w:pStyle w:val="72"/>
        <w:numPr>
          <w:ilvl w:val="0"/>
          <w:numId w:val="16"/>
        </w:numPr>
        <w:ind w:left="420"/>
        <w:jc w:val="left"/>
      </w:pPr>
      <w:bookmarkStart w:id="11" w:name="_Toc47976596"/>
      <w:r>
        <w:rPr>
          <w:rFonts w:hint="eastAsia"/>
        </w:rPr>
        <w:t>项目介绍</w:t>
      </w:r>
      <w:bookmarkEnd w:id="11"/>
    </w:p>
    <w:p w14:paraId="6360E7CD">
      <w:pPr>
        <w:pStyle w:val="76"/>
        <w:numPr>
          <w:ilvl w:val="0"/>
          <w:numId w:val="17"/>
        </w:numPr>
        <w:ind w:left="425" w:leftChars="0" w:hanging="425" w:firstLineChars="0"/>
        <w:rPr>
          <w:highlight w:val="none"/>
        </w:rPr>
      </w:pPr>
      <w:r>
        <w:rPr>
          <w:rFonts w:hint="eastAsia"/>
        </w:rPr>
        <w:t>项目名</w:t>
      </w:r>
      <w:r>
        <w:rPr>
          <w:rFonts w:hint="eastAsia"/>
          <w:highlight w:val="none"/>
        </w:rPr>
        <w:t>称：</w:t>
      </w:r>
      <w:r>
        <w:rPr>
          <w:rFonts w:hint="eastAsia"/>
          <w:highlight w:val="none"/>
          <w:lang w:val="en-US" w:eastAsia="zh-CN"/>
        </w:rPr>
        <w:t>重庆汽车职业健康体检项目</w:t>
      </w:r>
    </w:p>
    <w:p w14:paraId="0BD015D9">
      <w:pPr>
        <w:pStyle w:val="76"/>
        <w:numPr>
          <w:ilvl w:val="0"/>
          <w:numId w:val="17"/>
        </w:numPr>
        <w:ind w:left="425" w:leftChars="0" w:hanging="425" w:firstLineChars="0"/>
        <w:rPr>
          <w:highlight w:val="none"/>
        </w:rPr>
      </w:pPr>
      <w:r>
        <w:rPr>
          <w:rFonts w:hint="eastAsia"/>
          <w:highlight w:val="none"/>
        </w:rPr>
        <w:t>项目编号：FSCZB2025120182</w:t>
      </w:r>
    </w:p>
    <w:p w14:paraId="68D05288">
      <w:pPr>
        <w:pStyle w:val="76"/>
        <w:numPr>
          <w:ilvl w:val="0"/>
          <w:numId w:val="0"/>
        </w:numPr>
        <w:ind w:leftChars="0"/>
        <w:rPr>
          <w:rFonts w:hint="eastAsia" w:cs="Times New Roman"/>
          <w:b w:val="0"/>
          <w:bCs w:val="0"/>
          <w:color w:val="auto"/>
          <w:highlight w:val="none"/>
          <w:u w:val="none"/>
          <w:lang w:val="en-US" w:eastAsia="zh-CN"/>
        </w:rPr>
      </w:pPr>
      <w:bookmarkStart w:id="12" w:name="_Toc47112482"/>
      <w:r>
        <w:rPr>
          <w:rFonts w:hint="eastAsia" w:cs="Times New Roman"/>
          <w:b w:val="0"/>
          <w:bCs w:val="0"/>
          <w:color w:val="auto"/>
          <w:highlight w:val="none"/>
          <w:u w:val="none"/>
          <w:lang w:val="en-US" w:eastAsia="zh-CN"/>
        </w:rPr>
        <w:t>（3</w:t>
      </w:r>
      <w:r>
        <w:rPr>
          <w:rFonts w:hint="eastAsia" w:cs="Times New Roman"/>
          <w:b w:val="0"/>
          <w:bCs w:val="0"/>
          <w:color w:val="auto"/>
          <w:highlight w:val="yellow"/>
          <w:u w:val="none"/>
          <w:lang w:val="en-US" w:eastAsia="zh-CN"/>
        </w:rPr>
        <w:t>）投标限价：人民币</w:t>
      </w:r>
      <w:r>
        <w:rPr>
          <w:rFonts w:hint="eastAsia"/>
          <w:b/>
          <w:bCs/>
          <w:highlight w:val="yellow"/>
          <w:u w:val="single"/>
          <w:lang w:val="en-US" w:eastAsia="zh-CN"/>
        </w:rPr>
        <w:t>8.31</w:t>
      </w:r>
      <w:r>
        <w:rPr>
          <w:rFonts w:hint="eastAsia" w:cs="Times New Roman"/>
          <w:b w:val="0"/>
          <w:bCs w:val="0"/>
          <w:color w:val="auto"/>
          <w:highlight w:val="yellow"/>
          <w:u w:val="none"/>
          <w:lang w:val="en-US" w:eastAsia="zh-CN"/>
        </w:rPr>
        <w:t>（含税），超过投标限价无法投标。</w:t>
      </w:r>
    </w:p>
    <w:p w14:paraId="1CCE0EA0">
      <w:pPr>
        <w:pStyle w:val="76"/>
        <w:numPr>
          <w:ilvl w:val="0"/>
          <w:numId w:val="17"/>
        </w:numPr>
      </w:pPr>
      <w:r>
        <w:t>技术规范及服务</w:t>
      </w:r>
    </w:p>
    <w:p w14:paraId="2FE1EA7F">
      <w:pPr>
        <w:pStyle w:val="76"/>
      </w:pPr>
      <w:r>
        <w:rPr>
          <w:rFonts w:hint="eastAsia"/>
        </w:rPr>
        <w:t>（1）</w:t>
      </w:r>
      <w:r>
        <w:t>投标人应与招标人指派的答疑人员充分沟通，理解认可并接受相关技术规范及服务要求；</w:t>
      </w:r>
    </w:p>
    <w:p w14:paraId="4FC9E250">
      <w:pPr>
        <w:pStyle w:val="76"/>
        <w:rPr>
          <w:rFonts w:hint="default" w:cs="Times New Roman"/>
          <w:b w:val="0"/>
          <w:bCs w:val="0"/>
          <w:color w:val="auto"/>
          <w:highlight w:val="none"/>
          <w:u w:val="none"/>
          <w:lang w:val="en-US" w:eastAsia="zh-CN"/>
        </w:rPr>
      </w:pPr>
      <w:r>
        <w:rPr>
          <w:rFonts w:hint="eastAsia"/>
        </w:rPr>
        <w:t>（2）</w:t>
      </w:r>
      <w:r>
        <w:t>投标人可免费提供的、包含但不限于招标人所要求的其他相关服务内容，按本招标书“第二</w:t>
      </w:r>
      <w:r>
        <w:rPr>
          <w:rFonts w:hint="eastAsia"/>
        </w:rPr>
        <w:t>部分</w:t>
      </w:r>
      <w:r>
        <w:t xml:space="preserve"> 投标文件编制”要求，在其“开标一览表”中一并说明。</w:t>
      </w:r>
    </w:p>
    <w:bookmarkEnd w:id="12"/>
    <w:p w14:paraId="31CA8C38">
      <w:pPr>
        <w:pStyle w:val="72"/>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报名</w:t>
      </w:r>
    </w:p>
    <w:p w14:paraId="09A92690">
      <w:pPr>
        <w:pStyle w:val="76"/>
        <w:numPr>
          <w:ilvl w:val="0"/>
          <w:numId w:val="18"/>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发标时间：</w:t>
      </w:r>
      <w:r>
        <w:rPr>
          <w:rFonts w:hint="eastAsia" w:ascii="宋体" w:hAnsi="Courier New" w:eastAsia="宋体" w:cs="Times New Roman"/>
          <w:highlight w:val="cyan"/>
          <w:u w:val="single"/>
          <w:lang w:val="en-US" w:eastAsia="zh-CN"/>
        </w:rPr>
        <w:t>20</w:t>
      </w:r>
      <w:r>
        <w:rPr>
          <w:rFonts w:hint="eastAsia" w:cs="Times New Roman"/>
          <w:highlight w:val="cyan"/>
          <w:u w:val="single"/>
          <w:lang w:val="en-US" w:eastAsia="zh-CN"/>
        </w:rPr>
        <w:t>25</w:t>
      </w:r>
      <w:r>
        <w:rPr>
          <w:rFonts w:hint="eastAsia" w:ascii="宋体" w:hAnsi="Courier New" w:eastAsia="宋体" w:cs="Times New Roman"/>
          <w:highlight w:val="cyan"/>
          <w:u w:val="single"/>
          <w:lang w:val="en-US" w:eastAsia="zh-CN"/>
        </w:rPr>
        <w:t>年</w:t>
      </w:r>
      <w:r>
        <w:rPr>
          <w:rFonts w:hint="eastAsia" w:cs="Times New Roman"/>
          <w:highlight w:val="cyan"/>
          <w:u w:val="single"/>
          <w:lang w:val="en-US" w:eastAsia="zh-CN"/>
        </w:rPr>
        <w:t xml:space="preserve">  12 </w:t>
      </w:r>
      <w:r>
        <w:rPr>
          <w:rFonts w:hint="eastAsia" w:ascii="宋体" w:hAnsi="Courier New" w:eastAsia="宋体" w:cs="Times New Roman"/>
          <w:highlight w:val="cyan"/>
          <w:u w:val="single"/>
          <w:lang w:val="en-US" w:eastAsia="zh-CN"/>
        </w:rPr>
        <w:t>月</w:t>
      </w:r>
      <w:r>
        <w:rPr>
          <w:rFonts w:hint="eastAsia" w:cs="Times New Roman"/>
          <w:highlight w:val="cyan"/>
          <w:u w:val="single"/>
          <w:lang w:val="en-US" w:eastAsia="zh-CN"/>
        </w:rPr>
        <w:t xml:space="preserve">  18</w:t>
      </w:r>
      <w:r>
        <w:rPr>
          <w:rFonts w:hint="eastAsia" w:ascii="宋体" w:hAnsi="Courier New" w:eastAsia="宋体" w:cs="Times New Roman"/>
          <w:highlight w:val="cyan"/>
          <w:u w:val="single"/>
          <w:lang w:val="en-US" w:eastAsia="zh-CN"/>
        </w:rPr>
        <w:t>日</w:t>
      </w:r>
    </w:p>
    <w:p w14:paraId="41FDA27A">
      <w:pPr>
        <w:pStyle w:val="76"/>
        <w:numPr>
          <w:ilvl w:val="0"/>
          <w:numId w:val="18"/>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highlight w:val="none"/>
          <w:lang w:val="en-US" w:eastAsia="zh-CN"/>
        </w:rPr>
        <w:t>招标文件领取方式</w:t>
      </w:r>
      <w:r>
        <w:rPr>
          <w:rFonts w:hint="eastAsia" w:cs="Times New Roman"/>
          <w:highlight w:val="none"/>
          <w:lang w:val="en-US" w:eastAsia="zh-CN"/>
        </w:rPr>
        <w:t>：</w:t>
      </w:r>
      <w:r>
        <w:rPr>
          <w:rFonts w:hint="eastAsia" w:cs="Times New Roman"/>
          <w:b/>
          <w:bCs/>
          <w:highlight w:val="none"/>
          <w:lang w:val="en-US" w:eastAsia="zh-CN"/>
        </w:rPr>
        <w:t>投标人应标报名成功后，在中国重汽e采通平台上获取招标文件</w:t>
      </w:r>
      <w:r>
        <w:rPr>
          <w:rFonts w:hint="eastAsia" w:cs="Times New Roman"/>
          <w:highlight w:val="none"/>
          <w:lang w:val="en-US" w:eastAsia="zh-CN"/>
        </w:rPr>
        <w:t>。</w:t>
      </w:r>
    </w:p>
    <w:p w14:paraId="62CB87C4">
      <w:pPr>
        <w:pStyle w:val="76"/>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jc w:val="both"/>
        <w:textAlignment w:val="auto"/>
        <w:rPr>
          <w:rFonts w:hint="eastAsia" w:cs="Times New Roman"/>
          <w:highlight w:val="none"/>
          <w:lang w:val="en-US" w:eastAsia="zh-CN"/>
        </w:rPr>
      </w:pPr>
      <w:r>
        <w:rPr>
          <w:rFonts w:hint="eastAsia" w:cs="Times New Roman"/>
          <w:highlight w:val="none"/>
          <w:lang w:val="en-US" w:eastAsia="zh-CN"/>
        </w:rPr>
        <w:t>提交疑问</w:t>
      </w:r>
      <w:r>
        <w:rPr>
          <w:rFonts w:hint="eastAsia" w:ascii="宋体" w:hAnsi="Courier New" w:eastAsia="宋体" w:cs="Times New Roman"/>
          <w:highlight w:val="none"/>
          <w:lang w:val="en-US" w:eastAsia="zh-CN"/>
        </w:rPr>
        <w:t>方式</w:t>
      </w:r>
      <w:r>
        <w:rPr>
          <w:rFonts w:hint="eastAsia" w:cs="Times New Roman"/>
          <w:highlight w:val="none"/>
          <w:lang w:val="en-US" w:eastAsia="zh-CN"/>
        </w:rPr>
        <w:t>：电话答疑或将答疑问题以word文件格式发送至联系人邮件内，并电话联系工作人员查收，</w:t>
      </w:r>
      <w:r>
        <w:rPr>
          <w:rFonts w:hint="eastAsia" w:cs="Times New Roman"/>
          <w:b/>
          <w:bCs/>
          <w:highlight w:val="none"/>
          <w:lang w:val="en-US" w:eastAsia="zh-CN"/>
        </w:rPr>
        <w:t>邮件名格式为：XXX公司（五个字以内公司简称）XX项目答疑文件。同时必须在邮件中以文字方式提供投标人全称、投标授权人姓名、联系方式（固定电话、手机、电子邮箱），并提供附件2法定代表人授权委托书。</w:t>
      </w:r>
    </w:p>
    <w:p w14:paraId="59AC1516">
      <w:pPr>
        <w:pStyle w:val="76"/>
        <w:keepNext w:val="0"/>
        <w:keepLines w:val="0"/>
        <w:pageBreakBefore w:val="0"/>
        <w:widowControl w:val="0"/>
        <w:numPr>
          <w:ilvl w:val="0"/>
          <w:numId w:val="18"/>
        </w:numPr>
        <w:kinsoku/>
        <w:wordWrap/>
        <w:overflowPunct/>
        <w:topLinePunct w:val="0"/>
        <w:autoSpaceDE/>
        <w:autoSpaceDN/>
        <w:bidi w:val="0"/>
        <w:adjustRightInd/>
        <w:snapToGrid/>
        <w:ind w:left="0" w:leftChars="0" w:firstLine="0" w:firstLineChars="0"/>
        <w:jc w:val="both"/>
        <w:textAlignment w:val="auto"/>
        <w:rPr>
          <w:rFonts w:hint="eastAsia" w:ascii="宋体" w:hAnsi="Courier New" w:eastAsia="宋体" w:cs="Times New Roman"/>
          <w:highlight w:val="none"/>
          <w:lang w:val="en-US" w:eastAsia="zh-CN"/>
        </w:rPr>
      </w:pPr>
      <w:r>
        <w:rPr>
          <w:rFonts w:hint="eastAsia" w:ascii="宋体" w:hAnsi="Courier New" w:eastAsia="宋体" w:cs="Times New Roman"/>
          <w:highlight w:val="none"/>
          <w:lang w:val="en-US" w:eastAsia="zh-CN"/>
        </w:rPr>
        <w:t>答疑、澄清和修改文件方式：招标人将以电子邮件的方式将招标文件的答疑澄清文件发送至答疑文件提交时登记的电子邮箱。</w:t>
      </w:r>
    </w:p>
    <w:p w14:paraId="7AB51490">
      <w:pPr>
        <w:pStyle w:val="76"/>
        <w:keepNext w:val="0"/>
        <w:keepLines w:val="0"/>
        <w:pageBreakBefore w:val="0"/>
        <w:widowControl w:val="0"/>
        <w:numPr>
          <w:ilvl w:val="0"/>
          <w:numId w:val="18"/>
        </w:numPr>
        <w:kinsoku/>
        <w:wordWrap/>
        <w:overflowPunct/>
        <w:topLinePunct w:val="0"/>
        <w:autoSpaceDE/>
        <w:autoSpaceDN/>
        <w:bidi w:val="0"/>
        <w:adjustRightInd/>
        <w:snapToGrid/>
        <w:ind w:left="0" w:firstLine="0"/>
        <w:textAlignment w:val="auto"/>
        <w:rPr>
          <w:rFonts w:hint="eastAsia"/>
          <w:lang w:val="en-US" w:eastAsia="zh-CN"/>
        </w:rPr>
      </w:pPr>
      <w:r>
        <w:rPr>
          <w:rFonts w:hint="eastAsia"/>
          <w:b/>
          <w:bCs/>
          <w:lang w:val="en-US" w:eastAsia="zh-CN"/>
        </w:rPr>
        <w:t>报名方式</w:t>
      </w:r>
      <w:r>
        <w:rPr>
          <w:rFonts w:hint="eastAsia"/>
          <w:lang w:val="en-US" w:eastAsia="zh-CN"/>
        </w:rPr>
        <w:t>：拟投标人根据招标人在中国重汽官网等公开媒体上发布的招标信息，在“中国重汽e采通”平台报名。按照中国重汽e采通“SRM非生产供应商注册手册”</w:t>
      </w:r>
      <w:r>
        <w:rPr>
          <w:rFonts w:hint="eastAsia"/>
          <w:highlight w:val="none"/>
          <w:lang w:val="en-US" w:eastAsia="zh-CN"/>
        </w:rPr>
        <w:t>（附件）</w:t>
      </w:r>
      <w:r>
        <w:rPr>
          <w:rFonts w:hint="eastAsia"/>
          <w:lang w:val="en-US" w:eastAsia="zh-CN"/>
        </w:rPr>
        <w:t>进行注册，注册完毕后按照“SRM系统供应商用户手</w:t>
      </w:r>
      <w:r>
        <w:rPr>
          <w:rFonts w:hint="eastAsia"/>
          <w:highlight w:val="none"/>
          <w:lang w:val="en-US" w:eastAsia="zh-CN"/>
        </w:rPr>
        <w:t>册（附件）</w:t>
      </w:r>
      <w:r>
        <w:rPr>
          <w:rFonts w:hint="eastAsia"/>
          <w:lang w:val="en-US" w:eastAsia="zh-CN"/>
        </w:rPr>
        <w:t>”，登录重汽e采通平台后进入“供应商应标”，选择对应的项目，点击“应标”后按照招标文件</w:t>
      </w:r>
      <w:r>
        <w:rPr>
          <w:rFonts w:hint="eastAsia"/>
          <w:highlight w:val="none"/>
          <w:lang w:val="en-US" w:eastAsia="zh-CN"/>
        </w:rPr>
        <w:t>中“投标说明-投标文件的组成-资质文件”的要求</w:t>
      </w:r>
      <w:r>
        <w:rPr>
          <w:rFonts w:hint="eastAsia"/>
          <w:lang w:val="en-US" w:eastAsia="zh-CN"/>
        </w:rPr>
        <w:t>准备资料，资质审查通过即为报名成功；公示期间请尽快报名，应标报名成功后，</w:t>
      </w:r>
      <w:r>
        <w:rPr>
          <w:rFonts w:hint="eastAsia"/>
          <w:highlight w:val="none"/>
          <w:lang w:val="en-US" w:eastAsia="zh-CN"/>
        </w:rPr>
        <w:t>进入“供应商投标”环节</w:t>
      </w:r>
      <w:r>
        <w:rPr>
          <w:rFonts w:hint="eastAsia"/>
          <w:lang w:val="en-US" w:eastAsia="zh-CN"/>
        </w:rPr>
        <w:t>。</w:t>
      </w:r>
    </w:p>
    <w:p w14:paraId="0C785EC5">
      <w:pPr>
        <w:pStyle w:val="72"/>
        <w:rPr>
          <w:rFonts w:hint="eastAsia" w:ascii="宋体" w:hAnsi="Courier New" w:eastAsia="宋体" w:cs="Times New Roman"/>
          <w:highlight w:val="none"/>
          <w:lang w:val="en-US" w:eastAsia="zh-CN"/>
        </w:rPr>
      </w:pPr>
      <w:r>
        <w:rPr>
          <w:rFonts w:hint="eastAsia" w:hAnsi="Courier New" w:cs="Times New Roman"/>
          <w:highlight w:val="none"/>
        </w:rPr>
        <w:t>投标</w:t>
      </w:r>
      <w:r>
        <w:rPr>
          <w:rFonts w:hint="eastAsia" w:cs="Times New Roman"/>
          <w:highlight w:val="none"/>
          <w:lang w:val="en-US" w:eastAsia="zh-CN"/>
        </w:rPr>
        <w:t>说明</w:t>
      </w:r>
    </w:p>
    <w:p w14:paraId="59493963">
      <w:pPr>
        <w:pStyle w:val="73"/>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b w:val="0"/>
          <w:highlight w:val="none"/>
        </w:rPr>
      </w:pPr>
      <w:r>
        <w:rPr>
          <w:rFonts w:hint="eastAsia"/>
          <w:b w:val="0"/>
          <w:highlight w:val="yellow"/>
          <w:lang w:val="en-US" w:eastAsia="zh-CN"/>
        </w:rPr>
        <w:t>投标文件</w:t>
      </w:r>
      <w:r>
        <w:rPr>
          <w:rFonts w:hint="eastAsia"/>
          <w:b w:val="0"/>
          <w:highlight w:val="none"/>
          <w:lang w:val="en-US" w:eastAsia="zh-CN"/>
        </w:rPr>
        <w:t>的组成</w:t>
      </w:r>
    </w:p>
    <w:p w14:paraId="5EA04826">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投标人编写的投标文件由《投标文件（资质标）》、《投标文件（商务标）》（开标一览表）文件组成，共计</w:t>
      </w:r>
      <w:r>
        <w:rPr>
          <w:rFonts w:hint="eastAsia"/>
          <w:highlight w:val="none"/>
          <w:u w:val="single"/>
          <w:lang w:val="en-US" w:eastAsia="zh-CN"/>
        </w:rPr>
        <w:t xml:space="preserve"> 2 </w:t>
      </w:r>
      <w:r>
        <w:rPr>
          <w:rFonts w:hint="eastAsia"/>
          <w:lang w:val="en-US" w:eastAsia="zh-CN"/>
        </w:rPr>
        <w:t>个文件。</w:t>
      </w:r>
    </w:p>
    <w:p w14:paraId="2DD7BA97">
      <w:pPr>
        <w:pStyle w:val="74"/>
        <w:numPr>
          <w:ilvl w:val="0"/>
          <w:numId w:val="20"/>
        </w:numPr>
        <w:ind w:left="425" w:leftChars="0" w:hanging="425" w:firstLineChars="0"/>
        <w:rPr>
          <w:b w:val="0"/>
          <w:bCs/>
          <w:highlight w:val="yellow"/>
        </w:rPr>
      </w:pPr>
      <w:r>
        <w:rPr>
          <w:rFonts w:hint="eastAsia"/>
          <w:b w:val="0"/>
          <w:bCs/>
          <w:highlight w:val="yellow"/>
        </w:rPr>
        <w:t>资质文件：</w:t>
      </w:r>
    </w:p>
    <w:p w14:paraId="7B46681B">
      <w:pPr>
        <w:numPr>
          <w:ilvl w:val="0"/>
          <w:numId w:val="21"/>
        </w:numPr>
        <w:spacing w:line="360" w:lineRule="auto"/>
      </w:pPr>
      <w:r>
        <w:rPr>
          <w:rFonts w:hint="eastAsia"/>
        </w:rPr>
        <w:t>法定代表人身份证明；</w:t>
      </w:r>
    </w:p>
    <w:p w14:paraId="4B1F0268">
      <w:pPr>
        <w:numPr>
          <w:ilvl w:val="0"/>
          <w:numId w:val="21"/>
        </w:numPr>
        <w:spacing w:line="360" w:lineRule="auto"/>
      </w:pPr>
      <w:r>
        <w:rPr>
          <w:rFonts w:hint="eastAsia"/>
        </w:rPr>
        <w:t>法人授权委托书及身份证复印件；</w:t>
      </w:r>
    </w:p>
    <w:p w14:paraId="3ABA0783">
      <w:pPr>
        <w:numPr>
          <w:ilvl w:val="0"/>
          <w:numId w:val="21"/>
        </w:numPr>
        <w:spacing w:line="360" w:lineRule="auto"/>
      </w:pPr>
      <w:r>
        <w:rPr>
          <w:rFonts w:hint="eastAsia"/>
        </w:rPr>
        <w:t>营业执照副本复印件；</w:t>
      </w:r>
    </w:p>
    <w:p w14:paraId="6CC7C6A2">
      <w:pPr>
        <w:numPr>
          <w:ilvl w:val="0"/>
          <w:numId w:val="21"/>
        </w:numPr>
        <w:spacing w:line="360" w:lineRule="auto"/>
      </w:pPr>
      <w:r>
        <w:rPr>
          <w:rFonts w:hint="eastAsia"/>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2CB0A9AA">
      <w:pPr>
        <w:numPr>
          <w:ilvl w:val="0"/>
          <w:numId w:val="21"/>
        </w:numPr>
        <w:spacing w:line="360" w:lineRule="auto"/>
      </w:pPr>
      <w:r>
        <w:rPr>
          <w:rFonts w:hint="eastAsia"/>
        </w:rPr>
        <w:t>近三年类似项目业绩及合同复印件（加盖公章，须有客户联系方式及联系人以供招标人核实确认）；</w:t>
      </w:r>
    </w:p>
    <w:p w14:paraId="3D124A1C">
      <w:pPr>
        <w:numPr>
          <w:ilvl w:val="0"/>
          <w:numId w:val="21"/>
        </w:numPr>
        <w:spacing w:line="360" w:lineRule="auto"/>
        <w:rPr>
          <w:sz w:val="20"/>
          <w:szCs w:val="18"/>
        </w:rPr>
      </w:pPr>
      <w:r>
        <w:rPr>
          <w:rFonts w:hint="eastAsia" w:ascii="仿宋" w:hAnsi="仿宋" w:eastAsia="仿宋"/>
          <w:sz w:val="24"/>
          <w:szCs w:val="18"/>
          <w:lang w:val="en-US" w:eastAsia="zh-CN"/>
        </w:rPr>
        <w:t>企业最近半年完税证明、信用证明材料（征信报告）；企业对外担保说明（写明贵单位对外有无对外担保和质押业务，需加盖公章）</w:t>
      </w:r>
    </w:p>
    <w:p w14:paraId="7B8EDECC">
      <w:pPr>
        <w:numPr>
          <w:ilvl w:val="0"/>
          <w:numId w:val="21"/>
        </w:numPr>
        <w:spacing w:line="360" w:lineRule="auto"/>
        <w:rPr>
          <w:b w:val="0"/>
          <w:bCs/>
          <w:highlight w:val="none"/>
        </w:rPr>
      </w:pPr>
      <w:r>
        <w:rPr>
          <w:rFonts w:hint="eastAsia"/>
          <w:highlight w:val="none"/>
        </w:rPr>
        <w:t>投标保证金缴纳凭证</w:t>
      </w:r>
    </w:p>
    <w:p w14:paraId="0FCAA68A">
      <w:pPr>
        <w:pStyle w:val="75"/>
        <w:keepNext w:val="0"/>
        <w:keepLines w:val="0"/>
        <w:pageBreakBefore w:val="0"/>
        <w:widowControl w:val="0"/>
        <w:numPr>
          <w:ilvl w:val="0"/>
          <w:numId w:val="22"/>
        </w:numPr>
        <w:kinsoku/>
        <w:wordWrap/>
        <w:overflowPunct/>
        <w:topLinePunct w:val="0"/>
        <w:autoSpaceDE/>
        <w:autoSpaceDN/>
        <w:bidi w:val="0"/>
        <w:adjustRightInd/>
        <w:snapToGrid/>
        <w:ind w:left="10" w:leftChars="0" w:firstLine="0"/>
        <w:textAlignment w:val="auto"/>
        <w:rPr>
          <w:b w:val="0"/>
          <w:bCs/>
          <w:highlight w:val="none"/>
        </w:rPr>
      </w:pPr>
      <w:r>
        <w:rPr>
          <w:rFonts w:hint="eastAsia"/>
          <w:b w:val="0"/>
          <w:bCs/>
          <w:highlight w:val="none"/>
        </w:rPr>
        <w:t>对于投标人资质审核不通过的，招标人有权拒绝其投标。</w:t>
      </w:r>
    </w:p>
    <w:p w14:paraId="47175D6D">
      <w:pPr>
        <w:pStyle w:val="74"/>
        <w:numPr>
          <w:ilvl w:val="0"/>
          <w:numId w:val="20"/>
        </w:numPr>
        <w:ind w:left="425" w:leftChars="0" w:hanging="425" w:firstLineChars="0"/>
        <w:rPr>
          <w:rFonts w:hint="eastAsia" w:cs="Times New Roman"/>
          <w:b w:val="0"/>
          <w:bCs/>
          <w:highlight w:val="yellow"/>
        </w:rPr>
      </w:pPr>
      <w:r>
        <w:rPr>
          <w:rFonts w:hint="eastAsia" w:cs="Times New Roman"/>
          <w:b w:val="0"/>
          <w:bCs/>
          <w:highlight w:val="yellow"/>
        </w:rPr>
        <w:t>商务标：</w:t>
      </w:r>
    </w:p>
    <w:p w14:paraId="06300D80">
      <w:pPr>
        <w:numPr>
          <w:ilvl w:val="0"/>
          <w:numId w:val="23"/>
        </w:numPr>
        <w:spacing w:line="360" w:lineRule="auto"/>
        <w:ind w:left="0" w:firstLine="0"/>
      </w:pPr>
      <w:r>
        <w:rPr>
          <w:rFonts w:hint="eastAsia"/>
        </w:rPr>
        <w:t>投标函；</w:t>
      </w:r>
    </w:p>
    <w:p w14:paraId="39330535">
      <w:pPr>
        <w:numPr>
          <w:ilvl w:val="0"/>
          <w:numId w:val="23"/>
        </w:numPr>
        <w:spacing w:line="360" w:lineRule="auto"/>
        <w:ind w:left="0" w:firstLine="0"/>
      </w:pPr>
      <w:r>
        <w:rPr>
          <w:rFonts w:hint="eastAsia"/>
        </w:rPr>
        <w:t>开标一览表、分项报价表；</w:t>
      </w:r>
    </w:p>
    <w:p w14:paraId="66C37FD7">
      <w:pPr>
        <w:pStyle w:val="75"/>
        <w:numPr>
          <w:ilvl w:val="0"/>
          <w:numId w:val="23"/>
        </w:numPr>
        <w:rPr>
          <w:rFonts w:hint="eastAsia" w:cs="Times New Roman"/>
          <w:b w:val="0"/>
          <w:bCs/>
          <w:highlight w:val="none"/>
        </w:rPr>
      </w:pPr>
      <w:r>
        <w:rPr>
          <w:rFonts w:hint="eastAsia"/>
        </w:rPr>
        <w:t>商务条款偏离表；</w:t>
      </w:r>
    </w:p>
    <w:p w14:paraId="70E2A45F">
      <w:pPr>
        <w:pStyle w:val="73"/>
        <w:keepNext w:val="0"/>
        <w:keepLines w:val="0"/>
        <w:pageBreakBefore w:val="0"/>
        <w:widowControl w:val="0"/>
        <w:numPr>
          <w:ilvl w:val="0"/>
          <w:numId w:val="19"/>
        </w:numPr>
        <w:kinsoku/>
        <w:wordWrap/>
        <w:overflowPunct/>
        <w:topLinePunct w:val="0"/>
        <w:autoSpaceDE/>
        <w:autoSpaceDN/>
        <w:bidi w:val="0"/>
        <w:adjustRightInd/>
        <w:snapToGrid/>
        <w:ind w:left="0" w:leftChars="0" w:firstLine="0" w:firstLineChars="0"/>
        <w:textAlignment w:val="auto"/>
        <w:rPr>
          <w:rFonts w:hint="eastAsia" w:cs="Times New Roman"/>
          <w:b w:val="0"/>
          <w:lang w:val="en-US" w:eastAsia="zh-CN"/>
        </w:rPr>
      </w:pPr>
      <w:r>
        <w:rPr>
          <w:rFonts w:hint="eastAsia" w:cs="Times New Roman"/>
          <w:b w:val="0"/>
          <w:lang w:val="en-US" w:eastAsia="zh-CN"/>
        </w:rPr>
        <w:t>投标文件的投递</w:t>
      </w:r>
    </w:p>
    <w:p w14:paraId="1F3B372B">
      <w:pPr>
        <w:keepNext w:val="0"/>
        <w:keepLines w:val="0"/>
        <w:pageBreakBefore w:val="0"/>
        <w:widowControl w:val="0"/>
        <w:numPr>
          <w:ilvl w:val="0"/>
          <w:numId w:val="24"/>
        </w:numPr>
        <w:kinsoku/>
        <w:wordWrap/>
        <w:overflowPunct/>
        <w:topLinePunct w:val="0"/>
        <w:autoSpaceDE/>
        <w:autoSpaceDN/>
        <w:bidi w:val="0"/>
        <w:adjustRightInd/>
        <w:snapToGrid/>
        <w:spacing w:line="360" w:lineRule="auto"/>
        <w:ind w:leftChars="0"/>
        <w:textAlignment w:val="auto"/>
        <w:rPr>
          <w:rFonts w:hint="eastAsia"/>
          <w:lang w:val="en-US" w:eastAsia="zh-CN"/>
        </w:rPr>
      </w:pPr>
      <w:r>
        <w:rPr>
          <w:rFonts w:hint="eastAsia"/>
          <w:lang w:val="en-US" w:eastAsia="zh-CN"/>
        </w:rPr>
        <w:t>投标方式：在中国重汽e采通平台应标成功后，进入“供应商投标”环节，投递盖章扫描版电子标书</w:t>
      </w:r>
      <w:r>
        <w:rPr>
          <w:rFonts w:hint="eastAsia"/>
          <w:highlight w:val="none"/>
          <w:lang w:val="en-US" w:eastAsia="zh-CN"/>
        </w:rPr>
        <w:t>（包含资质标书、商务标书），</w:t>
      </w:r>
      <w:r>
        <w:rPr>
          <w:rFonts w:hint="eastAsia"/>
          <w:lang w:val="en-US" w:eastAsia="zh-CN"/>
        </w:rPr>
        <w:t>若逾期未在中国重汽e采通平台上传电子标书，一律视为无效投标。</w:t>
      </w:r>
    </w:p>
    <w:p w14:paraId="25974AAC">
      <w:pPr>
        <w:pStyle w:val="72"/>
        <w:rPr>
          <w:rFonts w:hint="eastAsia" w:hAnsi="Courier New" w:cs="Times New Roman"/>
          <w:highlight w:val="none"/>
        </w:rPr>
      </w:pPr>
      <w:bookmarkStart w:id="13" w:name="_Toc47976601"/>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14:paraId="071E67B8">
      <w:pPr>
        <w:keepNext w:val="0"/>
        <w:keepLines w:val="0"/>
        <w:pageBreakBefore w:val="0"/>
        <w:widowControl w:val="0"/>
        <w:numPr>
          <w:ilvl w:val="0"/>
          <w:numId w:val="25"/>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rPr>
        <w:t>投标保证金的缴纳</w:t>
      </w:r>
    </w:p>
    <w:p w14:paraId="021ADBC0">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eastAsia="zh-CN"/>
        </w:rPr>
        <w:t>（</w:t>
      </w:r>
      <w:r>
        <w:rPr>
          <w:rFonts w:hint="eastAsia"/>
          <w:lang w:val="en-US" w:eastAsia="zh-CN"/>
        </w:rPr>
        <w:t>1</w:t>
      </w:r>
      <w:r>
        <w:rPr>
          <w:rFonts w:hint="eastAsia"/>
          <w:lang w:eastAsia="zh-CN"/>
        </w:rPr>
        <w:t>）</w:t>
      </w:r>
      <w:r>
        <w:rPr>
          <w:rFonts w:hint="eastAsia"/>
        </w:rPr>
        <w:t>投标保证金</w:t>
      </w:r>
      <w:r>
        <w:rPr>
          <w:rFonts w:hint="eastAsia"/>
          <w:lang w:val="en-US" w:eastAsia="zh-CN"/>
        </w:rPr>
        <w:t>的缴纳</w:t>
      </w:r>
      <w:r>
        <w:rPr>
          <w:rFonts w:hint="eastAsia"/>
        </w:rPr>
        <w:t>形式：</w:t>
      </w:r>
      <w:r>
        <w:rPr>
          <w:rFonts w:hint="eastAsia"/>
          <w:lang w:val="en-US" w:eastAsia="zh-CN"/>
        </w:rPr>
        <w:t>从银行基本账户转账</w:t>
      </w:r>
    </w:p>
    <w:p w14:paraId="04CD311F">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eastAsia="zh-CN"/>
        </w:rPr>
        <w:t>（</w:t>
      </w:r>
      <w:r>
        <w:rPr>
          <w:rFonts w:hint="eastAsia"/>
          <w:lang w:val="en-US" w:eastAsia="zh-CN"/>
        </w:rPr>
        <w:t>2</w:t>
      </w:r>
      <w:r>
        <w:rPr>
          <w:rFonts w:hint="eastAsia"/>
          <w:lang w:eastAsia="zh-CN"/>
        </w:rPr>
        <w:t>）</w:t>
      </w:r>
      <w:r>
        <w:rPr>
          <w:rFonts w:hint="eastAsia"/>
        </w:rPr>
        <w:t>投标保证金的金额：</w:t>
      </w:r>
      <w:r>
        <w:rPr>
          <w:rFonts w:hint="eastAsia"/>
          <w:u w:val="single"/>
        </w:rPr>
        <w:t>人民</w:t>
      </w:r>
      <w:r>
        <w:rPr>
          <w:rFonts w:hint="eastAsia"/>
          <w:highlight w:val="none"/>
          <w:u w:val="single"/>
        </w:rPr>
        <w:t>币</w:t>
      </w:r>
      <w:r>
        <w:rPr>
          <w:rFonts w:hint="eastAsia"/>
          <w:highlight w:val="none"/>
          <w:u w:val="single"/>
          <w:lang w:val="en-US" w:eastAsia="zh-CN"/>
        </w:rPr>
        <w:t>5000</w:t>
      </w:r>
      <w:r>
        <w:rPr>
          <w:rFonts w:hint="eastAsia"/>
          <w:highlight w:val="none"/>
          <w:u w:val="single"/>
        </w:rPr>
        <w:t>元</w:t>
      </w:r>
    </w:p>
    <w:p w14:paraId="2703A442">
      <w:pPr>
        <w:pStyle w:val="75"/>
        <w:keepNext w:val="0"/>
        <w:keepLines w:val="0"/>
        <w:pageBreakBefore w:val="0"/>
        <w:widowControl w:val="0"/>
        <w:numPr>
          <w:ilvl w:val="0"/>
          <w:numId w:val="22"/>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ascii="宋体" w:hAnsi="宋体" w:eastAsia="宋体" w:cs="宋体"/>
          <w:sz w:val="24"/>
          <w:szCs w:val="24"/>
        </w:rPr>
        <w:t>保证金收款账号：</w:t>
      </w:r>
      <w:r>
        <w:rPr>
          <w:rFonts w:ascii="宋体" w:hAnsi="宋体" w:eastAsia="宋体" w:cs="宋体"/>
          <w:sz w:val="24"/>
          <w:szCs w:val="24"/>
        </w:rPr>
        <w:br w:type="textWrapping"/>
      </w:r>
      <w:r>
        <w:rPr>
          <w:rFonts w:hint="eastAsia" w:ascii="仿宋" w:hAnsi="仿宋" w:eastAsia="仿宋" w:cs="仿宋_GB2312"/>
          <w:bCs/>
          <w:sz w:val="24"/>
          <w:szCs w:val="24"/>
        </w:rPr>
        <w:t>单位名称：重汽（重庆）轻型汽车有限公司</w:t>
      </w:r>
      <w:r>
        <w:rPr>
          <w:rFonts w:hint="eastAsia" w:ascii="仿宋" w:hAnsi="仿宋" w:eastAsia="仿宋" w:cs="仿宋_GB2312"/>
          <w:bCs/>
          <w:sz w:val="24"/>
          <w:szCs w:val="24"/>
        </w:rPr>
        <w:br w:type="textWrapping"/>
      </w:r>
      <w:r>
        <w:rPr>
          <w:rFonts w:hint="eastAsia" w:ascii="仿宋" w:hAnsi="仿宋" w:eastAsia="仿宋" w:cs="仿宋_GB2312"/>
          <w:bCs/>
          <w:sz w:val="24"/>
          <w:szCs w:val="24"/>
        </w:rPr>
        <w:t>收款账号：8112501012801267437</w:t>
      </w:r>
      <w:r>
        <w:rPr>
          <w:rFonts w:hint="eastAsia" w:ascii="仿宋" w:hAnsi="仿宋" w:eastAsia="仿宋" w:cs="仿宋_GB2312"/>
          <w:bCs/>
          <w:sz w:val="24"/>
          <w:szCs w:val="24"/>
        </w:rPr>
        <w:br w:type="textWrapping"/>
      </w:r>
      <w:r>
        <w:rPr>
          <w:rFonts w:hint="eastAsia" w:ascii="仿宋" w:hAnsi="仿宋" w:eastAsia="仿宋" w:cs="仿宋_GB2312"/>
          <w:bCs/>
          <w:sz w:val="24"/>
          <w:szCs w:val="24"/>
        </w:rPr>
        <w:t>开户行名称：中信银行济南舜耕支行</w:t>
      </w:r>
      <w:r>
        <w:rPr>
          <w:rFonts w:hint="eastAsia" w:ascii="仿宋" w:hAnsi="仿宋" w:eastAsia="仿宋" w:cs="仿宋_GB2312"/>
          <w:bCs/>
          <w:sz w:val="24"/>
          <w:szCs w:val="24"/>
        </w:rPr>
        <w:br w:type="textWrapping"/>
      </w:r>
      <w:r>
        <w:rPr>
          <w:rFonts w:hint="eastAsia" w:ascii="仿宋" w:hAnsi="仿宋" w:eastAsia="仿宋" w:cs="仿宋_GB2312"/>
          <w:bCs/>
          <w:sz w:val="24"/>
          <w:szCs w:val="24"/>
        </w:rPr>
        <w:t>开户行行号：302451037264</w:t>
      </w:r>
    </w:p>
    <w:p w14:paraId="1591D62C">
      <w:pPr>
        <w:pStyle w:val="75"/>
        <w:keepNext w:val="0"/>
        <w:keepLines w:val="0"/>
        <w:pageBreakBefore w:val="0"/>
        <w:widowControl w:val="0"/>
        <w:numPr>
          <w:ilvl w:val="0"/>
          <w:numId w:val="22"/>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转账附言：公司名称+项目名称+投标保证金。</w:t>
      </w:r>
    </w:p>
    <w:p w14:paraId="5306DE77">
      <w:pPr>
        <w:keepNext w:val="0"/>
        <w:keepLines w:val="0"/>
        <w:pageBreakBefore w:val="0"/>
        <w:widowControl w:val="0"/>
        <w:numPr>
          <w:ilvl w:val="0"/>
          <w:numId w:val="25"/>
        </w:numPr>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rPr>
        <w:t>对于没有中标的</w:t>
      </w:r>
      <w:r>
        <w:rPr>
          <w:rFonts w:hint="eastAsia" w:ascii="宋体" w:hAnsi="宋体" w:eastAsia="宋体" w:cs="宋体"/>
          <w:lang w:eastAsia="zh-CN"/>
        </w:rPr>
        <w:t>投标人</w:t>
      </w:r>
      <w:r>
        <w:rPr>
          <w:rFonts w:hint="eastAsia" w:ascii="宋体" w:hAnsi="宋体" w:eastAsia="宋体" w:cs="宋体"/>
        </w:rPr>
        <w:t>，投标保证金将于招标人内部完成中标人评审并确认最终中标人后在</w:t>
      </w:r>
      <w:r>
        <w:rPr>
          <w:rFonts w:hint="eastAsia" w:ascii="宋体" w:hAnsi="宋体" w:cs="宋体"/>
        </w:rPr>
        <w:t>30个工作日内</w:t>
      </w:r>
      <w:r>
        <w:rPr>
          <w:rFonts w:hint="eastAsia" w:ascii="宋体" w:hAnsi="宋体" w:eastAsia="宋体" w:cs="宋体"/>
        </w:rPr>
        <w:t>予以原路返还（无息）；对于中标方，投标保证金将在签订合同后</w:t>
      </w:r>
      <w:r>
        <w:rPr>
          <w:rFonts w:hint="eastAsia" w:ascii="宋体" w:hAnsi="宋体" w:cs="宋体"/>
        </w:rPr>
        <w:t>30个工作日内</w:t>
      </w:r>
      <w:r>
        <w:rPr>
          <w:rFonts w:hint="eastAsia" w:ascii="宋体" w:hAnsi="宋体" w:eastAsia="宋体" w:cs="宋体"/>
        </w:rPr>
        <w:t>原路返还（无息）。</w:t>
      </w:r>
    </w:p>
    <w:p w14:paraId="271EC8CF">
      <w:pPr>
        <w:keepNext w:val="0"/>
        <w:keepLines w:val="0"/>
        <w:pageBreakBefore w:val="0"/>
        <w:widowControl w:val="0"/>
        <w:numPr>
          <w:ilvl w:val="0"/>
          <w:numId w:val="25"/>
        </w:numPr>
        <w:kinsoku/>
        <w:wordWrap/>
        <w:overflowPunct/>
        <w:topLinePunct w:val="0"/>
        <w:autoSpaceDE/>
        <w:autoSpaceDN/>
        <w:bidi w:val="0"/>
        <w:adjustRightInd/>
        <w:snapToGrid/>
        <w:spacing w:line="360" w:lineRule="auto"/>
        <w:textAlignment w:val="auto"/>
        <w:rPr>
          <w:rFonts w:hint="eastAsia" w:ascii="宋体" w:hAnsi="宋体" w:eastAsia="仿宋_GB2312" w:cs="宋体"/>
          <w:b w:val="0"/>
          <w:bCs w:val="0"/>
          <w:szCs w:val="24"/>
          <w:highlight w:val="none"/>
          <w:lang w:val="en-US" w:eastAsia="zh-CN"/>
        </w:rPr>
      </w:pPr>
      <w:r>
        <w:rPr>
          <w:rFonts w:hint="eastAsia" w:ascii="宋体" w:hAnsi="宋体" w:eastAsia="宋体" w:cs="宋体"/>
        </w:rPr>
        <w:t>发生以下情况时，有权没收保证金：</w:t>
      </w:r>
      <w:r>
        <w:rPr>
          <w:rFonts w:hint="eastAsia" w:ascii="宋体" w:hAnsi="宋体" w:eastAsia="宋体" w:cs="宋体"/>
        </w:rPr>
        <w:br w:type="textWrapping"/>
      </w:r>
      <w:r>
        <w:rPr>
          <w:rFonts w:hint="eastAsia" w:ascii="宋体" w:hAnsi="宋体" w:eastAsia="宋体" w:cs="宋体"/>
          <w:b w:val="0"/>
          <w:bCs w:val="0"/>
          <w:szCs w:val="21"/>
          <w:highlight w:val="none"/>
        </w:rPr>
        <w:t>①供应商在提交响应文件截止时间后撤回响应文件的；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②供应商在响应文件中提供虚假材料的；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③除因不可抗力或谈判文件、询价通知书认可的情形以外，成交供应商不与采购人签订合同的；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④供应商与采购人、其他供应商或者采购代理机构恶意串通、围标、陪标的；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⑥截至开标前3天，投标人无正当理由、未以书面形式向招标人递交说明而在投标截止日不来投标的。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⑦自中标通知书发出之日起30日内，中标人无正当理由投标人无正当签订合同的；</w:t>
      </w:r>
      <w:r>
        <w:rPr>
          <w:rFonts w:hint="eastAsia" w:ascii="宋体" w:hAnsi="宋体" w:eastAsia="宋体" w:cs="宋体"/>
          <w:b w:val="0"/>
          <w:bCs w:val="0"/>
          <w:szCs w:val="21"/>
          <w:highlight w:val="none"/>
        </w:rPr>
        <w:br w:type="textWrapping"/>
      </w:r>
      <w:r>
        <w:rPr>
          <w:rFonts w:hint="eastAsia" w:ascii="宋体" w:hAnsi="宋体" w:eastAsia="宋体" w:cs="宋体"/>
          <w:b w:val="0"/>
          <w:bCs w:val="0"/>
          <w:szCs w:val="21"/>
          <w:highlight w:val="none"/>
        </w:rPr>
        <w:t>⑧采购文件规定的其他情形</w:t>
      </w:r>
      <w:r>
        <w:rPr>
          <w:rFonts w:hint="eastAsia" w:ascii="宋体" w:hAnsi="宋体" w:eastAsia="宋体" w:cs="宋体"/>
          <w:b w:val="0"/>
          <w:bCs w:val="0"/>
          <w:szCs w:val="21"/>
          <w:highlight w:val="none"/>
          <w:lang w:eastAsia="zh-CN"/>
        </w:rPr>
        <w:t>。</w:t>
      </w:r>
    </w:p>
    <w:bookmarkEnd w:id="13"/>
    <w:p w14:paraId="368B6990">
      <w:pPr>
        <w:pStyle w:val="72"/>
      </w:pPr>
      <w:r>
        <w:rPr>
          <w:rFonts w:hint="eastAsia"/>
          <w:lang w:val="en-US" w:eastAsia="zh-CN"/>
        </w:rPr>
        <w:t>开评标</w:t>
      </w:r>
    </w:p>
    <w:p w14:paraId="00CC8C95">
      <w:pPr>
        <w:pStyle w:val="14"/>
        <w:keepNext w:val="0"/>
        <w:keepLines w:val="0"/>
        <w:pageBreakBefore w:val="0"/>
        <w:widowControl w:val="0"/>
        <w:numPr>
          <w:ilvl w:val="0"/>
          <w:numId w:val="26"/>
        </w:numPr>
        <w:kinsoku/>
        <w:wordWrap/>
        <w:overflowPunct/>
        <w:topLinePunct w:val="0"/>
        <w:autoSpaceDE/>
        <w:autoSpaceDN/>
        <w:bidi w:val="0"/>
        <w:adjustRightInd/>
        <w:snapToGrid/>
        <w:spacing w:line="360" w:lineRule="auto"/>
        <w:ind w:left="0" w:leftChars="0" w:firstLine="0" w:firstLineChars="0"/>
        <w:textAlignment w:val="auto"/>
        <w:rPr>
          <w:rFonts w:hint="eastAsia"/>
          <w:highlight w:val="none"/>
          <w:lang w:val="en-US" w:eastAsia="zh-CN"/>
        </w:rPr>
      </w:pPr>
      <w:r>
        <w:rPr>
          <w:rFonts w:hint="eastAsia"/>
          <w:highlight w:val="none"/>
          <w:lang w:val="en-US" w:eastAsia="zh-CN"/>
        </w:rPr>
        <w:t>开标地点：线上会议</w:t>
      </w:r>
    </w:p>
    <w:p w14:paraId="2C652027">
      <w:pPr>
        <w:pStyle w:val="72"/>
        <w:keepNext w:val="0"/>
        <w:keepLines w:val="0"/>
        <w:pageBreakBefore w:val="0"/>
        <w:widowControl w:val="0"/>
        <w:numPr>
          <w:ilvl w:val="0"/>
          <w:numId w:val="27"/>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w:t>
      </w:r>
    </w:p>
    <w:p w14:paraId="6136E50F">
      <w:pPr>
        <w:pStyle w:val="72"/>
        <w:keepNext w:val="0"/>
        <w:keepLines w:val="0"/>
        <w:pageBreakBefore w:val="0"/>
        <w:widowControl w:val="0"/>
        <w:numPr>
          <w:ilvl w:val="0"/>
          <w:numId w:val="2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评标方法</w:t>
      </w:r>
    </w:p>
    <w:p w14:paraId="649C28C4">
      <w:pPr>
        <w:pStyle w:val="75"/>
        <w:keepNext w:val="0"/>
        <w:keepLines w:val="0"/>
        <w:pageBreakBefore w:val="0"/>
        <w:widowControl w:val="0"/>
        <w:numPr>
          <w:ilvl w:val="0"/>
          <w:numId w:val="22"/>
        </w:numPr>
        <w:kinsoku/>
        <w:wordWrap/>
        <w:overflowPunct/>
        <w:topLinePunct w:val="0"/>
        <w:autoSpaceDE/>
        <w:autoSpaceDN/>
        <w:bidi w:val="0"/>
        <w:adjustRightInd/>
        <w:snapToGrid/>
        <w:ind w:left="10" w:leftChars="0" w:firstLine="0"/>
        <w:textAlignment w:val="auto"/>
        <w:rPr>
          <w:rFonts w:hint="eastAsia" w:cs="Times New Roman"/>
          <w:b w:val="0"/>
          <w:bCs/>
          <w:highlight w:val="none"/>
          <w:lang w:val="en-US" w:eastAsia="zh-CN"/>
        </w:rPr>
      </w:pPr>
      <w:r>
        <w:rPr>
          <w:rFonts w:hint="eastAsia" w:cs="Times New Roman"/>
          <w:b w:val="0"/>
          <w:bCs/>
          <w:highlight w:val="none"/>
          <w:lang w:val="en-US" w:eastAsia="zh-CN"/>
        </w:rPr>
        <w:t>评标方法（合理最低价中标）</w:t>
      </w:r>
    </w:p>
    <w:p w14:paraId="67F90367">
      <w:pPr>
        <w:pStyle w:val="72"/>
        <w:numPr>
          <w:ilvl w:val="0"/>
          <w:numId w:val="0"/>
        </w:numPr>
        <w:rPr>
          <w:rFonts w:ascii="宋体" w:hAnsi="宋体" w:eastAsia="宋体" w:cs="宋体"/>
          <w:b w:val="0"/>
          <w:bCs w:val="0"/>
          <w:sz w:val="21"/>
          <w:szCs w:val="21"/>
        </w:rPr>
      </w:pPr>
      <w:r>
        <w:rPr>
          <w:rFonts w:hint="eastAsia" w:ascii="宋体" w:hAnsi="宋体" w:eastAsia="宋体" w:cs="宋体"/>
          <w:b w:val="0"/>
          <w:bCs w:val="0"/>
          <w:sz w:val="21"/>
          <w:szCs w:val="21"/>
        </w:rPr>
        <w:t>评标由依照有关法律、法规组建的评标委员会负责。评标委员会由招标人或其委托的招标代理机构熟悉相关业务的代表，以及有关技术、经济等方面的专家组成。评标委员会成员人数为三人以上单数。其中，技术、经济等方面的专家不少于成员总数的三分之二。评标专家小组负责参照评分标准，按照国家招投标有关规定，本着公平、公正、公开、有序的原则，在最大限度地满足招标文件实质性要求的前提下，按照</w:t>
      </w:r>
      <w:r>
        <w:rPr>
          <w:rFonts w:hint="eastAsia" w:ascii="宋体" w:hAnsi="宋体" w:eastAsia="宋体" w:cs="宋体"/>
          <w:sz w:val="21"/>
          <w:szCs w:val="21"/>
        </w:rPr>
        <w:t>合理最低价</w:t>
      </w:r>
      <w:r>
        <w:rPr>
          <w:rFonts w:hint="eastAsia" w:ascii="宋体" w:hAnsi="宋体" w:eastAsia="宋体" w:cs="宋体"/>
          <w:b w:val="0"/>
          <w:bCs w:val="0"/>
          <w:sz w:val="21"/>
          <w:szCs w:val="21"/>
        </w:rPr>
        <w:t>的原则选择中标厂家，对未中标单位不做任何解释。</w:t>
      </w:r>
    </w:p>
    <w:p w14:paraId="0B2A8F6D">
      <w:pPr>
        <w:pStyle w:val="72"/>
        <w:keepNext w:val="0"/>
        <w:keepLines w:val="0"/>
        <w:pageBreakBefore w:val="0"/>
        <w:widowControl w:val="0"/>
        <w:numPr>
          <w:ilvl w:val="0"/>
          <w:numId w:val="28"/>
        </w:numPr>
        <w:kinsoku/>
        <w:wordWrap/>
        <w:overflowPunct/>
        <w:topLinePunct w:val="0"/>
        <w:autoSpaceDE/>
        <w:autoSpaceDN/>
        <w:bidi w:val="0"/>
        <w:adjustRightInd/>
        <w:snapToGrid/>
        <w:ind w:left="0" w:leftChars="0" w:firstLine="0" w:firstLine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评标流程</w:t>
      </w:r>
    </w:p>
    <w:p w14:paraId="08C47440">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w:t>
      </w:r>
      <w:r>
        <w:rPr>
          <w:rFonts w:hint="eastAsia" w:ascii="宋体" w:hAnsi="宋体" w:cs="宋体"/>
          <w:b/>
          <w:bCs/>
          <w:color w:val="000000"/>
          <w:sz w:val="21"/>
          <w:szCs w:val="21"/>
          <w:highlight w:val="none"/>
          <w:lang w:eastAsia="zh-CN"/>
        </w:rPr>
        <w:t>“</w:t>
      </w:r>
      <w:r>
        <w:rPr>
          <w:rFonts w:hint="eastAsia" w:ascii="宋体" w:hAnsi="宋体" w:cs="宋体"/>
          <w:b/>
          <w:bCs/>
          <w:color w:val="000000"/>
          <w:sz w:val="21"/>
          <w:szCs w:val="21"/>
          <w:highlight w:val="none"/>
          <w:lang w:val="en-US" w:eastAsia="zh-CN"/>
        </w:rPr>
        <w:t>投标说明-投标文件的组成-资质文件”中的要求</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14:paraId="3925B8AD">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通过应标资格审查的单位进入投标环节，按照“SRM系统供应商用户手册”，在重汽e采通平台投递电子标书（包含资质标、商务标）；没有通过应标资质审查的单位不能进入投标环节；</w:t>
      </w:r>
    </w:p>
    <w:p w14:paraId="3B34C86F">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资质标评审：资质标审核通过的单位，可以进入公开唱标环节；</w:t>
      </w:r>
    </w:p>
    <w:p w14:paraId="5672B712">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公开唱标：公示资质标入围单位的开标价格及商务条款响应情况；</w:t>
      </w:r>
    </w:p>
    <w:p w14:paraId="17C23BBD">
      <w:pPr>
        <w:keepNext w:val="0"/>
        <w:keepLines w:val="0"/>
        <w:pageBreakBefore w:val="0"/>
        <w:widowControl w:val="0"/>
        <w:numPr>
          <w:ilvl w:val="0"/>
          <w:numId w:val="29"/>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14:paraId="148C0E04">
      <w:pPr>
        <w:pStyle w:val="75"/>
        <w:keepNext w:val="0"/>
        <w:keepLines w:val="0"/>
        <w:pageBreakBefore w:val="0"/>
        <w:widowControl w:val="0"/>
        <w:numPr>
          <w:ilvl w:val="0"/>
          <w:numId w:val="22"/>
        </w:numPr>
        <w:kinsoku/>
        <w:wordWrap/>
        <w:overflowPunct/>
        <w:topLinePunct w:val="0"/>
        <w:autoSpaceDE/>
        <w:autoSpaceDN/>
        <w:bidi w:val="0"/>
        <w:adjustRightInd/>
        <w:snapToGrid/>
        <w:ind w:left="10" w:leftChars="0" w:firstLine="0"/>
        <w:textAlignment w:val="auto"/>
        <w:rPr>
          <w:rFonts w:hint="eastAsia" w:cs="Times New Roman"/>
          <w:b/>
          <w:bCs w:val="0"/>
          <w:highlight w:val="none"/>
        </w:rPr>
      </w:pPr>
      <w:r>
        <w:rPr>
          <w:rFonts w:hint="eastAsia" w:cs="Times New Roman"/>
          <w:b/>
          <w:bCs w:val="0"/>
          <w:highlight w:val="none"/>
        </w:rPr>
        <w:t>注意：投标人均需要自带笔记本电脑在重汽e采通进行自主投标和提交澄清函；投标和提交澄清函均有时间限制，超时未提交的按无效处理。</w:t>
      </w:r>
    </w:p>
    <w:p w14:paraId="7C0A112D">
      <w:pPr>
        <w:pStyle w:val="72"/>
      </w:pPr>
      <w:r>
        <w:rPr>
          <w:rFonts w:hint="eastAsia"/>
          <w:lang w:val="en-US" w:eastAsia="zh-CN"/>
        </w:rPr>
        <w:t>定标</w:t>
      </w:r>
    </w:p>
    <w:p w14:paraId="6B705137">
      <w:pPr>
        <w:pStyle w:val="72"/>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none"/>
          <w:u w:val="single"/>
          <w:lang w:val="en-US" w:eastAsia="zh-CN"/>
        </w:rPr>
        <w:t xml:space="preserve"> 1 </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14:paraId="434A2260">
      <w:pPr>
        <w:pStyle w:val="72"/>
      </w:pPr>
      <w:r>
        <w:rPr>
          <w:rFonts w:hint="eastAsia"/>
          <w:lang w:val="en-US" w:eastAsia="zh-CN"/>
        </w:rPr>
        <w:t>废标及终止招标</w:t>
      </w:r>
    </w:p>
    <w:p w14:paraId="2C8EAF4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F5A6C5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14:paraId="3B8EDBB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14:paraId="4343009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14:paraId="0178F8B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default" w:ascii="宋体" w:hAnsi="宋体" w:eastAsia="宋体" w:cs="宋体"/>
          <w:color w:val="000000"/>
          <w:kern w:val="2"/>
          <w:sz w:val="21"/>
          <w:szCs w:val="21"/>
          <w:highlight w:val="none"/>
          <w:lang w:val="en-US" w:eastAsia="zh-CN" w:bidi="ar-SA"/>
        </w:rPr>
        <w:t>)</w:t>
      </w:r>
      <w:r>
        <w:rPr>
          <w:rFonts w:hint="eastAsia" w:ascii="宋体" w:hAnsi="宋体" w:eastAsia="宋体" w:cs="宋体"/>
          <w:color w:val="000000"/>
          <w:sz w:val="21"/>
          <w:szCs w:val="21"/>
          <w:highlight w:val="none"/>
        </w:rPr>
        <w:t>投标人以任何方式诋毁其他投标人；</w:t>
      </w:r>
    </w:p>
    <w:p w14:paraId="4A1479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14:paraId="57D4CDCD">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14:paraId="019FF29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14:paraId="7FEF708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(8)</w:t>
      </w:r>
      <w:r>
        <w:rPr>
          <w:rFonts w:hint="eastAsia" w:ascii="宋体" w:hAnsi="宋体" w:eastAsia="宋体" w:cs="宋体"/>
          <w:sz w:val="21"/>
          <w:szCs w:val="21"/>
          <w:highlight w:val="none"/>
        </w:rPr>
        <w:t>投标人负责人为同一人或者存在控股、管理关系的不同单位；</w:t>
      </w:r>
    </w:p>
    <w:p w14:paraId="5DB4D46C">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highlight w:val="none"/>
          <w:lang w:val="en-US" w:eastAsia="zh-CN" w:bidi="ar-SA"/>
        </w:rPr>
        <w:t>(9)</w:t>
      </w:r>
      <w:r>
        <w:rPr>
          <w:rFonts w:hint="eastAsia" w:ascii="宋体" w:hAnsi="宋体" w:eastAsia="宋体" w:cs="宋体"/>
          <w:sz w:val="21"/>
          <w:szCs w:val="21"/>
          <w:highlight w:val="none"/>
        </w:rPr>
        <w:t>有效投标不足三家；</w:t>
      </w:r>
    </w:p>
    <w:p w14:paraId="06AA862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(10)</w:t>
      </w:r>
      <w:r>
        <w:rPr>
          <w:rFonts w:hint="eastAsia" w:ascii="宋体" w:hAnsi="宋体" w:eastAsia="宋体" w:cs="宋体"/>
          <w:sz w:val="21"/>
          <w:szCs w:val="21"/>
          <w:highlight w:val="none"/>
        </w:rPr>
        <w:t>不同投标人的投标文件异常一致或者投标报价呈规律性差异的；</w:t>
      </w:r>
    </w:p>
    <w:p w14:paraId="1AD76C7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(11)</w:t>
      </w:r>
      <w:r>
        <w:rPr>
          <w:rFonts w:hint="eastAsia" w:ascii="宋体" w:hAnsi="宋体" w:eastAsia="宋体" w:cs="宋体"/>
          <w:sz w:val="21"/>
          <w:szCs w:val="21"/>
          <w:highlight w:val="none"/>
        </w:rPr>
        <w:t>投标人报价均超过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14:paraId="0D7AB83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14:paraId="46E4730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14:paraId="2A852CD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14:paraId="75E706C7">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14:paraId="6BC017B6">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14:paraId="4633ED6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14:paraId="3D9449A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14:paraId="1872B76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bookmarkStart w:id="14" w:name="OLE_LINK27"/>
      <w:bookmarkStart w:id="15" w:name="OLE_LINK28"/>
      <w:bookmarkStart w:id="16" w:name="OLE_LINK25"/>
      <w:bookmarkStart w:id="17" w:name="OLE_LINK29"/>
      <w:bookmarkStart w:id="18" w:name="OLE_LINK26"/>
      <w:r>
        <w:rPr>
          <w:rFonts w:hint="eastAsia" w:ascii="宋体" w:hAnsi="宋体" w:eastAsia="宋体" w:cs="宋体"/>
          <w:bCs/>
          <w:sz w:val="21"/>
          <w:szCs w:val="21"/>
          <w:highlight w:val="none"/>
        </w:rPr>
        <w:t>；</w:t>
      </w:r>
      <w:bookmarkEnd w:id="14"/>
      <w:bookmarkEnd w:id="15"/>
      <w:bookmarkEnd w:id="16"/>
      <w:bookmarkEnd w:id="17"/>
      <w:bookmarkEnd w:id="18"/>
    </w:p>
    <w:p w14:paraId="5CD1D199">
      <w:pPr>
        <w:pStyle w:val="14"/>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14:paraId="24E682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3E00D4EE">
      <w:pPr>
        <w:pStyle w:val="72"/>
      </w:pPr>
      <w:r>
        <w:rPr>
          <w:rFonts w:hint="eastAsia"/>
          <w:lang w:val="en-US" w:eastAsia="zh-CN"/>
        </w:rPr>
        <w:t>合同签订</w:t>
      </w:r>
    </w:p>
    <w:p w14:paraId="470297F8">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14:paraId="13B36870">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14:paraId="247515F9">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14:paraId="71A3F1F6">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b/>
          <w:sz w:val="21"/>
          <w:szCs w:val="21"/>
        </w:rPr>
      </w:pPr>
      <w:r>
        <w:rPr>
          <w:rFonts w:hint="eastAsia" w:ascii="宋体" w:hAnsi="宋体" w:cs="宋体"/>
          <w:b/>
          <w:sz w:val="21"/>
          <w:szCs w:val="21"/>
        </w:rPr>
        <w:t>4.中标人由于履行义务的能力或信用有严重缺陷，招标人有权取消其中标资格，招标人将从中标候选单位中依序重新确定中标人，或重新组织招标；</w:t>
      </w:r>
    </w:p>
    <w:p w14:paraId="4B1A7D9C">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eastAsia="宋体" w:cs="宋体"/>
          <w:color w:val="000000"/>
          <w:sz w:val="21"/>
          <w:szCs w:val="21"/>
          <w:highlight w:val="none"/>
        </w:rPr>
      </w:pPr>
      <w:r>
        <w:rPr>
          <w:rFonts w:hint="eastAsia" w:ascii="宋体" w:hAnsi="宋体" w:cs="宋体"/>
          <w:b/>
          <w:sz w:val="21"/>
          <w:szCs w:val="21"/>
        </w:rPr>
        <w:t>5.合同以双方最终签署的版本为准。</w:t>
      </w:r>
    </w:p>
    <w:p w14:paraId="610E8BB3">
      <w:pPr>
        <w:pStyle w:val="72"/>
        <w:rPr>
          <w:highlight w:val="none"/>
        </w:rPr>
      </w:pPr>
      <w:r>
        <w:rPr>
          <w:rFonts w:hint="eastAsia"/>
          <w:highlight w:val="none"/>
          <w:lang w:val="en-US" w:eastAsia="zh-CN"/>
        </w:rPr>
        <w:t>付款</w:t>
      </w:r>
    </w:p>
    <w:p w14:paraId="60CC002B">
      <w:pPr>
        <w:pStyle w:val="63"/>
        <w:numPr>
          <w:ilvl w:val="0"/>
          <w:numId w:val="30"/>
        </w:numPr>
        <w:adjustRightInd w:val="0"/>
        <w:snapToGrid w:val="0"/>
        <w:spacing w:line="360" w:lineRule="auto"/>
        <w:ind w:firstLineChars="0"/>
        <w:jc w:val="left"/>
        <w:rPr>
          <w:rFonts w:hint="eastAsia" w:ascii="仿宋" w:hAnsi="仿宋" w:eastAsia="仿宋" w:cs="仿宋_GB2312"/>
          <w:bCs/>
          <w:sz w:val="24"/>
          <w:szCs w:val="24"/>
          <w:highlight w:val="none"/>
        </w:rPr>
      </w:pPr>
      <w:r>
        <w:rPr>
          <w:rFonts w:hint="eastAsia" w:ascii="仿宋" w:hAnsi="仿宋" w:eastAsia="仿宋" w:cs="仿宋_GB2312"/>
          <w:bCs/>
          <w:sz w:val="24"/>
          <w:szCs w:val="24"/>
        </w:rPr>
        <w:t>付款方式：</w:t>
      </w:r>
      <w:r>
        <w:rPr>
          <w:rFonts w:hint="eastAsia" w:ascii="仿宋" w:hAnsi="仿宋" w:eastAsia="仿宋" w:cs="仿宋_GB2312"/>
          <w:bCs/>
          <w:sz w:val="24"/>
          <w:szCs w:val="24"/>
          <w:lang w:val="en-US" w:eastAsia="zh-CN"/>
        </w:rPr>
        <w:t>银行转账</w:t>
      </w:r>
    </w:p>
    <w:p w14:paraId="7C3C7F96">
      <w:pPr>
        <w:pStyle w:val="63"/>
        <w:numPr>
          <w:ilvl w:val="0"/>
          <w:numId w:val="30"/>
        </w:numPr>
        <w:adjustRightInd w:val="0"/>
        <w:snapToGrid w:val="0"/>
        <w:spacing w:line="360" w:lineRule="auto"/>
        <w:ind w:firstLineChars="0"/>
        <w:jc w:val="left"/>
        <w:rPr>
          <w:rFonts w:hint="eastAsia" w:ascii="仿宋" w:hAnsi="仿宋" w:eastAsia="仿宋" w:cs="仿宋_GB2312"/>
          <w:bCs/>
          <w:sz w:val="24"/>
          <w:szCs w:val="24"/>
        </w:rPr>
      </w:pPr>
      <w:r>
        <w:rPr>
          <w:rFonts w:hint="eastAsia" w:ascii="仿宋" w:hAnsi="仿宋" w:eastAsia="仿宋" w:cs="仿宋_GB2312"/>
          <w:bCs/>
          <w:sz w:val="24"/>
          <w:szCs w:val="24"/>
          <w:highlight w:val="none"/>
        </w:rPr>
        <w:t>付款节点:</w:t>
      </w:r>
      <w:r>
        <w:rPr>
          <w:rFonts w:hint="eastAsia" w:ascii="仿宋" w:hAnsi="仿宋" w:eastAsia="仿宋"/>
          <w:sz w:val="24"/>
          <w:szCs w:val="24"/>
          <w:highlight w:val="none"/>
        </w:rPr>
        <w:t xml:space="preserve"> </w:t>
      </w:r>
      <w:r>
        <w:rPr>
          <w:rFonts w:hint="eastAsia" w:ascii="仿宋" w:hAnsi="仿宋" w:eastAsia="仿宋" w:cs="仿宋_GB2312"/>
          <w:bCs/>
          <w:sz w:val="24"/>
          <w:szCs w:val="24"/>
          <w:highlight w:val="none"/>
        </w:rPr>
        <w:t>每</w:t>
      </w:r>
      <w:r>
        <w:rPr>
          <w:rFonts w:hint="eastAsia" w:ascii="仿宋" w:hAnsi="仿宋" w:eastAsia="仿宋" w:cs="仿宋_GB2312"/>
          <w:bCs/>
          <w:sz w:val="24"/>
          <w:szCs w:val="24"/>
          <w:highlight w:val="none"/>
          <w:lang w:val="en-US" w:eastAsia="zh-CN"/>
        </w:rPr>
        <w:t>季度</w:t>
      </w:r>
      <w:r>
        <w:rPr>
          <w:rFonts w:hint="eastAsia" w:ascii="仿宋" w:hAnsi="仿宋" w:eastAsia="仿宋" w:cs="仿宋_GB2312"/>
          <w:bCs/>
          <w:sz w:val="24"/>
          <w:szCs w:val="24"/>
          <w:highlight w:val="none"/>
        </w:rPr>
        <w:t>结算一次，</w:t>
      </w:r>
      <w:r>
        <w:rPr>
          <w:rFonts w:hint="eastAsia" w:ascii="仿宋" w:hAnsi="仿宋" w:eastAsia="仿宋" w:cs="仿宋_GB2312"/>
          <w:bCs/>
          <w:sz w:val="24"/>
          <w:szCs w:val="24"/>
          <w:highlight w:val="none"/>
          <w:lang w:val="en-US" w:eastAsia="zh-CN"/>
        </w:rPr>
        <w:t>中标方</w:t>
      </w:r>
      <w:r>
        <w:rPr>
          <w:rFonts w:hint="eastAsia" w:ascii="仿宋" w:hAnsi="仿宋" w:eastAsia="仿宋" w:cs="仿宋_GB2312"/>
          <w:bCs/>
          <w:sz w:val="24"/>
          <w:szCs w:val="24"/>
          <w:highlight w:val="none"/>
        </w:rPr>
        <w:t>统计</w:t>
      </w:r>
      <w:r>
        <w:rPr>
          <w:rFonts w:hint="eastAsia" w:ascii="仿宋" w:hAnsi="仿宋" w:eastAsia="仿宋" w:cs="仿宋_GB2312"/>
          <w:bCs/>
          <w:sz w:val="24"/>
          <w:szCs w:val="24"/>
          <w:highlight w:val="none"/>
          <w:lang w:val="en-US" w:eastAsia="zh-CN"/>
        </w:rPr>
        <w:t>招标人</w:t>
      </w:r>
      <w:r>
        <w:rPr>
          <w:rFonts w:hint="eastAsia" w:ascii="仿宋" w:hAnsi="仿宋" w:eastAsia="仿宋" w:cs="仿宋_GB2312"/>
          <w:bCs/>
          <w:sz w:val="24"/>
          <w:szCs w:val="24"/>
          <w:highlight w:val="none"/>
        </w:rPr>
        <w:t>每</w:t>
      </w:r>
      <w:r>
        <w:rPr>
          <w:rFonts w:hint="eastAsia" w:ascii="仿宋" w:hAnsi="仿宋" w:eastAsia="仿宋" w:cs="仿宋_GB2312"/>
          <w:bCs/>
          <w:sz w:val="24"/>
          <w:szCs w:val="24"/>
          <w:highlight w:val="none"/>
          <w:lang w:val="en-US" w:eastAsia="zh-CN"/>
        </w:rPr>
        <w:t>个月</w:t>
      </w:r>
      <w:r>
        <w:rPr>
          <w:rFonts w:hint="eastAsia" w:ascii="仿宋" w:hAnsi="仿宋" w:eastAsia="仿宋" w:cs="仿宋_GB2312"/>
          <w:bCs/>
          <w:sz w:val="24"/>
          <w:szCs w:val="24"/>
          <w:highlight w:val="none"/>
        </w:rPr>
        <w:t>参训</w:t>
      </w:r>
      <w:r>
        <w:rPr>
          <w:rFonts w:hint="eastAsia" w:ascii="仿宋" w:hAnsi="仿宋" w:eastAsia="仿宋" w:cs="仿宋_GB2312"/>
          <w:bCs/>
          <w:sz w:val="24"/>
          <w:szCs w:val="24"/>
          <w:highlight w:val="none"/>
          <w:lang w:val="en-US" w:eastAsia="zh-CN"/>
        </w:rPr>
        <w:t>并</w:t>
      </w:r>
      <w:r>
        <w:rPr>
          <w:rFonts w:hint="eastAsia" w:ascii="仿宋" w:hAnsi="仿宋" w:eastAsia="仿宋" w:cs="仿宋_GB2312"/>
          <w:bCs/>
          <w:sz w:val="24"/>
          <w:szCs w:val="24"/>
          <w:highlight w:val="none"/>
        </w:rPr>
        <w:t>考试成绩</w:t>
      </w:r>
      <w:r>
        <w:rPr>
          <w:rFonts w:hint="eastAsia" w:ascii="仿宋" w:hAnsi="仿宋" w:eastAsia="仿宋" w:cs="仿宋_GB2312"/>
          <w:bCs/>
          <w:sz w:val="24"/>
          <w:szCs w:val="24"/>
          <w:highlight w:val="none"/>
          <w:lang w:val="en-US" w:eastAsia="zh-CN"/>
        </w:rPr>
        <w:t>合格</w:t>
      </w:r>
      <w:r>
        <w:rPr>
          <w:rFonts w:hint="eastAsia" w:ascii="仿宋" w:hAnsi="仿宋" w:eastAsia="仿宋" w:cs="仿宋_GB2312"/>
          <w:bCs/>
          <w:sz w:val="24"/>
          <w:szCs w:val="24"/>
          <w:highlight w:val="none"/>
        </w:rPr>
        <w:t>及费用明细表经</w:t>
      </w:r>
      <w:r>
        <w:rPr>
          <w:rFonts w:hint="eastAsia" w:ascii="仿宋" w:hAnsi="仿宋" w:eastAsia="仿宋" w:cs="仿宋_GB2312"/>
          <w:bCs/>
          <w:sz w:val="24"/>
          <w:szCs w:val="24"/>
          <w:highlight w:val="none"/>
          <w:lang w:val="en-US" w:eastAsia="zh-CN"/>
        </w:rPr>
        <w:t>招标人</w:t>
      </w:r>
      <w:r>
        <w:rPr>
          <w:rFonts w:hint="eastAsia" w:ascii="仿宋" w:hAnsi="仿宋" w:eastAsia="仿宋" w:cs="仿宋_GB2312"/>
          <w:bCs/>
          <w:sz w:val="24"/>
          <w:szCs w:val="24"/>
          <w:highlight w:val="none"/>
        </w:rPr>
        <w:t>审核确认后，</w:t>
      </w:r>
      <w:r>
        <w:rPr>
          <w:rFonts w:hint="eastAsia" w:ascii="仿宋" w:hAnsi="仿宋" w:eastAsia="仿宋" w:cs="仿宋_GB2312"/>
          <w:bCs/>
          <w:sz w:val="24"/>
          <w:szCs w:val="24"/>
          <w:highlight w:val="none"/>
          <w:lang w:val="en-US" w:eastAsia="zh-CN"/>
        </w:rPr>
        <w:t>中标方</w:t>
      </w:r>
      <w:r>
        <w:rPr>
          <w:rFonts w:hint="eastAsia" w:ascii="仿宋" w:hAnsi="仿宋" w:eastAsia="仿宋" w:cs="仿宋_GB2312"/>
          <w:bCs/>
          <w:sz w:val="24"/>
          <w:szCs w:val="24"/>
          <w:highlight w:val="none"/>
        </w:rPr>
        <w:t>开具有效增值税</w:t>
      </w:r>
      <w:r>
        <w:rPr>
          <w:rFonts w:hint="eastAsia" w:ascii="仿宋" w:hAnsi="仿宋" w:eastAsia="仿宋" w:cs="仿宋_GB2312"/>
          <w:bCs/>
          <w:sz w:val="24"/>
          <w:szCs w:val="24"/>
          <w:highlight w:val="none"/>
          <w:lang w:val="en-US" w:eastAsia="zh-CN"/>
        </w:rPr>
        <w:t>发票到招标人财务挂账，挂账后次月</w:t>
      </w:r>
      <w:r>
        <w:rPr>
          <w:rFonts w:hint="eastAsia" w:ascii="仿宋" w:hAnsi="仿宋" w:eastAsia="仿宋" w:cs="仿宋_GB2312"/>
          <w:bCs/>
          <w:sz w:val="24"/>
          <w:szCs w:val="24"/>
          <w:highlight w:val="none"/>
        </w:rPr>
        <w:t>付款。</w:t>
      </w:r>
    </w:p>
    <w:p w14:paraId="7A550442">
      <w:pPr>
        <w:pStyle w:val="72"/>
        <w:numPr>
          <w:ilvl w:val="0"/>
          <w:numId w:val="0"/>
        </w:numPr>
        <w:rPr>
          <w:rFonts w:hint="eastAsia" w:ascii="宋体" w:hAnsi="宋体" w:eastAsia="宋体" w:cs="宋体"/>
          <w:b w:val="0"/>
          <w:bCs w:val="0"/>
          <w:sz w:val="21"/>
          <w:szCs w:val="21"/>
        </w:rPr>
      </w:pPr>
      <w:r>
        <w:rPr>
          <w:rFonts w:hint="eastAsia" w:ascii="宋体" w:hAnsi="宋体" w:eastAsia="宋体" w:cs="宋体"/>
          <w:b w:val="0"/>
          <w:bCs w:val="0"/>
          <w:sz w:val="21"/>
          <w:szCs w:val="21"/>
        </w:rPr>
        <w:t>*注：付款方式及付款比例不允许偏离。</w:t>
      </w:r>
    </w:p>
    <w:p w14:paraId="08EEE773">
      <w:pPr>
        <w:pStyle w:val="72"/>
        <w:rPr>
          <w:rFonts w:ascii="仿宋" w:hAnsi="仿宋" w:eastAsia="仿宋" w:cs="仿宋"/>
          <w:sz w:val="32"/>
          <w:szCs w:val="32"/>
        </w:rPr>
      </w:pPr>
      <w:r>
        <w:rPr>
          <w:rFonts w:hint="eastAsia"/>
          <w:lang w:val="en-US" w:eastAsia="zh-CN"/>
        </w:rPr>
        <w:t>技术要求</w:t>
      </w:r>
    </w:p>
    <w:p w14:paraId="57921828">
      <w:pPr>
        <w:spacing w:line="480" w:lineRule="exact"/>
        <w:jc w:val="center"/>
        <w:rPr>
          <w:rFonts w:hint="eastAsia" w:ascii="仿宋" w:hAnsi="仿宋" w:eastAsia="仿宋" w:cs="仿宋"/>
          <w:sz w:val="32"/>
          <w:szCs w:val="32"/>
        </w:rPr>
      </w:pPr>
    </w:p>
    <w:p w14:paraId="25FE8493">
      <w:pPr>
        <w:spacing w:line="480" w:lineRule="exact"/>
        <w:jc w:val="center"/>
        <w:rPr>
          <w:rFonts w:hint="eastAsia" w:ascii="仿宋" w:hAnsi="仿宋" w:eastAsia="仿宋" w:cs="仿宋"/>
          <w:sz w:val="32"/>
          <w:szCs w:val="32"/>
        </w:rPr>
      </w:pPr>
    </w:p>
    <w:p w14:paraId="71E45918">
      <w:pPr>
        <w:wordWrap w:val="0"/>
        <w:ind w:right="315"/>
        <w:jc w:val="right"/>
        <w:rPr>
          <w:rFonts w:ascii="宋体" w:hAnsi="宋体"/>
          <w:b/>
          <w:bCs w:val="0"/>
          <w:sz w:val="44"/>
          <w:szCs w:val="44"/>
        </w:rPr>
      </w:pPr>
    </w:p>
    <w:p w14:paraId="1D2437D3">
      <w:pPr>
        <w:jc w:val="center"/>
        <w:rPr>
          <w:rFonts w:ascii="宋体" w:hAnsi="宋体"/>
          <w:b/>
          <w:bCs w:val="0"/>
          <w:sz w:val="44"/>
          <w:szCs w:val="44"/>
        </w:rPr>
      </w:pPr>
    </w:p>
    <w:p w14:paraId="71E4CCBE">
      <w:pPr>
        <w:jc w:val="center"/>
        <w:rPr>
          <w:rFonts w:ascii="宋体" w:hAnsi="宋体"/>
          <w:b/>
          <w:bCs w:val="0"/>
          <w:sz w:val="52"/>
          <w:szCs w:val="52"/>
        </w:rPr>
      </w:pPr>
    </w:p>
    <w:p w14:paraId="477F4835">
      <w:pPr>
        <w:jc w:val="center"/>
        <w:rPr>
          <w:rFonts w:ascii="宋体" w:hAnsi="宋体"/>
          <w:b/>
          <w:bCs w:val="0"/>
          <w:sz w:val="52"/>
          <w:szCs w:val="52"/>
        </w:rPr>
      </w:pPr>
    </w:p>
    <w:p w14:paraId="642DF64A">
      <w:pPr>
        <w:jc w:val="center"/>
        <w:rPr>
          <w:rFonts w:hint="eastAsia" w:ascii="方正小标宋简体" w:hAnsi="方正小标宋简体" w:eastAsia="方正小标宋简体" w:cs="方正小标宋简体"/>
          <w:b/>
          <w:bCs w:val="0"/>
          <w:sz w:val="52"/>
          <w:szCs w:val="52"/>
        </w:rPr>
      </w:pPr>
      <w:r>
        <w:rPr>
          <w:rFonts w:hint="eastAsia" w:ascii="方正小标宋简体" w:hAnsi="方正小标宋简体" w:eastAsia="方正小标宋简体" w:cs="方正小标宋简体"/>
          <w:b/>
          <w:bCs w:val="0"/>
          <w:sz w:val="52"/>
          <w:szCs w:val="52"/>
          <w:lang w:val="en-US" w:eastAsia="zh-CN"/>
        </w:rPr>
        <w:t>重庆汽车职业健康体检项目</w:t>
      </w:r>
      <w:r>
        <w:rPr>
          <w:rFonts w:hint="eastAsia" w:ascii="方正小标宋简体" w:hAnsi="方正小标宋简体" w:eastAsia="方正小标宋简体" w:cs="方正小标宋简体"/>
          <w:b/>
          <w:bCs w:val="0"/>
          <w:sz w:val="52"/>
          <w:szCs w:val="52"/>
        </w:rPr>
        <w:t>技术要求</w:t>
      </w:r>
    </w:p>
    <w:p w14:paraId="08F05668">
      <w:pPr>
        <w:rPr>
          <w:rFonts w:ascii="宋体" w:hAnsi="宋体"/>
          <w:b/>
          <w:bCs w:val="0"/>
          <w:sz w:val="44"/>
          <w:szCs w:val="44"/>
        </w:rPr>
      </w:pPr>
    </w:p>
    <w:p w14:paraId="58065135">
      <w:pPr>
        <w:rPr>
          <w:rFonts w:ascii="宋体" w:hAnsi="宋体"/>
          <w:b/>
          <w:bCs w:val="0"/>
          <w:sz w:val="44"/>
          <w:szCs w:val="44"/>
        </w:rPr>
      </w:pPr>
    </w:p>
    <w:p w14:paraId="6AE6BD35">
      <w:pPr>
        <w:rPr>
          <w:rFonts w:ascii="宋体" w:hAnsi="宋体"/>
          <w:b/>
          <w:bCs w:val="0"/>
          <w:sz w:val="44"/>
          <w:szCs w:val="44"/>
        </w:rPr>
      </w:pPr>
    </w:p>
    <w:p w14:paraId="41D161BA">
      <w:pPr>
        <w:rPr>
          <w:rFonts w:ascii="宋体" w:hAnsi="宋体"/>
          <w:b/>
          <w:bCs w:val="0"/>
          <w:sz w:val="44"/>
          <w:szCs w:val="44"/>
        </w:rPr>
      </w:pPr>
    </w:p>
    <w:p w14:paraId="0F4AA321">
      <w:pPr>
        <w:rPr>
          <w:rFonts w:ascii="宋体" w:hAnsi="宋体"/>
          <w:b/>
          <w:bCs w:val="0"/>
          <w:sz w:val="44"/>
          <w:szCs w:val="44"/>
        </w:rPr>
      </w:pPr>
    </w:p>
    <w:p w14:paraId="099DBC19">
      <w:pPr>
        <w:rPr>
          <w:rFonts w:ascii="宋体" w:hAnsi="宋体"/>
          <w:b/>
          <w:bCs w:val="0"/>
          <w:sz w:val="44"/>
          <w:szCs w:val="44"/>
        </w:rPr>
      </w:pPr>
    </w:p>
    <w:p w14:paraId="27D9C68D">
      <w:pPr>
        <w:rPr>
          <w:rFonts w:ascii="宋体" w:hAnsi="宋体"/>
          <w:b/>
          <w:bCs w:val="0"/>
          <w:sz w:val="44"/>
          <w:szCs w:val="44"/>
        </w:rPr>
      </w:pPr>
    </w:p>
    <w:p w14:paraId="09739B70">
      <w:pPr>
        <w:rPr>
          <w:rFonts w:ascii="宋体" w:hAnsi="宋体"/>
          <w:b/>
          <w:bCs w:val="0"/>
          <w:sz w:val="44"/>
          <w:szCs w:val="44"/>
        </w:rPr>
      </w:pPr>
    </w:p>
    <w:p w14:paraId="480EAF0B">
      <w:pPr>
        <w:rPr>
          <w:rFonts w:ascii="宋体" w:hAnsi="宋体"/>
          <w:b/>
          <w:bCs w:val="0"/>
          <w:sz w:val="44"/>
          <w:szCs w:val="44"/>
        </w:rPr>
      </w:pPr>
    </w:p>
    <w:p w14:paraId="47079BF2">
      <w:pPr>
        <w:rPr>
          <w:rFonts w:ascii="宋体" w:hAnsi="宋体"/>
          <w:b/>
          <w:bCs w:val="0"/>
          <w:sz w:val="32"/>
          <w:szCs w:val="32"/>
        </w:rPr>
      </w:pPr>
    </w:p>
    <w:p w14:paraId="4BC76105">
      <w:pPr>
        <w:ind w:firstLine="3845" w:firstLineChars="1197"/>
        <w:rPr>
          <w:rFonts w:ascii="宋体" w:hAnsi="宋体"/>
          <w:b/>
          <w:bCs w:val="0"/>
          <w:sz w:val="32"/>
          <w:szCs w:val="32"/>
        </w:rPr>
      </w:pPr>
      <w:r>
        <w:rPr>
          <w:rFonts w:hint="eastAsia" w:ascii="宋体" w:hAnsi="宋体"/>
          <w:b/>
          <w:bCs w:val="0"/>
          <w:sz w:val="32"/>
          <w:szCs w:val="32"/>
        </w:rPr>
        <w:t>20</w:t>
      </w:r>
      <w:r>
        <w:rPr>
          <w:rFonts w:hint="eastAsia" w:ascii="宋体" w:hAnsi="宋体"/>
          <w:b/>
          <w:bCs w:val="0"/>
          <w:sz w:val="32"/>
          <w:szCs w:val="32"/>
          <w:lang w:val="en-US" w:eastAsia="zh-CN"/>
        </w:rPr>
        <w:t>25</w:t>
      </w:r>
      <w:r>
        <w:rPr>
          <w:rFonts w:hint="eastAsia" w:ascii="宋体" w:hAnsi="宋体"/>
          <w:b/>
          <w:bCs w:val="0"/>
          <w:sz w:val="32"/>
          <w:szCs w:val="32"/>
        </w:rPr>
        <w:t>年</w:t>
      </w:r>
      <w:r>
        <w:rPr>
          <w:rFonts w:hint="eastAsia" w:ascii="宋体" w:hAnsi="宋体"/>
          <w:b/>
          <w:bCs w:val="0"/>
          <w:sz w:val="32"/>
          <w:szCs w:val="32"/>
          <w:lang w:val="en-US" w:eastAsia="zh-CN"/>
        </w:rPr>
        <w:t>11</w:t>
      </w:r>
      <w:r>
        <w:rPr>
          <w:rFonts w:hint="eastAsia" w:ascii="宋体" w:hAnsi="宋体"/>
          <w:b/>
          <w:bCs w:val="0"/>
          <w:sz w:val="32"/>
          <w:szCs w:val="32"/>
        </w:rPr>
        <w:t xml:space="preserve">月 </w:t>
      </w:r>
    </w:p>
    <w:p w14:paraId="08347EBA">
      <w:pPr>
        <w:rPr>
          <w:rFonts w:ascii="宋体" w:hAnsi="宋体"/>
          <w:b/>
          <w:bCs w:val="0"/>
          <w:sz w:val="28"/>
          <w:szCs w:val="28"/>
        </w:rPr>
        <w:sectPr>
          <w:headerReference r:id="rId6" w:type="default"/>
          <w:footerReference r:id="rId7" w:type="default"/>
          <w:footerReference r:id="rId8" w:type="even"/>
          <w:pgSz w:w="11907" w:h="16840"/>
          <w:pgMar w:top="1440" w:right="1080" w:bottom="1440" w:left="1080" w:header="851" w:footer="850" w:gutter="57"/>
          <w:pgNumType w:fmt="decimal" w:start="1" w:chapStyle="1"/>
          <w:cols w:space="720" w:num="1"/>
          <w:docGrid w:type="lines" w:linePitch="326" w:charSpace="0"/>
        </w:sectPr>
      </w:pPr>
    </w:p>
    <w:p w14:paraId="0F0236CC">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黑体" w:hAnsi="黑体" w:eastAsia="黑体" w:cs="黑体"/>
          <w:b w:val="0"/>
          <w:bCs/>
          <w:i w:val="0"/>
          <w:iCs w:val="0"/>
          <w:sz w:val="28"/>
          <w:szCs w:val="28"/>
          <w:lang w:val="en-US" w:eastAsia="zh-CN"/>
        </w:rPr>
      </w:pPr>
      <w:r>
        <w:rPr>
          <w:rFonts w:hint="eastAsia" w:ascii="黑体" w:hAnsi="黑体" w:eastAsia="黑体" w:cs="黑体"/>
          <w:b w:val="0"/>
          <w:bCs/>
          <w:i w:val="0"/>
          <w:iCs w:val="0"/>
          <w:sz w:val="28"/>
          <w:szCs w:val="28"/>
        </w:rPr>
        <w:t>一、项目</w:t>
      </w:r>
      <w:r>
        <w:rPr>
          <w:rFonts w:hint="eastAsia" w:ascii="黑体" w:hAnsi="黑体" w:eastAsia="黑体" w:cs="黑体"/>
          <w:b w:val="0"/>
          <w:bCs/>
          <w:i w:val="0"/>
          <w:iCs w:val="0"/>
          <w:sz w:val="28"/>
          <w:szCs w:val="28"/>
          <w:lang w:val="en-US" w:eastAsia="zh-CN"/>
        </w:rPr>
        <w:t>内容</w:t>
      </w:r>
    </w:p>
    <w:p w14:paraId="3F28E9AF">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default" w:ascii="仿宋" w:hAnsi="仿宋" w:eastAsia="仿宋" w:cs="仿宋"/>
          <w:b w:val="0"/>
          <w:bCs/>
          <w:i w:val="0"/>
          <w:iCs w:val="0"/>
          <w:sz w:val="28"/>
          <w:szCs w:val="28"/>
          <w:lang w:val="en-US" w:eastAsia="zh-CN"/>
        </w:rPr>
      </w:pPr>
      <w:r>
        <w:rPr>
          <w:rFonts w:hint="eastAsia" w:ascii="仿宋_GB2312" w:hAnsi="仿宋_GB2312" w:eastAsia="仿宋_GB2312" w:cs="仿宋_GB2312"/>
          <w:b w:val="0"/>
          <w:bCs/>
          <w:i w:val="0"/>
          <w:iCs w:val="0"/>
          <w:sz w:val="28"/>
          <w:szCs w:val="28"/>
        </w:rPr>
        <w:t>本项目为</w:t>
      </w:r>
      <w:r>
        <w:rPr>
          <w:rFonts w:hint="eastAsia" w:ascii="仿宋_GB2312" w:hAnsi="仿宋_GB2312" w:eastAsia="仿宋_GB2312" w:cs="仿宋_GB2312"/>
          <w:b w:val="0"/>
          <w:bCs/>
          <w:i w:val="0"/>
          <w:iCs w:val="0"/>
          <w:sz w:val="28"/>
          <w:szCs w:val="28"/>
          <w:lang w:val="en-US" w:eastAsia="zh-CN"/>
        </w:rPr>
        <w:t>重汽（重庆）轻型汽车有限公司</w:t>
      </w:r>
      <w:r>
        <w:rPr>
          <w:rFonts w:hint="eastAsia" w:ascii="仿宋_GB2312" w:hAnsi="仿宋_GB2312" w:eastAsia="仿宋_GB2312" w:cs="仿宋_GB2312"/>
          <w:b w:val="0"/>
          <w:bCs/>
          <w:i w:val="0"/>
          <w:iCs w:val="0"/>
          <w:sz w:val="28"/>
          <w:szCs w:val="28"/>
        </w:rPr>
        <w:t>（以下简称</w:t>
      </w:r>
      <w:r>
        <w:rPr>
          <w:rFonts w:hint="eastAsia" w:ascii="仿宋_GB2312" w:hAnsi="仿宋_GB2312" w:eastAsia="仿宋_GB2312" w:cs="仿宋_GB2312"/>
          <w:b w:val="0"/>
          <w:bCs/>
          <w:i w:val="0"/>
          <w:iCs w:val="0"/>
          <w:sz w:val="28"/>
          <w:szCs w:val="28"/>
          <w:lang w:val="en-US" w:eastAsia="zh-CN"/>
        </w:rPr>
        <w:t>招标方</w:t>
      </w:r>
      <w:r>
        <w:rPr>
          <w:rFonts w:hint="eastAsia" w:ascii="仿宋_GB2312" w:hAnsi="仿宋_GB2312" w:eastAsia="仿宋_GB2312" w:cs="仿宋_GB2312"/>
          <w:b w:val="0"/>
          <w:bCs/>
          <w:i w:val="0"/>
          <w:iCs w:val="0"/>
          <w:sz w:val="28"/>
          <w:szCs w:val="28"/>
        </w:rPr>
        <w:t>）</w:t>
      </w:r>
      <w:r>
        <w:rPr>
          <w:rFonts w:hint="eastAsia" w:ascii="仿宋_GB2312" w:hAnsi="仿宋_GB2312" w:eastAsia="仿宋_GB2312" w:cs="仿宋_GB2312"/>
          <w:b w:val="0"/>
          <w:bCs/>
          <w:i w:val="0"/>
          <w:iCs w:val="0"/>
          <w:sz w:val="28"/>
          <w:szCs w:val="28"/>
          <w:lang w:val="en-US" w:eastAsia="zh-CN"/>
        </w:rPr>
        <w:t>职业健康体检，现招标方寻找具备职业健康体检资质、技术能力优良、服务好的供应商（以下简称投标方/投标单位），负责该项目的实施。</w:t>
      </w:r>
    </w:p>
    <w:p w14:paraId="552FAAC1">
      <w:pPr>
        <w:keepNext w:val="0"/>
        <w:keepLines w:val="0"/>
        <w:pageBreakBefore w:val="0"/>
        <w:kinsoku/>
        <w:wordWrap/>
        <w:overflowPunct/>
        <w:topLinePunct w:val="0"/>
        <w:autoSpaceDE/>
        <w:autoSpaceDN/>
        <w:bidi w:val="0"/>
        <w:adjustRightInd/>
        <w:snapToGrid/>
        <w:spacing w:line="360" w:lineRule="auto"/>
        <w:ind w:firstLine="562" w:firstLineChars="200"/>
        <w:outlineLvl w:val="9"/>
        <w:rPr>
          <w:rFonts w:hint="eastAsia" w:ascii="仿宋" w:hAnsi="仿宋" w:eastAsia="仿宋" w:cs="仿宋"/>
          <w:b/>
          <w:bCs w:val="0"/>
          <w:i w:val="0"/>
          <w:iCs w:val="0"/>
          <w:sz w:val="28"/>
          <w:szCs w:val="28"/>
        </w:rPr>
      </w:pPr>
      <w:r>
        <w:rPr>
          <w:rFonts w:hint="eastAsia" w:ascii="仿宋" w:hAnsi="仿宋" w:eastAsia="仿宋" w:cs="仿宋"/>
          <w:b/>
          <w:bCs w:val="0"/>
          <w:i w:val="0"/>
          <w:iCs w:val="0"/>
          <w:sz w:val="28"/>
          <w:szCs w:val="28"/>
        </w:rPr>
        <w:t>1.1、项目名称及地点</w:t>
      </w:r>
    </w:p>
    <w:p w14:paraId="7483E8AD">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default"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项目名称：重庆汽车职业健康体检项目。</w:t>
      </w:r>
    </w:p>
    <w:p w14:paraId="62CFEDA7">
      <w:pPr>
        <w:keepNext w:val="0"/>
        <w:keepLines w:val="0"/>
        <w:pageBreakBefore w:val="0"/>
        <w:kinsoku/>
        <w:wordWrap/>
        <w:overflowPunct/>
        <w:topLinePunct w:val="0"/>
        <w:autoSpaceDE/>
        <w:autoSpaceDN/>
        <w:bidi w:val="0"/>
        <w:adjustRightInd/>
        <w:snapToGrid/>
        <w:spacing w:line="360" w:lineRule="auto"/>
        <w:ind w:firstLine="562" w:firstLineChars="200"/>
        <w:outlineLvl w:val="9"/>
        <w:rPr>
          <w:rFonts w:hint="default" w:ascii="仿宋" w:hAnsi="仿宋" w:eastAsia="仿宋" w:cs="仿宋"/>
          <w:b/>
          <w:bCs w:val="0"/>
          <w:i w:val="0"/>
          <w:iCs w:val="0"/>
          <w:sz w:val="28"/>
          <w:szCs w:val="28"/>
          <w:lang w:val="en-US" w:eastAsia="zh-CN"/>
        </w:rPr>
      </w:pPr>
      <w:r>
        <w:rPr>
          <w:rFonts w:hint="eastAsia" w:ascii="仿宋" w:hAnsi="仿宋" w:eastAsia="仿宋" w:cs="仿宋"/>
          <w:b/>
          <w:bCs w:val="0"/>
          <w:i w:val="0"/>
          <w:iCs w:val="0"/>
          <w:sz w:val="28"/>
          <w:szCs w:val="28"/>
          <w:lang w:val="en-US" w:eastAsia="zh-CN"/>
        </w:rPr>
        <w:t>1.2、项目范围</w:t>
      </w:r>
    </w:p>
    <w:p w14:paraId="290DDC4A">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本项目包含招标方涉及的职业病危害因素岗位人员的职业健康体检，包括上岗前体检、在岗期间体检、离岗时体检、应急体检。</w:t>
      </w:r>
    </w:p>
    <w:p w14:paraId="084E1010">
      <w:pPr>
        <w:keepNext w:val="0"/>
        <w:keepLines w:val="0"/>
        <w:pageBreakBefore w:val="0"/>
        <w:kinsoku/>
        <w:wordWrap/>
        <w:overflowPunct/>
        <w:topLinePunct w:val="0"/>
        <w:autoSpaceDE/>
        <w:autoSpaceDN/>
        <w:bidi w:val="0"/>
        <w:adjustRightInd/>
        <w:snapToGrid/>
        <w:spacing w:line="360" w:lineRule="auto"/>
        <w:ind w:firstLine="562" w:firstLineChars="200"/>
        <w:outlineLvl w:val="9"/>
        <w:rPr>
          <w:rFonts w:hint="default" w:ascii="仿宋" w:hAnsi="仿宋" w:eastAsia="仿宋" w:cs="仿宋"/>
          <w:b/>
          <w:bCs w:val="0"/>
          <w:i w:val="0"/>
          <w:iCs w:val="0"/>
          <w:sz w:val="28"/>
          <w:szCs w:val="28"/>
          <w:lang w:val="en-US" w:eastAsia="zh-CN"/>
        </w:rPr>
      </w:pPr>
      <w:r>
        <w:rPr>
          <w:rFonts w:hint="eastAsia" w:ascii="仿宋" w:hAnsi="仿宋" w:eastAsia="仿宋" w:cs="仿宋"/>
          <w:b/>
          <w:bCs w:val="0"/>
          <w:i w:val="0"/>
          <w:iCs w:val="0"/>
          <w:sz w:val="28"/>
          <w:szCs w:val="28"/>
          <w:lang w:val="en-US" w:eastAsia="zh-CN"/>
        </w:rPr>
        <w:t>1.3、投标单位基本要求</w:t>
      </w:r>
    </w:p>
    <w:p w14:paraId="3B11EE7F">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1.3.1参加投标的单位，必须是在中华人民共和国合法注册，具有独立法人资格的公司，且成立三年以上（含三年，以注册日期开始计算，至开标之日不少于三年）。</w:t>
      </w:r>
    </w:p>
    <w:p w14:paraId="14CEF0C2">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1.3.2参加投标的单位需满足《医疗机构管理条例》、《职业健康检查管理办法》要求，持有有效的《医疗机构执业许可证》及副本；满足《重庆市卫生健康委员会关于印发重庆市职业健康检查机构备案管理规定的通知》要求，在《重庆市职业健康检查机构备案名单》内，持有《职业健康检查机构备案回执》。</w:t>
      </w:r>
    </w:p>
    <w:p w14:paraId="77BAD4AF">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1.3.3参加投标的单位，必须具备职业卫生技术服务机构资质，具有相应的职业健康检查场所、候检场所和检验室；具有与批准开展的职业健康检查类别和项目相适应的执业医师、护士等医疗卫生技术人员，从事职业健康体检医师应为取得医师执业注册的执业医师，并经职业卫生专业资格培训，均为投标单位在职人员；具有取得职业病诊断资格的执业医师；具有与批准开展的职业健康检查类别和项目相适应的仪器、设备；开展外出职业健康检查，应当具有相应的职业健康检查仪器、设备、专用车辆等条件。</w:t>
      </w:r>
    </w:p>
    <w:p w14:paraId="2D54E9E1">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default"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1.3.4参与投标的单位，必须具备与招标方委托的职业病危害因素对应职业健康体检项目的资质和能力。</w:t>
      </w:r>
    </w:p>
    <w:p w14:paraId="57017640">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1.3.5投标单位须提供近两年三个以上同类型项目的业绩证明。</w:t>
      </w:r>
    </w:p>
    <w:p w14:paraId="70730F3E">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1.3.6投标单位近三年内无违法及重大违规记录及重大医疗事故记录。</w:t>
      </w:r>
    </w:p>
    <w:p w14:paraId="728B0D26">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default"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1.3.7投标单位必须独立参加投标，不得以任何形式授权他人或组织联合体形式参加投标；投标单位中标后，不得以任何形式进行转包和分包。</w:t>
      </w:r>
    </w:p>
    <w:p w14:paraId="5C9D1BB7">
      <w:pPr>
        <w:keepNext w:val="0"/>
        <w:keepLines w:val="0"/>
        <w:pageBreakBefore w:val="0"/>
        <w:kinsoku/>
        <w:wordWrap/>
        <w:overflowPunct/>
        <w:topLinePunct w:val="0"/>
        <w:autoSpaceDE/>
        <w:autoSpaceDN/>
        <w:bidi w:val="0"/>
        <w:adjustRightInd/>
        <w:snapToGrid/>
        <w:spacing w:line="360" w:lineRule="auto"/>
        <w:ind w:firstLine="562" w:firstLineChars="200"/>
        <w:outlineLvl w:val="9"/>
        <w:rPr>
          <w:rFonts w:hint="eastAsia" w:ascii="仿宋" w:hAnsi="仿宋" w:eastAsia="仿宋" w:cs="仿宋"/>
          <w:b/>
          <w:bCs w:val="0"/>
          <w:i w:val="0"/>
          <w:iCs w:val="0"/>
          <w:sz w:val="28"/>
          <w:szCs w:val="28"/>
          <w:lang w:val="en-US" w:eastAsia="zh-CN"/>
        </w:rPr>
      </w:pPr>
      <w:r>
        <w:rPr>
          <w:rFonts w:hint="eastAsia" w:ascii="仿宋" w:hAnsi="仿宋" w:eastAsia="仿宋" w:cs="仿宋"/>
          <w:b/>
          <w:bCs w:val="0"/>
          <w:i w:val="0"/>
          <w:iCs w:val="0"/>
          <w:sz w:val="28"/>
          <w:szCs w:val="28"/>
          <w:lang w:val="en-US" w:eastAsia="zh-CN"/>
        </w:rPr>
        <w:t>1.4、项目内容</w:t>
      </w:r>
    </w:p>
    <w:p w14:paraId="06426A72">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default"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1.4.1招标方涉及职业病危害检查类别包括接触粉尘类、接触化学因素类、接触物理因素类、其他类（特殊作业等），具体如下：</w:t>
      </w:r>
    </w:p>
    <w:tbl>
      <w:tblPr>
        <w:tblStyle w:val="30"/>
        <w:tblW w:w="951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014"/>
        <w:gridCol w:w="3448"/>
        <w:gridCol w:w="1439"/>
        <w:gridCol w:w="3617"/>
      </w:tblGrid>
      <w:tr w14:paraId="2451A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BFB7AA">
            <w:pPr>
              <w:keepNext w:val="0"/>
              <w:keepLines w:val="0"/>
              <w:widowControl/>
              <w:suppressLineNumbers w:val="0"/>
              <w:jc w:val="center"/>
              <w:textAlignment w:val="center"/>
              <w:rPr>
                <w:rFonts w:hint="eastAsia" w:ascii="仿宋_GB2312" w:hAnsi="仿宋_GB2312" w:eastAsia="仿宋_GB2312" w:cs="仿宋_GB2312"/>
                <w:b/>
                <w:bCs/>
                <w:i w:val="0"/>
                <w:iCs w:val="0"/>
                <w:color w:val="000000"/>
                <w:sz w:val="28"/>
                <w:szCs w:val="28"/>
                <w:u w:val="none"/>
              </w:rPr>
            </w:pPr>
            <w:r>
              <w:rPr>
                <w:rFonts w:hint="eastAsia" w:ascii="仿宋_GB2312" w:hAnsi="仿宋_GB2312" w:eastAsia="仿宋_GB2312" w:cs="仿宋_GB2312"/>
                <w:b/>
                <w:bCs/>
                <w:i w:val="0"/>
                <w:iCs w:val="0"/>
                <w:color w:val="000000"/>
                <w:kern w:val="0"/>
                <w:sz w:val="28"/>
                <w:szCs w:val="28"/>
                <w:u w:val="none"/>
                <w:lang w:val="en-US" w:eastAsia="zh-CN" w:bidi="ar"/>
              </w:rPr>
              <w:t>序号</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DC4540">
            <w:pPr>
              <w:keepNext w:val="0"/>
              <w:keepLines w:val="0"/>
              <w:widowControl/>
              <w:suppressLineNumbers w:val="0"/>
              <w:jc w:val="center"/>
              <w:textAlignment w:val="center"/>
              <w:rPr>
                <w:rFonts w:hint="default" w:ascii="仿宋_GB2312" w:hAnsi="仿宋_GB2312" w:eastAsia="仿宋_GB2312" w:cs="仿宋_GB2312"/>
                <w:b/>
                <w:bCs/>
                <w:i w:val="0"/>
                <w:iCs w:val="0"/>
                <w:color w:val="000000"/>
                <w:sz w:val="28"/>
                <w:szCs w:val="28"/>
                <w:u w:val="none"/>
                <w:lang w:val="en-US"/>
              </w:rPr>
            </w:pPr>
            <w:r>
              <w:rPr>
                <w:rFonts w:hint="eastAsia" w:ascii="仿宋_GB2312" w:hAnsi="仿宋_GB2312" w:eastAsia="仿宋_GB2312" w:cs="仿宋_GB2312"/>
                <w:b/>
                <w:bCs/>
                <w:i w:val="0"/>
                <w:iCs w:val="0"/>
                <w:color w:val="000000"/>
                <w:kern w:val="0"/>
                <w:sz w:val="28"/>
                <w:szCs w:val="28"/>
                <w:u w:val="none"/>
                <w:lang w:val="en-US" w:eastAsia="zh-CN" w:bidi="ar"/>
              </w:rPr>
              <w:t>职业病危害因素</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E77ADCE">
            <w:pPr>
              <w:keepNext w:val="0"/>
              <w:keepLines w:val="0"/>
              <w:widowControl/>
              <w:suppressLineNumbers w:val="0"/>
              <w:jc w:val="center"/>
              <w:textAlignment w:val="center"/>
              <w:rPr>
                <w:rFonts w:hint="eastAsia" w:ascii="仿宋_GB2312" w:hAnsi="仿宋_GB2312" w:eastAsia="仿宋_GB2312" w:cs="仿宋_GB2312"/>
                <w:b/>
                <w:bCs/>
                <w:i w:val="0"/>
                <w:iCs w:val="0"/>
                <w:color w:val="000000"/>
                <w:kern w:val="2"/>
                <w:sz w:val="28"/>
                <w:szCs w:val="28"/>
                <w:u w:val="none"/>
                <w:lang w:val="en-US" w:eastAsia="zh-CN" w:bidi="ar-SA"/>
              </w:rPr>
            </w:pPr>
            <w:r>
              <w:rPr>
                <w:rFonts w:hint="eastAsia" w:ascii="仿宋_GB2312" w:hAnsi="仿宋_GB2312" w:eastAsia="仿宋_GB2312" w:cs="仿宋_GB2312"/>
                <w:b/>
                <w:bCs/>
                <w:i w:val="0"/>
                <w:iCs w:val="0"/>
                <w:color w:val="000000"/>
                <w:kern w:val="0"/>
                <w:sz w:val="28"/>
                <w:szCs w:val="28"/>
                <w:u w:val="none"/>
                <w:lang w:val="en-US" w:eastAsia="zh-CN" w:bidi="ar"/>
              </w:rPr>
              <w:t>序号</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578E40">
            <w:pPr>
              <w:keepNext w:val="0"/>
              <w:keepLines w:val="0"/>
              <w:widowControl/>
              <w:suppressLineNumbers w:val="0"/>
              <w:jc w:val="center"/>
              <w:textAlignment w:val="center"/>
              <w:rPr>
                <w:rFonts w:hint="default" w:ascii="仿宋_GB2312" w:hAnsi="仿宋_GB2312" w:eastAsia="仿宋_GB2312" w:cs="仿宋_GB2312"/>
                <w:b/>
                <w:bCs/>
                <w:i w:val="0"/>
                <w:iCs w:val="0"/>
                <w:color w:val="000000"/>
                <w:kern w:val="2"/>
                <w:sz w:val="28"/>
                <w:szCs w:val="28"/>
                <w:u w:val="none"/>
                <w:lang w:val="en-US" w:eastAsia="zh-CN" w:bidi="ar-SA"/>
              </w:rPr>
            </w:pPr>
            <w:r>
              <w:rPr>
                <w:rFonts w:hint="eastAsia" w:ascii="仿宋_GB2312" w:hAnsi="仿宋_GB2312" w:eastAsia="仿宋_GB2312" w:cs="仿宋_GB2312"/>
                <w:b/>
                <w:bCs/>
                <w:i w:val="0"/>
                <w:iCs w:val="0"/>
                <w:color w:val="000000"/>
                <w:kern w:val="0"/>
                <w:sz w:val="28"/>
                <w:szCs w:val="28"/>
                <w:u w:val="none"/>
                <w:lang w:val="en-US" w:eastAsia="zh-CN" w:bidi="ar"/>
              </w:rPr>
              <w:t>职业病危害因素</w:t>
            </w:r>
          </w:p>
        </w:tc>
      </w:tr>
      <w:tr w14:paraId="17F7B7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585AC2B">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2ED6F7">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噪声</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BCBADF">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26</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D01433E">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甲醇</w:t>
            </w:r>
          </w:p>
        </w:tc>
      </w:tr>
      <w:tr w14:paraId="70195C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D81513">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2</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DCB533">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其他粉尘</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14553D">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27</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A1BF10">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乙酸乙酯</w:t>
            </w:r>
          </w:p>
        </w:tc>
      </w:tr>
      <w:tr w14:paraId="4BCFA9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86CE3D2">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3</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A3CD28B">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砂轮磨尘</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905870">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28</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7113A89">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乙酸丁酯</w:t>
            </w:r>
          </w:p>
        </w:tc>
      </w:tr>
      <w:tr w14:paraId="5871A80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7DCA2E">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4</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B102D3">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紫外辐射</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AA794F">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29</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0863BA3">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丁酮</w:t>
            </w:r>
          </w:p>
        </w:tc>
      </w:tr>
      <w:tr w14:paraId="74AB22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C1CBC91">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5</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96D6DAF">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电焊烟尘</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814A3D7">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30</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A7F95EA">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正庚烷</w:t>
            </w:r>
          </w:p>
        </w:tc>
      </w:tr>
      <w:tr w14:paraId="00FA048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220108">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6</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FDC74A">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锰及其无机化合物</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C7C09D">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31</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864F3E">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1,6-己二异氰酸酯</w:t>
            </w:r>
          </w:p>
        </w:tc>
      </w:tr>
      <w:tr w14:paraId="3E0D034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5C0595">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7</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7A73A3">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臭氧</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46A0D0">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32</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03F0E7D">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萘</w:t>
            </w:r>
          </w:p>
        </w:tc>
      </w:tr>
      <w:tr w14:paraId="1AAECF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D9A754">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8</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646768E">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一氧化碳</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45F5B8">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33</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CE2C293">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乙酸</w:t>
            </w:r>
          </w:p>
        </w:tc>
      </w:tr>
      <w:tr w14:paraId="3AB72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FBB6D21">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9</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D2F1D3">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二氧化碳</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778C44E">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34</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FFD0C90">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异佛尔酮二异氰酸酯</w:t>
            </w:r>
          </w:p>
        </w:tc>
      </w:tr>
      <w:tr w14:paraId="6882FD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20BE18">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10</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A56B62">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氮氧化物</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DA929D5">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35</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1CF2E5">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二苯基甲烷二异氰酸酯</w:t>
            </w:r>
          </w:p>
        </w:tc>
      </w:tr>
      <w:tr w14:paraId="43C3F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AA0A0F">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11</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383734">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环氧树脂</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103B40A">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36</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6504E23">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环己烷</w:t>
            </w:r>
          </w:p>
        </w:tc>
      </w:tr>
      <w:tr w14:paraId="05A6C6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ACCE3D4">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12</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B95B13">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碳酸钙</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E4ED104">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37</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ADF032A">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乙二醇</w:t>
            </w:r>
          </w:p>
        </w:tc>
      </w:tr>
      <w:tr w14:paraId="0131BA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F49EEEC">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13</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0A7F56D">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邻苯二甲酸二丁酯</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BE959B">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38</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A5C8AC">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汽油</w:t>
            </w:r>
          </w:p>
        </w:tc>
      </w:tr>
      <w:tr w14:paraId="0E8246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D5939D">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14</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FE5B526">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氢氧化钠</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F0FE802">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39</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933B9A2">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二氧化硫</w:t>
            </w:r>
          </w:p>
        </w:tc>
      </w:tr>
      <w:tr w14:paraId="18B64E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1AAFE58">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15</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3FEACC3">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磷及其化合物</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6D1FD7">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40</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BFF44E">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高温</w:t>
            </w:r>
          </w:p>
        </w:tc>
      </w:tr>
      <w:tr w14:paraId="7584C0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55DB8C">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16</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83204DC">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镍及其化合物</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246F63">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41</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67F46F8">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硫酸</w:t>
            </w:r>
          </w:p>
        </w:tc>
      </w:tr>
      <w:tr w14:paraId="15CAD1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3D8169D">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17</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4038A4">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氟及其化合物</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6671F0">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42</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05EAD61">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硫化氢</w:t>
            </w:r>
          </w:p>
        </w:tc>
      </w:tr>
      <w:tr w14:paraId="27BE82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BD934F3">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18</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4AC6A7">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氧化锌</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6571188">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43</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26968CC">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氨</w:t>
            </w:r>
          </w:p>
        </w:tc>
      </w:tr>
      <w:tr w14:paraId="7D80DA1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9B8FE9F">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19</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FC00E9">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甲苯</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C611CFD">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44</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7E17725">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电磁辐射</w:t>
            </w:r>
          </w:p>
        </w:tc>
      </w:tr>
      <w:tr w14:paraId="35F372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9238BBD">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20</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82F88D7">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二甲苯</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E48EE03">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45</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07B9C6">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工频电场</w:t>
            </w:r>
          </w:p>
        </w:tc>
      </w:tr>
      <w:tr w14:paraId="03AF1A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D20865C">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21</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158B7DA">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乙苯</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4707D0">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46</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726594">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8"/>
                <w:szCs w:val="28"/>
                <w:u w:val="none"/>
                <w:lang w:val="en-US" w:eastAsia="zh-CN" w:bidi="ar-SA"/>
              </w:rPr>
            </w:pPr>
            <w:r>
              <w:rPr>
                <w:rFonts w:hint="eastAsia" w:ascii="仿宋_GB2312" w:hAnsi="仿宋_GB2312" w:eastAsia="仿宋_GB2312" w:cs="仿宋_GB2312"/>
                <w:i w:val="0"/>
                <w:iCs w:val="0"/>
                <w:color w:val="auto"/>
                <w:kern w:val="0"/>
                <w:sz w:val="28"/>
                <w:szCs w:val="28"/>
                <w:u w:val="none"/>
                <w:lang w:val="en-US" w:eastAsia="zh-CN" w:bidi="ar"/>
              </w:rPr>
              <w:t>柴油</w:t>
            </w:r>
          </w:p>
        </w:tc>
      </w:tr>
      <w:tr w14:paraId="7DB557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C21BE07">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22</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8D9793E">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丁醇</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C499974">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47</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5992292">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8"/>
                <w:szCs w:val="28"/>
                <w:u w:val="none"/>
                <w:lang w:val="en-US" w:eastAsia="zh-CN" w:bidi="ar-SA"/>
              </w:rPr>
            </w:pPr>
            <w:r>
              <w:rPr>
                <w:rFonts w:hint="eastAsia" w:ascii="仿宋_GB2312" w:hAnsi="仿宋_GB2312" w:eastAsia="仿宋_GB2312" w:cs="仿宋_GB2312"/>
                <w:i w:val="0"/>
                <w:iCs w:val="0"/>
                <w:color w:val="auto"/>
                <w:kern w:val="0"/>
                <w:sz w:val="28"/>
                <w:szCs w:val="28"/>
                <w:u w:val="none"/>
                <w:lang w:val="en-US" w:eastAsia="zh-CN" w:bidi="ar"/>
              </w:rPr>
              <w:t>丙醇</w:t>
            </w:r>
          </w:p>
        </w:tc>
      </w:tr>
      <w:tr w14:paraId="3EFCD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0E402FF">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23</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115E7782">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环己酮</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7D309D">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48</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D8DD59C">
            <w:pPr>
              <w:keepNext w:val="0"/>
              <w:keepLines w:val="0"/>
              <w:widowControl/>
              <w:suppressLineNumbers w:val="0"/>
              <w:jc w:val="center"/>
              <w:textAlignment w:val="center"/>
              <w:rPr>
                <w:rFonts w:hint="eastAsia" w:ascii="仿宋_GB2312" w:hAnsi="仿宋_GB2312" w:eastAsia="仿宋_GB2312" w:cs="仿宋_GB2312"/>
                <w:i w:val="0"/>
                <w:iCs w:val="0"/>
                <w:color w:val="auto"/>
                <w:kern w:val="2"/>
                <w:sz w:val="28"/>
                <w:szCs w:val="28"/>
                <w:u w:val="none"/>
                <w:lang w:val="en-US" w:eastAsia="zh-CN" w:bidi="ar-SA"/>
              </w:rPr>
            </w:pPr>
            <w:r>
              <w:rPr>
                <w:rFonts w:hint="eastAsia" w:ascii="仿宋_GB2312" w:hAnsi="仿宋_GB2312" w:eastAsia="仿宋_GB2312" w:cs="仿宋_GB2312"/>
                <w:i w:val="0"/>
                <w:iCs w:val="0"/>
                <w:color w:val="auto"/>
                <w:kern w:val="0"/>
                <w:sz w:val="28"/>
                <w:szCs w:val="28"/>
                <w:u w:val="none"/>
                <w:lang w:val="en-US" w:eastAsia="zh-CN" w:bidi="ar"/>
              </w:rPr>
              <w:t>重铬酸钾</w:t>
            </w:r>
          </w:p>
        </w:tc>
      </w:tr>
      <w:tr w14:paraId="59B7B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4"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77E52806">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24</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71325D9">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异丙醇</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3FAD540F">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49</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BBC414">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电工作业</w:t>
            </w:r>
          </w:p>
        </w:tc>
      </w:tr>
      <w:tr w14:paraId="352351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5" w:hRule="atLeast"/>
        </w:trPr>
        <w:tc>
          <w:tcPr>
            <w:tcW w:w="1014"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D11B73">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25</w:t>
            </w:r>
          </w:p>
        </w:tc>
        <w:tc>
          <w:tcPr>
            <w:tcW w:w="3448"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A0D09C7">
            <w:pPr>
              <w:keepNext w:val="0"/>
              <w:keepLines w:val="0"/>
              <w:widowControl/>
              <w:suppressLineNumbers w:val="0"/>
              <w:jc w:val="center"/>
              <w:textAlignment w:val="center"/>
              <w:rPr>
                <w:rFonts w:hint="eastAsia" w:ascii="仿宋_GB2312" w:hAnsi="仿宋_GB2312" w:eastAsia="仿宋_GB2312" w:cs="仿宋_GB2312"/>
                <w:i w:val="0"/>
                <w:iCs w:val="0"/>
                <w:color w:val="000000"/>
                <w:sz w:val="28"/>
                <w:szCs w:val="28"/>
                <w:u w:val="none"/>
              </w:rPr>
            </w:pPr>
            <w:r>
              <w:rPr>
                <w:rFonts w:hint="eastAsia" w:ascii="仿宋_GB2312" w:hAnsi="仿宋_GB2312" w:eastAsia="仿宋_GB2312" w:cs="仿宋_GB2312"/>
                <w:i w:val="0"/>
                <w:iCs w:val="0"/>
                <w:color w:val="000000"/>
                <w:kern w:val="0"/>
                <w:sz w:val="28"/>
                <w:szCs w:val="28"/>
                <w:u w:val="none"/>
                <w:lang w:val="en-US" w:eastAsia="zh-CN" w:bidi="ar"/>
              </w:rPr>
              <w:t>甲醛</w:t>
            </w:r>
          </w:p>
        </w:tc>
        <w:tc>
          <w:tcPr>
            <w:tcW w:w="1439"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DAE1F63">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50</w:t>
            </w:r>
          </w:p>
        </w:tc>
        <w:tc>
          <w:tcPr>
            <w:tcW w:w="3617"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FFF52C1">
            <w:pPr>
              <w:keepNext w:val="0"/>
              <w:keepLines w:val="0"/>
              <w:widowControl/>
              <w:suppressLineNumbers w:val="0"/>
              <w:jc w:val="center"/>
              <w:textAlignment w:val="center"/>
              <w:rPr>
                <w:rFonts w:hint="eastAsia" w:ascii="仿宋_GB2312" w:hAnsi="仿宋_GB2312" w:eastAsia="仿宋_GB2312" w:cs="仿宋_GB2312"/>
                <w:i w:val="0"/>
                <w:iCs w:val="0"/>
                <w:color w:val="000000"/>
                <w:kern w:val="2"/>
                <w:sz w:val="28"/>
                <w:szCs w:val="28"/>
                <w:u w:val="none"/>
                <w:lang w:val="en-US" w:eastAsia="zh-CN" w:bidi="ar-SA"/>
              </w:rPr>
            </w:pPr>
            <w:r>
              <w:rPr>
                <w:rFonts w:hint="eastAsia" w:ascii="仿宋_GB2312" w:hAnsi="仿宋_GB2312" w:eastAsia="仿宋_GB2312" w:cs="仿宋_GB2312"/>
                <w:i w:val="0"/>
                <w:iCs w:val="0"/>
                <w:color w:val="000000"/>
                <w:kern w:val="0"/>
                <w:sz w:val="28"/>
                <w:szCs w:val="28"/>
                <w:u w:val="none"/>
                <w:lang w:val="en-US" w:eastAsia="zh-CN" w:bidi="ar"/>
              </w:rPr>
              <w:t>压力容器作业</w:t>
            </w:r>
          </w:p>
        </w:tc>
      </w:tr>
    </w:tbl>
    <w:p w14:paraId="2E4DF120">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default"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1.4.2投标单位根据本技术要求1.4.1条所列职业病危害因素，以及《职业健康监护技术规范》规定的职业健康体检项目（包括上岗前、在岗期间、离岗），按单个体检项目进行报价。</w:t>
      </w:r>
    </w:p>
    <w:p w14:paraId="6DCF4740">
      <w:pPr>
        <w:tabs>
          <w:tab w:val="left" w:pos="6300"/>
        </w:tabs>
        <w:snapToGrid w:val="0"/>
        <w:spacing w:before="48" w:beforeLines="20" w:after="48" w:afterLines="20" w:line="360" w:lineRule="auto"/>
        <w:ind w:firstLine="560" w:firstLineChars="200"/>
        <w:jc w:val="left"/>
        <w:rPr>
          <w:rFonts w:hint="eastAsia" w:ascii="黑体" w:hAnsi="黑体" w:eastAsia="黑体" w:cs="黑体"/>
          <w:b w:val="0"/>
          <w:bCs/>
          <w:sz w:val="28"/>
          <w:szCs w:val="28"/>
        </w:rPr>
      </w:pPr>
      <w:r>
        <w:rPr>
          <w:rFonts w:hint="eastAsia" w:ascii="黑体" w:hAnsi="黑体" w:eastAsia="黑体" w:cs="黑体"/>
          <w:b w:val="0"/>
          <w:bCs/>
          <w:sz w:val="28"/>
          <w:szCs w:val="28"/>
          <w:lang w:val="en-US" w:eastAsia="zh-CN"/>
        </w:rPr>
        <w:t>二</w:t>
      </w:r>
      <w:r>
        <w:rPr>
          <w:rFonts w:hint="eastAsia" w:ascii="黑体" w:hAnsi="黑体" w:eastAsia="黑体" w:cs="黑体"/>
          <w:b w:val="0"/>
          <w:bCs/>
          <w:sz w:val="28"/>
          <w:szCs w:val="28"/>
        </w:rPr>
        <w:t>、</w:t>
      </w:r>
      <w:r>
        <w:rPr>
          <w:rFonts w:hint="eastAsia" w:ascii="黑体" w:hAnsi="黑体" w:eastAsia="黑体" w:cs="黑体"/>
          <w:b w:val="0"/>
          <w:bCs/>
          <w:sz w:val="28"/>
          <w:szCs w:val="28"/>
          <w:lang w:val="en-US" w:eastAsia="zh-CN"/>
        </w:rPr>
        <w:t>技术服务</w:t>
      </w:r>
      <w:r>
        <w:rPr>
          <w:rFonts w:hint="eastAsia" w:ascii="黑体" w:hAnsi="黑体" w:eastAsia="黑体" w:cs="黑体"/>
          <w:b w:val="0"/>
          <w:bCs/>
          <w:sz w:val="28"/>
          <w:szCs w:val="28"/>
        </w:rPr>
        <w:t>要求</w:t>
      </w:r>
    </w:p>
    <w:p w14:paraId="3B36C812">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2.1中标单位应根据《职业健康监护技术规范》(GBZ188)要求对重庆汽车涉及职业病危害因素岗位人员进行上岗前、在岗期间、离岗后职业健康体检；若有新规范新标准出台，则按最新版本执行；技术规范及相关标准未提及的项目需经甲乙双方协商一致后执行。</w:t>
      </w:r>
    </w:p>
    <w:p w14:paraId="2BE8D76D">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2.2日常零星职业健康体检由招标方员工自行前往中标单位进行体检，中标单位应在周一至周日均可开展职业健康体检。</w:t>
      </w:r>
    </w:p>
    <w:p w14:paraId="64E60898">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2.3体检（或复查）人数超过40人时，由中标方安排体检医生、体检仪器、设备、专用车辆等到招标方指定地点开展上门职业健康体检。</w:t>
      </w:r>
    </w:p>
    <w:p w14:paraId="7ED02962">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default"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2.4中标单位在收到招标方的集中体检通知时，应确保在一个月以内组织完成，具体体检时间招标单位最多提前两天确认。</w:t>
      </w:r>
    </w:p>
    <w:p w14:paraId="259ECEA9">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2.5中标方严格按照现行《职业健康检查管理办法》、《职业健康监护技术规范》要求，对职业健康检查报告结果如实、客观的进行分析、总结和评价，并编制《职业健康检查结果报告书》。</w:t>
      </w:r>
    </w:p>
    <w:p w14:paraId="1F1DC4C7">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2.6中标单位在职业健康体检结束之日起15个工作日内将职业健康检查结果，包括劳动者个人职业健康检查报告和用人单位职业健康检查总结报告，告知用人单位。</w:t>
      </w:r>
    </w:p>
    <w:p w14:paraId="309B7A2D">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2.7招标方所提交的资料、信息和本技术要求内容，未经招标方许可不得向其他第三方泄露（政府监管部门依法要求提供的情况除外）。</w:t>
      </w:r>
    </w:p>
    <w:p w14:paraId="401C4FCE">
      <w:pPr>
        <w:tabs>
          <w:tab w:val="left" w:pos="6300"/>
        </w:tabs>
        <w:snapToGrid w:val="0"/>
        <w:spacing w:before="48" w:beforeLines="20" w:after="48" w:afterLines="20" w:line="360" w:lineRule="auto"/>
        <w:ind w:firstLine="560" w:firstLineChars="200"/>
        <w:jc w:val="left"/>
        <w:rPr>
          <w:rFonts w:hint="default" w:ascii="黑体" w:hAnsi="黑体" w:eastAsia="黑体" w:cs="黑体"/>
          <w:b w:val="0"/>
          <w:bCs/>
          <w:sz w:val="28"/>
          <w:szCs w:val="28"/>
          <w:lang w:val="en-US" w:eastAsia="zh-CN"/>
        </w:rPr>
      </w:pPr>
      <w:r>
        <w:rPr>
          <w:rFonts w:hint="eastAsia" w:ascii="黑体" w:hAnsi="黑体" w:eastAsia="黑体" w:cs="黑体"/>
          <w:b w:val="0"/>
          <w:bCs/>
          <w:sz w:val="28"/>
          <w:szCs w:val="28"/>
          <w:lang w:val="en-US" w:eastAsia="zh-CN"/>
        </w:rPr>
        <w:t>三、中标方职责</w:t>
      </w:r>
    </w:p>
    <w:p w14:paraId="7EB032F4">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3.1中标单位应严格按照本技术要求和合同要求及相关技术规范要求，及时、规范组织职业健康体检、出具相关体检报告。</w:t>
      </w:r>
    </w:p>
    <w:p w14:paraId="33ADC831">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3.2中标单位应做好体检过程中的安全工作，确保招标方体检人员的安全。</w:t>
      </w:r>
    </w:p>
    <w:p w14:paraId="25D6F616">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default"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3.3中标单位在职业健康体检过程引发的医疗事故，由中标单位全权负责。</w:t>
      </w:r>
    </w:p>
    <w:p w14:paraId="7A2B8E6A">
      <w:pPr>
        <w:tabs>
          <w:tab w:val="left" w:pos="6300"/>
        </w:tabs>
        <w:snapToGrid w:val="0"/>
        <w:spacing w:before="48" w:beforeLines="20" w:after="48" w:afterLines="20" w:line="360" w:lineRule="auto"/>
        <w:ind w:firstLine="560" w:firstLineChars="200"/>
        <w:jc w:val="left"/>
        <w:rPr>
          <w:rFonts w:hint="eastAsia" w:ascii="黑体" w:hAnsi="黑体" w:eastAsia="黑体" w:cs="黑体"/>
          <w:b w:val="0"/>
          <w:bCs/>
          <w:sz w:val="28"/>
          <w:szCs w:val="28"/>
          <w:lang w:val="en-US" w:eastAsia="zh-CN"/>
        </w:rPr>
      </w:pPr>
      <w:r>
        <w:rPr>
          <w:rFonts w:hint="eastAsia" w:ascii="黑体" w:hAnsi="黑体" w:eastAsia="黑体" w:cs="黑体"/>
          <w:b w:val="0"/>
          <w:bCs/>
          <w:sz w:val="28"/>
          <w:szCs w:val="28"/>
          <w:lang w:val="en-US" w:eastAsia="zh-CN"/>
        </w:rPr>
        <w:t>四、违约处理</w:t>
      </w:r>
    </w:p>
    <w:p w14:paraId="002F23D7">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4.1因中标单位原因（体检结果有误、体检项目缺项、未及时告知体检结果等）导致招标方遭受处罚或损失的，相关经济损失由中标单位承担；除此之外，招标方将对中标单位进行考核，考核标准1000元/次。</w:t>
      </w:r>
    </w:p>
    <w:p w14:paraId="3399A689">
      <w:pPr>
        <w:keepNext w:val="0"/>
        <w:keepLines w:val="0"/>
        <w:pageBreakBefore w:val="0"/>
        <w:kinsoku/>
        <w:wordWrap/>
        <w:overflowPunct/>
        <w:topLinePunct w:val="0"/>
        <w:autoSpaceDE/>
        <w:autoSpaceDN/>
        <w:bidi w:val="0"/>
        <w:adjustRightInd/>
        <w:snapToGrid/>
        <w:spacing w:line="360" w:lineRule="auto"/>
        <w:ind w:firstLine="560" w:firstLineChars="200"/>
        <w:outlineLvl w:val="9"/>
        <w:rPr>
          <w:rFonts w:hint="eastAsia" w:ascii="仿宋_GB2312" w:hAnsi="仿宋_GB2312" w:eastAsia="仿宋_GB2312" w:cs="仿宋_GB2312"/>
          <w:b w:val="0"/>
          <w:bCs/>
          <w:i w:val="0"/>
          <w:iCs w:val="0"/>
          <w:sz w:val="28"/>
          <w:szCs w:val="28"/>
          <w:lang w:val="en-US" w:eastAsia="zh-CN"/>
        </w:rPr>
      </w:pPr>
      <w:r>
        <w:rPr>
          <w:rFonts w:hint="eastAsia" w:ascii="仿宋_GB2312" w:hAnsi="仿宋_GB2312" w:eastAsia="仿宋_GB2312" w:cs="仿宋_GB2312"/>
          <w:b w:val="0"/>
          <w:bCs/>
          <w:i w:val="0"/>
          <w:iCs w:val="0"/>
          <w:sz w:val="28"/>
          <w:szCs w:val="28"/>
          <w:lang w:val="en-US" w:eastAsia="zh-CN"/>
        </w:rPr>
        <w:t>4.2因中标单位组织不力、管理不善、安全措施不足等原因导致招标方体检人员在体检过程中遭受事故伤害的（包括安全事故、医疗事故等），招标方可对中标单位进行考核，考核标准1000元/人·次，由此给招标方造成的损失由中标单位承担。</w:t>
      </w:r>
    </w:p>
    <w:p w14:paraId="59ED08A8">
      <w:pPr>
        <w:rPr>
          <w:rFonts w:hint="eastAsia" w:eastAsia="黑体"/>
          <w:b/>
          <w:bCs/>
          <w:sz w:val="28"/>
        </w:rPr>
      </w:pPr>
    </w:p>
    <w:p w14:paraId="27B7194D">
      <w:pPr>
        <w:rPr>
          <w:rFonts w:hint="eastAsia" w:eastAsia="黑体"/>
          <w:b/>
          <w:bCs/>
          <w:sz w:val="28"/>
        </w:rPr>
      </w:pPr>
    </w:p>
    <w:p w14:paraId="64980982">
      <w:pPr>
        <w:rPr>
          <w:rFonts w:hint="eastAsia" w:eastAsia="黑体"/>
          <w:b/>
          <w:bCs/>
          <w:sz w:val="28"/>
        </w:rPr>
      </w:pPr>
    </w:p>
    <w:p w14:paraId="0B33B69F">
      <w:pPr>
        <w:rPr>
          <w:rFonts w:hint="eastAsia" w:eastAsia="黑体"/>
          <w:b/>
          <w:bCs/>
          <w:sz w:val="28"/>
        </w:rPr>
      </w:pPr>
    </w:p>
    <w:p w14:paraId="4EC50BDA">
      <w:pPr>
        <w:rPr>
          <w:rFonts w:hint="eastAsia" w:eastAsia="黑体"/>
          <w:b/>
          <w:bCs/>
          <w:sz w:val="28"/>
        </w:rPr>
      </w:pPr>
    </w:p>
    <w:p w14:paraId="6B61FCAA">
      <w:pPr>
        <w:rPr>
          <w:rFonts w:hint="eastAsia" w:eastAsia="黑体"/>
          <w:b/>
          <w:bCs/>
          <w:sz w:val="28"/>
        </w:rPr>
      </w:pPr>
    </w:p>
    <w:p w14:paraId="4DD449B8">
      <w:pPr>
        <w:rPr>
          <w:rFonts w:hint="eastAsia" w:eastAsia="黑体"/>
          <w:b/>
          <w:bCs/>
          <w:sz w:val="28"/>
        </w:rPr>
      </w:pPr>
    </w:p>
    <w:p w14:paraId="2013A684">
      <w:pPr>
        <w:rPr>
          <w:rFonts w:hint="eastAsia" w:eastAsia="黑体"/>
          <w:b/>
          <w:bCs/>
          <w:sz w:val="28"/>
        </w:rPr>
      </w:pPr>
    </w:p>
    <w:p w14:paraId="533E7DC1">
      <w:pPr>
        <w:rPr>
          <w:rFonts w:hint="eastAsia" w:eastAsia="黑体"/>
          <w:b/>
          <w:bCs/>
          <w:sz w:val="28"/>
        </w:rPr>
      </w:pPr>
    </w:p>
    <w:p w14:paraId="3F0A2CDF">
      <w:pPr>
        <w:rPr>
          <w:rFonts w:hint="eastAsia" w:eastAsia="黑体"/>
          <w:b/>
          <w:bCs/>
          <w:sz w:val="28"/>
        </w:rPr>
      </w:pPr>
    </w:p>
    <w:p w14:paraId="2BA3AED1">
      <w:pPr>
        <w:rPr>
          <w:rFonts w:eastAsia="黑体"/>
          <w:b/>
          <w:bCs/>
          <w:sz w:val="28"/>
        </w:rPr>
      </w:pPr>
      <w:r>
        <w:rPr>
          <w:rFonts w:hint="eastAsia" w:eastAsia="黑体"/>
          <w:b/>
          <w:bCs/>
          <w:sz w:val="28"/>
        </w:rPr>
        <w:t>格式1</w:t>
      </w:r>
    </w:p>
    <w:p w14:paraId="3A24F7F6">
      <w:pPr>
        <w:rPr>
          <w:rFonts w:ascii="宋体" w:hAnsi="宋体"/>
        </w:rPr>
      </w:pPr>
      <w:r>
        <w:rPr>
          <w:rFonts w:hint="eastAsia" w:ascii="宋体" w:hAnsi="宋体"/>
        </w:rPr>
        <w:t>项目名称：</w:t>
      </w:r>
      <w:r>
        <w:rPr>
          <w:rFonts w:ascii="宋体" w:hAnsi="宋体"/>
        </w:rPr>
        <w:t xml:space="preserve"> </w:t>
      </w:r>
    </w:p>
    <w:p w14:paraId="3E193BD2">
      <w:pPr>
        <w:jc w:val="center"/>
        <w:rPr>
          <w:rFonts w:eastAsia="黑体"/>
          <w:b/>
          <w:bCs/>
          <w:sz w:val="28"/>
        </w:rPr>
      </w:pPr>
      <w:r>
        <w:rPr>
          <w:rFonts w:hint="eastAsia" w:eastAsia="黑体"/>
          <w:b/>
          <w:bCs/>
          <w:sz w:val="28"/>
        </w:rPr>
        <w:t>投标书</w:t>
      </w:r>
    </w:p>
    <w:p w14:paraId="3E4A497D">
      <w:pPr>
        <w:rPr>
          <w:rFonts w:ascii="宋体" w:hAnsi="宋体"/>
          <w:u w:val="single"/>
        </w:rPr>
      </w:pPr>
      <w:r>
        <w:rPr>
          <w:rFonts w:hint="eastAsia" w:ascii="宋体" w:hAnsi="宋体"/>
        </w:rPr>
        <w:t>致</w:t>
      </w:r>
      <w:r>
        <w:rPr>
          <w:rFonts w:hint="eastAsia" w:ascii="宋体" w:hAnsi="宋体"/>
          <w:u w:val="single"/>
        </w:rPr>
        <w:t>（招标人名称）                            ：</w:t>
      </w:r>
    </w:p>
    <w:p w14:paraId="336C0FD6">
      <w:pPr>
        <w:ind w:firstLine="645"/>
        <w:rPr>
          <w:rFonts w:ascii="宋体" w:hAnsi="宋体"/>
        </w:rPr>
      </w:pPr>
      <w:r>
        <w:rPr>
          <w:rFonts w:hint="eastAsia" w:ascii="宋体" w:hAnsi="宋体"/>
        </w:rPr>
        <w:t>根据贵方为（</w:t>
      </w:r>
      <w:r>
        <w:rPr>
          <w:rFonts w:hint="eastAsia" w:ascii="宋体" w:hAnsi="宋体"/>
          <w:u w:val="single"/>
        </w:rPr>
        <w:t xml:space="preserve">项目名称）                         </w:t>
      </w:r>
      <w:r>
        <w:rPr>
          <w:rFonts w:hint="eastAsia" w:ascii="宋体" w:hAnsi="宋体"/>
        </w:rPr>
        <w:t>招标书，签字代表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提交下述文件：资质证明文件、商务文件。</w:t>
      </w:r>
    </w:p>
    <w:p w14:paraId="01F2E9BF">
      <w:pPr>
        <w:rPr>
          <w:rFonts w:ascii="宋体" w:hAnsi="宋体"/>
        </w:rPr>
      </w:pPr>
      <w:r>
        <w:rPr>
          <w:rFonts w:hint="eastAsia" w:ascii="宋体" w:hAnsi="宋体"/>
        </w:rPr>
        <w:t>据此，签字代表宣布同意如下：</w:t>
      </w:r>
    </w:p>
    <w:p w14:paraId="0AF708DC">
      <w:pPr>
        <w:ind w:firstLine="420" w:firstLineChars="200"/>
        <w:rPr>
          <w:rFonts w:ascii="宋体" w:hAnsi="宋体"/>
        </w:rPr>
      </w:pPr>
      <w:r>
        <w:rPr>
          <w:rFonts w:hint="eastAsia" w:ascii="宋体" w:hAnsi="宋体"/>
        </w:rPr>
        <w:t>1.所附投标报价表中规定的应提供的投标总价（不含税）为</w:t>
      </w:r>
      <w:r>
        <w:rPr>
          <w:rFonts w:hint="eastAsia" w:ascii="宋体" w:hAnsi="宋体"/>
          <w:u w:val="single"/>
        </w:rPr>
        <w:t xml:space="preserve">（注明币种和金额）    </w:t>
      </w:r>
      <w:r>
        <w:rPr>
          <w:rFonts w:hint="eastAsia" w:ascii="宋体" w:hAnsi="宋体"/>
        </w:rPr>
        <w:t>，</w:t>
      </w:r>
    </w:p>
    <w:p w14:paraId="2F93668F">
      <w:pPr>
        <w:rPr>
          <w:rFonts w:ascii="宋体" w:hAnsi="宋体"/>
          <w:u w:val="single"/>
        </w:rPr>
      </w:pPr>
      <w:r>
        <w:rPr>
          <w:rFonts w:hint="eastAsia" w:ascii="宋体" w:hAnsi="宋体"/>
          <w:u w:val="single"/>
        </w:rPr>
        <w:t xml:space="preserve">即（中文文字描述）                                      </w:t>
      </w:r>
      <w:r>
        <w:rPr>
          <w:rFonts w:hint="eastAsia" w:ascii="宋体" w:hAnsi="宋体"/>
        </w:rPr>
        <w:t>。</w:t>
      </w:r>
    </w:p>
    <w:p w14:paraId="76163369">
      <w:pPr>
        <w:ind w:left="435"/>
        <w:rPr>
          <w:rFonts w:ascii="宋体" w:hAnsi="宋体"/>
        </w:rPr>
      </w:pPr>
      <w:r>
        <w:rPr>
          <w:rFonts w:hint="eastAsia" w:ascii="宋体" w:hAnsi="宋体"/>
        </w:rPr>
        <w:t>2.投标人将按招标文件的规定履行合同责任和义务。</w:t>
      </w:r>
    </w:p>
    <w:p w14:paraId="1B4A36F2">
      <w:pPr>
        <w:ind w:firstLine="420" w:firstLineChars="200"/>
        <w:rPr>
          <w:rFonts w:ascii="宋体" w:hAnsi="宋体"/>
        </w:rPr>
      </w:pPr>
      <w:r>
        <w:rPr>
          <w:rFonts w:hint="eastAsia" w:ascii="宋体" w:hAnsi="宋体"/>
        </w:rPr>
        <w:t>3.投标人已详细审查全部招标文件，包括修改文件（如有的话）以及全部参考资料和有关附件，我们完全理解并同意放弃对这方面有不明及误解的权利。</w:t>
      </w:r>
    </w:p>
    <w:p w14:paraId="60DD2BBC">
      <w:pPr>
        <w:ind w:left="435"/>
        <w:rPr>
          <w:rFonts w:ascii="宋体" w:hAnsi="宋体"/>
        </w:rPr>
      </w:pPr>
      <w:r>
        <w:rPr>
          <w:rFonts w:hint="eastAsia"/>
          <w:szCs w:val="21"/>
        </w:rPr>
        <w:t>4.投标有效期：自投标截止之日起至合同签署日一直有效</w:t>
      </w:r>
      <w:r>
        <w:rPr>
          <w:rFonts w:hint="eastAsia" w:ascii="宋体" w:hAnsi="宋体"/>
          <w:szCs w:val="21"/>
        </w:rPr>
        <w:t>。</w:t>
      </w:r>
    </w:p>
    <w:p w14:paraId="77AC6BDE">
      <w:pPr>
        <w:ind w:firstLine="420" w:firstLineChars="200"/>
        <w:rPr>
          <w:rFonts w:ascii="宋体" w:hAnsi="宋体"/>
        </w:rPr>
      </w:pPr>
      <w:r>
        <w:rPr>
          <w:rFonts w:hint="eastAsia" w:ascii="宋体" w:hAnsi="宋体"/>
        </w:rPr>
        <w:t>5.投标人同意提供贵方要求的可能与投标有关的一切数据和资料，完全理解贵方不一定要接受最低价的投标或收到的任何投标。</w:t>
      </w:r>
    </w:p>
    <w:p w14:paraId="6CE24970">
      <w:pPr>
        <w:ind w:firstLine="420" w:firstLineChars="200"/>
        <w:rPr>
          <w:rFonts w:ascii="宋体" w:hAnsi="宋体"/>
        </w:rPr>
      </w:pPr>
      <w:r>
        <w:rPr>
          <w:rFonts w:hint="eastAsia" w:ascii="宋体" w:hAnsi="宋体"/>
        </w:rPr>
        <w:t>6.投标人承诺所提供的所有数据和资料均真实有效，如存在虚报情况，投标人愿为此承担一切法律责任，并主动退出本项目竞标。</w:t>
      </w:r>
    </w:p>
    <w:p w14:paraId="4A995030">
      <w:pPr>
        <w:ind w:left="435"/>
        <w:rPr>
          <w:rFonts w:ascii="宋体" w:hAnsi="宋体"/>
        </w:rPr>
      </w:pPr>
      <w:r>
        <w:rPr>
          <w:rFonts w:hint="eastAsia" w:ascii="宋体" w:hAnsi="宋体"/>
        </w:rPr>
        <w:t>7.与本投标有关的一切正式往来通讯请寄：</w:t>
      </w:r>
    </w:p>
    <w:p w14:paraId="1EAE8FEE">
      <w:pPr>
        <w:ind w:left="795"/>
        <w:rPr>
          <w:rFonts w:ascii="宋体" w:hAnsi="宋体"/>
        </w:rPr>
      </w:pPr>
      <w:r>
        <w:rPr>
          <w:rFonts w:hint="eastAsia" w:ascii="宋体" w:hAnsi="宋体"/>
        </w:rPr>
        <w:t>地址：                                   邮编：</w:t>
      </w:r>
    </w:p>
    <w:p w14:paraId="1BCC5593">
      <w:pPr>
        <w:ind w:left="795"/>
        <w:rPr>
          <w:rFonts w:ascii="宋体" w:hAnsi="宋体"/>
        </w:rPr>
      </w:pPr>
      <w:r>
        <w:rPr>
          <w:rFonts w:hint="eastAsia" w:ascii="宋体" w:hAnsi="宋体"/>
        </w:rPr>
        <w:t>电话：                                   传真：</w:t>
      </w:r>
    </w:p>
    <w:p w14:paraId="15680086">
      <w:pPr>
        <w:ind w:left="795"/>
      </w:pPr>
    </w:p>
    <w:p w14:paraId="3010C71E">
      <w:pPr>
        <w:ind w:left="795"/>
      </w:pPr>
    </w:p>
    <w:p w14:paraId="3FAC7A4A">
      <w:pPr>
        <w:pStyle w:val="111"/>
      </w:pPr>
    </w:p>
    <w:p w14:paraId="77AAF397">
      <w:pPr>
        <w:pStyle w:val="111"/>
      </w:pPr>
    </w:p>
    <w:p w14:paraId="35EDB55D">
      <w:pPr>
        <w:spacing w:line="480" w:lineRule="auto"/>
        <w:ind w:left="795"/>
      </w:pPr>
      <w:r>
        <w:rPr>
          <w:rFonts w:hint="eastAsia"/>
        </w:rPr>
        <w:t>投标人授权代表签字：                 职务：                 日期：</w:t>
      </w:r>
    </w:p>
    <w:p w14:paraId="2BDE24FD">
      <w:pPr>
        <w:spacing w:line="480" w:lineRule="auto"/>
        <w:ind w:left="795"/>
      </w:pPr>
      <w:r>
        <w:rPr>
          <w:rFonts w:hint="eastAsia"/>
        </w:rPr>
        <w:t>投标人名称（及公章）：</w:t>
      </w:r>
    </w:p>
    <w:p w14:paraId="325DBB39">
      <w:pPr>
        <w:spacing w:line="480" w:lineRule="auto"/>
        <w:ind w:left="795"/>
      </w:pPr>
      <w:r>
        <w:rPr>
          <w:rFonts w:hint="eastAsia"/>
        </w:rPr>
        <w:t>日期：        年       月       日</w:t>
      </w:r>
    </w:p>
    <w:p w14:paraId="0B0B21A0">
      <w:pPr>
        <w:rPr>
          <w:rFonts w:ascii="黑体" w:eastAsia="黑体"/>
          <w:sz w:val="30"/>
        </w:rPr>
      </w:pPr>
    </w:p>
    <w:p w14:paraId="7269E975">
      <w:pPr>
        <w:rPr>
          <w:rFonts w:ascii="黑体" w:eastAsia="黑体"/>
          <w:sz w:val="30"/>
        </w:rPr>
      </w:pPr>
    </w:p>
    <w:p w14:paraId="53E65E0C">
      <w:pPr>
        <w:rPr>
          <w:rFonts w:ascii="黑体" w:eastAsia="黑体"/>
          <w:sz w:val="30"/>
        </w:rPr>
      </w:pPr>
    </w:p>
    <w:p w14:paraId="37C4E98F">
      <w:pPr>
        <w:rPr>
          <w:rFonts w:ascii="黑体" w:eastAsia="黑体"/>
          <w:sz w:val="30"/>
        </w:rPr>
      </w:pPr>
    </w:p>
    <w:p w14:paraId="34F62B94">
      <w:pPr>
        <w:rPr>
          <w:rFonts w:eastAsia="黑体"/>
          <w:b/>
          <w:bCs/>
          <w:sz w:val="28"/>
        </w:rPr>
      </w:pPr>
      <w:r>
        <w:rPr>
          <w:rFonts w:ascii="黑体" w:eastAsia="黑体"/>
          <w:sz w:val="30"/>
        </w:rPr>
        <w:br w:type="page"/>
      </w:r>
      <w:r>
        <w:rPr>
          <w:rFonts w:hint="eastAsia" w:eastAsia="黑体"/>
          <w:b/>
          <w:bCs/>
          <w:sz w:val="28"/>
        </w:rPr>
        <w:t>格式2</w:t>
      </w:r>
    </w:p>
    <w:p w14:paraId="221B7315">
      <w:pPr>
        <w:rPr>
          <w:rFonts w:ascii="宋体" w:hAnsi="宋体"/>
        </w:rPr>
      </w:pPr>
      <w:r>
        <w:rPr>
          <w:rFonts w:hint="eastAsia" w:ascii="宋体" w:hAnsi="宋体"/>
        </w:rPr>
        <w:t>项目名称：</w:t>
      </w:r>
      <w:r>
        <w:rPr>
          <w:rFonts w:ascii="宋体" w:hAnsi="宋体"/>
        </w:rPr>
        <w:t xml:space="preserve"> </w:t>
      </w:r>
    </w:p>
    <w:p w14:paraId="2C871400">
      <w:pPr>
        <w:rPr>
          <w:rFonts w:ascii="宋体" w:hAnsi="宋体"/>
          <w:szCs w:val="21"/>
        </w:rPr>
      </w:pPr>
      <w:r>
        <w:rPr>
          <w:rFonts w:hint="eastAsia" w:ascii="宋体" w:hAnsi="宋体"/>
          <w:szCs w:val="21"/>
        </w:rPr>
        <w:t>日期：  年   月   日</w:t>
      </w:r>
    </w:p>
    <w:p w14:paraId="40FE05DD">
      <w:pPr>
        <w:jc w:val="center"/>
        <w:rPr>
          <w:rFonts w:ascii="黑体" w:eastAsia="黑体"/>
          <w:sz w:val="30"/>
        </w:rPr>
      </w:pPr>
      <w:r>
        <w:rPr>
          <w:rFonts w:hint="eastAsia" w:ascii="黑体" w:eastAsia="黑体"/>
          <w:sz w:val="30"/>
        </w:rPr>
        <w:t>投标文件目录</w:t>
      </w:r>
    </w:p>
    <w:tbl>
      <w:tblPr>
        <w:tblStyle w:val="30"/>
        <w:tblW w:w="86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6520"/>
        <w:gridCol w:w="1276"/>
      </w:tblGrid>
      <w:tr w14:paraId="265ED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D415443">
            <w:pPr>
              <w:jc w:val="center"/>
              <w:rPr>
                <w:sz w:val="28"/>
              </w:rPr>
            </w:pPr>
            <w:r>
              <w:rPr>
                <w:rFonts w:hint="eastAsia"/>
                <w:sz w:val="28"/>
              </w:rPr>
              <w:t>序号</w:t>
            </w:r>
          </w:p>
        </w:tc>
        <w:tc>
          <w:tcPr>
            <w:tcW w:w="6520" w:type="dxa"/>
            <w:vAlign w:val="center"/>
          </w:tcPr>
          <w:p w14:paraId="5F9FA67C">
            <w:pPr>
              <w:jc w:val="center"/>
              <w:rPr>
                <w:sz w:val="28"/>
              </w:rPr>
            </w:pPr>
            <w:r>
              <w:rPr>
                <w:rFonts w:hint="eastAsia"/>
                <w:sz w:val="28"/>
              </w:rPr>
              <w:t>主要内容</w:t>
            </w:r>
          </w:p>
        </w:tc>
        <w:tc>
          <w:tcPr>
            <w:tcW w:w="1276" w:type="dxa"/>
            <w:vAlign w:val="center"/>
          </w:tcPr>
          <w:p w14:paraId="77AD3B54">
            <w:pPr>
              <w:jc w:val="center"/>
              <w:rPr>
                <w:sz w:val="28"/>
              </w:rPr>
            </w:pPr>
            <w:r>
              <w:rPr>
                <w:rFonts w:hint="eastAsia"/>
                <w:sz w:val="28"/>
              </w:rPr>
              <w:t>索引</w:t>
            </w:r>
          </w:p>
        </w:tc>
      </w:tr>
      <w:tr w14:paraId="459D3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02A43E5">
            <w:pPr>
              <w:jc w:val="center"/>
            </w:pPr>
          </w:p>
        </w:tc>
        <w:tc>
          <w:tcPr>
            <w:tcW w:w="6520" w:type="dxa"/>
            <w:vAlign w:val="center"/>
          </w:tcPr>
          <w:p w14:paraId="0F58F8BB">
            <w:pPr>
              <w:jc w:val="center"/>
            </w:pPr>
          </w:p>
        </w:tc>
        <w:tc>
          <w:tcPr>
            <w:tcW w:w="1276" w:type="dxa"/>
            <w:vAlign w:val="center"/>
          </w:tcPr>
          <w:p w14:paraId="337545B6">
            <w:pPr>
              <w:jc w:val="center"/>
            </w:pPr>
          </w:p>
        </w:tc>
      </w:tr>
      <w:tr w14:paraId="6715A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C3D9216">
            <w:pPr>
              <w:jc w:val="center"/>
            </w:pPr>
          </w:p>
        </w:tc>
        <w:tc>
          <w:tcPr>
            <w:tcW w:w="6520" w:type="dxa"/>
            <w:vAlign w:val="center"/>
          </w:tcPr>
          <w:p w14:paraId="550C53C2">
            <w:pPr>
              <w:jc w:val="center"/>
            </w:pPr>
          </w:p>
        </w:tc>
        <w:tc>
          <w:tcPr>
            <w:tcW w:w="1276" w:type="dxa"/>
            <w:vAlign w:val="center"/>
          </w:tcPr>
          <w:p w14:paraId="780195C6">
            <w:pPr>
              <w:jc w:val="center"/>
            </w:pPr>
          </w:p>
        </w:tc>
      </w:tr>
      <w:tr w14:paraId="3ABC6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75DEFEB5">
            <w:pPr>
              <w:jc w:val="center"/>
            </w:pPr>
          </w:p>
        </w:tc>
        <w:tc>
          <w:tcPr>
            <w:tcW w:w="6520" w:type="dxa"/>
            <w:vAlign w:val="center"/>
          </w:tcPr>
          <w:p w14:paraId="6A8C1491">
            <w:pPr>
              <w:jc w:val="center"/>
            </w:pPr>
          </w:p>
        </w:tc>
        <w:tc>
          <w:tcPr>
            <w:tcW w:w="1276" w:type="dxa"/>
            <w:vAlign w:val="center"/>
          </w:tcPr>
          <w:p w14:paraId="2CFBC95E">
            <w:pPr>
              <w:jc w:val="center"/>
            </w:pPr>
          </w:p>
        </w:tc>
      </w:tr>
      <w:tr w14:paraId="52430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F0F24DB">
            <w:pPr>
              <w:jc w:val="center"/>
            </w:pPr>
          </w:p>
        </w:tc>
        <w:tc>
          <w:tcPr>
            <w:tcW w:w="6520" w:type="dxa"/>
            <w:vAlign w:val="center"/>
          </w:tcPr>
          <w:p w14:paraId="5DA9E6C6">
            <w:pPr>
              <w:jc w:val="center"/>
            </w:pPr>
          </w:p>
        </w:tc>
        <w:tc>
          <w:tcPr>
            <w:tcW w:w="1276" w:type="dxa"/>
            <w:vAlign w:val="center"/>
          </w:tcPr>
          <w:p w14:paraId="6217CBD7">
            <w:pPr>
              <w:jc w:val="center"/>
            </w:pPr>
          </w:p>
        </w:tc>
      </w:tr>
      <w:tr w14:paraId="2F761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82409CA">
            <w:pPr>
              <w:jc w:val="center"/>
            </w:pPr>
          </w:p>
        </w:tc>
        <w:tc>
          <w:tcPr>
            <w:tcW w:w="6520" w:type="dxa"/>
            <w:vAlign w:val="center"/>
          </w:tcPr>
          <w:p w14:paraId="69DC271F">
            <w:pPr>
              <w:jc w:val="center"/>
            </w:pPr>
          </w:p>
        </w:tc>
        <w:tc>
          <w:tcPr>
            <w:tcW w:w="1276" w:type="dxa"/>
            <w:vAlign w:val="center"/>
          </w:tcPr>
          <w:p w14:paraId="5EBED633">
            <w:pPr>
              <w:jc w:val="center"/>
            </w:pPr>
          </w:p>
        </w:tc>
      </w:tr>
      <w:tr w14:paraId="717F6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4F8AA3CD">
            <w:pPr>
              <w:jc w:val="center"/>
            </w:pPr>
          </w:p>
        </w:tc>
        <w:tc>
          <w:tcPr>
            <w:tcW w:w="6520" w:type="dxa"/>
            <w:vAlign w:val="center"/>
          </w:tcPr>
          <w:p w14:paraId="4169A6AF">
            <w:pPr>
              <w:jc w:val="center"/>
            </w:pPr>
          </w:p>
        </w:tc>
        <w:tc>
          <w:tcPr>
            <w:tcW w:w="1276" w:type="dxa"/>
            <w:vAlign w:val="center"/>
          </w:tcPr>
          <w:p w14:paraId="737FBE4B">
            <w:pPr>
              <w:jc w:val="center"/>
            </w:pPr>
          </w:p>
        </w:tc>
      </w:tr>
      <w:tr w14:paraId="554CF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2CB7939C">
            <w:pPr>
              <w:jc w:val="center"/>
            </w:pPr>
          </w:p>
        </w:tc>
        <w:tc>
          <w:tcPr>
            <w:tcW w:w="6520" w:type="dxa"/>
            <w:vAlign w:val="center"/>
          </w:tcPr>
          <w:p w14:paraId="65DCCC80">
            <w:pPr>
              <w:jc w:val="center"/>
            </w:pPr>
          </w:p>
        </w:tc>
        <w:tc>
          <w:tcPr>
            <w:tcW w:w="1276" w:type="dxa"/>
            <w:vAlign w:val="center"/>
          </w:tcPr>
          <w:p w14:paraId="5E1EB7AD">
            <w:pPr>
              <w:jc w:val="center"/>
            </w:pPr>
          </w:p>
        </w:tc>
      </w:tr>
      <w:tr w14:paraId="743C5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9DAAC76">
            <w:pPr>
              <w:jc w:val="center"/>
            </w:pPr>
          </w:p>
        </w:tc>
        <w:tc>
          <w:tcPr>
            <w:tcW w:w="6520" w:type="dxa"/>
            <w:vAlign w:val="center"/>
          </w:tcPr>
          <w:p w14:paraId="5B8310A2">
            <w:pPr>
              <w:jc w:val="center"/>
            </w:pPr>
          </w:p>
        </w:tc>
        <w:tc>
          <w:tcPr>
            <w:tcW w:w="1276" w:type="dxa"/>
            <w:vAlign w:val="center"/>
          </w:tcPr>
          <w:p w14:paraId="700AF87B">
            <w:pPr>
              <w:jc w:val="center"/>
            </w:pPr>
          </w:p>
        </w:tc>
      </w:tr>
      <w:tr w14:paraId="7CD71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71F6606">
            <w:pPr>
              <w:jc w:val="center"/>
            </w:pPr>
          </w:p>
        </w:tc>
        <w:tc>
          <w:tcPr>
            <w:tcW w:w="6520" w:type="dxa"/>
            <w:vAlign w:val="center"/>
          </w:tcPr>
          <w:p w14:paraId="746208D3">
            <w:pPr>
              <w:jc w:val="center"/>
            </w:pPr>
          </w:p>
        </w:tc>
        <w:tc>
          <w:tcPr>
            <w:tcW w:w="1276" w:type="dxa"/>
            <w:vAlign w:val="center"/>
          </w:tcPr>
          <w:p w14:paraId="77D72FBE">
            <w:pPr>
              <w:jc w:val="center"/>
            </w:pPr>
          </w:p>
        </w:tc>
      </w:tr>
      <w:tr w14:paraId="6570E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32E64229">
            <w:pPr>
              <w:jc w:val="center"/>
            </w:pPr>
          </w:p>
        </w:tc>
        <w:tc>
          <w:tcPr>
            <w:tcW w:w="6520" w:type="dxa"/>
            <w:vAlign w:val="center"/>
          </w:tcPr>
          <w:p w14:paraId="51E7BE2C">
            <w:pPr>
              <w:jc w:val="center"/>
            </w:pPr>
          </w:p>
        </w:tc>
        <w:tc>
          <w:tcPr>
            <w:tcW w:w="1276" w:type="dxa"/>
            <w:vAlign w:val="center"/>
          </w:tcPr>
          <w:p w14:paraId="0CAA60B4">
            <w:pPr>
              <w:jc w:val="center"/>
            </w:pPr>
          </w:p>
        </w:tc>
      </w:tr>
      <w:tr w14:paraId="796E1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0939E692">
            <w:pPr>
              <w:jc w:val="center"/>
            </w:pPr>
          </w:p>
        </w:tc>
        <w:tc>
          <w:tcPr>
            <w:tcW w:w="6520" w:type="dxa"/>
            <w:vAlign w:val="center"/>
          </w:tcPr>
          <w:p w14:paraId="3A81BD99">
            <w:pPr>
              <w:jc w:val="center"/>
            </w:pPr>
          </w:p>
        </w:tc>
        <w:tc>
          <w:tcPr>
            <w:tcW w:w="1276" w:type="dxa"/>
            <w:vAlign w:val="center"/>
          </w:tcPr>
          <w:p w14:paraId="2FEDA394">
            <w:pPr>
              <w:jc w:val="center"/>
            </w:pPr>
          </w:p>
        </w:tc>
      </w:tr>
      <w:tr w14:paraId="61DD5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51" w:type="dxa"/>
            <w:vAlign w:val="center"/>
          </w:tcPr>
          <w:p w14:paraId="1EAF6BCD">
            <w:pPr>
              <w:jc w:val="center"/>
            </w:pPr>
          </w:p>
        </w:tc>
        <w:tc>
          <w:tcPr>
            <w:tcW w:w="6520" w:type="dxa"/>
            <w:vAlign w:val="center"/>
          </w:tcPr>
          <w:p w14:paraId="60E8F72B">
            <w:pPr>
              <w:jc w:val="center"/>
            </w:pPr>
          </w:p>
        </w:tc>
        <w:tc>
          <w:tcPr>
            <w:tcW w:w="1276" w:type="dxa"/>
            <w:vAlign w:val="center"/>
          </w:tcPr>
          <w:p w14:paraId="568C19EA">
            <w:pPr>
              <w:jc w:val="center"/>
            </w:pPr>
          </w:p>
        </w:tc>
      </w:tr>
    </w:tbl>
    <w:p w14:paraId="78EA6DD9">
      <w:pPr>
        <w:rPr>
          <w:rFonts w:ascii="宋体" w:hAnsi="宋体"/>
          <w:sz w:val="24"/>
          <w:szCs w:val="24"/>
        </w:rPr>
      </w:pPr>
      <w:r>
        <w:rPr>
          <w:rFonts w:hint="eastAsia" w:ascii="宋体" w:hAnsi="宋体"/>
          <w:sz w:val="24"/>
          <w:szCs w:val="24"/>
        </w:rPr>
        <w:t>投标人名称（盖章）：              法定代表人或授权代表签字：</w:t>
      </w:r>
    </w:p>
    <w:p w14:paraId="3F79D742">
      <w:pPr>
        <w:rPr>
          <w:rFonts w:ascii="宋体" w:hAnsi="宋体"/>
          <w:sz w:val="24"/>
        </w:rPr>
      </w:pPr>
    </w:p>
    <w:p w14:paraId="58800AE4">
      <w:pPr>
        <w:rPr>
          <w:rFonts w:ascii="宋体" w:hAnsi="宋体"/>
          <w:sz w:val="24"/>
        </w:rPr>
      </w:pPr>
      <w:r>
        <w:rPr>
          <w:rFonts w:hint="eastAsia" w:ascii="宋体" w:hAnsi="宋体"/>
          <w:b/>
          <w:sz w:val="24"/>
        </w:rPr>
        <w:t>注：</w:t>
      </w:r>
      <w:r>
        <w:rPr>
          <w:rFonts w:hint="eastAsia" w:ascii="宋体" w:hAnsi="宋体"/>
          <w:sz w:val="24"/>
        </w:rPr>
        <w:t>1.本表填写投标文件主要内容，以用于开标宣读。</w:t>
      </w:r>
    </w:p>
    <w:p w14:paraId="422F5D25">
      <w:pPr>
        <w:ind w:firstLine="480"/>
        <w:rPr>
          <w:rFonts w:ascii="宋体" w:hAnsi="宋体"/>
          <w:sz w:val="24"/>
        </w:rPr>
      </w:pPr>
      <w:r>
        <w:rPr>
          <w:rFonts w:hint="eastAsia" w:ascii="宋体" w:hAnsi="宋体"/>
          <w:sz w:val="24"/>
        </w:rPr>
        <w:t>2．“索引”一栏填写该主要内容对应于投标文件的“条款号/页号”。</w:t>
      </w:r>
    </w:p>
    <w:p w14:paraId="0C08F853">
      <w:pPr>
        <w:ind w:firstLine="480"/>
        <w:rPr>
          <w:rFonts w:ascii="宋体" w:hAnsi="宋体"/>
          <w:sz w:val="24"/>
        </w:rPr>
      </w:pPr>
    </w:p>
    <w:p w14:paraId="11BDF40C">
      <w:pPr>
        <w:rPr>
          <w:rFonts w:eastAsia="黑体"/>
          <w:b/>
          <w:bCs/>
          <w:sz w:val="28"/>
        </w:rPr>
      </w:pPr>
      <w:r>
        <w:rPr>
          <w:rFonts w:hint="eastAsia" w:eastAsia="黑体"/>
          <w:b/>
          <w:bCs/>
          <w:sz w:val="28"/>
        </w:rPr>
        <w:br w:type="page"/>
      </w:r>
    </w:p>
    <w:p w14:paraId="069B347E">
      <w:pPr>
        <w:rPr>
          <w:rFonts w:eastAsia="黑体"/>
          <w:b/>
          <w:bCs/>
          <w:sz w:val="28"/>
        </w:rPr>
      </w:pPr>
      <w:r>
        <w:rPr>
          <w:rFonts w:hint="eastAsia" w:eastAsia="黑体"/>
          <w:b/>
          <w:bCs/>
          <w:sz w:val="28"/>
        </w:rPr>
        <w:t>格式3</w:t>
      </w:r>
    </w:p>
    <w:p w14:paraId="58117D95">
      <w:pPr>
        <w:rPr>
          <w:rFonts w:ascii="宋体" w:hAnsi="宋体"/>
        </w:rPr>
      </w:pPr>
      <w:r>
        <w:rPr>
          <w:rFonts w:hint="eastAsia" w:ascii="宋体" w:hAnsi="宋体"/>
        </w:rPr>
        <w:t>项目名称：</w:t>
      </w:r>
      <w:r>
        <w:rPr>
          <w:rFonts w:ascii="宋体" w:hAnsi="宋体"/>
        </w:rPr>
        <w:t xml:space="preserve"> </w:t>
      </w:r>
    </w:p>
    <w:p w14:paraId="0DDEA457">
      <w:pPr>
        <w:adjustRightInd w:val="0"/>
        <w:snapToGrid w:val="0"/>
        <w:spacing w:line="540" w:lineRule="exact"/>
        <w:jc w:val="center"/>
        <w:rPr>
          <w:rFonts w:hint="eastAsia" w:ascii="仿宋" w:hAnsi="仿宋" w:eastAsia="仿宋"/>
          <w:b/>
          <w:sz w:val="40"/>
          <w:szCs w:val="44"/>
        </w:rPr>
      </w:pPr>
      <w:r>
        <w:rPr>
          <w:rFonts w:hint="eastAsia" w:ascii="仿宋" w:hAnsi="仿宋" w:eastAsia="仿宋"/>
          <w:b/>
          <w:sz w:val="40"/>
          <w:szCs w:val="44"/>
          <w:lang w:val="en-US" w:eastAsia="zh-CN"/>
        </w:rPr>
        <w:t>开标一览</w:t>
      </w:r>
      <w:r>
        <w:rPr>
          <w:rFonts w:hint="eastAsia" w:ascii="仿宋" w:hAnsi="仿宋" w:eastAsia="仿宋"/>
          <w:b/>
          <w:sz w:val="40"/>
          <w:szCs w:val="44"/>
        </w:rPr>
        <w:t>表</w:t>
      </w:r>
    </w:p>
    <w:p w14:paraId="7A98F9DF">
      <w:pPr>
        <w:adjustRightInd w:val="0"/>
        <w:snapToGrid w:val="0"/>
        <w:spacing w:line="540" w:lineRule="exact"/>
        <w:ind w:firstLine="480" w:firstLineChars="200"/>
        <w:jc w:val="left"/>
        <w:rPr>
          <w:rFonts w:hint="eastAsia" w:ascii="仿宋" w:hAnsi="仿宋" w:eastAsia="仿宋"/>
          <w:sz w:val="24"/>
          <w:szCs w:val="28"/>
        </w:rPr>
      </w:pPr>
      <w:r>
        <w:rPr>
          <w:rFonts w:hint="eastAsia" w:ascii="仿宋" w:hAnsi="仿宋" w:eastAsia="仿宋"/>
          <w:sz w:val="24"/>
          <w:szCs w:val="28"/>
        </w:rPr>
        <w:t>投标单位</w:t>
      </w:r>
      <w:r>
        <w:rPr>
          <w:rFonts w:ascii="仿宋" w:hAnsi="仿宋" w:eastAsia="仿宋"/>
          <w:sz w:val="24"/>
          <w:szCs w:val="28"/>
        </w:rPr>
        <w:t>(</w:t>
      </w:r>
      <w:r>
        <w:rPr>
          <w:rFonts w:hint="eastAsia" w:ascii="仿宋" w:hAnsi="仿宋" w:eastAsia="仿宋"/>
          <w:sz w:val="24"/>
          <w:szCs w:val="28"/>
        </w:rPr>
        <w:t>章</w:t>
      </w:r>
      <w:r>
        <w:rPr>
          <w:rFonts w:ascii="仿宋" w:hAnsi="仿宋" w:eastAsia="仿宋"/>
          <w:sz w:val="24"/>
          <w:szCs w:val="28"/>
        </w:rPr>
        <w:t>)</w:t>
      </w:r>
      <w:r>
        <w:rPr>
          <w:rFonts w:hint="eastAsia" w:ascii="仿宋" w:hAnsi="仿宋" w:eastAsia="仿宋"/>
          <w:sz w:val="24"/>
          <w:szCs w:val="28"/>
        </w:rPr>
        <w:t>：                                                     项目名称：</w:t>
      </w:r>
    </w:p>
    <w:tbl>
      <w:tblPr>
        <w:tblStyle w:val="3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3"/>
        <w:gridCol w:w="2099"/>
        <w:gridCol w:w="1172"/>
        <w:gridCol w:w="3139"/>
        <w:gridCol w:w="973"/>
        <w:gridCol w:w="966"/>
      </w:tblGrid>
      <w:tr w14:paraId="07BA8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503" w:type="pct"/>
            <w:vAlign w:val="center"/>
          </w:tcPr>
          <w:p w14:paraId="1B2BAAFF">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130" w:type="pct"/>
            <w:vAlign w:val="center"/>
          </w:tcPr>
          <w:p w14:paraId="0CB9085E">
            <w:pPr>
              <w:jc w:val="center"/>
              <w:rPr>
                <w:rFonts w:ascii="Times New Roman" w:hAnsi="Times New Roman" w:eastAsia="宋体" w:cs="Times New Roman"/>
                <w:b/>
                <w:szCs w:val="20"/>
              </w:rPr>
            </w:pPr>
            <w:r>
              <w:rPr>
                <w:rFonts w:hint="eastAsia" w:ascii="Times New Roman" w:hAnsi="Times New Roman" w:eastAsia="宋体" w:cs="Times New Roman"/>
                <w:b/>
                <w:szCs w:val="20"/>
                <w:lang w:val="en-US" w:eastAsia="zh-CN"/>
              </w:rPr>
              <w:t>项目</w:t>
            </w:r>
            <w:r>
              <w:rPr>
                <w:rFonts w:hint="eastAsia" w:ascii="Times New Roman" w:hAnsi="Times New Roman" w:eastAsia="宋体" w:cs="Times New Roman"/>
                <w:b/>
                <w:szCs w:val="20"/>
              </w:rPr>
              <w:t>名称</w:t>
            </w:r>
          </w:p>
        </w:tc>
        <w:tc>
          <w:tcPr>
            <w:tcW w:w="631" w:type="pct"/>
            <w:vAlign w:val="center"/>
          </w:tcPr>
          <w:p w14:paraId="7FD1C6AE">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1690" w:type="pct"/>
            <w:vAlign w:val="center"/>
          </w:tcPr>
          <w:p w14:paraId="7E8CB28F">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524" w:type="pct"/>
            <w:vAlign w:val="center"/>
          </w:tcPr>
          <w:p w14:paraId="669E8072">
            <w:pPr>
              <w:jc w:val="center"/>
              <w:rPr>
                <w:rFonts w:hint="default" w:ascii="Times New Roman" w:hAnsi="Times New Roman" w:eastAsia="宋体" w:cs="Times New Roman"/>
                <w:b/>
                <w:szCs w:val="20"/>
                <w:lang w:val="en-US" w:eastAsia="zh-CN"/>
              </w:rPr>
            </w:pPr>
            <w:r>
              <w:rPr>
                <w:rFonts w:hint="eastAsia" w:cs="Times New Roman"/>
                <w:b/>
                <w:szCs w:val="20"/>
                <w:lang w:val="en-US" w:eastAsia="zh-CN"/>
              </w:rPr>
              <w:t>付款方式及比例如何响应</w:t>
            </w:r>
          </w:p>
        </w:tc>
        <w:tc>
          <w:tcPr>
            <w:tcW w:w="520" w:type="pct"/>
            <w:vAlign w:val="center"/>
          </w:tcPr>
          <w:p w14:paraId="0DA60CF4">
            <w:pPr>
              <w:jc w:val="center"/>
              <w:rPr>
                <w:rFonts w:hint="default" w:ascii="等线" w:hAnsi="等线" w:eastAsia="等线" w:cs="Times New Roman"/>
                <w:b/>
                <w:szCs w:val="20"/>
                <w:lang w:val="en-US"/>
              </w:rPr>
            </w:pPr>
            <w:r>
              <w:rPr>
                <w:rFonts w:hint="eastAsia" w:cs="Times New Roman"/>
                <w:b/>
                <w:szCs w:val="20"/>
                <w:lang w:val="en-US" w:eastAsia="zh-CN"/>
              </w:rPr>
              <w:t>商务条款是否偏离</w:t>
            </w:r>
          </w:p>
        </w:tc>
      </w:tr>
      <w:tr w14:paraId="035C9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503" w:type="pct"/>
            <w:vAlign w:val="center"/>
          </w:tcPr>
          <w:p w14:paraId="6D0E9BE6">
            <w:pPr>
              <w:jc w:val="center"/>
              <w:rPr>
                <w:rFonts w:hint="eastAsia"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1</w:t>
            </w:r>
          </w:p>
        </w:tc>
        <w:tc>
          <w:tcPr>
            <w:tcW w:w="1130" w:type="pct"/>
            <w:vAlign w:val="center"/>
          </w:tcPr>
          <w:p w14:paraId="01DDB5C4">
            <w:pPr>
              <w:jc w:val="center"/>
              <w:rPr>
                <w:rFonts w:hint="eastAsia" w:ascii="Times New Roman" w:hAnsi="Times New Roman" w:eastAsia="宋体" w:cs="Times New Roman"/>
                <w:b/>
                <w:szCs w:val="20"/>
                <w:lang w:eastAsia="zh-CN"/>
              </w:rPr>
            </w:pPr>
          </w:p>
        </w:tc>
        <w:tc>
          <w:tcPr>
            <w:tcW w:w="631" w:type="pct"/>
            <w:vAlign w:val="center"/>
          </w:tcPr>
          <w:p w14:paraId="5754ED5A">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1</w:t>
            </w:r>
          </w:p>
        </w:tc>
        <w:tc>
          <w:tcPr>
            <w:tcW w:w="1690" w:type="pct"/>
            <w:vAlign w:val="center"/>
          </w:tcPr>
          <w:p w14:paraId="63A1C48D">
            <w:pPr>
              <w:jc w:val="left"/>
              <w:rPr>
                <w:rFonts w:hint="eastAsia" w:ascii="等线" w:hAnsi="等线" w:eastAsia="等线" w:cs="Times New Roman"/>
                <w:b/>
                <w:szCs w:val="20"/>
                <w:lang w:val="en-US" w:eastAsia="zh-CN"/>
              </w:rPr>
            </w:pPr>
            <w:r>
              <w:rPr>
                <w:rFonts w:hint="eastAsia" w:ascii="等线" w:hAnsi="等线" w:eastAsia="等线" w:cs="Times New Roman"/>
                <w:b/>
                <w:szCs w:val="20"/>
              </w:rPr>
              <w:t>不含税价</w:t>
            </w:r>
            <w:r>
              <w:rPr>
                <w:rFonts w:hint="eastAsia" w:ascii="等线" w:hAnsi="等线" w:eastAsia="等线" w:cs="Times New Roman"/>
                <w:b/>
                <w:szCs w:val="20"/>
                <w:lang w:eastAsia="zh-CN"/>
              </w:rPr>
              <w:t>：</w:t>
            </w:r>
          </w:p>
          <w:p w14:paraId="6C6D0F49">
            <w:pPr>
              <w:jc w:val="left"/>
              <w:rPr>
                <w:rFonts w:hint="default" w:ascii="等线" w:hAnsi="等线" w:eastAsia="等线" w:cs="Times New Roman"/>
                <w:b/>
                <w:szCs w:val="20"/>
                <w:lang w:val="en-US" w:eastAsia="zh-CN"/>
              </w:rPr>
            </w:pPr>
            <w:r>
              <w:rPr>
                <w:rFonts w:hint="eastAsia" w:ascii="等线" w:hAnsi="等线" w:eastAsia="等线" w:cs="Times New Roman"/>
                <w:b/>
                <w:szCs w:val="20"/>
              </w:rPr>
              <w:t>含税价格：</w:t>
            </w:r>
            <w:r>
              <w:rPr>
                <w:rFonts w:hint="eastAsia" w:ascii="等线" w:hAnsi="等线" w:eastAsia="等线" w:cs="Times New Roman"/>
                <w:b/>
                <w:szCs w:val="20"/>
                <w:u w:val="single"/>
                <w:lang w:val="en-US" w:eastAsia="zh-CN"/>
              </w:rPr>
              <w:t xml:space="preserve">    （大写：    ）</w:t>
            </w:r>
          </w:p>
          <w:p w14:paraId="34B462C2">
            <w:pPr>
              <w:jc w:val="left"/>
              <w:rPr>
                <w:rFonts w:ascii="Times New Roman" w:hAnsi="Times New Roman" w:eastAsia="宋体" w:cs="Times New Roman"/>
                <w:b/>
                <w:szCs w:val="20"/>
              </w:rPr>
            </w:pPr>
            <w:r>
              <w:rPr>
                <w:rFonts w:hint="eastAsia" w:ascii="等线" w:hAnsi="等线" w:eastAsia="等线" w:cs="Times New Roman"/>
                <w:b/>
                <w:szCs w:val="20"/>
              </w:rPr>
              <w:t>税率：</w:t>
            </w:r>
          </w:p>
        </w:tc>
        <w:tc>
          <w:tcPr>
            <w:tcW w:w="524" w:type="pct"/>
            <w:vAlign w:val="center"/>
          </w:tcPr>
          <w:p w14:paraId="2516E961">
            <w:pPr>
              <w:jc w:val="center"/>
              <w:rPr>
                <w:rFonts w:ascii="Times New Roman" w:hAnsi="Times New Roman" w:eastAsia="宋体" w:cs="Times New Roman"/>
                <w:b/>
                <w:szCs w:val="20"/>
              </w:rPr>
            </w:pPr>
          </w:p>
        </w:tc>
        <w:tc>
          <w:tcPr>
            <w:tcW w:w="520" w:type="pct"/>
            <w:vAlign w:val="center"/>
          </w:tcPr>
          <w:p w14:paraId="14D620AB">
            <w:pPr>
              <w:jc w:val="center"/>
              <w:rPr>
                <w:rFonts w:ascii="Times New Roman" w:hAnsi="Times New Roman" w:eastAsia="宋体" w:cs="Times New Roman"/>
                <w:b/>
                <w:szCs w:val="20"/>
              </w:rPr>
            </w:pPr>
          </w:p>
        </w:tc>
      </w:tr>
    </w:tbl>
    <w:p w14:paraId="361DF330">
      <w:pPr>
        <w:pStyle w:val="11"/>
        <w:spacing w:line="460" w:lineRule="exact"/>
        <w:rPr>
          <w:rFonts w:ascii="宋体" w:hAnsi="宋体"/>
          <w:b/>
          <w:bCs/>
        </w:rPr>
      </w:pPr>
    </w:p>
    <w:p w14:paraId="267380FA">
      <w:pPr>
        <w:pStyle w:val="11"/>
        <w:spacing w:line="460" w:lineRule="exact"/>
        <w:rPr>
          <w:rFonts w:ascii="宋体" w:hAnsi="宋体"/>
        </w:rPr>
      </w:pPr>
      <w:r>
        <w:rPr>
          <w:rFonts w:hint="eastAsia" w:ascii="宋体" w:hAnsi="宋体"/>
          <w:b/>
          <w:bCs/>
        </w:rPr>
        <w:t>注：</w:t>
      </w:r>
    </w:p>
    <w:p w14:paraId="34434AEA">
      <w:pPr>
        <w:spacing w:line="520" w:lineRule="exact"/>
        <w:rPr>
          <w:rFonts w:ascii="宋体" w:hAnsi="宋体"/>
          <w:b/>
          <w:bCs/>
        </w:rPr>
      </w:pPr>
      <w:r>
        <w:rPr>
          <w:rFonts w:hint="eastAsia" w:ascii="宋体" w:hAnsi="宋体"/>
          <w:b/>
          <w:bCs/>
        </w:rPr>
        <w:t>1、此表中的报价必须与相应的报价明细表中的报价一致，并根据明细基价按比例进行调整。</w:t>
      </w:r>
    </w:p>
    <w:p w14:paraId="617D923A">
      <w:pPr>
        <w:spacing w:line="360" w:lineRule="auto"/>
        <w:rPr>
          <w:rFonts w:ascii="宋体" w:hAnsi="宋体"/>
          <w:b/>
          <w:bCs/>
        </w:rPr>
      </w:pPr>
      <w:r>
        <w:rPr>
          <w:rFonts w:hint="eastAsia" w:ascii="宋体" w:hAnsi="宋体"/>
          <w:b/>
          <w:bCs/>
        </w:rPr>
        <w:t>2、本表除附在投标文件中外，还应一式贰份单独密封，以便唱标。</w:t>
      </w:r>
    </w:p>
    <w:p w14:paraId="0751DC99">
      <w:pPr>
        <w:spacing w:line="360" w:lineRule="auto"/>
        <w:rPr>
          <w:rFonts w:ascii="宋体" w:hAnsi="宋体"/>
          <w:sz w:val="24"/>
        </w:rPr>
      </w:pPr>
      <w:r>
        <w:rPr>
          <w:rFonts w:hint="eastAsia" w:ascii="宋体" w:hAnsi="宋体"/>
          <w:sz w:val="24"/>
        </w:rPr>
        <w:t>投标人：（盖章）</w:t>
      </w:r>
    </w:p>
    <w:p w14:paraId="10B7B4B5">
      <w:pPr>
        <w:spacing w:line="360" w:lineRule="auto"/>
        <w:rPr>
          <w:rFonts w:ascii="宋体" w:hAnsi="宋体"/>
          <w:sz w:val="24"/>
        </w:rPr>
      </w:pPr>
      <w:r>
        <w:rPr>
          <w:rFonts w:hint="eastAsia" w:ascii="宋体" w:hAnsi="宋体"/>
          <w:sz w:val="24"/>
        </w:rPr>
        <w:t>法定代表人（授权代表）：（签字）</w:t>
      </w:r>
    </w:p>
    <w:p w14:paraId="7E75D71A">
      <w:pPr>
        <w:spacing w:line="360" w:lineRule="auto"/>
        <w:rPr>
          <w:rFonts w:ascii="宋体" w:hAnsi="宋体"/>
          <w:sz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398054CE">
      <w:pPr>
        <w:rPr>
          <w:rFonts w:ascii="宋体" w:hAnsi="宋体"/>
          <w:sz w:val="24"/>
        </w:rPr>
      </w:pPr>
      <w:r>
        <w:rPr>
          <w:rFonts w:hint="eastAsia" w:ascii="宋体" w:hAnsi="宋体"/>
          <w:sz w:val="24"/>
        </w:rPr>
        <w:br w:type="page"/>
      </w:r>
    </w:p>
    <w:p w14:paraId="1DED7A8F">
      <w:pPr>
        <w:rPr>
          <w:rFonts w:eastAsia="黑体"/>
          <w:b/>
          <w:bCs/>
          <w:sz w:val="28"/>
        </w:rPr>
      </w:pPr>
      <w:bookmarkStart w:id="19" w:name="_Hlk70069772"/>
    </w:p>
    <w:p w14:paraId="4C33DE6A">
      <w:r>
        <w:rPr>
          <w:rFonts w:hint="eastAsia" w:ascii="宋体" w:hAnsi="宋体"/>
        </w:rPr>
        <w:t>项目名称：</w:t>
      </w:r>
      <w:r>
        <w:t xml:space="preserve"> </w:t>
      </w:r>
    </w:p>
    <w:p w14:paraId="2C715FF5"/>
    <w:p w14:paraId="6F81B6E3">
      <w:pPr>
        <w:rPr>
          <w:rFonts w:ascii="宋体" w:hAnsi="宋体"/>
          <w:szCs w:val="21"/>
        </w:rPr>
      </w:pPr>
      <w:r>
        <w:rPr>
          <w:rFonts w:hint="eastAsia" w:ascii="宋体" w:hAnsi="宋体"/>
          <w:szCs w:val="21"/>
        </w:rPr>
        <w:t>日期：  年   月   日</w:t>
      </w:r>
    </w:p>
    <w:p w14:paraId="029481E9">
      <w:pPr>
        <w:jc w:val="center"/>
        <w:rPr>
          <w:rFonts w:eastAsia="黑体"/>
          <w:b/>
          <w:bCs/>
          <w:sz w:val="28"/>
        </w:rPr>
      </w:pPr>
    </w:p>
    <w:p w14:paraId="705AB67B">
      <w:pPr>
        <w:jc w:val="center"/>
        <w:rPr>
          <w:rFonts w:eastAsia="黑体"/>
          <w:b/>
          <w:bCs/>
          <w:sz w:val="28"/>
        </w:rPr>
      </w:pPr>
      <w:r>
        <w:rPr>
          <w:rFonts w:hint="eastAsia" w:eastAsia="黑体"/>
          <w:b/>
          <w:bCs/>
          <w:sz w:val="28"/>
        </w:rPr>
        <w:t>相关条款偏离表（含商务偏离及技术偏离）</w:t>
      </w:r>
    </w:p>
    <w:tbl>
      <w:tblPr>
        <w:tblStyle w:val="30"/>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14:paraId="723D5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3DA695A3">
            <w:pPr>
              <w:jc w:val="center"/>
              <w:rPr>
                <w:rFonts w:ascii="宋体" w:hAnsi="宋体"/>
                <w:sz w:val="24"/>
              </w:rPr>
            </w:pPr>
            <w:r>
              <w:rPr>
                <w:rFonts w:hint="eastAsia" w:ascii="宋体" w:hAnsi="宋体"/>
                <w:sz w:val="24"/>
              </w:rPr>
              <w:t>序号</w:t>
            </w:r>
          </w:p>
        </w:tc>
        <w:tc>
          <w:tcPr>
            <w:tcW w:w="4140" w:type="dxa"/>
            <w:gridSpan w:val="2"/>
            <w:vAlign w:val="center"/>
          </w:tcPr>
          <w:p w14:paraId="50538610">
            <w:pPr>
              <w:jc w:val="center"/>
              <w:rPr>
                <w:rFonts w:ascii="宋体" w:hAnsi="宋体"/>
                <w:sz w:val="24"/>
              </w:rPr>
            </w:pPr>
            <w:r>
              <w:rPr>
                <w:rFonts w:hint="eastAsia" w:ascii="宋体" w:hAnsi="宋体"/>
                <w:sz w:val="24"/>
              </w:rPr>
              <w:t>招标文件条款</w:t>
            </w:r>
          </w:p>
        </w:tc>
        <w:tc>
          <w:tcPr>
            <w:tcW w:w="3554" w:type="dxa"/>
            <w:vMerge w:val="restart"/>
            <w:vAlign w:val="center"/>
          </w:tcPr>
          <w:p w14:paraId="02218800">
            <w:pPr>
              <w:jc w:val="center"/>
              <w:rPr>
                <w:rFonts w:ascii="宋体" w:hAnsi="宋体"/>
                <w:sz w:val="24"/>
              </w:rPr>
            </w:pPr>
            <w:r>
              <w:rPr>
                <w:rFonts w:hint="eastAsia" w:ascii="宋体" w:hAnsi="宋体"/>
                <w:sz w:val="24"/>
              </w:rPr>
              <w:t>偏离内容</w:t>
            </w:r>
          </w:p>
        </w:tc>
      </w:tr>
      <w:tr w14:paraId="7A263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053824BF">
            <w:pPr>
              <w:rPr>
                <w:rFonts w:ascii="宋体" w:hAnsi="宋体"/>
                <w:sz w:val="24"/>
              </w:rPr>
            </w:pPr>
          </w:p>
        </w:tc>
        <w:tc>
          <w:tcPr>
            <w:tcW w:w="1080" w:type="dxa"/>
            <w:vAlign w:val="center"/>
          </w:tcPr>
          <w:p w14:paraId="24577905">
            <w:pPr>
              <w:jc w:val="center"/>
              <w:rPr>
                <w:rFonts w:ascii="宋体" w:hAnsi="宋体"/>
                <w:sz w:val="24"/>
              </w:rPr>
            </w:pPr>
            <w:r>
              <w:rPr>
                <w:rFonts w:hint="eastAsia" w:ascii="宋体" w:hAnsi="宋体"/>
                <w:sz w:val="24"/>
              </w:rPr>
              <w:t>条款号</w:t>
            </w:r>
          </w:p>
        </w:tc>
        <w:tc>
          <w:tcPr>
            <w:tcW w:w="3060" w:type="dxa"/>
            <w:vAlign w:val="center"/>
          </w:tcPr>
          <w:p w14:paraId="1A099EF2">
            <w:pPr>
              <w:jc w:val="center"/>
              <w:rPr>
                <w:rFonts w:ascii="宋体" w:hAnsi="宋体"/>
                <w:sz w:val="24"/>
              </w:rPr>
            </w:pPr>
            <w:r>
              <w:rPr>
                <w:rFonts w:hint="eastAsia" w:ascii="宋体" w:hAnsi="宋体"/>
                <w:sz w:val="24"/>
              </w:rPr>
              <w:t>条款要求</w:t>
            </w:r>
          </w:p>
        </w:tc>
        <w:tc>
          <w:tcPr>
            <w:tcW w:w="3554" w:type="dxa"/>
            <w:vMerge w:val="continue"/>
            <w:vAlign w:val="center"/>
          </w:tcPr>
          <w:p w14:paraId="0323C0C7">
            <w:pPr>
              <w:jc w:val="center"/>
              <w:rPr>
                <w:rFonts w:ascii="宋体" w:hAnsi="宋体"/>
                <w:sz w:val="24"/>
              </w:rPr>
            </w:pPr>
          </w:p>
        </w:tc>
      </w:tr>
      <w:tr w14:paraId="41EF6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E773992">
            <w:pPr>
              <w:jc w:val="center"/>
              <w:rPr>
                <w:rFonts w:ascii="宋体" w:hAnsi="宋体"/>
                <w:sz w:val="24"/>
              </w:rPr>
            </w:pPr>
            <w:r>
              <w:rPr>
                <w:rFonts w:hint="eastAsia" w:ascii="宋体" w:hAnsi="宋体"/>
                <w:sz w:val="24"/>
              </w:rPr>
              <w:t>1</w:t>
            </w:r>
          </w:p>
        </w:tc>
        <w:tc>
          <w:tcPr>
            <w:tcW w:w="1080" w:type="dxa"/>
            <w:vAlign w:val="center"/>
          </w:tcPr>
          <w:p w14:paraId="04B1B4BD">
            <w:pPr>
              <w:rPr>
                <w:rFonts w:ascii="宋体" w:hAnsi="宋体"/>
                <w:sz w:val="24"/>
              </w:rPr>
            </w:pPr>
          </w:p>
        </w:tc>
        <w:tc>
          <w:tcPr>
            <w:tcW w:w="3060" w:type="dxa"/>
            <w:vAlign w:val="center"/>
          </w:tcPr>
          <w:p w14:paraId="1A125F5D">
            <w:pPr>
              <w:rPr>
                <w:rFonts w:ascii="宋体" w:hAnsi="宋体"/>
                <w:sz w:val="24"/>
              </w:rPr>
            </w:pPr>
          </w:p>
        </w:tc>
        <w:tc>
          <w:tcPr>
            <w:tcW w:w="3554" w:type="dxa"/>
            <w:vAlign w:val="center"/>
          </w:tcPr>
          <w:p w14:paraId="01DD74FE">
            <w:pPr>
              <w:rPr>
                <w:rFonts w:ascii="宋体" w:hAnsi="宋体"/>
                <w:sz w:val="24"/>
              </w:rPr>
            </w:pPr>
          </w:p>
        </w:tc>
      </w:tr>
      <w:tr w14:paraId="34320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93FD8EC">
            <w:pPr>
              <w:jc w:val="center"/>
              <w:rPr>
                <w:rFonts w:ascii="宋体" w:hAnsi="宋体"/>
                <w:sz w:val="24"/>
              </w:rPr>
            </w:pPr>
            <w:r>
              <w:rPr>
                <w:rFonts w:hint="eastAsia" w:ascii="宋体" w:hAnsi="宋体"/>
                <w:sz w:val="24"/>
              </w:rPr>
              <w:t>2</w:t>
            </w:r>
          </w:p>
        </w:tc>
        <w:tc>
          <w:tcPr>
            <w:tcW w:w="1080" w:type="dxa"/>
            <w:vAlign w:val="center"/>
          </w:tcPr>
          <w:p w14:paraId="79C52B98">
            <w:pPr>
              <w:rPr>
                <w:rFonts w:ascii="宋体" w:hAnsi="宋体"/>
                <w:sz w:val="24"/>
              </w:rPr>
            </w:pPr>
          </w:p>
        </w:tc>
        <w:tc>
          <w:tcPr>
            <w:tcW w:w="3060" w:type="dxa"/>
            <w:vAlign w:val="center"/>
          </w:tcPr>
          <w:p w14:paraId="0C8EEE3C">
            <w:pPr>
              <w:rPr>
                <w:rFonts w:ascii="宋体" w:hAnsi="宋体"/>
                <w:sz w:val="24"/>
              </w:rPr>
            </w:pPr>
          </w:p>
        </w:tc>
        <w:tc>
          <w:tcPr>
            <w:tcW w:w="3554" w:type="dxa"/>
            <w:vAlign w:val="center"/>
          </w:tcPr>
          <w:p w14:paraId="4BCF1767">
            <w:pPr>
              <w:rPr>
                <w:rFonts w:ascii="宋体" w:hAnsi="宋体"/>
                <w:sz w:val="24"/>
              </w:rPr>
            </w:pPr>
          </w:p>
        </w:tc>
      </w:tr>
      <w:tr w14:paraId="17CBD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52C68F66">
            <w:pPr>
              <w:jc w:val="center"/>
              <w:rPr>
                <w:rFonts w:ascii="宋体" w:hAnsi="宋体"/>
                <w:sz w:val="24"/>
              </w:rPr>
            </w:pPr>
            <w:r>
              <w:rPr>
                <w:rFonts w:hint="eastAsia" w:ascii="宋体" w:hAnsi="宋体"/>
                <w:sz w:val="24"/>
              </w:rPr>
              <w:t>3</w:t>
            </w:r>
          </w:p>
        </w:tc>
        <w:tc>
          <w:tcPr>
            <w:tcW w:w="1080" w:type="dxa"/>
            <w:vAlign w:val="center"/>
          </w:tcPr>
          <w:p w14:paraId="66CDB1DB">
            <w:pPr>
              <w:rPr>
                <w:rFonts w:ascii="宋体" w:hAnsi="宋体"/>
                <w:sz w:val="24"/>
              </w:rPr>
            </w:pPr>
          </w:p>
        </w:tc>
        <w:tc>
          <w:tcPr>
            <w:tcW w:w="3060" w:type="dxa"/>
            <w:vAlign w:val="center"/>
          </w:tcPr>
          <w:p w14:paraId="18DCD6C3">
            <w:pPr>
              <w:rPr>
                <w:rFonts w:ascii="宋体" w:hAnsi="宋体"/>
                <w:sz w:val="24"/>
              </w:rPr>
            </w:pPr>
          </w:p>
        </w:tc>
        <w:tc>
          <w:tcPr>
            <w:tcW w:w="3554" w:type="dxa"/>
            <w:vAlign w:val="center"/>
          </w:tcPr>
          <w:p w14:paraId="689EF6CE">
            <w:pPr>
              <w:rPr>
                <w:rFonts w:ascii="宋体" w:hAnsi="宋体"/>
                <w:sz w:val="24"/>
              </w:rPr>
            </w:pPr>
          </w:p>
        </w:tc>
      </w:tr>
      <w:tr w14:paraId="7FFFA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F02AAEE">
            <w:pPr>
              <w:jc w:val="center"/>
              <w:rPr>
                <w:rFonts w:ascii="宋体" w:hAnsi="宋体"/>
                <w:sz w:val="24"/>
              </w:rPr>
            </w:pPr>
            <w:r>
              <w:rPr>
                <w:rFonts w:hint="eastAsia" w:ascii="宋体" w:hAnsi="宋体"/>
                <w:sz w:val="24"/>
              </w:rPr>
              <w:t>4</w:t>
            </w:r>
          </w:p>
        </w:tc>
        <w:tc>
          <w:tcPr>
            <w:tcW w:w="1080" w:type="dxa"/>
            <w:vAlign w:val="center"/>
          </w:tcPr>
          <w:p w14:paraId="7127A700">
            <w:pPr>
              <w:rPr>
                <w:rFonts w:ascii="宋体" w:hAnsi="宋体"/>
                <w:sz w:val="24"/>
              </w:rPr>
            </w:pPr>
          </w:p>
        </w:tc>
        <w:tc>
          <w:tcPr>
            <w:tcW w:w="3060" w:type="dxa"/>
            <w:vAlign w:val="center"/>
          </w:tcPr>
          <w:p w14:paraId="4DE97532">
            <w:pPr>
              <w:rPr>
                <w:rFonts w:ascii="宋体" w:hAnsi="宋体"/>
                <w:sz w:val="24"/>
              </w:rPr>
            </w:pPr>
          </w:p>
        </w:tc>
        <w:tc>
          <w:tcPr>
            <w:tcW w:w="3554" w:type="dxa"/>
            <w:vAlign w:val="center"/>
          </w:tcPr>
          <w:p w14:paraId="2F9B2078">
            <w:pPr>
              <w:rPr>
                <w:rFonts w:ascii="宋体" w:hAnsi="宋体"/>
                <w:sz w:val="24"/>
              </w:rPr>
            </w:pPr>
          </w:p>
        </w:tc>
      </w:tr>
      <w:tr w14:paraId="6157A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1EC893F">
            <w:pPr>
              <w:jc w:val="center"/>
              <w:rPr>
                <w:rFonts w:ascii="宋体" w:hAnsi="宋体"/>
                <w:sz w:val="24"/>
              </w:rPr>
            </w:pPr>
            <w:r>
              <w:rPr>
                <w:rFonts w:hint="eastAsia" w:ascii="宋体" w:hAnsi="宋体"/>
                <w:sz w:val="24"/>
              </w:rPr>
              <w:t>5</w:t>
            </w:r>
          </w:p>
        </w:tc>
        <w:tc>
          <w:tcPr>
            <w:tcW w:w="1080" w:type="dxa"/>
            <w:vAlign w:val="center"/>
          </w:tcPr>
          <w:p w14:paraId="7FD37B59">
            <w:pPr>
              <w:rPr>
                <w:rFonts w:ascii="宋体" w:hAnsi="宋体"/>
                <w:sz w:val="24"/>
              </w:rPr>
            </w:pPr>
          </w:p>
        </w:tc>
        <w:tc>
          <w:tcPr>
            <w:tcW w:w="3060" w:type="dxa"/>
            <w:vAlign w:val="center"/>
          </w:tcPr>
          <w:p w14:paraId="2964A6DA">
            <w:pPr>
              <w:rPr>
                <w:rFonts w:ascii="宋体" w:hAnsi="宋体"/>
                <w:sz w:val="24"/>
              </w:rPr>
            </w:pPr>
          </w:p>
        </w:tc>
        <w:tc>
          <w:tcPr>
            <w:tcW w:w="3554" w:type="dxa"/>
            <w:vAlign w:val="center"/>
          </w:tcPr>
          <w:p w14:paraId="64916131">
            <w:pPr>
              <w:rPr>
                <w:rFonts w:ascii="宋体" w:hAnsi="宋体"/>
                <w:sz w:val="24"/>
              </w:rPr>
            </w:pPr>
          </w:p>
        </w:tc>
      </w:tr>
      <w:tr w14:paraId="4F35C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022C8576">
            <w:pPr>
              <w:jc w:val="center"/>
              <w:rPr>
                <w:rFonts w:ascii="宋体" w:hAnsi="宋体"/>
                <w:sz w:val="24"/>
              </w:rPr>
            </w:pPr>
            <w:r>
              <w:rPr>
                <w:rFonts w:hint="eastAsia" w:ascii="宋体" w:hAnsi="宋体"/>
                <w:sz w:val="24"/>
              </w:rPr>
              <w:t>6</w:t>
            </w:r>
          </w:p>
        </w:tc>
        <w:tc>
          <w:tcPr>
            <w:tcW w:w="1080" w:type="dxa"/>
            <w:vAlign w:val="center"/>
          </w:tcPr>
          <w:p w14:paraId="7B5A45D2">
            <w:pPr>
              <w:rPr>
                <w:rFonts w:ascii="宋体" w:hAnsi="宋体"/>
                <w:sz w:val="24"/>
              </w:rPr>
            </w:pPr>
          </w:p>
        </w:tc>
        <w:tc>
          <w:tcPr>
            <w:tcW w:w="3060" w:type="dxa"/>
            <w:vAlign w:val="center"/>
          </w:tcPr>
          <w:p w14:paraId="4FD68114">
            <w:pPr>
              <w:rPr>
                <w:rFonts w:ascii="宋体" w:hAnsi="宋体"/>
                <w:sz w:val="24"/>
              </w:rPr>
            </w:pPr>
          </w:p>
        </w:tc>
        <w:tc>
          <w:tcPr>
            <w:tcW w:w="3554" w:type="dxa"/>
            <w:vAlign w:val="center"/>
          </w:tcPr>
          <w:p w14:paraId="0CB759FC">
            <w:pPr>
              <w:rPr>
                <w:rFonts w:ascii="宋体" w:hAnsi="宋体"/>
                <w:sz w:val="24"/>
              </w:rPr>
            </w:pPr>
          </w:p>
        </w:tc>
      </w:tr>
      <w:tr w14:paraId="3CDD7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9B2DC6A">
            <w:pPr>
              <w:jc w:val="center"/>
              <w:rPr>
                <w:rFonts w:ascii="宋体" w:hAnsi="宋体"/>
                <w:sz w:val="24"/>
              </w:rPr>
            </w:pPr>
            <w:r>
              <w:rPr>
                <w:rFonts w:hint="eastAsia" w:ascii="宋体" w:hAnsi="宋体"/>
                <w:sz w:val="24"/>
              </w:rPr>
              <w:t>7</w:t>
            </w:r>
          </w:p>
        </w:tc>
        <w:tc>
          <w:tcPr>
            <w:tcW w:w="1080" w:type="dxa"/>
            <w:vAlign w:val="center"/>
          </w:tcPr>
          <w:p w14:paraId="7F42BFAA">
            <w:pPr>
              <w:rPr>
                <w:rFonts w:ascii="宋体" w:hAnsi="宋体"/>
                <w:sz w:val="24"/>
              </w:rPr>
            </w:pPr>
          </w:p>
        </w:tc>
        <w:tc>
          <w:tcPr>
            <w:tcW w:w="3060" w:type="dxa"/>
            <w:vAlign w:val="center"/>
          </w:tcPr>
          <w:p w14:paraId="3D6D55E8">
            <w:pPr>
              <w:rPr>
                <w:rFonts w:ascii="宋体" w:hAnsi="宋体"/>
                <w:sz w:val="24"/>
              </w:rPr>
            </w:pPr>
          </w:p>
        </w:tc>
        <w:tc>
          <w:tcPr>
            <w:tcW w:w="3554" w:type="dxa"/>
            <w:vAlign w:val="center"/>
          </w:tcPr>
          <w:p w14:paraId="4CB8F95D">
            <w:pPr>
              <w:rPr>
                <w:rFonts w:ascii="宋体" w:hAnsi="宋体"/>
                <w:sz w:val="24"/>
              </w:rPr>
            </w:pPr>
          </w:p>
        </w:tc>
      </w:tr>
      <w:tr w14:paraId="6AFE0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jc w:val="center"/>
        </w:trPr>
        <w:tc>
          <w:tcPr>
            <w:tcW w:w="828" w:type="dxa"/>
            <w:vAlign w:val="center"/>
          </w:tcPr>
          <w:p w14:paraId="45FB3B9C">
            <w:pPr>
              <w:jc w:val="center"/>
              <w:rPr>
                <w:rFonts w:ascii="宋体" w:hAnsi="宋体"/>
                <w:sz w:val="24"/>
              </w:rPr>
            </w:pPr>
            <w:r>
              <w:rPr>
                <w:rFonts w:hint="eastAsia" w:ascii="宋体" w:hAnsi="宋体"/>
                <w:sz w:val="24"/>
              </w:rPr>
              <w:t>8</w:t>
            </w:r>
          </w:p>
        </w:tc>
        <w:tc>
          <w:tcPr>
            <w:tcW w:w="1080" w:type="dxa"/>
            <w:vAlign w:val="center"/>
          </w:tcPr>
          <w:p w14:paraId="4541E386">
            <w:pPr>
              <w:rPr>
                <w:rFonts w:ascii="宋体" w:hAnsi="宋体"/>
                <w:sz w:val="24"/>
              </w:rPr>
            </w:pPr>
          </w:p>
        </w:tc>
        <w:tc>
          <w:tcPr>
            <w:tcW w:w="3060" w:type="dxa"/>
            <w:vAlign w:val="center"/>
          </w:tcPr>
          <w:p w14:paraId="3565C3E4">
            <w:pPr>
              <w:rPr>
                <w:rFonts w:ascii="宋体" w:hAnsi="宋体"/>
                <w:sz w:val="24"/>
              </w:rPr>
            </w:pPr>
          </w:p>
        </w:tc>
        <w:tc>
          <w:tcPr>
            <w:tcW w:w="3554" w:type="dxa"/>
            <w:vAlign w:val="center"/>
          </w:tcPr>
          <w:p w14:paraId="2BADEEC8">
            <w:pPr>
              <w:rPr>
                <w:rFonts w:ascii="宋体" w:hAnsi="宋体"/>
                <w:sz w:val="24"/>
              </w:rPr>
            </w:pPr>
          </w:p>
        </w:tc>
      </w:tr>
      <w:tr w14:paraId="1C77C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1D39D1D">
            <w:pPr>
              <w:jc w:val="center"/>
              <w:rPr>
                <w:rFonts w:ascii="宋体" w:hAnsi="宋体"/>
                <w:sz w:val="24"/>
              </w:rPr>
            </w:pPr>
            <w:r>
              <w:rPr>
                <w:rFonts w:hint="eastAsia" w:ascii="宋体" w:hAnsi="宋体"/>
                <w:sz w:val="24"/>
              </w:rPr>
              <w:t>9</w:t>
            </w:r>
          </w:p>
        </w:tc>
        <w:tc>
          <w:tcPr>
            <w:tcW w:w="1080" w:type="dxa"/>
            <w:vAlign w:val="center"/>
          </w:tcPr>
          <w:p w14:paraId="270E7B3B">
            <w:pPr>
              <w:rPr>
                <w:rFonts w:ascii="宋体" w:hAnsi="宋体"/>
                <w:sz w:val="24"/>
              </w:rPr>
            </w:pPr>
          </w:p>
        </w:tc>
        <w:tc>
          <w:tcPr>
            <w:tcW w:w="3060" w:type="dxa"/>
            <w:vAlign w:val="center"/>
          </w:tcPr>
          <w:p w14:paraId="4CB4B1E7">
            <w:pPr>
              <w:rPr>
                <w:rFonts w:ascii="宋体" w:hAnsi="宋体"/>
                <w:sz w:val="24"/>
              </w:rPr>
            </w:pPr>
          </w:p>
        </w:tc>
        <w:tc>
          <w:tcPr>
            <w:tcW w:w="3554" w:type="dxa"/>
            <w:vAlign w:val="center"/>
          </w:tcPr>
          <w:p w14:paraId="6F62B968">
            <w:pPr>
              <w:rPr>
                <w:rFonts w:ascii="宋体" w:hAnsi="宋体"/>
                <w:sz w:val="24"/>
              </w:rPr>
            </w:pPr>
          </w:p>
        </w:tc>
      </w:tr>
      <w:tr w14:paraId="60995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1742296F">
            <w:pPr>
              <w:jc w:val="center"/>
              <w:rPr>
                <w:rFonts w:ascii="宋体" w:hAnsi="宋体"/>
                <w:sz w:val="24"/>
              </w:rPr>
            </w:pPr>
            <w:r>
              <w:rPr>
                <w:rFonts w:hint="eastAsia" w:ascii="宋体" w:hAnsi="宋体"/>
                <w:sz w:val="24"/>
              </w:rPr>
              <w:t>10</w:t>
            </w:r>
          </w:p>
        </w:tc>
        <w:tc>
          <w:tcPr>
            <w:tcW w:w="1080" w:type="dxa"/>
            <w:vAlign w:val="center"/>
          </w:tcPr>
          <w:p w14:paraId="3E62A192">
            <w:pPr>
              <w:rPr>
                <w:rFonts w:ascii="宋体" w:hAnsi="宋体"/>
                <w:sz w:val="24"/>
              </w:rPr>
            </w:pPr>
          </w:p>
        </w:tc>
        <w:tc>
          <w:tcPr>
            <w:tcW w:w="3060" w:type="dxa"/>
            <w:vAlign w:val="center"/>
          </w:tcPr>
          <w:p w14:paraId="2C178D5F">
            <w:pPr>
              <w:rPr>
                <w:rFonts w:ascii="宋体" w:hAnsi="宋体"/>
                <w:sz w:val="24"/>
              </w:rPr>
            </w:pPr>
          </w:p>
        </w:tc>
        <w:tc>
          <w:tcPr>
            <w:tcW w:w="3554" w:type="dxa"/>
            <w:vAlign w:val="center"/>
          </w:tcPr>
          <w:p w14:paraId="652723FD">
            <w:pPr>
              <w:rPr>
                <w:rFonts w:ascii="宋体" w:hAnsi="宋体"/>
                <w:sz w:val="24"/>
              </w:rPr>
            </w:pPr>
          </w:p>
        </w:tc>
      </w:tr>
    </w:tbl>
    <w:p w14:paraId="09293447">
      <w:pPr>
        <w:rPr>
          <w:rFonts w:ascii="宋体" w:hAnsi="宋体"/>
          <w:sz w:val="24"/>
        </w:rPr>
      </w:pPr>
    </w:p>
    <w:p w14:paraId="6128DDFF">
      <w:pPr>
        <w:rPr>
          <w:rFonts w:ascii="仿宋_GB2312" w:hAnsi="宋体" w:eastAsia="仿宋_GB2312"/>
          <w:sz w:val="24"/>
        </w:rPr>
      </w:pPr>
      <w:r>
        <w:rPr>
          <w:rFonts w:hint="eastAsia" w:ascii="仿宋_GB2312" w:hAnsi="宋体" w:eastAsia="仿宋_GB2312"/>
          <w:sz w:val="24"/>
        </w:rPr>
        <w:t>投标人名称（盖章）：              法定代表人或授权代表签字：</w:t>
      </w:r>
    </w:p>
    <w:p w14:paraId="4CD5E50C">
      <w:pPr>
        <w:rPr>
          <w:rFonts w:ascii="宋体" w:hAnsi="宋体"/>
          <w:sz w:val="24"/>
        </w:rPr>
      </w:pPr>
    </w:p>
    <w:p w14:paraId="4382E116">
      <w:pPr>
        <w:rPr>
          <w:rFonts w:ascii="宋体" w:hAnsi="宋体"/>
          <w:sz w:val="24"/>
        </w:rPr>
      </w:pPr>
    </w:p>
    <w:p w14:paraId="465748FC">
      <w:pPr>
        <w:rPr>
          <w:rFonts w:ascii="宋体" w:hAnsi="宋体"/>
          <w:sz w:val="24"/>
        </w:rPr>
      </w:pPr>
      <w:r>
        <w:rPr>
          <w:rFonts w:hint="eastAsia" w:ascii="宋体" w:hAnsi="宋体"/>
          <w:b/>
          <w:sz w:val="24"/>
        </w:rPr>
        <w:t>注：</w:t>
      </w:r>
      <w:r>
        <w:rPr>
          <w:rFonts w:hint="eastAsia" w:ascii="宋体" w:hAnsi="宋体"/>
          <w:sz w:val="24"/>
        </w:rPr>
        <w:t>为避免歧义，无偏离也应要提报该表，并注明“无”字。如无该表则即使在其它部分已反映，将也被视为“无偏离”。</w:t>
      </w:r>
    </w:p>
    <w:p w14:paraId="53DDB5E8">
      <w:pPr>
        <w:rPr>
          <w:rFonts w:ascii="宋体" w:hAnsi="宋体"/>
          <w:sz w:val="24"/>
        </w:rPr>
      </w:pPr>
    </w:p>
    <w:bookmarkEnd w:id="19"/>
    <w:p w14:paraId="14907BC9">
      <w:pPr>
        <w:widowControl/>
        <w:jc w:val="left"/>
        <w:rPr>
          <w:rFonts w:eastAsia="黑体"/>
          <w:b/>
          <w:bCs/>
          <w:sz w:val="28"/>
        </w:rPr>
      </w:pPr>
      <w:r>
        <w:rPr>
          <w:rFonts w:eastAsia="黑体"/>
          <w:b/>
          <w:bCs/>
          <w:sz w:val="28"/>
        </w:rPr>
        <w:br w:type="page"/>
      </w:r>
    </w:p>
    <w:p w14:paraId="77F23887">
      <w:pPr>
        <w:rPr>
          <w:rFonts w:eastAsia="黑体"/>
          <w:b/>
          <w:bCs/>
          <w:sz w:val="28"/>
        </w:rPr>
      </w:pPr>
      <w:r>
        <w:rPr>
          <w:rFonts w:hint="eastAsia" w:eastAsia="黑体"/>
          <w:b/>
          <w:bCs/>
          <w:sz w:val="28"/>
        </w:rPr>
        <w:t>格式7</w:t>
      </w:r>
    </w:p>
    <w:p w14:paraId="738F941F">
      <w:pPr>
        <w:rPr>
          <w:rFonts w:ascii="宋体" w:hAnsi="宋体"/>
        </w:rPr>
      </w:pPr>
      <w:r>
        <w:rPr>
          <w:rFonts w:hint="eastAsia" w:ascii="宋体" w:hAnsi="宋体"/>
        </w:rPr>
        <w:t>项目名称：</w:t>
      </w:r>
      <w:r>
        <w:rPr>
          <w:rFonts w:ascii="宋体" w:hAnsi="宋体"/>
        </w:rPr>
        <w:t xml:space="preserve"> </w:t>
      </w:r>
    </w:p>
    <w:p w14:paraId="1B7C19CA">
      <w:pPr>
        <w:rPr>
          <w:rFonts w:ascii="宋体" w:hAnsi="宋体"/>
        </w:rPr>
      </w:pPr>
    </w:p>
    <w:p w14:paraId="4F75A1AD">
      <w:pPr>
        <w:pStyle w:val="14"/>
        <w:spacing w:line="360" w:lineRule="auto"/>
        <w:rPr>
          <w:rFonts w:hAnsi="宋体"/>
          <w:szCs w:val="21"/>
        </w:rPr>
      </w:pPr>
      <w:r>
        <w:rPr>
          <w:rFonts w:hint="eastAsia" w:hAnsi="宋体"/>
          <w:szCs w:val="21"/>
        </w:rPr>
        <w:t>日期：  年   月   日</w:t>
      </w:r>
    </w:p>
    <w:p w14:paraId="520059B8">
      <w:pPr>
        <w:jc w:val="center"/>
        <w:rPr>
          <w:rFonts w:eastAsia="黑体"/>
          <w:b/>
          <w:bCs/>
          <w:sz w:val="28"/>
        </w:rPr>
      </w:pPr>
      <w:r>
        <w:rPr>
          <w:rFonts w:hint="eastAsia" w:eastAsia="黑体"/>
          <w:b/>
          <w:bCs/>
          <w:sz w:val="28"/>
        </w:rPr>
        <w:t>法人授权委托书</w:t>
      </w:r>
    </w:p>
    <w:p w14:paraId="5B71A578">
      <w:pPr>
        <w:rPr>
          <w:rFonts w:ascii="宋体" w:hAnsi="宋体"/>
          <w:u w:val="single"/>
        </w:rPr>
      </w:pPr>
      <w:r>
        <w:rPr>
          <w:rFonts w:hint="eastAsia" w:ascii="宋体" w:hAnsi="宋体"/>
        </w:rPr>
        <w:t>致</w:t>
      </w:r>
      <w:r>
        <w:rPr>
          <w:rFonts w:hint="eastAsia" w:ascii="宋体" w:hAnsi="宋体"/>
          <w:u w:val="single"/>
        </w:rPr>
        <w:t>（招标人名称）                            ：</w:t>
      </w:r>
    </w:p>
    <w:p w14:paraId="394B90BA">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79E990B5">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01A4FD65">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55BCE3F4">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2DF589F7">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411F508E">
      <w:pPr>
        <w:spacing w:line="360" w:lineRule="auto"/>
        <w:ind w:firstLine="420" w:firstLineChars="200"/>
        <w:rPr>
          <w:rFonts w:ascii="宋体"/>
          <w:kern w:val="0"/>
          <w:szCs w:val="21"/>
        </w:rPr>
      </w:pPr>
      <w:r>
        <w:rPr>
          <w:rFonts w:hint="eastAsia" w:ascii="宋体" w:hAnsi="宋体"/>
          <w:kern w:val="0"/>
          <w:szCs w:val="21"/>
        </w:rPr>
        <w:t>投标人名称：（盖单位公章）</w:t>
      </w:r>
    </w:p>
    <w:p w14:paraId="304A69AF">
      <w:pPr>
        <w:spacing w:line="360" w:lineRule="auto"/>
        <w:ind w:firstLine="420" w:firstLineChars="200"/>
        <w:rPr>
          <w:rFonts w:ascii="宋体"/>
          <w:kern w:val="0"/>
          <w:szCs w:val="21"/>
        </w:rPr>
      </w:pPr>
      <w:r>
        <w:rPr>
          <w:rFonts w:hint="eastAsia" w:ascii="宋体" w:hAnsi="宋体"/>
          <w:kern w:val="0"/>
          <w:szCs w:val="21"/>
        </w:rPr>
        <w:t>法定代表人：（签字）</w:t>
      </w:r>
    </w:p>
    <w:p w14:paraId="58F8358F">
      <w:pPr>
        <w:spacing w:line="360" w:lineRule="auto"/>
        <w:ind w:firstLine="420" w:firstLineChars="200"/>
        <w:rPr>
          <w:rFonts w:ascii="宋体"/>
          <w:kern w:val="0"/>
          <w:szCs w:val="21"/>
        </w:rPr>
      </w:pPr>
    </w:p>
    <w:p w14:paraId="7E2771FB">
      <w:pPr>
        <w:spacing w:line="360" w:lineRule="auto"/>
        <w:ind w:firstLine="420" w:firstLineChars="200"/>
        <w:rPr>
          <w:rFonts w:ascii="宋体"/>
          <w:kern w:val="0"/>
          <w:szCs w:val="21"/>
        </w:rPr>
      </w:pPr>
    </w:p>
    <w:p w14:paraId="043E0846">
      <w:pPr>
        <w:adjustRightInd w:val="0"/>
        <w:spacing w:line="480" w:lineRule="exact"/>
        <w:jc w:val="left"/>
        <w:textAlignment w:val="baseline"/>
        <w:rPr>
          <w:rFonts w:hint="eastAsia" w:ascii="宋体" w:hAnsi="宋体"/>
          <w:b/>
          <w:kern w:val="0"/>
          <w:szCs w:val="21"/>
        </w:rPr>
      </w:pPr>
      <w:r>
        <w:rPr>
          <w:rFonts w:hint="eastAsia" w:ascii="宋体" w:hAnsi="宋体"/>
          <w:b/>
          <w:kern w:val="0"/>
          <w:szCs w:val="21"/>
        </w:rPr>
        <w:t>附授权人与被授权人有效的身份证正反两面复印件</w:t>
      </w:r>
    </w:p>
    <w:p w14:paraId="0CCA189D">
      <w:pPr>
        <w:adjustRightInd w:val="0"/>
        <w:spacing w:line="480" w:lineRule="exact"/>
        <w:jc w:val="left"/>
        <w:textAlignment w:val="baseline"/>
        <w:rPr>
          <w:rFonts w:hint="eastAsia" w:ascii="宋体" w:hAnsi="宋体"/>
          <w:b/>
          <w:kern w:val="0"/>
          <w:szCs w:val="21"/>
        </w:rPr>
      </w:pPr>
    </w:p>
    <w:p w14:paraId="3FAA8189">
      <w:pPr>
        <w:adjustRightInd w:val="0"/>
        <w:spacing w:line="480" w:lineRule="exact"/>
        <w:jc w:val="left"/>
        <w:textAlignment w:val="baseline"/>
        <w:rPr>
          <w:rFonts w:hint="eastAsia" w:ascii="宋体" w:hAnsi="宋体"/>
          <w:b/>
          <w:kern w:val="0"/>
          <w:szCs w:val="21"/>
        </w:rPr>
      </w:pPr>
    </w:p>
    <w:p w14:paraId="030135EF">
      <w:pPr>
        <w:adjustRightInd w:val="0"/>
        <w:spacing w:line="480" w:lineRule="exact"/>
        <w:jc w:val="left"/>
        <w:textAlignment w:val="baseline"/>
        <w:rPr>
          <w:rFonts w:hint="eastAsia" w:ascii="宋体" w:hAnsi="宋体"/>
          <w:b/>
          <w:kern w:val="0"/>
          <w:szCs w:val="21"/>
        </w:rPr>
      </w:pPr>
    </w:p>
    <w:p w14:paraId="16292231">
      <w:pPr>
        <w:adjustRightInd w:val="0"/>
        <w:spacing w:line="480" w:lineRule="exact"/>
        <w:jc w:val="left"/>
        <w:textAlignment w:val="baseline"/>
        <w:rPr>
          <w:rFonts w:hint="eastAsia" w:ascii="宋体" w:hAnsi="宋体"/>
          <w:b/>
          <w:kern w:val="0"/>
          <w:szCs w:val="21"/>
        </w:rPr>
      </w:pPr>
    </w:p>
    <w:p w14:paraId="1B30E4E3">
      <w:pPr>
        <w:adjustRightInd w:val="0"/>
        <w:spacing w:line="480" w:lineRule="exact"/>
        <w:jc w:val="left"/>
        <w:textAlignment w:val="baseline"/>
        <w:rPr>
          <w:rFonts w:hint="eastAsia" w:ascii="宋体" w:hAnsi="宋体"/>
          <w:b/>
          <w:kern w:val="0"/>
          <w:szCs w:val="21"/>
        </w:rPr>
      </w:pPr>
    </w:p>
    <w:p w14:paraId="0FA91C48">
      <w:pPr>
        <w:adjustRightInd w:val="0"/>
        <w:spacing w:line="480" w:lineRule="exact"/>
        <w:jc w:val="left"/>
        <w:textAlignment w:val="baseline"/>
        <w:rPr>
          <w:rFonts w:hint="eastAsia" w:ascii="宋体" w:hAnsi="宋体"/>
          <w:b/>
          <w:kern w:val="0"/>
          <w:szCs w:val="21"/>
        </w:rPr>
      </w:pPr>
    </w:p>
    <w:p w14:paraId="49440B05">
      <w:pPr>
        <w:adjustRightInd w:val="0"/>
        <w:spacing w:line="480" w:lineRule="exact"/>
        <w:jc w:val="left"/>
        <w:textAlignment w:val="baseline"/>
        <w:rPr>
          <w:rFonts w:hint="eastAsia" w:ascii="宋体" w:hAnsi="宋体"/>
          <w:b/>
          <w:kern w:val="0"/>
          <w:szCs w:val="21"/>
        </w:rPr>
      </w:pPr>
    </w:p>
    <w:p w14:paraId="3B0420C6">
      <w:pPr>
        <w:adjustRightInd w:val="0"/>
        <w:spacing w:line="480" w:lineRule="exact"/>
        <w:jc w:val="left"/>
        <w:textAlignment w:val="baseline"/>
        <w:rPr>
          <w:rFonts w:hint="eastAsia" w:ascii="宋体" w:hAnsi="宋体"/>
          <w:b/>
          <w:kern w:val="0"/>
          <w:szCs w:val="21"/>
        </w:rPr>
      </w:pPr>
    </w:p>
    <w:p w14:paraId="58C13A79">
      <w:pPr>
        <w:adjustRightInd w:val="0"/>
        <w:spacing w:line="480" w:lineRule="exact"/>
        <w:jc w:val="left"/>
        <w:textAlignment w:val="baseline"/>
        <w:rPr>
          <w:rFonts w:hint="eastAsia" w:ascii="宋体" w:hAnsi="宋体"/>
          <w:b/>
          <w:kern w:val="0"/>
          <w:szCs w:val="21"/>
        </w:rPr>
      </w:pPr>
    </w:p>
    <w:p w14:paraId="457E8CBE">
      <w:pPr>
        <w:adjustRightInd w:val="0"/>
        <w:spacing w:line="480" w:lineRule="exact"/>
        <w:jc w:val="left"/>
        <w:textAlignment w:val="baseline"/>
        <w:rPr>
          <w:rFonts w:hint="eastAsia" w:ascii="宋体" w:hAnsi="宋体"/>
          <w:b/>
          <w:kern w:val="0"/>
          <w:szCs w:val="21"/>
        </w:rPr>
      </w:pPr>
    </w:p>
    <w:p w14:paraId="47C06BF1">
      <w:pPr>
        <w:adjustRightInd w:val="0"/>
        <w:spacing w:line="480" w:lineRule="exact"/>
        <w:jc w:val="left"/>
        <w:textAlignment w:val="baseline"/>
        <w:rPr>
          <w:rFonts w:hint="eastAsia" w:ascii="宋体" w:hAnsi="宋体"/>
          <w:b/>
          <w:kern w:val="0"/>
          <w:szCs w:val="21"/>
        </w:rPr>
      </w:pPr>
    </w:p>
    <w:p w14:paraId="58E8C054">
      <w:pPr>
        <w:spacing w:line="360" w:lineRule="auto"/>
        <w:rPr>
          <w:rFonts w:hint="default" w:ascii="宋体" w:eastAsia="宋体"/>
          <w:b/>
          <w:bCs/>
          <w:kern w:val="0"/>
          <w:sz w:val="36"/>
          <w:szCs w:val="36"/>
          <w:lang w:val="en-US" w:eastAsia="zh-CN"/>
        </w:rPr>
      </w:pPr>
      <w:r>
        <w:rPr>
          <w:rFonts w:hint="eastAsia" w:ascii="宋体"/>
          <w:b/>
          <w:bCs/>
          <w:kern w:val="0"/>
          <w:sz w:val="36"/>
          <w:szCs w:val="36"/>
          <w:lang w:val="en-US" w:eastAsia="zh-CN"/>
        </w:rPr>
        <w:t>分项报价表</w:t>
      </w:r>
    </w:p>
    <w:p w14:paraId="6AFDC201">
      <w:pPr>
        <w:spacing w:line="360" w:lineRule="auto"/>
        <w:rPr>
          <w:rFonts w:ascii="宋体"/>
          <w:kern w:val="0"/>
          <w:szCs w:val="21"/>
        </w:rPr>
      </w:pPr>
    </w:p>
    <w:p w14:paraId="4B34D44A">
      <w:pPr>
        <w:spacing w:line="360" w:lineRule="auto"/>
        <w:rPr>
          <w:rFonts w:hint="eastAsia" w:ascii="宋体" w:eastAsia="宋体"/>
          <w:kern w:val="0"/>
          <w:szCs w:val="21"/>
          <w:lang w:eastAsia="zh-CN"/>
        </w:rPr>
      </w:pPr>
      <w:r>
        <w:rPr>
          <w:rFonts w:hint="eastAsia" w:ascii="宋体" w:eastAsia="宋体"/>
          <w:kern w:val="0"/>
          <w:szCs w:val="21"/>
          <w:lang w:eastAsia="zh-CN"/>
        </w:rPr>
        <w:object>
          <v:shape id="_x0000_i1025" o:spt="75" type="#_x0000_t75" style="height:65.5pt;width:72.5pt;" o:ole="t" filled="f" o:preferrelative="t" stroked="f" coordsize="21600,21600">
            <v:fill on="f" focussize="0,0"/>
            <v:stroke on="f"/>
            <v:imagedata r:id="rId16" o:title=""/>
            <o:lock v:ext="edit" aspectratio="t"/>
            <w10:wrap type="none"/>
            <w10:anchorlock/>
          </v:shape>
          <o:OLEObject Type="Embed" ProgID="Excel.Sheet.12" ShapeID="_x0000_i1025" DrawAspect="Icon" ObjectID="_1468075725" r:id="rId15">
            <o:LockedField>false</o:LockedField>
          </o:OLEObject>
        </w:object>
      </w:r>
    </w:p>
    <w:p w14:paraId="3D887707">
      <w:pPr>
        <w:spacing w:line="360" w:lineRule="auto"/>
        <w:rPr>
          <w:rFonts w:ascii="宋体"/>
          <w:kern w:val="0"/>
          <w:szCs w:val="21"/>
        </w:rPr>
      </w:pPr>
    </w:p>
    <w:p w14:paraId="76B38CD8">
      <w:pPr>
        <w:spacing w:line="360" w:lineRule="auto"/>
        <w:ind w:right="560" w:firstLine="420" w:firstLineChars="200"/>
        <w:rPr>
          <w:rFonts w:ascii="宋体"/>
          <w:kern w:val="0"/>
          <w:szCs w:val="21"/>
        </w:rPr>
      </w:pPr>
    </w:p>
    <w:p w14:paraId="19BBACEF">
      <w:pPr>
        <w:pStyle w:val="14"/>
        <w:spacing w:line="360" w:lineRule="auto"/>
        <w:rPr>
          <w:rFonts w:hAnsi="宋体"/>
          <w:b/>
          <w:sz w:val="24"/>
          <w:szCs w:val="24"/>
        </w:rPr>
      </w:pPr>
    </w:p>
    <w:p w14:paraId="28E8E8FC">
      <w:pPr>
        <w:pStyle w:val="14"/>
        <w:spacing w:line="360" w:lineRule="auto"/>
        <w:rPr>
          <w:rFonts w:hAnsi="宋体"/>
          <w:b/>
          <w:sz w:val="24"/>
          <w:szCs w:val="24"/>
        </w:rPr>
      </w:pPr>
    </w:p>
    <w:tbl>
      <w:tblPr>
        <w:tblW w:w="10052"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701"/>
        <w:gridCol w:w="1593"/>
        <w:gridCol w:w="862"/>
        <w:gridCol w:w="862"/>
        <w:gridCol w:w="862"/>
        <w:gridCol w:w="862"/>
        <w:gridCol w:w="862"/>
        <w:gridCol w:w="862"/>
        <w:gridCol w:w="862"/>
        <w:gridCol w:w="862"/>
        <w:gridCol w:w="862"/>
      </w:tblGrid>
      <w:tr w14:paraId="1ECA3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20" w:hRule="atLeast"/>
        </w:trPr>
        <w:tc>
          <w:tcPr>
            <w:tcW w:w="701" w:type="dxa"/>
            <w:tcBorders>
              <w:top w:val="single" w:color="000000" w:sz="4" w:space="0"/>
              <w:left w:val="single" w:color="000000" w:sz="4" w:space="0"/>
              <w:bottom w:val="single" w:color="000000" w:sz="4" w:space="0"/>
              <w:right w:val="single" w:color="000000" w:sz="4" w:space="0"/>
            </w:tcBorders>
            <w:shd w:val="clear"/>
            <w:noWrap/>
            <w:vAlign w:val="center"/>
          </w:tcPr>
          <w:p w14:paraId="7488215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序号</w:t>
            </w:r>
          </w:p>
        </w:tc>
        <w:tc>
          <w:tcPr>
            <w:tcW w:w="1593" w:type="dxa"/>
            <w:tcBorders>
              <w:top w:val="single" w:color="000000" w:sz="4" w:space="0"/>
              <w:left w:val="single" w:color="000000" w:sz="4" w:space="0"/>
              <w:bottom w:val="single" w:color="000000" w:sz="4" w:space="0"/>
              <w:right w:val="single" w:color="000000" w:sz="4" w:space="0"/>
            </w:tcBorders>
            <w:shd w:val="clear"/>
            <w:noWrap/>
            <w:vAlign w:val="center"/>
          </w:tcPr>
          <w:p w14:paraId="2164161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职业危害因素</w:t>
            </w:r>
          </w:p>
        </w:tc>
        <w:tc>
          <w:tcPr>
            <w:tcW w:w="862" w:type="dxa"/>
            <w:tcBorders>
              <w:top w:val="single" w:color="000000" w:sz="4" w:space="0"/>
              <w:left w:val="single" w:color="000000" w:sz="4" w:space="0"/>
              <w:bottom w:val="single" w:color="000000" w:sz="4" w:space="0"/>
              <w:right w:val="single" w:color="000000" w:sz="4" w:space="0"/>
            </w:tcBorders>
            <w:shd w:val="clear"/>
            <w:vAlign w:val="center"/>
          </w:tcPr>
          <w:p w14:paraId="5AD1C77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预估人数</w:t>
            </w:r>
            <w:r>
              <w:rPr>
                <w:rFonts w:hint="eastAsia" w:ascii="宋体" w:hAnsi="宋体" w:eastAsia="宋体" w:cs="宋体"/>
                <w:b/>
                <w:bCs/>
                <w:i w:val="0"/>
                <w:iCs w:val="0"/>
                <w:color w:val="000000"/>
                <w:kern w:val="0"/>
                <w:sz w:val="20"/>
                <w:szCs w:val="20"/>
                <w:u w:val="none"/>
                <w:bdr w:val="none" w:color="auto" w:sz="0" w:space="0"/>
                <w:lang w:val="en-US" w:eastAsia="zh-CN" w:bidi="ar"/>
              </w:rPr>
              <w:br w:type="textWrapping"/>
            </w:r>
            <w:r>
              <w:rPr>
                <w:rFonts w:hint="eastAsia" w:ascii="宋体" w:hAnsi="宋体" w:eastAsia="宋体" w:cs="宋体"/>
                <w:b/>
                <w:bCs/>
                <w:i w:val="0"/>
                <w:iCs w:val="0"/>
                <w:color w:val="000000"/>
                <w:kern w:val="0"/>
                <w:sz w:val="20"/>
                <w:szCs w:val="20"/>
                <w:u w:val="none"/>
                <w:bdr w:val="none" w:color="auto" w:sz="0" w:space="0"/>
                <w:lang w:val="en-US" w:eastAsia="zh-CN" w:bidi="ar"/>
              </w:rPr>
              <w:t>（上岗前）</w:t>
            </w:r>
          </w:p>
        </w:tc>
        <w:tc>
          <w:tcPr>
            <w:tcW w:w="862" w:type="dxa"/>
            <w:tcBorders>
              <w:top w:val="single" w:color="000000" w:sz="4" w:space="0"/>
              <w:left w:val="single" w:color="000000" w:sz="4" w:space="0"/>
              <w:bottom w:val="single" w:color="000000" w:sz="4" w:space="0"/>
              <w:right w:val="single" w:color="000000" w:sz="4" w:space="0"/>
            </w:tcBorders>
            <w:shd w:val="clear"/>
            <w:vAlign w:val="center"/>
          </w:tcPr>
          <w:p w14:paraId="2A169039">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未税单价</w:t>
            </w:r>
            <w:r>
              <w:rPr>
                <w:rFonts w:hint="eastAsia" w:ascii="宋体" w:hAnsi="宋体" w:eastAsia="宋体" w:cs="宋体"/>
                <w:b/>
                <w:bCs/>
                <w:i w:val="0"/>
                <w:iCs w:val="0"/>
                <w:color w:val="000000"/>
                <w:kern w:val="0"/>
                <w:sz w:val="20"/>
                <w:szCs w:val="20"/>
                <w:u w:val="none"/>
                <w:bdr w:val="none" w:color="auto" w:sz="0" w:space="0"/>
                <w:lang w:val="en-US" w:eastAsia="zh-CN" w:bidi="ar"/>
              </w:rPr>
              <w:br w:type="textWrapping"/>
            </w:r>
            <w:r>
              <w:rPr>
                <w:rFonts w:hint="eastAsia" w:ascii="宋体" w:hAnsi="宋体" w:eastAsia="宋体" w:cs="宋体"/>
                <w:b/>
                <w:bCs/>
                <w:i w:val="0"/>
                <w:iCs w:val="0"/>
                <w:color w:val="000000"/>
                <w:kern w:val="0"/>
                <w:sz w:val="20"/>
                <w:szCs w:val="20"/>
                <w:u w:val="none"/>
                <w:bdr w:val="none" w:color="auto" w:sz="0" w:space="0"/>
                <w:lang w:val="en-US" w:eastAsia="zh-CN" w:bidi="ar"/>
              </w:rPr>
              <w:t>（上岗前）</w:t>
            </w:r>
          </w:p>
        </w:tc>
        <w:tc>
          <w:tcPr>
            <w:tcW w:w="862" w:type="dxa"/>
            <w:tcBorders>
              <w:top w:val="single" w:color="000000" w:sz="4" w:space="0"/>
              <w:left w:val="single" w:color="000000" w:sz="4" w:space="0"/>
              <w:bottom w:val="single" w:color="000000" w:sz="4" w:space="0"/>
              <w:right w:val="single" w:color="000000" w:sz="4" w:space="0"/>
            </w:tcBorders>
            <w:shd w:val="clear"/>
            <w:vAlign w:val="center"/>
          </w:tcPr>
          <w:p w14:paraId="0A62A666">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未税总价</w:t>
            </w:r>
            <w:r>
              <w:rPr>
                <w:rFonts w:hint="eastAsia" w:ascii="宋体" w:hAnsi="宋体" w:eastAsia="宋体" w:cs="宋体"/>
                <w:b/>
                <w:bCs/>
                <w:i w:val="0"/>
                <w:iCs w:val="0"/>
                <w:color w:val="000000"/>
                <w:kern w:val="0"/>
                <w:sz w:val="20"/>
                <w:szCs w:val="20"/>
                <w:u w:val="none"/>
                <w:bdr w:val="none" w:color="auto" w:sz="0" w:space="0"/>
                <w:lang w:val="en-US" w:eastAsia="zh-CN" w:bidi="ar"/>
              </w:rPr>
              <w:br w:type="textWrapping"/>
            </w:r>
            <w:r>
              <w:rPr>
                <w:rFonts w:hint="eastAsia" w:ascii="宋体" w:hAnsi="宋体" w:eastAsia="宋体" w:cs="宋体"/>
                <w:b/>
                <w:bCs/>
                <w:i w:val="0"/>
                <w:iCs w:val="0"/>
                <w:color w:val="000000"/>
                <w:kern w:val="0"/>
                <w:sz w:val="20"/>
                <w:szCs w:val="20"/>
                <w:u w:val="none"/>
                <w:bdr w:val="none" w:color="auto" w:sz="0" w:space="0"/>
                <w:lang w:val="en-US" w:eastAsia="zh-CN" w:bidi="ar"/>
              </w:rPr>
              <w:t>（上岗前）</w:t>
            </w:r>
          </w:p>
        </w:tc>
        <w:tc>
          <w:tcPr>
            <w:tcW w:w="862" w:type="dxa"/>
            <w:tcBorders>
              <w:top w:val="single" w:color="000000" w:sz="4" w:space="0"/>
              <w:left w:val="single" w:color="000000" w:sz="4" w:space="0"/>
              <w:bottom w:val="single" w:color="000000" w:sz="4" w:space="0"/>
              <w:right w:val="single" w:color="000000" w:sz="4" w:space="0"/>
            </w:tcBorders>
            <w:shd w:val="clear"/>
            <w:vAlign w:val="center"/>
          </w:tcPr>
          <w:p w14:paraId="09AF4A7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预估人数</w:t>
            </w:r>
            <w:r>
              <w:rPr>
                <w:rFonts w:hint="eastAsia" w:ascii="宋体" w:hAnsi="宋体" w:eastAsia="宋体" w:cs="宋体"/>
                <w:b/>
                <w:bCs/>
                <w:i w:val="0"/>
                <w:iCs w:val="0"/>
                <w:color w:val="000000"/>
                <w:kern w:val="0"/>
                <w:sz w:val="20"/>
                <w:szCs w:val="20"/>
                <w:u w:val="none"/>
                <w:bdr w:val="none" w:color="auto" w:sz="0" w:space="0"/>
                <w:lang w:val="en-US" w:eastAsia="zh-CN" w:bidi="ar"/>
              </w:rPr>
              <w:br w:type="textWrapping"/>
            </w:r>
            <w:r>
              <w:rPr>
                <w:rFonts w:hint="eastAsia" w:ascii="宋体" w:hAnsi="宋体" w:eastAsia="宋体" w:cs="宋体"/>
                <w:b/>
                <w:bCs/>
                <w:i w:val="0"/>
                <w:iCs w:val="0"/>
                <w:color w:val="000000"/>
                <w:kern w:val="0"/>
                <w:sz w:val="20"/>
                <w:szCs w:val="20"/>
                <w:u w:val="none"/>
                <w:bdr w:val="none" w:color="auto" w:sz="0" w:space="0"/>
                <w:lang w:val="en-US" w:eastAsia="zh-CN" w:bidi="ar"/>
              </w:rPr>
              <w:t>（在岗期间）</w:t>
            </w:r>
          </w:p>
        </w:tc>
        <w:tc>
          <w:tcPr>
            <w:tcW w:w="862" w:type="dxa"/>
            <w:tcBorders>
              <w:top w:val="single" w:color="000000" w:sz="4" w:space="0"/>
              <w:left w:val="single" w:color="000000" w:sz="4" w:space="0"/>
              <w:bottom w:val="single" w:color="000000" w:sz="4" w:space="0"/>
              <w:right w:val="single" w:color="000000" w:sz="4" w:space="0"/>
            </w:tcBorders>
            <w:shd w:val="clear"/>
            <w:vAlign w:val="center"/>
          </w:tcPr>
          <w:p w14:paraId="18B3AFCA">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未税单价</w:t>
            </w:r>
            <w:r>
              <w:rPr>
                <w:rFonts w:hint="eastAsia" w:ascii="宋体" w:hAnsi="宋体" w:eastAsia="宋体" w:cs="宋体"/>
                <w:b/>
                <w:bCs/>
                <w:i w:val="0"/>
                <w:iCs w:val="0"/>
                <w:color w:val="000000"/>
                <w:kern w:val="0"/>
                <w:sz w:val="20"/>
                <w:szCs w:val="20"/>
                <w:u w:val="none"/>
                <w:bdr w:val="none" w:color="auto" w:sz="0" w:space="0"/>
                <w:lang w:val="en-US" w:eastAsia="zh-CN" w:bidi="ar"/>
              </w:rPr>
              <w:br w:type="textWrapping"/>
            </w:r>
            <w:r>
              <w:rPr>
                <w:rFonts w:hint="eastAsia" w:ascii="宋体" w:hAnsi="宋体" w:eastAsia="宋体" w:cs="宋体"/>
                <w:b/>
                <w:bCs/>
                <w:i w:val="0"/>
                <w:iCs w:val="0"/>
                <w:color w:val="000000"/>
                <w:kern w:val="0"/>
                <w:sz w:val="20"/>
                <w:szCs w:val="20"/>
                <w:u w:val="none"/>
                <w:bdr w:val="none" w:color="auto" w:sz="0" w:space="0"/>
                <w:lang w:val="en-US" w:eastAsia="zh-CN" w:bidi="ar"/>
              </w:rPr>
              <w:t>（在岗期间）</w:t>
            </w:r>
          </w:p>
        </w:tc>
        <w:tc>
          <w:tcPr>
            <w:tcW w:w="862" w:type="dxa"/>
            <w:tcBorders>
              <w:top w:val="single" w:color="000000" w:sz="4" w:space="0"/>
              <w:left w:val="single" w:color="000000" w:sz="4" w:space="0"/>
              <w:bottom w:val="single" w:color="000000" w:sz="4" w:space="0"/>
              <w:right w:val="single" w:color="000000" w:sz="4" w:space="0"/>
            </w:tcBorders>
            <w:shd w:val="clear"/>
            <w:vAlign w:val="center"/>
          </w:tcPr>
          <w:p w14:paraId="7D2940A7">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未税总价</w:t>
            </w:r>
            <w:r>
              <w:rPr>
                <w:rFonts w:hint="eastAsia" w:ascii="宋体" w:hAnsi="宋体" w:eastAsia="宋体" w:cs="宋体"/>
                <w:b/>
                <w:bCs/>
                <w:i w:val="0"/>
                <w:iCs w:val="0"/>
                <w:color w:val="000000"/>
                <w:kern w:val="0"/>
                <w:sz w:val="20"/>
                <w:szCs w:val="20"/>
                <w:u w:val="none"/>
                <w:bdr w:val="none" w:color="auto" w:sz="0" w:space="0"/>
                <w:lang w:val="en-US" w:eastAsia="zh-CN" w:bidi="ar"/>
              </w:rPr>
              <w:br w:type="textWrapping"/>
            </w:r>
            <w:r>
              <w:rPr>
                <w:rFonts w:hint="eastAsia" w:ascii="宋体" w:hAnsi="宋体" w:eastAsia="宋体" w:cs="宋体"/>
                <w:b/>
                <w:bCs/>
                <w:i w:val="0"/>
                <w:iCs w:val="0"/>
                <w:color w:val="000000"/>
                <w:kern w:val="0"/>
                <w:sz w:val="20"/>
                <w:szCs w:val="20"/>
                <w:u w:val="none"/>
                <w:bdr w:val="none" w:color="auto" w:sz="0" w:space="0"/>
                <w:lang w:val="en-US" w:eastAsia="zh-CN" w:bidi="ar"/>
              </w:rPr>
              <w:t>（在岗期间）</w:t>
            </w:r>
          </w:p>
        </w:tc>
        <w:tc>
          <w:tcPr>
            <w:tcW w:w="862" w:type="dxa"/>
            <w:tcBorders>
              <w:top w:val="single" w:color="000000" w:sz="4" w:space="0"/>
              <w:left w:val="single" w:color="000000" w:sz="4" w:space="0"/>
              <w:bottom w:val="single" w:color="000000" w:sz="4" w:space="0"/>
              <w:right w:val="single" w:color="000000" w:sz="4" w:space="0"/>
            </w:tcBorders>
            <w:shd w:val="clear"/>
            <w:vAlign w:val="center"/>
          </w:tcPr>
          <w:p w14:paraId="1401976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预估人数</w:t>
            </w:r>
            <w:r>
              <w:rPr>
                <w:rFonts w:hint="eastAsia" w:ascii="宋体" w:hAnsi="宋体" w:eastAsia="宋体" w:cs="宋体"/>
                <w:b/>
                <w:bCs/>
                <w:i w:val="0"/>
                <w:iCs w:val="0"/>
                <w:color w:val="000000"/>
                <w:kern w:val="0"/>
                <w:sz w:val="20"/>
                <w:szCs w:val="20"/>
                <w:u w:val="none"/>
                <w:bdr w:val="none" w:color="auto" w:sz="0" w:space="0"/>
                <w:lang w:val="en-US" w:eastAsia="zh-CN" w:bidi="ar"/>
              </w:rPr>
              <w:br w:type="textWrapping"/>
            </w:r>
            <w:r>
              <w:rPr>
                <w:rFonts w:hint="eastAsia" w:ascii="宋体" w:hAnsi="宋体" w:eastAsia="宋体" w:cs="宋体"/>
                <w:b/>
                <w:bCs/>
                <w:i w:val="0"/>
                <w:iCs w:val="0"/>
                <w:color w:val="000000"/>
                <w:kern w:val="0"/>
                <w:sz w:val="20"/>
                <w:szCs w:val="20"/>
                <w:u w:val="none"/>
                <w:bdr w:val="none" w:color="auto" w:sz="0" w:space="0"/>
                <w:lang w:val="en-US" w:eastAsia="zh-CN" w:bidi="ar"/>
              </w:rPr>
              <w:t>（离岗时）</w:t>
            </w:r>
          </w:p>
        </w:tc>
        <w:tc>
          <w:tcPr>
            <w:tcW w:w="862" w:type="dxa"/>
            <w:tcBorders>
              <w:top w:val="single" w:color="000000" w:sz="4" w:space="0"/>
              <w:left w:val="single" w:color="000000" w:sz="4" w:space="0"/>
              <w:bottom w:val="single" w:color="000000" w:sz="4" w:space="0"/>
              <w:right w:val="single" w:color="000000" w:sz="4" w:space="0"/>
            </w:tcBorders>
            <w:shd w:val="clear"/>
            <w:vAlign w:val="center"/>
          </w:tcPr>
          <w:p w14:paraId="0382C1D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未税单价</w:t>
            </w:r>
            <w:r>
              <w:rPr>
                <w:rFonts w:hint="eastAsia" w:ascii="宋体" w:hAnsi="宋体" w:eastAsia="宋体" w:cs="宋体"/>
                <w:b/>
                <w:bCs/>
                <w:i w:val="0"/>
                <w:iCs w:val="0"/>
                <w:color w:val="000000"/>
                <w:kern w:val="0"/>
                <w:sz w:val="20"/>
                <w:szCs w:val="20"/>
                <w:u w:val="none"/>
                <w:bdr w:val="none" w:color="auto" w:sz="0" w:space="0"/>
                <w:lang w:val="en-US" w:eastAsia="zh-CN" w:bidi="ar"/>
              </w:rPr>
              <w:br w:type="textWrapping"/>
            </w:r>
            <w:r>
              <w:rPr>
                <w:rFonts w:hint="eastAsia" w:ascii="宋体" w:hAnsi="宋体" w:eastAsia="宋体" w:cs="宋体"/>
                <w:b/>
                <w:bCs/>
                <w:i w:val="0"/>
                <w:iCs w:val="0"/>
                <w:color w:val="000000"/>
                <w:kern w:val="0"/>
                <w:sz w:val="20"/>
                <w:szCs w:val="20"/>
                <w:u w:val="none"/>
                <w:bdr w:val="none" w:color="auto" w:sz="0" w:space="0"/>
                <w:lang w:val="en-US" w:eastAsia="zh-CN" w:bidi="ar"/>
              </w:rPr>
              <w:t>（离岗时）</w:t>
            </w:r>
          </w:p>
        </w:tc>
        <w:tc>
          <w:tcPr>
            <w:tcW w:w="862" w:type="dxa"/>
            <w:tcBorders>
              <w:top w:val="single" w:color="000000" w:sz="4" w:space="0"/>
              <w:left w:val="single" w:color="000000" w:sz="4" w:space="0"/>
              <w:bottom w:val="single" w:color="000000" w:sz="4" w:space="0"/>
              <w:right w:val="single" w:color="000000" w:sz="4" w:space="0"/>
            </w:tcBorders>
            <w:shd w:val="clear"/>
            <w:vAlign w:val="center"/>
          </w:tcPr>
          <w:p w14:paraId="3BE7CD98">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未税总价</w:t>
            </w:r>
            <w:r>
              <w:rPr>
                <w:rFonts w:hint="eastAsia" w:ascii="宋体" w:hAnsi="宋体" w:eastAsia="宋体" w:cs="宋体"/>
                <w:b/>
                <w:bCs/>
                <w:i w:val="0"/>
                <w:iCs w:val="0"/>
                <w:color w:val="000000"/>
                <w:kern w:val="0"/>
                <w:sz w:val="20"/>
                <w:szCs w:val="20"/>
                <w:u w:val="none"/>
                <w:bdr w:val="none" w:color="auto" w:sz="0" w:space="0"/>
                <w:lang w:val="en-US" w:eastAsia="zh-CN" w:bidi="ar"/>
              </w:rPr>
              <w:br w:type="textWrapping"/>
            </w:r>
            <w:r>
              <w:rPr>
                <w:rFonts w:hint="eastAsia" w:ascii="宋体" w:hAnsi="宋体" w:eastAsia="宋体" w:cs="宋体"/>
                <w:b/>
                <w:bCs/>
                <w:i w:val="0"/>
                <w:iCs w:val="0"/>
                <w:color w:val="000000"/>
                <w:kern w:val="0"/>
                <w:sz w:val="20"/>
                <w:szCs w:val="20"/>
                <w:u w:val="none"/>
                <w:bdr w:val="none" w:color="auto" w:sz="0" w:space="0"/>
                <w:lang w:val="en-US" w:eastAsia="zh-CN" w:bidi="ar"/>
              </w:rPr>
              <w:t>（离岗时）</w:t>
            </w:r>
          </w:p>
        </w:tc>
      </w:tr>
      <w:tr w14:paraId="2AB533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0A60E6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1593" w:type="dxa"/>
            <w:tcBorders>
              <w:top w:val="single" w:color="000000" w:sz="4" w:space="0"/>
              <w:left w:val="single" w:color="000000" w:sz="4" w:space="0"/>
              <w:bottom w:val="single" w:color="000000" w:sz="4" w:space="0"/>
              <w:right w:val="single" w:color="000000" w:sz="4" w:space="0"/>
            </w:tcBorders>
            <w:shd w:val="clear"/>
            <w:vAlign w:val="center"/>
          </w:tcPr>
          <w:p w14:paraId="43820E7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噪声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AF51D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09C0EA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EE988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E7E46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E91658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8DDB06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8965E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C3BC32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9DD07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r>
      <w:tr w14:paraId="3BDF38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EE8C8A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1593" w:type="dxa"/>
            <w:tcBorders>
              <w:top w:val="single" w:color="000000" w:sz="4" w:space="0"/>
              <w:left w:val="single" w:color="000000" w:sz="4" w:space="0"/>
              <w:bottom w:val="single" w:color="000000" w:sz="4" w:space="0"/>
              <w:right w:val="single" w:color="000000" w:sz="4" w:space="0"/>
            </w:tcBorders>
            <w:shd w:val="clear"/>
            <w:vAlign w:val="center"/>
          </w:tcPr>
          <w:p w14:paraId="683AAF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噪声、其他粉尘（铁及其化合物）、砂轮磨尘</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9B9A9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808863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F2075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0E4B8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96CA62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F2676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F44465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5C8DBD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6ED740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r>
      <w:tr w14:paraId="5772F7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6BCF2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1593" w:type="dxa"/>
            <w:tcBorders>
              <w:top w:val="single" w:color="000000" w:sz="4" w:space="0"/>
              <w:left w:val="single" w:color="000000" w:sz="4" w:space="0"/>
              <w:bottom w:val="single" w:color="000000" w:sz="4" w:space="0"/>
              <w:right w:val="single" w:color="000000" w:sz="4" w:space="0"/>
            </w:tcBorders>
            <w:shd w:val="clear"/>
            <w:vAlign w:val="center"/>
          </w:tcPr>
          <w:p w14:paraId="249589A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噪声、其他粉尘（铁及其化合物）、一氧化碳、氮氧化物</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1C205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99003B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DEC332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801C1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00C5CA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AF0E7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EB111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28D7B6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EE99D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r>
      <w:tr w14:paraId="37B76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527"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1DB133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1593" w:type="dxa"/>
            <w:tcBorders>
              <w:top w:val="single" w:color="000000" w:sz="4" w:space="0"/>
              <w:left w:val="single" w:color="000000" w:sz="4" w:space="0"/>
              <w:bottom w:val="single" w:color="000000" w:sz="4" w:space="0"/>
              <w:right w:val="single" w:color="000000" w:sz="4" w:space="0"/>
            </w:tcBorders>
            <w:shd w:val="clear"/>
            <w:vAlign w:val="center"/>
          </w:tcPr>
          <w:p w14:paraId="515965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噪声、其他粉尘（铁及其化合物）、砂轮磨尘、紫外辐射、电焊烟尘、锰及其无机化合物、一氧化碳、氮氧化物</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BB8DA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DF95B0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5C01F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364E0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A46D59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1D3CB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A2E795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443277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EB4AB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r>
      <w:tr w14:paraId="77609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78BEF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1593" w:type="dxa"/>
            <w:tcBorders>
              <w:top w:val="single" w:color="000000" w:sz="4" w:space="0"/>
              <w:left w:val="single" w:color="000000" w:sz="4" w:space="0"/>
              <w:bottom w:val="single" w:color="000000" w:sz="4" w:space="0"/>
              <w:right w:val="single" w:color="000000" w:sz="4" w:space="0"/>
            </w:tcBorders>
            <w:shd w:val="clear"/>
            <w:vAlign w:val="center"/>
          </w:tcPr>
          <w:p w14:paraId="219FF8A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噪声、电焊烟尘</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A104A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5AA300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F78BA2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19D07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4579F2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17F3D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3EC89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463BE8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B9E20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r>
      <w:tr w14:paraId="410D19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2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786FA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1593" w:type="dxa"/>
            <w:tcBorders>
              <w:top w:val="single" w:color="000000" w:sz="4" w:space="0"/>
              <w:left w:val="single" w:color="000000" w:sz="4" w:space="0"/>
              <w:bottom w:val="single" w:color="000000" w:sz="4" w:space="0"/>
              <w:right w:val="single" w:color="000000" w:sz="4" w:space="0"/>
            </w:tcBorders>
            <w:shd w:val="clear"/>
            <w:vAlign w:val="center"/>
          </w:tcPr>
          <w:p w14:paraId="69E408F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噪声、电焊烟尘、环氧树脂、碳酸钙、邻苯二甲酸二丁酯</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6F523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C18303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E4DC2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1BFF8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249C27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7E10A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ED8D5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ED99B8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9D24D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r>
      <w:tr w14:paraId="31C44C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7"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20FF3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w:t>
            </w:r>
          </w:p>
        </w:tc>
        <w:tc>
          <w:tcPr>
            <w:tcW w:w="1593" w:type="dxa"/>
            <w:tcBorders>
              <w:top w:val="single" w:color="000000" w:sz="4" w:space="0"/>
              <w:left w:val="single" w:color="000000" w:sz="4" w:space="0"/>
              <w:bottom w:val="single" w:color="000000" w:sz="4" w:space="0"/>
              <w:right w:val="single" w:color="000000" w:sz="4" w:space="0"/>
            </w:tcBorders>
            <w:shd w:val="clear"/>
            <w:vAlign w:val="center"/>
          </w:tcPr>
          <w:p w14:paraId="6D47D5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噪声、环氧树脂、碳酸钙</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7B1EE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76FE96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52B38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CC8D2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A6F8F5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FF2CD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C949CA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1A77DA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0C948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r>
      <w:tr w14:paraId="3997AE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C21732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1593" w:type="dxa"/>
            <w:tcBorders>
              <w:top w:val="single" w:color="000000" w:sz="4" w:space="0"/>
              <w:left w:val="single" w:color="000000" w:sz="4" w:space="0"/>
              <w:bottom w:val="single" w:color="000000" w:sz="4" w:space="0"/>
              <w:right w:val="single" w:color="000000" w:sz="4" w:space="0"/>
            </w:tcBorders>
            <w:shd w:val="clear"/>
            <w:vAlign w:val="center"/>
          </w:tcPr>
          <w:p w14:paraId="3D7FA1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噪声、环氧树脂</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1ED99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F8FAF5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EAA7BD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884F3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BB3DE7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6B719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8D184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487F48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D9A28F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r>
      <w:tr w14:paraId="665477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2134"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019DAE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9</w:t>
            </w:r>
          </w:p>
        </w:tc>
        <w:tc>
          <w:tcPr>
            <w:tcW w:w="1593" w:type="dxa"/>
            <w:tcBorders>
              <w:top w:val="single" w:color="000000" w:sz="4" w:space="0"/>
              <w:left w:val="single" w:color="000000" w:sz="4" w:space="0"/>
              <w:bottom w:val="single" w:color="000000" w:sz="4" w:space="0"/>
              <w:right w:val="single" w:color="000000" w:sz="4" w:space="0"/>
            </w:tcBorders>
            <w:shd w:val="clear"/>
            <w:vAlign w:val="center"/>
          </w:tcPr>
          <w:p w14:paraId="2D58C1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噪声、磷及其无机化合物、氟及其无机化合物、氧化锌、甲苯、二甲苯、镍及其化合物、乙苯、丁醇、环己酮、异丙醇、丁酮、氢氧化钠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7C2806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4483F0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F97C35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53816B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FFA5C7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F2BB5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D4ABA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5F433A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4B0F2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r>
      <w:tr w14:paraId="0F9DB7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BB85C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w:t>
            </w:r>
          </w:p>
        </w:tc>
        <w:tc>
          <w:tcPr>
            <w:tcW w:w="1593" w:type="dxa"/>
            <w:tcBorders>
              <w:top w:val="single" w:color="000000" w:sz="4" w:space="0"/>
              <w:left w:val="single" w:color="000000" w:sz="4" w:space="0"/>
              <w:bottom w:val="single" w:color="000000" w:sz="4" w:space="0"/>
              <w:right w:val="single" w:color="000000" w:sz="4" w:space="0"/>
            </w:tcBorders>
            <w:shd w:val="clear"/>
            <w:vAlign w:val="center"/>
          </w:tcPr>
          <w:p w14:paraId="0C909D9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氢氧化钠</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60DB24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7B34BE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DF62DF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3636E8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D7CCA4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3E09A7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9B04DD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2E05A7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A5CE0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r>
      <w:tr w14:paraId="3DF08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67F54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11</w:t>
            </w:r>
          </w:p>
        </w:tc>
        <w:tc>
          <w:tcPr>
            <w:tcW w:w="1593" w:type="dxa"/>
            <w:tcBorders>
              <w:top w:val="single" w:color="000000" w:sz="4" w:space="0"/>
              <w:left w:val="single" w:color="000000" w:sz="4" w:space="0"/>
              <w:bottom w:val="single" w:color="000000" w:sz="4" w:space="0"/>
              <w:right w:val="single" w:color="000000" w:sz="4" w:space="0"/>
            </w:tcBorders>
            <w:shd w:val="clear"/>
            <w:vAlign w:val="center"/>
          </w:tcPr>
          <w:p w14:paraId="2937A16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噪声、其它粉尘</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37A65B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3307EF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BF08D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A3D9F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107CE1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CEB521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866383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42BAEB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88261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r>
      <w:tr w14:paraId="5FA43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17"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ABAAC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w:t>
            </w:r>
          </w:p>
        </w:tc>
        <w:tc>
          <w:tcPr>
            <w:tcW w:w="1593" w:type="dxa"/>
            <w:tcBorders>
              <w:top w:val="single" w:color="000000" w:sz="4" w:space="0"/>
              <w:left w:val="single" w:color="000000" w:sz="4" w:space="0"/>
              <w:bottom w:val="single" w:color="000000" w:sz="4" w:space="0"/>
              <w:right w:val="single" w:color="000000" w:sz="4" w:space="0"/>
            </w:tcBorders>
            <w:shd w:val="clear"/>
            <w:vAlign w:val="center"/>
          </w:tcPr>
          <w:p w14:paraId="3412C41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噪声、其它粉尘、碳酸钙</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FC0F9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D10DB9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9DDC44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D4D0B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D7604E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BA670E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D96129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D856F9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92E17B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r>
      <w:tr w14:paraId="7E268C4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4"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CAA874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13</w:t>
            </w:r>
          </w:p>
        </w:tc>
        <w:tc>
          <w:tcPr>
            <w:tcW w:w="1593" w:type="dxa"/>
            <w:tcBorders>
              <w:top w:val="single" w:color="000000" w:sz="4" w:space="0"/>
              <w:left w:val="single" w:color="000000" w:sz="4" w:space="0"/>
              <w:bottom w:val="single" w:color="000000" w:sz="4" w:space="0"/>
              <w:right w:val="single" w:color="000000" w:sz="4" w:space="0"/>
            </w:tcBorders>
            <w:shd w:val="clear"/>
            <w:vAlign w:val="center"/>
          </w:tcPr>
          <w:p w14:paraId="451DEA7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碳酸钙</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680C11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17EAD8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EF5192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C2D2F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A640E7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D51D0A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5E35E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6E1AC67">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5D6494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r>
      <w:tr w14:paraId="540A4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1"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9AAE16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14</w:t>
            </w:r>
          </w:p>
        </w:tc>
        <w:tc>
          <w:tcPr>
            <w:tcW w:w="1593" w:type="dxa"/>
            <w:tcBorders>
              <w:top w:val="single" w:color="000000" w:sz="4" w:space="0"/>
              <w:left w:val="single" w:color="000000" w:sz="4" w:space="0"/>
              <w:bottom w:val="single" w:color="000000" w:sz="4" w:space="0"/>
              <w:right w:val="single" w:color="000000" w:sz="4" w:space="0"/>
            </w:tcBorders>
            <w:shd w:val="clear"/>
            <w:vAlign w:val="center"/>
          </w:tcPr>
          <w:p w14:paraId="6A81C62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116"/>
                <w:bdr w:val="none" w:color="auto" w:sz="0" w:space="0"/>
                <w:lang w:val="en-US" w:eastAsia="zh-CN" w:bidi="ar"/>
              </w:rPr>
              <w:t>噪声、六亚甲基二异氰酸酯（</w:t>
            </w:r>
            <w:r>
              <w:rPr>
                <w:rStyle w:val="117"/>
                <w:rFonts w:eastAsia="宋体"/>
                <w:bdr w:val="none" w:color="auto" w:sz="0" w:space="0"/>
                <w:lang w:val="en-US" w:eastAsia="zh-CN" w:bidi="ar"/>
              </w:rPr>
              <w:t>HDI</w:t>
            </w:r>
            <w:r>
              <w:rPr>
                <w:rStyle w:val="116"/>
                <w:bdr w:val="none" w:color="auto" w:sz="0" w:space="0"/>
                <w:lang w:val="en-US" w:eastAsia="zh-CN" w:bidi="ar"/>
              </w:rPr>
              <w:t>）、甲苯、二甲苯、甲醛、甲醇、乙酸、丁醇、乙酸丁酯、丁酮、正庚烷、异丙醇、丙醇、乙苯、萘</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C21AC2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042D95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9068F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FC63FE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733D5D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0020DA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73AF3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50CE52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138332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r>
      <w:tr w14:paraId="070419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4"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EA4640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15</w:t>
            </w:r>
          </w:p>
        </w:tc>
        <w:tc>
          <w:tcPr>
            <w:tcW w:w="1593" w:type="dxa"/>
            <w:tcBorders>
              <w:top w:val="single" w:color="000000" w:sz="4" w:space="0"/>
              <w:left w:val="single" w:color="000000" w:sz="4" w:space="0"/>
              <w:bottom w:val="single" w:color="000000" w:sz="4" w:space="0"/>
              <w:right w:val="single" w:color="000000" w:sz="4" w:space="0"/>
            </w:tcBorders>
            <w:shd w:val="clear"/>
            <w:vAlign w:val="center"/>
          </w:tcPr>
          <w:p w14:paraId="2363CA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116"/>
                <w:bdr w:val="none" w:color="auto" w:sz="0" w:space="0"/>
                <w:lang w:val="en-US" w:eastAsia="zh-CN" w:bidi="ar"/>
              </w:rPr>
              <w:t>噪声、六亚甲基二异氰酸酯（</w:t>
            </w:r>
            <w:r>
              <w:rPr>
                <w:rStyle w:val="117"/>
                <w:rFonts w:eastAsia="宋体"/>
                <w:bdr w:val="none" w:color="auto" w:sz="0" w:space="0"/>
                <w:lang w:val="en-US" w:eastAsia="zh-CN" w:bidi="ar"/>
              </w:rPr>
              <w:t>HDI</w:t>
            </w:r>
            <w:r>
              <w:rPr>
                <w:rStyle w:val="116"/>
                <w:bdr w:val="none" w:color="auto" w:sz="0" w:space="0"/>
                <w:lang w:val="en-US" w:eastAsia="zh-CN" w:bidi="ar"/>
              </w:rPr>
              <w:t>）、甲苯、二甲苯、甲醛、甲醇、乙酸、丁醇、乙酸丁酯、乙酸乙酯、丁酮、正庚烷、异丙醇、丙醇、乙苯、萘</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0EAF56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7A4396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AA96D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DD5ADC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642765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7E1BD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779851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1C5184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5F1F5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r>
      <w:tr w14:paraId="0AEDAA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831"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D71B1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16</w:t>
            </w:r>
          </w:p>
        </w:tc>
        <w:tc>
          <w:tcPr>
            <w:tcW w:w="1593" w:type="dxa"/>
            <w:tcBorders>
              <w:top w:val="single" w:color="000000" w:sz="4" w:space="0"/>
              <w:left w:val="single" w:color="000000" w:sz="4" w:space="0"/>
              <w:bottom w:val="single" w:color="000000" w:sz="4" w:space="0"/>
              <w:right w:val="single" w:color="000000" w:sz="4" w:space="0"/>
            </w:tcBorders>
            <w:shd w:val="clear"/>
            <w:vAlign w:val="center"/>
          </w:tcPr>
          <w:p w14:paraId="1CE2B2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116"/>
                <w:bdr w:val="none" w:color="auto" w:sz="0" w:space="0"/>
                <w:lang w:val="en-US" w:eastAsia="zh-CN" w:bidi="ar"/>
              </w:rPr>
              <w:t>噪声、六亚甲基二异氰酸酯（</w:t>
            </w:r>
            <w:r>
              <w:rPr>
                <w:rStyle w:val="117"/>
                <w:rFonts w:eastAsia="宋体"/>
                <w:bdr w:val="none" w:color="auto" w:sz="0" w:space="0"/>
                <w:lang w:val="en-US" w:eastAsia="zh-CN" w:bidi="ar"/>
              </w:rPr>
              <w:t>HDI</w:t>
            </w:r>
            <w:r>
              <w:rPr>
                <w:rStyle w:val="116"/>
                <w:bdr w:val="none" w:color="auto" w:sz="0" w:space="0"/>
                <w:lang w:val="en-US" w:eastAsia="zh-CN" w:bidi="ar"/>
              </w:rPr>
              <w:t>）、甲苯、二甲苯、甲醇、丁醇、乙酸丁酯、乙酸乙酯、丁酮、正庚烷、异丙醇、萘</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9F9A5C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B36147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70C728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9CAE52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2184C3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72332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A9EA1E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5E6AC2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7608E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r>
      <w:tr w14:paraId="614FF0A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1527"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DA976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17</w:t>
            </w:r>
          </w:p>
        </w:tc>
        <w:tc>
          <w:tcPr>
            <w:tcW w:w="1593" w:type="dxa"/>
            <w:tcBorders>
              <w:top w:val="single" w:color="000000" w:sz="4" w:space="0"/>
              <w:left w:val="single" w:color="000000" w:sz="4" w:space="0"/>
              <w:bottom w:val="single" w:color="000000" w:sz="4" w:space="0"/>
              <w:right w:val="single" w:color="000000" w:sz="4" w:space="0"/>
            </w:tcBorders>
            <w:shd w:val="clear"/>
            <w:vAlign w:val="center"/>
          </w:tcPr>
          <w:p w14:paraId="0E66902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116"/>
                <w:bdr w:val="none" w:color="auto" w:sz="0" w:space="0"/>
                <w:lang w:val="en-US" w:eastAsia="zh-CN" w:bidi="ar"/>
              </w:rPr>
              <w:t>甲苯、二甲苯、六亚甲基二异氰酸酯（</w:t>
            </w:r>
            <w:r>
              <w:rPr>
                <w:rStyle w:val="117"/>
                <w:rFonts w:eastAsia="宋体"/>
                <w:bdr w:val="none" w:color="auto" w:sz="0" w:space="0"/>
                <w:lang w:val="en-US" w:eastAsia="zh-CN" w:bidi="ar"/>
              </w:rPr>
              <w:t>HDI</w:t>
            </w:r>
            <w:r>
              <w:rPr>
                <w:rStyle w:val="116"/>
                <w:bdr w:val="none" w:color="auto" w:sz="0" w:space="0"/>
                <w:lang w:val="en-US" w:eastAsia="zh-CN" w:bidi="ar"/>
              </w:rPr>
              <w:t>）、甲醛、甲醇、丁醇、丁酮、乙酸乙酯、乙酸丁酯、异丙醇、正庚烷</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34835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34600B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16973F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FB4B28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17</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41A575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4ADE5D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67DFE8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C308B1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55F6D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r>
      <w:tr w14:paraId="1E16CF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4"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85BD04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18</w:t>
            </w:r>
          </w:p>
        </w:tc>
        <w:tc>
          <w:tcPr>
            <w:tcW w:w="1593" w:type="dxa"/>
            <w:tcBorders>
              <w:top w:val="single" w:color="000000" w:sz="4" w:space="0"/>
              <w:left w:val="single" w:color="000000" w:sz="4" w:space="0"/>
              <w:bottom w:val="single" w:color="000000" w:sz="4" w:space="0"/>
              <w:right w:val="single" w:color="000000" w:sz="4" w:space="0"/>
            </w:tcBorders>
            <w:shd w:val="clear"/>
            <w:vAlign w:val="center"/>
          </w:tcPr>
          <w:p w14:paraId="579D12F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116"/>
                <w:bdr w:val="none" w:color="auto" w:sz="0" w:space="0"/>
                <w:lang w:val="en-US" w:eastAsia="zh-CN" w:bidi="ar"/>
              </w:rPr>
              <w:t>六亚甲基二异氰酸酯（</w:t>
            </w:r>
            <w:r>
              <w:rPr>
                <w:rStyle w:val="117"/>
                <w:rFonts w:eastAsia="宋体"/>
                <w:bdr w:val="none" w:color="auto" w:sz="0" w:space="0"/>
                <w:lang w:val="en-US" w:eastAsia="zh-CN" w:bidi="ar"/>
              </w:rPr>
              <w:t>HDI</w:t>
            </w:r>
            <w:r>
              <w:rPr>
                <w:rStyle w:val="116"/>
                <w:bdr w:val="none" w:color="auto" w:sz="0" w:space="0"/>
                <w:lang w:val="en-US" w:eastAsia="zh-CN" w:bidi="ar"/>
              </w:rPr>
              <w:t>）、甲苯、二甲苯、甲醛、甲醇、乙酸、丁醇、乙酸丁酯、乙酸乙酯、丁酮、正庚烷、异丙醇、丙醇、乙苯、萘</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ACCD40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3A27A8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E249B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656C7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79333F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7FE17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6A0640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0BF93D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6C383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r>
      <w:tr w14:paraId="1061D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6E9FF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19</w:t>
            </w:r>
          </w:p>
        </w:tc>
        <w:tc>
          <w:tcPr>
            <w:tcW w:w="1593" w:type="dxa"/>
            <w:tcBorders>
              <w:top w:val="single" w:color="000000" w:sz="4" w:space="0"/>
              <w:left w:val="single" w:color="000000" w:sz="4" w:space="0"/>
              <w:bottom w:val="single" w:color="000000" w:sz="4" w:space="0"/>
              <w:right w:val="single" w:color="000000" w:sz="4" w:space="0"/>
            </w:tcBorders>
            <w:shd w:val="clear"/>
            <w:vAlign w:val="center"/>
          </w:tcPr>
          <w:p w14:paraId="227C18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其它粉尘</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68A795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AEBF2C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3DA7F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937FF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850619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735625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683FE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D820B3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E4AC2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r>
      <w:tr w14:paraId="5A8A8A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31"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BD3D67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20</w:t>
            </w:r>
          </w:p>
        </w:tc>
        <w:tc>
          <w:tcPr>
            <w:tcW w:w="1593" w:type="dxa"/>
            <w:tcBorders>
              <w:top w:val="single" w:color="000000" w:sz="4" w:space="0"/>
              <w:left w:val="single" w:color="000000" w:sz="4" w:space="0"/>
              <w:bottom w:val="single" w:color="000000" w:sz="4" w:space="0"/>
              <w:right w:val="single" w:color="000000" w:sz="4" w:space="0"/>
            </w:tcBorders>
            <w:shd w:val="clear"/>
            <w:vAlign w:val="center"/>
          </w:tcPr>
          <w:p w14:paraId="5F14E08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116"/>
                <w:bdr w:val="none" w:color="auto" w:sz="0" w:space="0"/>
                <w:lang w:val="en-US" w:eastAsia="zh-CN" w:bidi="ar"/>
              </w:rPr>
              <w:t>噪声、六亚甲基二异氰酸酯（</w:t>
            </w:r>
            <w:r>
              <w:rPr>
                <w:rStyle w:val="117"/>
                <w:rFonts w:eastAsia="宋体"/>
                <w:bdr w:val="none" w:color="auto" w:sz="0" w:space="0"/>
                <w:lang w:val="en-US" w:eastAsia="zh-CN" w:bidi="ar"/>
              </w:rPr>
              <w:t>HDI</w:t>
            </w:r>
            <w:r>
              <w:rPr>
                <w:rStyle w:val="116"/>
                <w:bdr w:val="none" w:color="auto" w:sz="0" w:space="0"/>
                <w:lang w:val="en-US" w:eastAsia="zh-CN" w:bidi="ar"/>
              </w:rPr>
              <w:t>）、甲苯、二甲苯、甲醛、甲醇、乙酸、丙醇、丁酮、丁醇、乙苯、乙酸丁酯、异丙醇、正庚烷</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C5E48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529B6C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B41A5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6823CA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2B8223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08176B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7DC35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E73FEC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950B7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r>
      <w:tr w14:paraId="3A2623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348"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450645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21</w:t>
            </w:r>
          </w:p>
        </w:tc>
        <w:tc>
          <w:tcPr>
            <w:tcW w:w="1593" w:type="dxa"/>
            <w:tcBorders>
              <w:top w:val="single" w:color="000000" w:sz="4" w:space="0"/>
              <w:left w:val="single" w:color="000000" w:sz="4" w:space="0"/>
              <w:bottom w:val="single" w:color="000000" w:sz="4" w:space="0"/>
              <w:right w:val="single" w:color="000000" w:sz="4" w:space="0"/>
            </w:tcBorders>
            <w:shd w:val="clear"/>
            <w:vAlign w:val="center"/>
          </w:tcPr>
          <w:p w14:paraId="43F9364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Style w:val="116"/>
                <w:bdr w:val="none" w:color="auto" w:sz="0" w:space="0"/>
                <w:lang w:val="en-US" w:eastAsia="zh-CN" w:bidi="ar"/>
              </w:rPr>
              <w:t>电工作业、噪声、甲苯、二甲苯、甲醛、甲醇、乙酸、磷及其无机化合物、氟及其无机化合物、六亚甲基二异氰酸酯（</w:t>
            </w:r>
            <w:r>
              <w:rPr>
                <w:rStyle w:val="117"/>
                <w:rFonts w:eastAsia="宋体"/>
                <w:bdr w:val="none" w:color="auto" w:sz="0" w:space="0"/>
                <w:lang w:val="en-US" w:eastAsia="zh-CN" w:bidi="ar"/>
              </w:rPr>
              <w:t>HDI</w:t>
            </w:r>
            <w:r>
              <w:rPr>
                <w:rStyle w:val="116"/>
                <w:bdr w:val="none" w:color="auto" w:sz="0" w:space="0"/>
                <w:lang w:val="en-US" w:eastAsia="zh-CN" w:bidi="ar"/>
              </w:rPr>
              <w:t>）、氧化锌、丁醇、乙酸丁酯、乙酸乙酯、丁酮、正庚烷、异丙醇、丙醇、乙苯、萘、环己酮、氢氧化钠、碳酸钙、镍及其化合物</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B37E5D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F08005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66E23F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F3046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8</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0767C6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18DBB8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CD3A9D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35B907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152F12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r>
      <w:tr w14:paraId="1EC04F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D8DA4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22</w:t>
            </w:r>
          </w:p>
        </w:tc>
        <w:tc>
          <w:tcPr>
            <w:tcW w:w="1593" w:type="dxa"/>
            <w:tcBorders>
              <w:top w:val="single" w:color="000000" w:sz="4" w:space="0"/>
              <w:left w:val="single" w:color="000000" w:sz="4" w:space="0"/>
              <w:bottom w:val="single" w:color="000000" w:sz="4" w:space="0"/>
              <w:right w:val="single" w:color="000000" w:sz="4" w:space="0"/>
            </w:tcBorders>
            <w:shd w:val="clear"/>
            <w:vAlign w:val="center"/>
          </w:tcPr>
          <w:p w14:paraId="35DCD79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噪声、硫酸、氢氧化钠、氢氧化钙、其他粉尘、氨</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ACFF4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BB3A3B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161F8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6FB30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DE7CB9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D232E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634CF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813EC4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CBDD49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r>
      <w:tr w14:paraId="76834BC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17"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90803C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23</w:t>
            </w:r>
          </w:p>
        </w:tc>
        <w:tc>
          <w:tcPr>
            <w:tcW w:w="1593" w:type="dxa"/>
            <w:tcBorders>
              <w:top w:val="single" w:color="000000" w:sz="4" w:space="0"/>
              <w:left w:val="single" w:color="000000" w:sz="4" w:space="0"/>
              <w:bottom w:val="single" w:color="000000" w:sz="4" w:space="0"/>
              <w:right w:val="single" w:color="000000" w:sz="4" w:space="0"/>
            </w:tcBorders>
            <w:shd w:val="clear"/>
            <w:vAlign w:val="center"/>
          </w:tcPr>
          <w:p w14:paraId="6FEB74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硫酸、氢氧化钠、重铬酸钾</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6CF63F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076818F">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902EDE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3F149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47CE03C">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E5F094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950DF8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EFC1B5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A403A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r>
      <w:tr w14:paraId="7E7D68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4"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666646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24</w:t>
            </w:r>
          </w:p>
        </w:tc>
        <w:tc>
          <w:tcPr>
            <w:tcW w:w="1593" w:type="dxa"/>
            <w:tcBorders>
              <w:top w:val="single" w:color="000000" w:sz="4" w:space="0"/>
              <w:left w:val="single" w:color="000000" w:sz="4" w:space="0"/>
              <w:bottom w:val="single" w:color="000000" w:sz="4" w:space="0"/>
              <w:right w:val="single" w:color="000000" w:sz="4" w:space="0"/>
            </w:tcBorders>
            <w:shd w:val="clear"/>
            <w:vAlign w:val="center"/>
          </w:tcPr>
          <w:p w14:paraId="4011D5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噪声、紫外辐射、电焊烟尘、锰及其无机化合物、一氧化碳、氮氧化物</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1248A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4825BF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B13280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AFA24F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78C839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B827AB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05FF45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519C3E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CF3C3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r>
      <w:tr w14:paraId="21AE31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17"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75E0C7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25</w:t>
            </w:r>
          </w:p>
        </w:tc>
        <w:tc>
          <w:tcPr>
            <w:tcW w:w="1593" w:type="dxa"/>
            <w:tcBorders>
              <w:top w:val="single" w:color="000000" w:sz="4" w:space="0"/>
              <w:left w:val="single" w:color="000000" w:sz="4" w:space="0"/>
              <w:bottom w:val="single" w:color="000000" w:sz="4" w:space="0"/>
              <w:right w:val="single" w:color="000000" w:sz="4" w:space="0"/>
            </w:tcBorders>
            <w:shd w:val="clear"/>
            <w:vAlign w:val="center"/>
          </w:tcPr>
          <w:p w14:paraId="68F0F3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高温、一氧化碳、压力容器</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2F7503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B21D681">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B3D9F2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95612D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0D67F6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ECE7B0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7A645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41158F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0054F0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r>
      <w:tr w14:paraId="182D00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4"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232875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26</w:t>
            </w:r>
          </w:p>
        </w:tc>
        <w:tc>
          <w:tcPr>
            <w:tcW w:w="1593" w:type="dxa"/>
            <w:tcBorders>
              <w:top w:val="single" w:color="000000" w:sz="4" w:space="0"/>
              <w:left w:val="single" w:color="000000" w:sz="4" w:space="0"/>
              <w:bottom w:val="single" w:color="000000" w:sz="4" w:space="0"/>
              <w:right w:val="single" w:color="000000" w:sz="4" w:space="0"/>
            </w:tcBorders>
            <w:shd w:val="clear"/>
            <w:vAlign w:val="center"/>
          </w:tcPr>
          <w:p w14:paraId="377A6FA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噪声、压力容器</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53551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F6FC03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434B37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7A3BBA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AFD13B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500DE0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8E258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0A6398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B1CDBB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r>
      <w:tr w14:paraId="5AD17E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4B739A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27</w:t>
            </w:r>
          </w:p>
        </w:tc>
        <w:tc>
          <w:tcPr>
            <w:tcW w:w="1593" w:type="dxa"/>
            <w:tcBorders>
              <w:top w:val="single" w:color="000000" w:sz="4" w:space="0"/>
              <w:left w:val="single" w:color="000000" w:sz="4" w:space="0"/>
              <w:bottom w:val="single" w:color="000000" w:sz="4" w:space="0"/>
              <w:right w:val="single" w:color="000000" w:sz="4" w:space="0"/>
            </w:tcBorders>
            <w:shd w:val="clear"/>
            <w:vAlign w:val="center"/>
          </w:tcPr>
          <w:p w14:paraId="5CE527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电工作业、噪声</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903854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9EC02F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3CBEF3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CEBC81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E1CAD0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41E737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89BA96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979DB5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503295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r>
      <w:tr w14:paraId="5DD803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715971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28</w:t>
            </w:r>
          </w:p>
        </w:tc>
        <w:tc>
          <w:tcPr>
            <w:tcW w:w="1593" w:type="dxa"/>
            <w:tcBorders>
              <w:top w:val="single" w:color="000000" w:sz="4" w:space="0"/>
              <w:left w:val="single" w:color="000000" w:sz="4" w:space="0"/>
              <w:bottom w:val="single" w:color="000000" w:sz="4" w:space="0"/>
              <w:right w:val="single" w:color="000000" w:sz="4" w:space="0"/>
            </w:tcBorders>
            <w:shd w:val="clear"/>
            <w:vAlign w:val="center"/>
          </w:tcPr>
          <w:p w14:paraId="6A99F60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电工作业</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16CF5C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C3E242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421FD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EC3F81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4</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969A05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648912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98DB64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8823B88">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DAF097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r>
      <w:tr w14:paraId="4BAD25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617"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08AF2D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29</w:t>
            </w:r>
          </w:p>
        </w:tc>
        <w:tc>
          <w:tcPr>
            <w:tcW w:w="1593" w:type="dxa"/>
            <w:tcBorders>
              <w:top w:val="single" w:color="000000" w:sz="4" w:space="0"/>
              <w:left w:val="single" w:color="000000" w:sz="4" w:space="0"/>
              <w:bottom w:val="single" w:color="000000" w:sz="4" w:space="0"/>
              <w:right w:val="single" w:color="000000" w:sz="4" w:space="0"/>
            </w:tcBorders>
            <w:shd w:val="clear"/>
            <w:vAlign w:val="center"/>
          </w:tcPr>
          <w:p w14:paraId="27FF29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一氧化碳、二氧化碳、氮氧化物、二氧化硫</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C51EEB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994423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DFA15C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874A18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5</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761449B">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532CB4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9C7A76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8CE58C2">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F5B3BE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r>
      <w:tr w14:paraId="6BA483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4"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A982EC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30</w:t>
            </w:r>
          </w:p>
        </w:tc>
        <w:tc>
          <w:tcPr>
            <w:tcW w:w="1593" w:type="dxa"/>
            <w:tcBorders>
              <w:top w:val="single" w:color="000000" w:sz="4" w:space="0"/>
              <w:left w:val="single" w:color="000000" w:sz="4" w:space="0"/>
              <w:bottom w:val="single" w:color="000000" w:sz="4" w:space="0"/>
              <w:right w:val="single" w:color="000000" w:sz="4" w:space="0"/>
            </w:tcBorders>
            <w:shd w:val="clear"/>
            <w:vAlign w:val="center"/>
          </w:tcPr>
          <w:p w14:paraId="55F2B1C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溶剂汽油</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B6767B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43F378D6">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2BB34D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C7CB8E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9C4E71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6A3486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C670DD7">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3E08E90">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19DE8C6">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r>
      <w:tr w14:paraId="7588EA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F9E279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31</w:t>
            </w:r>
          </w:p>
        </w:tc>
        <w:tc>
          <w:tcPr>
            <w:tcW w:w="1593" w:type="dxa"/>
            <w:tcBorders>
              <w:top w:val="single" w:color="000000" w:sz="4" w:space="0"/>
              <w:left w:val="single" w:color="000000" w:sz="4" w:space="0"/>
              <w:bottom w:val="single" w:color="000000" w:sz="4" w:space="0"/>
              <w:right w:val="single" w:color="000000" w:sz="4" w:space="0"/>
            </w:tcBorders>
            <w:shd w:val="clear"/>
            <w:vAlign w:val="center"/>
          </w:tcPr>
          <w:p w14:paraId="4DD9816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异佛尔酮二异氰酸酯、二苯基甲烷二异氰酸酯</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09F9FB9">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E0C662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0AEDD9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0043D9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6</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420F86A">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0186BB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306CFB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0C1ACDD">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15072B5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r>
      <w:tr w14:paraId="07FB47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4" w:hRule="atLeast"/>
        </w:trPr>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10D66D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32</w:t>
            </w:r>
          </w:p>
        </w:tc>
        <w:tc>
          <w:tcPr>
            <w:tcW w:w="1593" w:type="dxa"/>
            <w:tcBorders>
              <w:top w:val="single" w:color="000000" w:sz="4" w:space="0"/>
              <w:left w:val="single" w:color="000000" w:sz="4" w:space="0"/>
              <w:bottom w:val="single" w:color="000000" w:sz="4" w:space="0"/>
              <w:right w:val="single" w:color="000000" w:sz="4" w:space="0"/>
            </w:tcBorders>
            <w:shd w:val="clear"/>
            <w:vAlign w:val="center"/>
          </w:tcPr>
          <w:p w14:paraId="71E8BF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甲醇、甲苯、二甲苯</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157248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2</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C73B154">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9BB6D2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11E67D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3</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0AFAB223">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DCB0B6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5A1525A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1</w:t>
            </w: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2887C09">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68A3089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bdr w:val="none" w:color="auto" w:sz="0" w:space="0"/>
                <w:lang w:val="en-US" w:eastAsia="zh-CN" w:bidi="ar"/>
              </w:rPr>
              <w:t>0</w:t>
            </w:r>
          </w:p>
        </w:tc>
      </w:tr>
      <w:tr w14:paraId="5E9A3AB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314" w:hRule="atLeast"/>
        </w:trPr>
        <w:tc>
          <w:tcPr>
            <w:tcW w:w="0" w:type="auto"/>
            <w:tcBorders>
              <w:top w:val="single" w:color="000000" w:sz="4" w:space="0"/>
              <w:left w:val="single" w:color="000000" w:sz="4" w:space="0"/>
              <w:bottom w:val="nil"/>
              <w:right w:val="single" w:color="000000" w:sz="4" w:space="0"/>
            </w:tcBorders>
            <w:shd w:val="clear"/>
            <w:noWrap/>
            <w:vAlign w:val="center"/>
          </w:tcPr>
          <w:p w14:paraId="51F148B3">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合计</w:t>
            </w:r>
          </w:p>
        </w:tc>
        <w:tc>
          <w:tcPr>
            <w:tcW w:w="0" w:type="auto"/>
            <w:tcBorders>
              <w:top w:val="nil"/>
              <w:left w:val="nil"/>
              <w:bottom w:val="nil"/>
              <w:right w:val="nil"/>
            </w:tcBorders>
            <w:shd w:val="clear"/>
            <w:noWrap/>
            <w:vAlign w:val="center"/>
          </w:tcPr>
          <w:p w14:paraId="0443970B">
            <w:pP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nil"/>
              <w:right w:val="single" w:color="000000" w:sz="4" w:space="0"/>
            </w:tcBorders>
            <w:shd w:val="clear"/>
            <w:noWrap/>
            <w:vAlign w:val="center"/>
          </w:tcPr>
          <w:p w14:paraId="7D0FF0F0">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89</w:t>
            </w:r>
          </w:p>
        </w:tc>
        <w:tc>
          <w:tcPr>
            <w:tcW w:w="0" w:type="auto"/>
            <w:tcBorders>
              <w:top w:val="single" w:color="000000" w:sz="4" w:space="0"/>
              <w:left w:val="single" w:color="000000" w:sz="4" w:space="0"/>
              <w:bottom w:val="nil"/>
              <w:right w:val="single" w:color="000000" w:sz="4" w:space="0"/>
            </w:tcBorders>
            <w:shd w:val="clear"/>
            <w:noWrap/>
            <w:vAlign w:val="center"/>
          </w:tcPr>
          <w:p w14:paraId="7BF818F7">
            <w:pPr>
              <w:jc w:val="center"/>
              <w:rPr>
                <w:rFonts w:hint="eastAsia" w:ascii="宋体" w:hAnsi="宋体" w:eastAsia="宋体" w:cs="宋体"/>
                <w:b/>
                <w:bCs/>
                <w:i w:val="0"/>
                <w:iCs w:val="0"/>
                <w:color w:val="000000"/>
                <w:sz w:val="20"/>
                <w:szCs w:val="20"/>
                <w:u w:val="none"/>
              </w:rPr>
            </w:pPr>
          </w:p>
        </w:tc>
        <w:tc>
          <w:tcPr>
            <w:tcW w:w="0" w:type="auto"/>
            <w:tcBorders>
              <w:top w:val="single" w:color="000000" w:sz="4" w:space="0"/>
              <w:left w:val="single" w:color="000000" w:sz="4" w:space="0"/>
              <w:bottom w:val="nil"/>
              <w:right w:val="single" w:color="000000" w:sz="4" w:space="0"/>
            </w:tcBorders>
            <w:shd w:val="clear"/>
            <w:noWrap/>
            <w:vAlign w:val="center"/>
          </w:tcPr>
          <w:p w14:paraId="712BC2A5">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nil"/>
              <w:right w:val="single" w:color="000000" w:sz="4" w:space="0"/>
            </w:tcBorders>
            <w:shd w:val="clear"/>
            <w:noWrap/>
            <w:vAlign w:val="center"/>
          </w:tcPr>
          <w:p w14:paraId="08BDEF04">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395</w:t>
            </w:r>
          </w:p>
        </w:tc>
        <w:tc>
          <w:tcPr>
            <w:tcW w:w="0" w:type="auto"/>
            <w:tcBorders>
              <w:top w:val="single" w:color="000000" w:sz="4" w:space="0"/>
              <w:left w:val="single" w:color="000000" w:sz="4" w:space="0"/>
              <w:bottom w:val="nil"/>
              <w:right w:val="single" w:color="000000" w:sz="4" w:space="0"/>
            </w:tcBorders>
            <w:shd w:val="clear"/>
            <w:noWrap/>
            <w:vAlign w:val="center"/>
          </w:tcPr>
          <w:p w14:paraId="417E224E">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nil"/>
              <w:right w:val="single" w:color="000000" w:sz="4" w:space="0"/>
            </w:tcBorders>
            <w:shd w:val="clear"/>
            <w:noWrap/>
            <w:vAlign w:val="center"/>
          </w:tcPr>
          <w:p w14:paraId="35689F6E">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0</w:t>
            </w:r>
          </w:p>
        </w:tc>
        <w:tc>
          <w:tcPr>
            <w:tcW w:w="0" w:type="auto"/>
            <w:tcBorders>
              <w:top w:val="single" w:color="000000" w:sz="4" w:space="0"/>
              <w:left w:val="single" w:color="000000" w:sz="4" w:space="0"/>
              <w:bottom w:val="nil"/>
              <w:right w:val="single" w:color="000000" w:sz="4" w:space="0"/>
            </w:tcBorders>
            <w:shd w:val="clear"/>
            <w:noWrap/>
            <w:vAlign w:val="center"/>
          </w:tcPr>
          <w:p w14:paraId="2005FB51">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30</w:t>
            </w:r>
          </w:p>
        </w:tc>
        <w:tc>
          <w:tcPr>
            <w:tcW w:w="0" w:type="auto"/>
            <w:tcBorders>
              <w:top w:val="single" w:color="000000" w:sz="4" w:space="0"/>
              <w:left w:val="single" w:color="000000" w:sz="4" w:space="0"/>
              <w:bottom w:val="nil"/>
              <w:right w:val="single" w:color="000000" w:sz="4" w:space="0"/>
            </w:tcBorders>
            <w:shd w:val="clear"/>
            <w:noWrap/>
            <w:vAlign w:val="center"/>
          </w:tcPr>
          <w:p w14:paraId="2DFD6FC5">
            <w:pPr>
              <w:jc w:val="center"/>
              <w:rPr>
                <w:rFonts w:hint="eastAsia" w:ascii="宋体" w:hAnsi="宋体" w:eastAsia="宋体" w:cs="宋体"/>
                <w:i w:val="0"/>
                <w:iCs w:val="0"/>
                <w:color w:val="000000"/>
                <w:sz w:val="20"/>
                <w:szCs w:val="20"/>
                <w:u w:val="none"/>
              </w:rPr>
            </w:pPr>
          </w:p>
        </w:tc>
        <w:tc>
          <w:tcPr>
            <w:tcW w:w="0" w:type="auto"/>
            <w:tcBorders>
              <w:top w:val="single" w:color="000000" w:sz="4" w:space="0"/>
              <w:left w:val="single" w:color="000000" w:sz="4" w:space="0"/>
              <w:bottom w:val="nil"/>
              <w:right w:val="single" w:color="000000" w:sz="4" w:space="0"/>
            </w:tcBorders>
            <w:shd w:val="clear"/>
            <w:noWrap/>
            <w:vAlign w:val="center"/>
          </w:tcPr>
          <w:p w14:paraId="521A677B">
            <w:pPr>
              <w:keepNext w:val="0"/>
              <w:keepLines w:val="0"/>
              <w:widowControl/>
              <w:suppressLineNumbers w:val="0"/>
              <w:jc w:val="center"/>
              <w:textAlignment w:val="center"/>
              <w:rPr>
                <w:rFonts w:hint="eastAsia" w:ascii="宋体" w:hAnsi="宋体" w:eastAsia="宋体" w:cs="宋体"/>
                <w:b/>
                <w:bCs/>
                <w:i w:val="0"/>
                <w:iCs w:val="0"/>
                <w:color w:val="000000"/>
                <w:sz w:val="20"/>
                <w:szCs w:val="20"/>
                <w:u w:val="none"/>
              </w:rPr>
            </w:pPr>
            <w:r>
              <w:rPr>
                <w:rFonts w:hint="eastAsia" w:ascii="宋体" w:hAnsi="宋体" w:eastAsia="宋体" w:cs="宋体"/>
                <w:b/>
                <w:bCs/>
                <w:i w:val="0"/>
                <w:iCs w:val="0"/>
                <w:color w:val="000000"/>
                <w:kern w:val="0"/>
                <w:sz w:val="20"/>
                <w:szCs w:val="20"/>
                <w:u w:val="none"/>
                <w:bdr w:val="none" w:color="auto" w:sz="0" w:space="0"/>
                <w:lang w:val="en-US" w:eastAsia="zh-CN" w:bidi="ar"/>
              </w:rPr>
              <w:t>0</w:t>
            </w:r>
          </w:p>
        </w:tc>
      </w:tr>
      <w:tr w14:paraId="4F6D33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701" w:type="dxa"/>
            <w:tcBorders>
              <w:top w:val="single" w:color="000000" w:sz="4" w:space="0"/>
              <w:left w:val="single" w:color="000000" w:sz="4" w:space="0"/>
              <w:bottom w:val="single" w:color="000000" w:sz="4" w:space="0"/>
              <w:right w:val="single" w:color="000000" w:sz="4" w:space="0"/>
            </w:tcBorders>
            <w:shd w:val="clear"/>
            <w:vAlign w:val="center"/>
          </w:tcPr>
          <w:p w14:paraId="4430D1E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总价（未税）</w:t>
            </w:r>
          </w:p>
        </w:tc>
        <w:tc>
          <w:tcPr>
            <w:tcW w:w="8489" w:type="dxa"/>
            <w:gridSpan w:val="9"/>
            <w:tcBorders>
              <w:top w:val="single" w:color="000000" w:sz="4" w:space="0"/>
              <w:left w:val="single" w:color="000000" w:sz="4" w:space="0"/>
              <w:bottom w:val="single" w:color="000000" w:sz="4" w:space="0"/>
              <w:right w:val="single" w:color="000000" w:sz="4" w:space="0"/>
            </w:tcBorders>
            <w:shd w:val="clear"/>
            <w:vAlign w:val="center"/>
          </w:tcPr>
          <w:p w14:paraId="4E4CE8D4">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2B8A2FC7">
            <w:pPr>
              <w:keepNext w:val="0"/>
              <w:keepLines w:val="0"/>
              <w:widowControl/>
              <w:suppressLineNumbers w:val="0"/>
              <w:jc w:val="righ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0</w:t>
            </w:r>
          </w:p>
        </w:tc>
      </w:tr>
      <w:tr w14:paraId="39CFC77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920" w:hRule="atLeast"/>
        </w:trPr>
        <w:tc>
          <w:tcPr>
            <w:tcW w:w="701" w:type="dxa"/>
            <w:tcBorders>
              <w:top w:val="single" w:color="000000" w:sz="4" w:space="0"/>
              <w:left w:val="single" w:color="000000" w:sz="4" w:space="0"/>
              <w:bottom w:val="single" w:color="000000" w:sz="4" w:space="0"/>
              <w:right w:val="single" w:color="000000" w:sz="4" w:space="0"/>
            </w:tcBorders>
            <w:shd w:val="clear"/>
            <w:vAlign w:val="center"/>
          </w:tcPr>
          <w:p w14:paraId="05C6F94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总价（含税）</w:t>
            </w:r>
          </w:p>
        </w:tc>
        <w:tc>
          <w:tcPr>
            <w:tcW w:w="8489" w:type="dxa"/>
            <w:gridSpan w:val="9"/>
            <w:tcBorders>
              <w:top w:val="single" w:color="000000" w:sz="4" w:space="0"/>
              <w:left w:val="single" w:color="000000" w:sz="4" w:space="0"/>
              <w:bottom w:val="single" w:color="000000" w:sz="4" w:space="0"/>
              <w:right w:val="single" w:color="000000" w:sz="4" w:space="0"/>
            </w:tcBorders>
            <w:shd w:val="clear"/>
            <w:vAlign w:val="center"/>
          </w:tcPr>
          <w:p w14:paraId="210B82BA">
            <w:pPr>
              <w:jc w:val="center"/>
              <w:rPr>
                <w:rFonts w:hint="eastAsia" w:ascii="宋体" w:hAnsi="宋体" w:eastAsia="宋体" w:cs="宋体"/>
                <w:i w:val="0"/>
                <w:iCs w:val="0"/>
                <w:color w:val="000000"/>
                <w:sz w:val="22"/>
                <w:szCs w:val="22"/>
                <w:u w:val="none"/>
              </w:rPr>
            </w:pPr>
          </w:p>
        </w:tc>
        <w:tc>
          <w:tcPr>
            <w:tcW w:w="0" w:type="auto"/>
            <w:tcBorders>
              <w:top w:val="single" w:color="000000" w:sz="4" w:space="0"/>
              <w:left w:val="single" w:color="000000" w:sz="4" w:space="0"/>
              <w:bottom w:val="single" w:color="000000" w:sz="4" w:space="0"/>
              <w:right w:val="single" w:color="000000" w:sz="4" w:space="0"/>
            </w:tcBorders>
            <w:shd w:val="clear"/>
            <w:noWrap/>
            <w:vAlign w:val="center"/>
          </w:tcPr>
          <w:p w14:paraId="70D8AF95">
            <w:pPr>
              <w:rPr>
                <w:rFonts w:hint="eastAsia" w:ascii="宋体" w:hAnsi="宋体" w:eastAsia="宋体" w:cs="宋体"/>
                <w:i w:val="0"/>
                <w:iCs w:val="0"/>
                <w:color w:val="000000"/>
                <w:sz w:val="22"/>
                <w:szCs w:val="22"/>
                <w:u w:val="none"/>
              </w:rPr>
            </w:pPr>
          </w:p>
        </w:tc>
      </w:tr>
      <w:tr w14:paraId="70A255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7" w:hRule="atLeast"/>
        </w:trPr>
        <w:tc>
          <w:tcPr>
            <w:tcW w:w="10052" w:type="dxa"/>
            <w:gridSpan w:val="11"/>
            <w:tcBorders>
              <w:top w:val="single" w:color="000000" w:sz="4" w:space="0"/>
              <w:left w:val="single" w:color="000000" w:sz="4" w:space="0"/>
              <w:bottom w:val="single" w:color="000000" w:sz="4" w:space="0"/>
              <w:right w:val="single" w:color="000000" w:sz="4" w:space="0"/>
            </w:tcBorders>
            <w:shd w:val="clear"/>
            <w:vAlign w:val="center"/>
          </w:tcPr>
          <w:p w14:paraId="7D96593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备注：</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1.本表上岗前、在岗期间、离岗时人数数据均为预估，非实际结算数量，约定上岗前、在岗期间、离岗时体检费用单价据实结算。</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2.选取本表总价（未税）最低的投标人为本项目中标人。</w:t>
            </w:r>
          </w:p>
        </w:tc>
      </w:tr>
    </w:tbl>
    <w:p w14:paraId="40C2AA37">
      <w:pPr>
        <w:pStyle w:val="14"/>
        <w:spacing w:line="360" w:lineRule="auto"/>
        <w:rPr>
          <w:rFonts w:hAnsi="宋体"/>
          <w:b/>
          <w:sz w:val="24"/>
          <w:szCs w:val="24"/>
        </w:rPr>
      </w:pPr>
    </w:p>
    <w:p w14:paraId="283BFD6D">
      <w:pPr>
        <w:rPr>
          <w:rFonts w:hAnsi="宋体"/>
          <w:b/>
          <w:sz w:val="24"/>
          <w:szCs w:val="24"/>
        </w:rPr>
      </w:pPr>
    </w:p>
    <w:p w14:paraId="3876A06B">
      <w:pPr>
        <w:pStyle w:val="14"/>
        <w:spacing w:line="360" w:lineRule="auto"/>
        <w:jc w:val="center"/>
        <w:rPr>
          <w:rFonts w:ascii="黑体" w:eastAsia="黑体"/>
          <w:b/>
          <w:bCs/>
          <w:sz w:val="36"/>
          <w:szCs w:val="36"/>
        </w:rPr>
      </w:pPr>
    </w:p>
    <w:p w14:paraId="1F43BD92">
      <w:pPr>
        <w:rPr>
          <w:rFonts w:eastAsia="黑体"/>
          <w:b/>
          <w:bCs/>
          <w:sz w:val="28"/>
        </w:rPr>
      </w:pPr>
      <w:r>
        <w:rPr>
          <w:rFonts w:hint="eastAsia" w:eastAsia="黑体"/>
          <w:b/>
          <w:bCs/>
          <w:sz w:val="28"/>
        </w:rPr>
        <w:br w:type="page"/>
      </w:r>
    </w:p>
    <w:p w14:paraId="2C870E1D">
      <w:pPr>
        <w:pStyle w:val="76"/>
      </w:pPr>
    </w:p>
    <w:p w14:paraId="5D35037D">
      <w:pPr>
        <w:pStyle w:val="71"/>
      </w:pPr>
      <w:r>
        <w:rPr>
          <w:rFonts w:hint="eastAsia"/>
        </w:rPr>
        <w:t>第五部分　</w:t>
      </w:r>
      <w:r>
        <w:rPr>
          <w:rFonts w:hint="eastAsia"/>
          <w:lang w:val="en-US" w:eastAsia="zh-CN"/>
        </w:rPr>
        <w:t>重汽e采通供应商使用说明</w:t>
      </w:r>
    </w:p>
    <w:p w14:paraId="2B160738">
      <w:pPr>
        <w:pStyle w:val="14"/>
        <w:outlineLvl w:val="2"/>
        <w:rPr>
          <w:rFonts w:hAnsi="宋体" w:cs="宋体"/>
          <w:b/>
          <w:bCs/>
          <w:color w:val="000000"/>
          <w:sz w:val="24"/>
          <w:szCs w:val="24"/>
        </w:rPr>
      </w:pPr>
      <w:r>
        <w:rPr>
          <w:rFonts w:hint="eastAsia" w:hAnsi="宋体" w:cs="宋体"/>
          <w:b/>
          <w:bCs/>
          <w:color w:val="000000"/>
          <w:sz w:val="24"/>
          <w:szCs w:val="24"/>
          <w:highlight w:val="green"/>
        </w:rPr>
        <w:t>附件</w:t>
      </w:r>
      <w:r>
        <w:rPr>
          <w:rFonts w:hint="eastAsia" w:hAnsi="宋体" w:cs="宋体"/>
          <w:b/>
          <w:bCs/>
          <w:color w:val="000000"/>
          <w:sz w:val="24"/>
          <w:szCs w:val="24"/>
        </w:rPr>
        <w:t xml:space="preserve"> SRM非生产供应商注册操作手册</w:t>
      </w:r>
    </w:p>
    <w:p w14:paraId="4A972B5F">
      <w:pPr>
        <w:adjustRightInd w:val="0"/>
        <w:snapToGrid w:val="0"/>
        <w:jc w:val="left"/>
        <w:rPr>
          <w:rFonts w:ascii="宋体" w:hAnsi="宋体" w:cs="宋体"/>
          <w:sz w:val="24"/>
          <w:szCs w:val="24"/>
        </w:rPr>
      </w:pPr>
    </w:p>
    <w:p w14:paraId="3EE18D01">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4A1C30C9">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p>
    <w:p w14:paraId="0076C7CF">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371AA257">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14:paraId="44A8501C">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150EBC92">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14:paraId="74BBFDB5">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66A50FA7">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14:paraId="57A78685">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7B6993E2">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14:paraId="7F90BF48">
      <w:pPr>
        <w:numPr>
          <w:ilvl w:val="0"/>
          <w:numId w:val="31"/>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14:paraId="51BE73C7">
      <w:pPr>
        <w:pStyle w:val="14"/>
      </w:pPr>
    </w:p>
    <w:p w14:paraId="7A0BDCEE">
      <w:pPr>
        <w:rPr>
          <w:rFonts w:ascii="宋体" w:hAnsi="宋体" w:cs="宋体"/>
          <w:color w:val="000000"/>
        </w:rPr>
      </w:pPr>
    </w:p>
    <w:p w14:paraId="37CB915B">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1" cstate="print"/>
                    <a:srcRect/>
                    <a:stretch>
                      <a:fillRect/>
                    </a:stretch>
                  </pic:blipFill>
                  <pic:spPr>
                    <a:xfrm>
                      <a:off x="0" y="0"/>
                      <a:ext cx="5760085" cy="2809875"/>
                    </a:xfrm>
                    <a:prstGeom prst="rect">
                      <a:avLst/>
                    </a:prstGeom>
                  </pic:spPr>
                </pic:pic>
              </a:graphicData>
            </a:graphic>
          </wp:inline>
        </w:drawing>
      </w:r>
    </w:p>
    <w:p w14:paraId="63EECCF8">
      <w:pPr>
        <w:pStyle w:val="14"/>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22" cstate="print"/>
                    <a:srcRect/>
                    <a:stretch>
                      <a:fillRect/>
                    </a:stretch>
                  </pic:blipFill>
                  <pic:spPr>
                    <a:xfrm>
                      <a:off x="0" y="0"/>
                      <a:ext cx="5760085" cy="2820035"/>
                    </a:xfrm>
                    <a:prstGeom prst="rect">
                      <a:avLst/>
                    </a:prstGeom>
                  </pic:spPr>
                </pic:pic>
              </a:graphicData>
            </a:graphic>
          </wp:inline>
        </w:drawing>
      </w:r>
    </w:p>
    <w:p w14:paraId="2635F1D5">
      <w:pPr>
        <w:pStyle w:val="14"/>
      </w:pPr>
    </w:p>
    <w:p w14:paraId="11152A11">
      <w:pPr>
        <w:pStyle w:val="14"/>
      </w:pPr>
    </w:p>
    <w:p w14:paraId="50901CBB">
      <w:pPr>
        <w:rPr>
          <w:rFonts w:ascii="宋体" w:hAnsi="宋体" w:cs="宋体"/>
          <w:b/>
          <w:bCs/>
          <w:color w:val="000000"/>
          <w:sz w:val="24"/>
          <w:szCs w:val="28"/>
        </w:rPr>
      </w:pPr>
      <w:r>
        <w:rPr>
          <w:rFonts w:hint="eastAsia" w:ascii="宋体" w:hAnsi="宋体" w:cs="宋体"/>
          <w:b/>
          <w:bCs/>
          <w:color w:val="000000"/>
          <w:sz w:val="24"/>
          <w:szCs w:val="28"/>
        </w:rPr>
        <w:t>注：</w:t>
      </w:r>
    </w:p>
    <w:p w14:paraId="697968FA">
      <w:pPr>
        <w:rPr>
          <w:rFonts w:ascii="宋体" w:hAnsi="宋体" w:cs="宋体"/>
          <w:b/>
          <w:bCs/>
          <w:color w:val="000000"/>
          <w:sz w:val="24"/>
          <w:szCs w:val="28"/>
        </w:rPr>
      </w:pPr>
      <w:r>
        <w:rPr>
          <w:rFonts w:hint="eastAsia" w:ascii="宋体" w:hAnsi="宋体" w:cs="宋体"/>
          <w:b/>
          <w:bCs/>
          <w:color w:val="000000"/>
          <w:sz w:val="24"/>
          <w:szCs w:val="28"/>
        </w:rPr>
        <w:t>1.“项目名称”和“采购形式编号”见招标文件内容；</w:t>
      </w:r>
    </w:p>
    <w:p w14:paraId="6448FE07">
      <w:pPr>
        <w:pStyle w:val="14"/>
      </w:pPr>
      <w:r>
        <w:rPr>
          <w:rFonts w:hint="eastAsia" w:hAnsi="宋体" w:cs="宋体"/>
          <w:b/>
          <w:bCs/>
          <w:color w:val="000000"/>
          <w:sz w:val="24"/>
          <w:szCs w:val="28"/>
        </w:rPr>
        <w:t>2.配套能力“供货类别”填“</w:t>
      </w:r>
      <w:r>
        <w:rPr>
          <w:rFonts w:hint="eastAsia" w:hAnsi="宋体" w:cs="宋体"/>
          <w:b/>
          <w:bCs/>
          <w:color w:val="000000"/>
          <w:sz w:val="24"/>
          <w:szCs w:val="28"/>
          <w:highlight w:val="cyan"/>
        </w:rPr>
        <w:t>直管单位非生产招标 / 服务 / 安全消防</w:t>
      </w:r>
      <w:r>
        <w:rPr>
          <w:rFonts w:hint="eastAsia" w:hAnsi="宋体" w:cs="宋体"/>
          <w:b/>
          <w:bCs/>
          <w:color w:val="000000"/>
          <w:sz w:val="24"/>
          <w:szCs w:val="28"/>
        </w:rPr>
        <w:t>”，业务主管部门选择“</w:t>
      </w:r>
      <w:r>
        <w:rPr>
          <w:rFonts w:hint="eastAsia" w:hAnsi="宋体" w:cs="宋体"/>
          <w:b/>
          <w:bCs/>
          <w:color w:val="000000"/>
          <w:sz w:val="24"/>
          <w:szCs w:val="28"/>
          <w:highlight w:val="cyan"/>
          <w:lang w:val="en-US" w:eastAsia="zh-CN"/>
        </w:rPr>
        <w:t>安全环保</w:t>
      </w:r>
      <w:r>
        <w:rPr>
          <w:rFonts w:hint="eastAsia" w:hAnsi="宋体" w:cs="宋体"/>
          <w:b/>
          <w:bCs/>
          <w:color w:val="000000"/>
          <w:sz w:val="24"/>
          <w:szCs w:val="28"/>
          <w:highlight w:val="cyan"/>
        </w:rPr>
        <w:t>部</w:t>
      </w:r>
      <w:r>
        <w:rPr>
          <w:rFonts w:hint="eastAsia" w:hAnsi="宋体" w:cs="宋体"/>
          <w:b/>
          <w:bCs/>
          <w:color w:val="000000"/>
          <w:sz w:val="24"/>
          <w:szCs w:val="28"/>
        </w:rPr>
        <w:t>”。</w:t>
      </w:r>
    </w:p>
    <w:p w14:paraId="0BB4F8B8">
      <w:pPr>
        <w:pStyle w:val="14"/>
        <w:sectPr>
          <w:headerReference r:id="rId9" w:type="default"/>
          <w:footerReference r:id="rId10" w:type="default"/>
          <w:pgSz w:w="11906" w:h="16838"/>
          <w:pgMar w:top="1588" w:right="1418" w:bottom="1134" w:left="1418" w:header="851" w:footer="992" w:gutter="0"/>
          <w:cols w:space="720" w:num="1"/>
          <w:titlePg/>
          <w:docGrid w:type="lines" w:linePitch="312" w:charSpace="0"/>
        </w:sectPr>
      </w:pPr>
    </w:p>
    <w:p w14:paraId="7312B151">
      <w:pPr>
        <w:pStyle w:val="14"/>
        <w:outlineLvl w:val="2"/>
        <w:rPr>
          <w:rFonts w:hAnsi="宋体"/>
          <w:b/>
          <w:color w:val="000000"/>
          <w:sz w:val="24"/>
          <w:szCs w:val="24"/>
        </w:rPr>
      </w:pPr>
      <w:r>
        <w:rPr>
          <w:rFonts w:hint="eastAsia" w:hAnsi="宋体" w:cs="宋体"/>
          <w:b/>
          <w:bCs/>
          <w:color w:val="000000"/>
          <w:sz w:val="24"/>
          <w:szCs w:val="24"/>
        </w:rPr>
        <w:t xml:space="preserve">附件15 </w:t>
      </w:r>
      <w:r>
        <w:rPr>
          <w:rFonts w:hint="eastAsia" w:hAnsi="宋体"/>
          <w:b/>
          <w:color w:val="000000"/>
          <w:sz w:val="24"/>
          <w:szCs w:val="24"/>
        </w:rPr>
        <w:t>SRM系统供应商用户手册</w:t>
      </w:r>
    </w:p>
    <w:p w14:paraId="0B441A33">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141EC7FE">
      <w:pPr>
        <w:spacing w:line="360" w:lineRule="auto"/>
        <w:rPr>
          <w:rFonts w:ascii="宋体" w:hAnsi="宋体" w:cs="宋体"/>
          <w:sz w:val="24"/>
          <w:szCs w:val="24"/>
        </w:rPr>
      </w:pPr>
      <w:r>
        <w:rPr>
          <w:rFonts w:hint="eastAsia" w:ascii="宋体" w:hAnsi="宋体" w:cs="宋体"/>
          <w:color w:val="000000"/>
          <w:sz w:val="24"/>
          <w:szCs w:val="24"/>
        </w:rPr>
        <w:t>用 户 名：gys+供应商代码（</w:t>
      </w:r>
      <w:r>
        <w:rPr>
          <w:rFonts w:hint="eastAsia" w:ascii="宋体" w:hAnsi="宋体" w:cs="宋体"/>
          <w:color w:val="FF0000"/>
          <w:sz w:val="24"/>
          <w:szCs w:val="24"/>
        </w:rPr>
        <w:t>注意：注册完毕后，用户名不要用手机号登录</w:t>
      </w:r>
      <w:r>
        <w:rPr>
          <w:rFonts w:hint="eastAsia" w:ascii="宋体" w:hAnsi="宋体" w:cs="宋体"/>
          <w:color w:val="000000"/>
          <w:sz w:val="24"/>
          <w:szCs w:val="24"/>
        </w:rPr>
        <w:t>）</w:t>
      </w:r>
    </w:p>
    <w:p w14:paraId="11945A7C">
      <w:pPr>
        <w:spacing w:line="360" w:lineRule="auto"/>
        <w:rPr>
          <w:rFonts w:ascii="宋体" w:hAnsi="宋体" w:cs="宋体"/>
          <w:sz w:val="24"/>
          <w:szCs w:val="24"/>
        </w:rPr>
      </w:pPr>
      <w:r>
        <w:rPr>
          <w:rFonts w:hint="eastAsia" w:ascii="宋体" w:hAnsi="宋体" w:cs="宋体"/>
          <w:color w:val="000000"/>
          <w:sz w:val="24"/>
          <w:szCs w:val="24"/>
        </w:rPr>
        <w:t>初始密码：scm@2022</w:t>
      </w:r>
    </w:p>
    <w:p w14:paraId="54144BFB">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74AD43AB">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5F08DF32">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79FFAD63">
      <w:r>
        <w:drawing>
          <wp:inline distT="0" distB="0" distL="0" distR="0">
            <wp:extent cx="5760085" cy="2269490"/>
            <wp:effectExtent l="0" t="0" r="5715" b="3810"/>
            <wp:docPr id="1032" name="picture" descr="descript"/>
            <wp:cNvGraphicFramePr/>
            <a:graphic xmlns:a="http://schemas.openxmlformats.org/drawingml/2006/main">
              <a:graphicData uri="http://schemas.openxmlformats.org/drawingml/2006/picture">
                <pic:pic xmlns:pic="http://schemas.openxmlformats.org/drawingml/2006/picture">
                  <pic:nvPicPr>
                    <pic:cNvPr id="1032" name="picture" descr="descript"/>
                    <pic:cNvPicPr/>
                  </pic:nvPicPr>
                  <pic:blipFill>
                    <a:blip r:embed="rId23" cstate="print"/>
                    <a:srcRect/>
                    <a:stretch>
                      <a:fillRect/>
                    </a:stretch>
                  </pic:blipFill>
                  <pic:spPr>
                    <a:xfrm>
                      <a:off x="0" y="0"/>
                      <a:ext cx="5760085" cy="2269490"/>
                    </a:xfrm>
                    <a:prstGeom prst="rect">
                      <a:avLst/>
                    </a:prstGeom>
                  </pic:spPr>
                </pic:pic>
              </a:graphicData>
            </a:graphic>
          </wp:inline>
        </w:drawing>
      </w:r>
    </w:p>
    <w:p w14:paraId="3BAA061D"/>
    <w:p w14:paraId="01AD6D67">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33C8173C">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11A346DD">
      <w:pPr>
        <w:rPr>
          <w:rFonts w:ascii="宋体" w:hAnsi="宋体" w:cs="宋体"/>
          <w:color w:val="000000"/>
        </w:rPr>
      </w:pPr>
      <w:r>
        <w:rPr>
          <w:rFonts w:ascii="宋体" w:hAnsi="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4" cstate="print"/>
                    <a:srcRect/>
                    <a:stretch>
                      <a:fillRect/>
                    </a:stretch>
                  </pic:blipFill>
                  <pic:spPr>
                    <a:xfrm>
                      <a:off x="0" y="0"/>
                      <a:ext cx="5760085" cy="2125345"/>
                    </a:xfrm>
                    <a:prstGeom prst="rect">
                      <a:avLst/>
                    </a:prstGeom>
                  </pic:spPr>
                </pic:pic>
              </a:graphicData>
            </a:graphic>
          </wp:inline>
        </w:drawing>
      </w:r>
    </w:p>
    <w:p w14:paraId="1B44F10E">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645CFE7C">
      <w:pPr>
        <w:pStyle w:val="14"/>
      </w:pPr>
      <w:r>
        <w:rPr>
          <w:rFonts w:hint="eastAsia" w:hAnsi="宋体" w:cs="宋体"/>
          <w:b/>
          <w:bCs/>
          <w:color w:val="000000"/>
          <w:sz w:val="24"/>
          <w:szCs w:val="28"/>
          <w:highlight w:val="yellow"/>
        </w:rPr>
        <w:t>注意：系统内的投标报价单位为“万元”，如开标现场发现填错报价，即直接淘汰。</w:t>
      </w:r>
    </w:p>
    <w:p w14:paraId="379457FB">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5" cstate="print"/>
                    <a:srcRect/>
                    <a:stretch>
                      <a:fillRect/>
                    </a:stretch>
                  </pic:blipFill>
                  <pic:spPr>
                    <a:xfrm>
                      <a:off x="0" y="0"/>
                      <a:ext cx="5490210" cy="2668905"/>
                    </a:xfrm>
                    <a:prstGeom prst="rect">
                      <a:avLst/>
                    </a:prstGeom>
                  </pic:spPr>
                </pic:pic>
              </a:graphicData>
            </a:graphic>
          </wp:inline>
        </w:drawing>
      </w:r>
    </w:p>
    <w:p w14:paraId="7C193454">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47D26EB1">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00D2D44D">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51DF8AC7">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6" cstate="print"/>
                    <a:srcRect/>
                    <a:stretch>
                      <a:fillRect/>
                    </a:stretch>
                  </pic:blipFill>
                  <pic:spPr>
                    <a:xfrm>
                      <a:off x="0" y="0"/>
                      <a:ext cx="5490210" cy="1992629"/>
                    </a:xfrm>
                    <a:prstGeom prst="rect">
                      <a:avLst/>
                    </a:prstGeom>
                  </pic:spPr>
                </pic:pic>
              </a:graphicData>
            </a:graphic>
          </wp:inline>
        </w:drawing>
      </w:r>
    </w:p>
    <w:p w14:paraId="74325963">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0B3F7FBE">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108929FD">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604847BC">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564480BD">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5B4BCAC9">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2719BEDD">
      <w:pPr>
        <w:ind w:left="425" w:hanging="425"/>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7" cstate="print"/>
                    <a:srcRect/>
                    <a:stretch>
                      <a:fillRect/>
                    </a:stretch>
                  </pic:blipFill>
                  <pic:spPr>
                    <a:xfrm>
                      <a:off x="0" y="0"/>
                      <a:ext cx="5490210" cy="2544445"/>
                    </a:xfrm>
                    <a:prstGeom prst="rect">
                      <a:avLst/>
                    </a:prstGeom>
                  </pic:spPr>
                </pic:pic>
              </a:graphicData>
            </a:graphic>
          </wp:inline>
        </w:drawing>
      </w:r>
    </w:p>
    <w:p w14:paraId="7AF6BCD4">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47EC2D23">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19DC482C">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EC8BC39">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8" cstate="print"/>
                    <a:srcRect/>
                    <a:stretch>
                      <a:fillRect/>
                    </a:stretch>
                  </pic:blipFill>
                  <pic:spPr>
                    <a:xfrm>
                      <a:off x="0" y="0"/>
                      <a:ext cx="5760085" cy="1956435"/>
                    </a:xfrm>
                    <a:prstGeom prst="rect">
                      <a:avLst/>
                    </a:prstGeom>
                  </pic:spPr>
                </pic:pic>
              </a:graphicData>
            </a:graphic>
          </wp:inline>
        </w:drawing>
      </w:r>
    </w:p>
    <w:p w14:paraId="719CDE6A">
      <w:pPr>
        <w:pStyle w:val="14"/>
        <w:rPr>
          <w:rFonts w:hAnsi="宋体"/>
          <w:b/>
          <w:color w:val="000000"/>
          <w:sz w:val="24"/>
          <w:szCs w:val="24"/>
        </w:rPr>
      </w:pPr>
    </w:p>
    <w:p w14:paraId="5CA7CAEF">
      <w:pPr>
        <w:pStyle w:val="14"/>
        <w:rPr>
          <w:rFonts w:hAnsi="宋体"/>
          <w:b/>
          <w:color w:val="000000"/>
          <w:sz w:val="24"/>
          <w:szCs w:val="24"/>
        </w:rPr>
      </w:pPr>
    </w:p>
    <w:p w14:paraId="085FB2E7">
      <w:pPr>
        <w:pStyle w:val="76"/>
        <w:rPr>
          <w:rFonts w:hAnsi="宋体"/>
          <w:sz w:val="24"/>
        </w:rPr>
      </w:pPr>
    </w:p>
    <w:p w14:paraId="5ECEAAC2">
      <w:pPr>
        <w:pStyle w:val="76"/>
        <w:rPr>
          <w:rFonts w:hAnsi="宋体"/>
          <w:sz w:val="24"/>
        </w:rPr>
      </w:pPr>
    </w:p>
    <w:p w14:paraId="028B8E52">
      <w:pPr>
        <w:pStyle w:val="71"/>
        <w:jc w:val="center"/>
        <w:rPr>
          <w:rFonts w:hint="default" w:eastAsia="黑体"/>
          <w:lang w:val="en-US" w:eastAsia="zh-CN"/>
        </w:rPr>
      </w:pPr>
    </w:p>
    <w:p w14:paraId="52772E40">
      <w:pPr>
        <w:pStyle w:val="76"/>
        <w:rPr>
          <w:b/>
          <w:bCs/>
        </w:rPr>
      </w:pPr>
    </w:p>
    <w:p w14:paraId="41362990">
      <w:pPr>
        <w:pStyle w:val="76"/>
        <w:rPr>
          <w:b/>
          <w:bCs/>
        </w:rPr>
      </w:pPr>
    </w:p>
    <w:p w14:paraId="654EBC09">
      <w:pPr>
        <w:pStyle w:val="76"/>
        <w:rPr>
          <w:b/>
          <w:bCs/>
        </w:rPr>
      </w:pPr>
    </w:p>
    <w:p w14:paraId="03A4D662">
      <w:pPr>
        <w:pStyle w:val="76"/>
        <w:rPr>
          <w:b/>
          <w:bCs/>
        </w:rPr>
      </w:pPr>
    </w:p>
    <w:p w14:paraId="548B73A4">
      <w:pPr>
        <w:pStyle w:val="76"/>
        <w:rPr>
          <w:b/>
          <w:bCs/>
        </w:rPr>
      </w:pPr>
    </w:p>
    <w:p w14:paraId="23E75332">
      <w:pPr>
        <w:pStyle w:val="76"/>
        <w:rPr>
          <w:rFonts w:hint="default" w:hAnsi="宋体"/>
          <w:sz w:val="24"/>
          <w:lang w:val="en-US"/>
        </w:rPr>
      </w:pPr>
    </w:p>
    <w:sectPr>
      <w:headerReference r:id="rId11" w:type="first"/>
      <w:footerReference r:id="rId12" w:type="firs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00000" w:csb1="00000000"/>
  </w:font>
  <w:font w:name="方正小标宋简体">
    <w:panose1 w:val="02000000000000000000"/>
    <w:charset w:val="86"/>
    <w:family w:val="auto"/>
    <w:pitch w:val="default"/>
    <w:sig w:usb0="A00002BF" w:usb1="184F6CFA" w:usb2="00000012"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18"/>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51DC9">
    <w:pPr>
      <w:pStyle w:val="18"/>
      <w:framePr w:wrap="around" w:vAnchor="text" w:hAnchor="margin" w:xAlign="center" w:y="1"/>
      <w:rPr>
        <w:rStyle w:val="34"/>
      </w:rPr>
    </w:pPr>
    <w:r>
      <w:fldChar w:fldCharType="begin"/>
    </w:r>
    <w:r>
      <w:rPr>
        <w:rStyle w:val="34"/>
      </w:rPr>
      <w:instrText xml:space="preserve">PAGE  </w:instrText>
    </w:r>
    <w:r>
      <w:fldChar w:fldCharType="end"/>
    </w:r>
  </w:p>
  <w:p w14:paraId="7AD47F75">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EDA40">
    <w:pPr>
      <w:pStyle w:val="18"/>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FA854E8">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nQDDc8oBAACcAwAADgAAAAAAAAABACAAAAAeAQAAZHJzL2Uyb0Rv&#10;Yy54bWxQSwUGAAAAAAYABgBZAQAAWgUAAAAA&#10;">
              <v:fill on="f" focussize="0,0"/>
              <v:stroke on="f"/>
              <v:imagedata o:title=""/>
              <o:lock v:ext="edit" aspectratio="f"/>
              <v:textbox inset="0mm,0mm,0mm,0mm" style="mso-fit-shape-to-text:t;">
                <w:txbxContent>
                  <w:p w14:paraId="2FA854E8">
                    <w:pPr>
                      <w:pStyle w:val="18"/>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89E297">
    <w:pPr>
      <w:pStyle w:val="18"/>
      <w:framePr w:wrap="around" w:vAnchor="text" w:hAnchor="margin" w:xAlign="center" w:y="1"/>
      <w:rPr>
        <w:rStyle w:val="34"/>
      </w:rPr>
    </w:pPr>
    <w:r>
      <w:fldChar w:fldCharType="begin"/>
    </w:r>
    <w:r>
      <w:rPr>
        <w:rStyle w:val="34"/>
      </w:rPr>
      <w:instrText xml:space="preserve">PAGE  </w:instrText>
    </w:r>
    <w:r>
      <w:fldChar w:fldCharType="end"/>
    </w:r>
  </w:p>
  <w:p w14:paraId="43293B2F">
    <w:pPr>
      <w:pStyle w:val="18"/>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55A5C">
    <w:pPr>
      <w:pStyle w:val="18"/>
      <w:jc w:val="righ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2F4AD69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sdtContent>
  </w:sdt>
  <w:p w14:paraId="651627BB">
    <w:pPr>
      <w:pStyle w:val="18"/>
      <w:jc w:val="center"/>
    </w:pPr>
  </w:p>
  <w:p w14:paraId="1DFF0D79"/>
  <w:p w14:paraId="5CB49AF2"/>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2C1C5">
    <w:pPr>
      <w:pStyle w:val="19"/>
      <w:keepNext w:val="0"/>
      <w:keepLines w:val="0"/>
      <w:pageBreakBefore w:val="0"/>
      <w:widowControl w:val="0"/>
      <w:pBdr>
        <w:bottom w:val="none" w:color="auto" w:sz="0" w:space="1"/>
      </w:pBdr>
      <w:kinsoku/>
      <w:wordWrap/>
      <w:overflowPunct/>
      <w:topLinePunct w:val="0"/>
      <w:autoSpaceDE/>
      <w:autoSpaceDN/>
      <w:bidi w:val="0"/>
      <w:adjustRightInd/>
      <w:snapToGrid w:val="0"/>
      <w:jc w:val="both"/>
      <w:textAlignment w:val="auto"/>
      <w:rPr>
        <w:sz w:val="24"/>
        <w:szCs w:val="24"/>
        <w:u w:val="none"/>
      </w:rPr>
    </w:pPr>
    <w:r>
      <w:rPr>
        <w:sz w:val="24"/>
      </w:rPr>
      <w:pict>
        <v:shape id="PowerPlusWaterMarkObject13392139" o:spid="_x0000_s2049" o:spt="136" type="#_x0000_t136" style="position:absolute;left:0pt;margin-left:475.7pt;margin-top:562.85pt;height:14pt;width:125pt;mso-position-horizontal-relative:margin;mso-position-vertical-relative:margin;rotation:-2949120f;z-index:-251629568;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sz w:val="24"/>
      </w:rPr>
      <w:pict>
        <v:shape id="PowerPlusWaterMarkObject12909910" o:spid="_x0000_s2050" o:spt="136" type="#_x0000_t136" style="position:absolute;left:0pt;margin-left:366.1pt;margin-top:672.45pt;height:14pt;width:125pt;mso-position-horizontal-relative:margin;mso-position-vertical-relative:margin;rotation:-2949120f;z-index:-251630592;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sz w:val="24"/>
      </w:rPr>
      <w:pict>
        <v:shape id="PowerPlusWaterMarkObject12449448" o:spid="_x0000_s2051" o:spt="136" type="#_x0000_t136" style="position:absolute;left:0pt;margin-left:256.5pt;margin-top:782.05pt;height:14pt;width:125pt;mso-position-horizontal-relative:margin;mso-position-vertical-relative:margin;rotation:-2949120f;z-index:-251631616;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sz w:val="24"/>
      </w:rPr>
      <w:pict>
        <v:shape id="PowerPlusWaterMarkObject11782556" o:spid="_x0000_s2052" o:spt="136" type="#_x0000_t136" style="position:absolute;left:0pt;margin-left:475.7pt;margin-top:357.5pt;height:14pt;width:125pt;mso-position-horizontal-relative:margin;mso-position-vertical-relative:margin;rotation:-2949120f;z-index:-251632640;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sz w:val="24"/>
      </w:rPr>
      <w:pict>
        <v:shape id="PowerPlusWaterMarkObject10846201" o:spid="_x0000_s2053" o:spt="136" type="#_x0000_t136" style="position:absolute;left:0pt;margin-left:366.1pt;margin-top:467.1pt;height:14pt;width:125pt;mso-position-horizontal-relative:margin;mso-position-vertical-relative:margin;rotation:-2949120f;z-index:-251633664;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sz w:val="24"/>
      </w:rPr>
      <w:pict>
        <v:shape id="PowerPlusWaterMarkObject10769642" o:spid="_x0000_s2054" o:spt="136" type="#_x0000_t136" style="position:absolute;left:0pt;margin-left:256.5pt;margin-top:576.7pt;height:14pt;width:125pt;mso-position-horizontal-relative:margin;mso-position-vertical-relative:margin;rotation:-2949120f;z-index:-251634688;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sz w:val="24"/>
      </w:rPr>
      <w:pict>
        <v:shape id="PowerPlusWaterMarkObject10054766" o:spid="_x0000_s2055" o:spt="136" type="#_x0000_t136" style="position:absolute;left:0pt;margin-left:146.9pt;margin-top:686.3pt;height:14pt;width:125pt;mso-position-horizontal-relative:margin;mso-position-vertical-relative:margin;rotation:-2949120f;z-index:-251635712;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sz w:val="24"/>
      </w:rPr>
      <w:pict>
        <v:shape id="PowerPlusWaterMarkObject9654741" o:spid="_x0000_s2056" o:spt="136" type="#_x0000_t136" style="position:absolute;left:0pt;margin-left:37.3pt;margin-top:795.9pt;height:14pt;width:125pt;mso-position-horizontal-relative:margin;mso-position-vertical-relative:margin;rotation:-2949120f;z-index:-251636736;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sz w:val="24"/>
      </w:rPr>
      <w:pict>
        <v:shape id="PowerPlusWaterMarkObject9555277" o:spid="_x0000_s2057" o:spt="136" type="#_x0000_t136" style="position:absolute;left:0pt;margin-left:475.7pt;margin-top:152.15pt;height:14pt;width:125pt;mso-position-horizontal-relative:margin;mso-position-vertical-relative:margin;rotation:-2949120f;z-index:-251637760;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sz w:val="24"/>
      </w:rPr>
      <w:pict>
        <v:shape id="PowerPlusWaterMarkObject8714559" o:spid="_x0000_s2058" o:spt="136" type="#_x0000_t136" style="position:absolute;left:0pt;margin-left:366.1pt;margin-top:261.75pt;height:14pt;width:125pt;mso-position-horizontal-relative:margin;mso-position-vertical-relative:margin;rotation:-2949120f;z-index:-251638784;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sz w:val="24"/>
      </w:rPr>
      <w:pict>
        <v:shape id="PowerPlusWaterMarkObject8652390" o:spid="_x0000_s2059" o:spt="136" type="#_x0000_t136" style="position:absolute;left:0pt;margin-left:256.5pt;margin-top:371.35pt;height:14pt;width:125pt;mso-position-horizontal-relative:margin;mso-position-vertical-relative:margin;rotation:-2949120f;z-index:-251639808;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sz w:val="24"/>
      </w:rPr>
      <w:pict>
        <v:shape id="PowerPlusWaterMarkObject7731701" o:spid="_x0000_s2060" o:spt="136" type="#_x0000_t136" style="position:absolute;left:0pt;margin-left:146.9pt;margin-top:480.95pt;height:14pt;width:125pt;mso-position-horizontal-relative:margin;mso-position-vertical-relative:margin;rotation:-2949120f;z-index:-251640832;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sz w:val="24"/>
      </w:rPr>
      <w:pict>
        <v:shape id="PowerPlusWaterMarkObject7200356" o:spid="_x0000_s2061" o:spt="136" type="#_x0000_t136" style="position:absolute;left:0pt;margin-left:37.3pt;margin-top:590.55pt;height:14pt;width:125pt;mso-position-horizontal-relative:margin;mso-position-vertical-relative:margin;rotation:-2949120f;z-index:-251641856;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sz w:val="24"/>
      </w:rPr>
      <w:pict>
        <v:shape id="PowerPlusWaterMarkObject6712647" o:spid="_x0000_s2062" o:spt="136" type="#_x0000_t136" style="position:absolute;left:0pt;margin-left:-72.3pt;margin-top:700.15pt;height:14pt;width:125pt;mso-position-horizontal-relative:margin;mso-position-vertical-relative:margin;rotation:-2949120f;z-index:-251642880;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sz w:val="24"/>
      </w:rPr>
      <w:pict>
        <v:shape id="PowerPlusWaterMarkObject5930381" o:spid="_x0000_s2063" o:spt="136" type="#_x0000_t136" style="position:absolute;left:0pt;margin-left:475.7pt;margin-top:-53.15pt;height:14pt;width:125pt;mso-position-horizontal-relative:margin;mso-position-vertical-relative:margin;rotation:-2949120f;z-index:-251643904;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sz w:val="24"/>
      </w:rPr>
      <w:pict>
        <v:shape id="PowerPlusWaterMarkObject5630673" o:spid="_x0000_s2064" o:spt="136" type="#_x0000_t136" style="position:absolute;left:0pt;margin-left:366.1pt;margin-top:56.45pt;height:14pt;width:125pt;mso-position-horizontal-relative:margin;mso-position-vertical-relative:margin;rotation:-2949120f;z-index:-251644928;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sz w:val="24"/>
      </w:rPr>
      <w:pict>
        <v:shape id="PowerPlusWaterMarkObject5147782" o:spid="_x0000_s2065" o:spt="136" type="#_x0000_t136" style="position:absolute;left:0pt;margin-left:256.5pt;margin-top:166.05pt;height:14pt;width:125pt;mso-position-horizontal-relative:margin;mso-position-vertical-relative:margin;rotation:-2949120f;z-index:-251645952;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sz w:val="24"/>
      </w:rPr>
      <w:pict>
        <v:shape id="PowerPlusWaterMarkObject4913780" o:spid="_x0000_s2066" o:spt="136" type="#_x0000_t136" style="position:absolute;left:0pt;margin-left:146.9pt;margin-top:275.65pt;height:14pt;width:125pt;mso-position-horizontal-relative:margin;mso-position-vertical-relative:margin;rotation:-2949120f;z-index:-251646976;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sz w:val="24"/>
      </w:rPr>
      <w:pict>
        <v:shape id="PowerPlusWaterMarkObject4442993" o:spid="_x0000_s2067" o:spt="136" type="#_x0000_t136" style="position:absolute;left:0pt;margin-left:37.3pt;margin-top:385.25pt;height:14pt;width:125pt;mso-position-horizontal-relative:margin;mso-position-vertical-relative:margin;rotation:-2949120f;z-index:-251648000;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sz w:val="24"/>
      </w:rPr>
      <w:pict>
        <v:shape id="PowerPlusWaterMarkObject4294133" o:spid="_x0000_s2068" o:spt="136" type="#_x0000_t136" style="position:absolute;left:0pt;margin-left:-72.3pt;margin-top:494.85pt;height:14pt;width:125pt;mso-position-horizontal-relative:margin;mso-position-vertical-relative:margin;rotation:-2949120f;z-index:-251649024;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sz w:val="24"/>
      </w:rPr>
      <w:pict>
        <v:shape id="PowerPlusWaterMarkObject3336406" o:spid="_x0000_s2069" o:spt="136" type="#_x0000_t136" style="position:absolute;left:0pt;margin-left:256.5pt;margin-top:-39.3pt;height:14pt;width:125pt;mso-position-horizontal-relative:margin;mso-position-vertical-relative:margin;rotation:-2949120f;z-index:-251650048;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sz w:val="24"/>
      </w:rPr>
      <w:pict>
        <v:shape id="PowerPlusWaterMarkObject2587689" o:spid="_x0000_s2070" o:spt="136" type="#_x0000_t136" style="position:absolute;left:0pt;margin-left:146.9pt;margin-top:70.3pt;height:14pt;width:125pt;mso-position-horizontal-relative:margin;mso-position-vertical-relative:margin;rotation:-2949120f;z-index:-251651072;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sz w:val="24"/>
      </w:rPr>
      <w:pict>
        <v:shape id="PowerPlusWaterMarkObject1596672" o:spid="_x0000_s2071" o:spt="136" type="#_x0000_t136" style="position:absolute;left:0pt;margin-left:37.3pt;margin-top:179.9pt;height:14pt;width:125pt;mso-position-horizontal-relative:margin;mso-position-vertical-relative:margin;rotation:-2949120f;z-index:-251652096;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sz w:val="24"/>
      </w:rPr>
      <w:pict>
        <v:shape id="PowerPlusWaterMarkObject850492" o:spid="_x0000_s2072" o:spt="136" type="#_x0000_t136" style="position:absolute;left:0pt;margin-left:-72.3pt;margin-top:289.5pt;height:14pt;width:125pt;mso-position-horizontal-relative:margin;mso-position-vertical-relative:margin;rotation:-2949120f;z-index:-251653120;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sz w:val="24"/>
      </w:rPr>
      <w:pict>
        <v:shape id="PowerPlusWaterMarkObject607341" o:spid="_x0000_s2073" o:spt="136" type="#_x0000_t136" style="position:absolute;left:0pt;margin-left:37.3pt;margin-top:-25.45pt;height:14pt;width:125pt;mso-position-horizontal-relative:margin;mso-position-vertical-relative:margin;rotation:-2949120f;z-index:-251654144;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sz w:val="24"/>
      </w:rPr>
      <w:pict>
        <v:shape id="PowerPlusWaterMarkObject120273" o:spid="_x0000_s2074" o:spt="136" type="#_x0000_t136" style="position:absolute;left:0pt;margin-left:-72.3pt;margin-top:84.15pt;height:14pt;width:125pt;mso-position-horizontal-relative:margin;mso-position-vertical-relative:margin;rotation:-2949120f;z-index:-251655168;mso-width-relative:page;mso-height-relative:page;" fillcolor="#CCCCCC" filled="t" stroked="f" coordsize="21600,21600" adj="10800">
          <v:path/>
          <v:fill on="t" opacity="26214f" focussize="0,0"/>
          <v:stroke on="f"/>
          <v:imagedata o:title=""/>
          <o:lock v:ext="edit" aspectratio="t"/>
          <v:textpath on="t" fitshape="t" fitpath="t" trim="t" xscale="f" string="谢琴2905222025-12-11" style="font-family:汉仪旗黑KW 55S;font-size:14pt;v-same-letter-heights:f;v-text-align:center;"/>
        </v:shape>
      </w:pict>
    </w:r>
    <w:r>
      <w:rPr>
        <w:rFonts w:hint="eastAsia"/>
        <w:sz w:val="24"/>
        <w:szCs w:val="24"/>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3E634">
    <w:pPr>
      <w:pStyle w:val="19"/>
      <w:pBdr>
        <w:bottom w:val="single" w:color="auto" w:sz="12" w:space="9"/>
      </w:pBdr>
      <w:jc w:val="both"/>
      <w:rPr>
        <w:rFonts w:hint="eastAsia" w:ascii="黑体" w:eastAsia="黑体" w:cs="黑体"/>
        <w:sz w:val="24"/>
        <w:szCs w:val="24"/>
      </w:rPr>
    </w:pPr>
    <w:r>
      <w:drawing>
        <wp:inline distT="0" distB="0" distL="114300" distR="114300">
          <wp:extent cx="1428750" cy="342900"/>
          <wp:effectExtent l="0" t="0" r="635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
                  <a:stretch>
                    <a:fillRect/>
                  </a:stretch>
                </pic:blipFill>
                <pic:spPr>
                  <a:xfrm>
                    <a:off x="0" y="0"/>
                    <a:ext cx="1428750" cy="3429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0C208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70076E"/>
    <w:multiLevelType w:val="singleLevel"/>
    <w:tmpl w:val="8370076E"/>
    <w:lvl w:ilvl="0" w:tentative="0">
      <w:start w:val="1"/>
      <w:numFmt w:val="chineseCounting"/>
      <w:suff w:val="nothing"/>
      <w:lvlText w:val="（%1）"/>
      <w:lvlJc w:val="left"/>
      <w:pPr>
        <w:ind w:left="0" w:firstLine="420"/>
      </w:pPr>
      <w:rPr>
        <w:rFonts w:hint="eastAsia"/>
      </w:rPr>
    </w:lvl>
  </w:abstractNum>
  <w:abstractNum w:abstractNumId="1">
    <w:nsid w:val="93852671"/>
    <w:multiLevelType w:val="singleLevel"/>
    <w:tmpl w:val="93852671"/>
    <w:lvl w:ilvl="0" w:tentative="0">
      <w:start w:val="1"/>
      <w:numFmt w:val="decimal"/>
      <w:lvlText w:val="%1."/>
      <w:lvlJc w:val="left"/>
      <w:pPr>
        <w:ind w:left="425" w:hanging="425"/>
      </w:pPr>
      <w:rPr>
        <w:rFonts w:hint="default"/>
      </w:rPr>
    </w:lvl>
  </w:abstractNum>
  <w:abstractNum w:abstractNumId="2">
    <w:nsid w:val="9E1BA4F3"/>
    <w:multiLevelType w:val="singleLevel"/>
    <w:tmpl w:val="9E1BA4F3"/>
    <w:lvl w:ilvl="0" w:tentative="0">
      <w:start w:val="1"/>
      <w:numFmt w:val="decimal"/>
      <w:lvlText w:val="%1."/>
      <w:lvlJc w:val="left"/>
      <w:pPr>
        <w:tabs>
          <w:tab w:val="left" w:pos="312"/>
        </w:tabs>
      </w:pPr>
      <w:rPr>
        <w:rFonts w:hint="default" w:ascii="宋体" w:hAnsi="宋体" w:eastAsia="宋体" w:cs="宋体"/>
        <w:sz w:val="21"/>
        <w:szCs w:val="21"/>
      </w:rPr>
    </w:lvl>
  </w:abstractNum>
  <w:abstractNum w:abstractNumId="3">
    <w:nsid w:val="A344C351"/>
    <w:multiLevelType w:val="singleLevel"/>
    <w:tmpl w:val="A344C351"/>
    <w:lvl w:ilvl="0" w:tentative="0">
      <w:start w:val="1"/>
      <w:numFmt w:val="decimal"/>
      <w:lvlText w:val="%1."/>
      <w:lvlJc w:val="left"/>
      <w:pPr>
        <w:tabs>
          <w:tab w:val="left" w:pos="312"/>
        </w:tabs>
      </w:pPr>
    </w:lvl>
  </w:abstractNum>
  <w:abstractNum w:abstractNumId="4">
    <w:nsid w:val="B12C4597"/>
    <w:multiLevelType w:val="singleLevel"/>
    <w:tmpl w:val="B12C4597"/>
    <w:lvl w:ilvl="0" w:tentative="0">
      <w:start w:val="1"/>
      <w:numFmt w:val="decimal"/>
      <w:lvlText w:val="%1."/>
      <w:lvlJc w:val="left"/>
      <w:pPr>
        <w:ind w:left="425" w:hanging="425"/>
      </w:pPr>
      <w:rPr>
        <w:rFonts w:hint="default"/>
      </w:rPr>
    </w:lvl>
  </w:abstractNum>
  <w:abstractNum w:abstractNumId="5">
    <w:nsid w:val="B301A340"/>
    <w:multiLevelType w:val="singleLevel"/>
    <w:tmpl w:val="B301A340"/>
    <w:lvl w:ilvl="0" w:tentative="0">
      <w:start w:val="1"/>
      <w:numFmt w:val="chineseCounting"/>
      <w:suff w:val="nothing"/>
      <w:lvlText w:val="（%1）"/>
      <w:lvlJc w:val="left"/>
      <w:pPr>
        <w:ind w:left="0" w:firstLine="420"/>
      </w:pPr>
      <w:rPr>
        <w:rFonts w:hint="eastAsia"/>
      </w:rPr>
    </w:lvl>
  </w:abstractNum>
  <w:abstractNum w:abstractNumId="6">
    <w:nsid w:val="BD4C6742"/>
    <w:multiLevelType w:val="singleLevel"/>
    <w:tmpl w:val="BD4C6742"/>
    <w:lvl w:ilvl="0" w:tentative="0">
      <w:start w:val="1"/>
      <w:numFmt w:val="decimal"/>
      <w:lvlText w:val="%1."/>
      <w:lvlJc w:val="left"/>
      <w:pPr>
        <w:ind w:left="425" w:hanging="425"/>
      </w:pPr>
      <w:rPr>
        <w:rFonts w:hint="default"/>
      </w:rPr>
    </w:lvl>
  </w:abstractNum>
  <w:abstractNum w:abstractNumId="7">
    <w:nsid w:val="D9A4530E"/>
    <w:multiLevelType w:val="singleLevel"/>
    <w:tmpl w:val="D9A4530E"/>
    <w:lvl w:ilvl="0" w:tentative="0">
      <w:start w:val="1"/>
      <w:numFmt w:val="decimal"/>
      <w:lvlText w:val="(%1)"/>
      <w:lvlJc w:val="left"/>
      <w:pPr>
        <w:ind w:left="425" w:hanging="425"/>
      </w:pPr>
      <w:rPr>
        <w:rFonts w:hint="default"/>
      </w:rPr>
    </w:lvl>
  </w:abstractNum>
  <w:abstractNum w:abstractNumId="8">
    <w:nsid w:val="DC3F8C8B"/>
    <w:multiLevelType w:val="singleLevel"/>
    <w:tmpl w:val="DC3F8C8B"/>
    <w:lvl w:ilvl="0" w:tentative="0">
      <w:start w:val="1"/>
      <w:numFmt w:val="decimal"/>
      <w:lvlText w:val="%1."/>
      <w:lvlJc w:val="left"/>
      <w:pPr>
        <w:ind w:left="425" w:hanging="425"/>
      </w:pPr>
      <w:rPr>
        <w:rFonts w:hint="default"/>
      </w:rPr>
    </w:lvl>
  </w:abstractNum>
  <w:abstractNum w:abstractNumId="9">
    <w:nsid w:val="00000003"/>
    <w:multiLevelType w:val="singleLevel"/>
    <w:tmpl w:val="00000003"/>
    <w:lvl w:ilvl="0" w:tentative="0">
      <w:start w:val="5"/>
      <w:numFmt w:val="decimal"/>
      <w:lvlText w:val="%1."/>
      <w:lvlJc w:val="left"/>
      <w:pPr>
        <w:tabs>
          <w:tab w:val="left" w:pos="312"/>
        </w:tabs>
      </w:pPr>
    </w:lvl>
  </w:abstractNum>
  <w:abstractNum w:abstractNumId="10">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1">
    <w:nsid w:val="176D653C"/>
    <w:multiLevelType w:val="multilevel"/>
    <w:tmpl w:val="176D653C"/>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3">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4">
    <w:nsid w:val="3954A2AD"/>
    <w:multiLevelType w:val="singleLevel"/>
    <w:tmpl w:val="3954A2AD"/>
    <w:lvl w:ilvl="0" w:tentative="0">
      <w:start w:val="1"/>
      <w:numFmt w:val="decimal"/>
      <w:suff w:val="nothing"/>
      <w:lvlText w:val="（%1）"/>
      <w:lvlJc w:val="left"/>
    </w:lvl>
  </w:abstractNum>
  <w:abstractNum w:abstractNumId="15">
    <w:nsid w:val="4A8DA4C5"/>
    <w:multiLevelType w:val="singleLevel"/>
    <w:tmpl w:val="4A8DA4C5"/>
    <w:lvl w:ilvl="0" w:tentative="0">
      <w:start w:val="1"/>
      <w:numFmt w:val="bullet"/>
      <w:lvlText w:val=""/>
      <w:lvlJc w:val="left"/>
      <w:pPr>
        <w:ind w:left="0" w:leftChars="0" w:firstLine="0" w:firstLineChars="0"/>
      </w:pPr>
      <w:rPr>
        <w:rFonts w:hint="default" w:ascii="Wingdings" w:hAnsi="Wingdings"/>
      </w:rPr>
    </w:lvl>
  </w:abstractNum>
  <w:abstractNum w:abstractNumId="16">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8">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9">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0">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1">
    <w:nsid w:val="71603118"/>
    <w:multiLevelType w:val="multilevel"/>
    <w:tmpl w:val="71603118"/>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2">
    <w:nsid w:val="7AE44757"/>
    <w:multiLevelType w:val="multilevel"/>
    <w:tmpl w:val="7AE44757"/>
    <w:lvl w:ilvl="0" w:tentative="0">
      <w:start w:val="1"/>
      <w:numFmt w:val="bullet"/>
      <w:lvlText w:val=""/>
      <w:lvlJc w:val="left"/>
      <w:pPr>
        <w:tabs>
          <w:tab w:val="left" w:pos="-840"/>
        </w:tabs>
        <w:ind w:left="430" w:hanging="420"/>
      </w:pPr>
      <w:rPr>
        <w:rFonts w:hint="default" w:ascii="Wingdings" w:hAnsi="Wingdings"/>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3">
    <w:nsid w:val="7CE20C09"/>
    <w:multiLevelType w:val="singleLevel"/>
    <w:tmpl w:val="7CE20C09"/>
    <w:lvl w:ilvl="0" w:tentative="0">
      <w:start w:val="1"/>
      <w:numFmt w:val="decimal"/>
      <w:lvlText w:val="%1."/>
      <w:lvlJc w:val="left"/>
      <w:pPr>
        <w:tabs>
          <w:tab w:val="left" w:pos="312"/>
        </w:tabs>
      </w:pPr>
    </w:lvl>
  </w:abstractNum>
  <w:num w:numId="1">
    <w:abstractNumId w:val="16"/>
  </w:num>
  <w:num w:numId="2">
    <w:abstractNumId w:val="20"/>
  </w:num>
  <w:num w:numId="3">
    <w:abstractNumId w:val="19"/>
  </w:num>
  <w:num w:numId="4">
    <w:abstractNumId w:val="17"/>
  </w:num>
  <w:num w:numId="5">
    <w:abstractNumId w:val="10"/>
  </w:num>
  <w:num w:numId="6">
    <w:abstractNumId w:val="12"/>
  </w:num>
  <w:num w:numId="7">
    <w:abstractNumId w:val="13"/>
  </w:num>
  <w:num w:numId="8">
    <w:abstractNumId w:val="18"/>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num>
  <w:num w:numId="1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num>
  <w:num w:numId="18">
    <w:abstractNumId w:val="4"/>
  </w:num>
  <w:num w:numId="19">
    <w:abstractNumId w:val="0"/>
  </w:num>
  <w:num w:numId="20">
    <w:abstractNumId w:val="1"/>
  </w:num>
  <w:num w:numId="21">
    <w:abstractNumId w:val="14"/>
  </w:num>
  <w:num w:numId="22">
    <w:abstractNumId w:val="22"/>
  </w:num>
  <w:num w:numId="23">
    <w:abstractNumId w:val="7"/>
  </w:num>
  <w:num w:numId="24">
    <w:abstractNumId w:val="23"/>
  </w:num>
  <w:num w:numId="25">
    <w:abstractNumId w:val="2"/>
  </w:num>
  <w:num w:numId="26">
    <w:abstractNumId w:val="3"/>
  </w:num>
  <w:num w:numId="27">
    <w:abstractNumId w:val="5"/>
  </w:num>
  <w:num w:numId="28">
    <w:abstractNumId w:val="8"/>
  </w:num>
  <w:num w:numId="29">
    <w:abstractNumId w:val="15"/>
  </w:num>
  <w:num w:numId="30">
    <w:abstractNumId w:val="11"/>
  </w:num>
  <w:num w:numId="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0F7"/>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3C6C9C"/>
    <w:rsid w:val="02447828"/>
    <w:rsid w:val="02522110"/>
    <w:rsid w:val="0256755B"/>
    <w:rsid w:val="02C464F6"/>
    <w:rsid w:val="02CC3DCA"/>
    <w:rsid w:val="02FB2420"/>
    <w:rsid w:val="02FE76EF"/>
    <w:rsid w:val="03343D40"/>
    <w:rsid w:val="035241C7"/>
    <w:rsid w:val="03BA1683"/>
    <w:rsid w:val="03E72B61"/>
    <w:rsid w:val="03F033B0"/>
    <w:rsid w:val="04446205"/>
    <w:rsid w:val="046917C8"/>
    <w:rsid w:val="04E62E18"/>
    <w:rsid w:val="0543236E"/>
    <w:rsid w:val="057C1D39"/>
    <w:rsid w:val="05891259"/>
    <w:rsid w:val="05E76E48"/>
    <w:rsid w:val="068F128E"/>
    <w:rsid w:val="08633479"/>
    <w:rsid w:val="089E76AC"/>
    <w:rsid w:val="0A28069F"/>
    <w:rsid w:val="0B0A2C8B"/>
    <w:rsid w:val="0B765E47"/>
    <w:rsid w:val="0BBA4FFF"/>
    <w:rsid w:val="0C525237"/>
    <w:rsid w:val="0CB51572"/>
    <w:rsid w:val="0CFB1178"/>
    <w:rsid w:val="0DEA6367"/>
    <w:rsid w:val="0E1E2B65"/>
    <w:rsid w:val="0E4D31E3"/>
    <w:rsid w:val="0E76345F"/>
    <w:rsid w:val="0F7200CA"/>
    <w:rsid w:val="0FFF6FF0"/>
    <w:rsid w:val="10DC2AA3"/>
    <w:rsid w:val="10FA7C8C"/>
    <w:rsid w:val="12EA7F78"/>
    <w:rsid w:val="130B198F"/>
    <w:rsid w:val="135A334F"/>
    <w:rsid w:val="137C646B"/>
    <w:rsid w:val="145205A8"/>
    <w:rsid w:val="16406649"/>
    <w:rsid w:val="16A918E4"/>
    <w:rsid w:val="17D966D6"/>
    <w:rsid w:val="181B06E1"/>
    <w:rsid w:val="18952734"/>
    <w:rsid w:val="189C1D14"/>
    <w:rsid w:val="18F659B5"/>
    <w:rsid w:val="198C1722"/>
    <w:rsid w:val="1A11228E"/>
    <w:rsid w:val="1A381F10"/>
    <w:rsid w:val="1ABF7F3C"/>
    <w:rsid w:val="1B3E669F"/>
    <w:rsid w:val="1B6603B7"/>
    <w:rsid w:val="1B6739C6"/>
    <w:rsid w:val="1B824429"/>
    <w:rsid w:val="1BC71D3B"/>
    <w:rsid w:val="1C59115B"/>
    <w:rsid w:val="1C8C02F2"/>
    <w:rsid w:val="1CD00D9F"/>
    <w:rsid w:val="1F5E5F75"/>
    <w:rsid w:val="1F672950"/>
    <w:rsid w:val="1FB23E60"/>
    <w:rsid w:val="20E64474"/>
    <w:rsid w:val="21E73D66"/>
    <w:rsid w:val="21F91F85"/>
    <w:rsid w:val="22A7378F"/>
    <w:rsid w:val="22C5630B"/>
    <w:rsid w:val="23EC0BA6"/>
    <w:rsid w:val="24701A48"/>
    <w:rsid w:val="252E1F46"/>
    <w:rsid w:val="25B508B9"/>
    <w:rsid w:val="25DC2738"/>
    <w:rsid w:val="268B0052"/>
    <w:rsid w:val="26FE1DEC"/>
    <w:rsid w:val="27743C90"/>
    <w:rsid w:val="27CC3FD4"/>
    <w:rsid w:val="28A864B3"/>
    <w:rsid w:val="28F214DC"/>
    <w:rsid w:val="292673D8"/>
    <w:rsid w:val="29B844D4"/>
    <w:rsid w:val="29CA2459"/>
    <w:rsid w:val="2ACD0453"/>
    <w:rsid w:val="2B0F6376"/>
    <w:rsid w:val="2B271A58"/>
    <w:rsid w:val="2B6304A7"/>
    <w:rsid w:val="2B8A0ED3"/>
    <w:rsid w:val="2BB138D1"/>
    <w:rsid w:val="2BFD7C12"/>
    <w:rsid w:val="2CA63F77"/>
    <w:rsid w:val="2CF6734C"/>
    <w:rsid w:val="2D2E5EBF"/>
    <w:rsid w:val="2D663463"/>
    <w:rsid w:val="2E1212F1"/>
    <w:rsid w:val="2E204D3E"/>
    <w:rsid w:val="2E4E18AB"/>
    <w:rsid w:val="2EF96EE4"/>
    <w:rsid w:val="30006BD5"/>
    <w:rsid w:val="30971A1F"/>
    <w:rsid w:val="30A151CF"/>
    <w:rsid w:val="30B31E99"/>
    <w:rsid w:val="310778B5"/>
    <w:rsid w:val="32146967"/>
    <w:rsid w:val="32C06917"/>
    <w:rsid w:val="33304827"/>
    <w:rsid w:val="337E22EA"/>
    <w:rsid w:val="34572B3B"/>
    <w:rsid w:val="35CF7EC5"/>
    <w:rsid w:val="36254FE4"/>
    <w:rsid w:val="36A55DE0"/>
    <w:rsid w:val="372F61E0"/>
    <w:rsid w:val="389B56ED"/>
    <w:rsid w:val="39322FCA"/>
    <w:rsid w:val="39DC4F34"/>
    <w:rsid w:val="3AB90991"/>
    <w:rsid w:val="3ABB02C8"/>
    <w:rsid w:val="3B585B17"/>
    <w:rsid w:val="3B662A36"/>
    <w:rsid w:val="3B706131"/>
    <w:rsid w:val="3BA93AD1"/>
    <w:rsid w:val="3BCA1B24"/>
    <w:rsid w:val="3C681D8A"/>
    <w:rsid w:val="3D2008B6"/>
    <w:rsid w:val="3D29776B"/>
    <w:rsid w:val="3DFB03D8"/>
    <w:rsid w:val="3E6F041E"/>
    <w:rsid w:val="3FBB6674"/>
    <w:rsid w:val="3FCC6AD3"/>
    <w:rsid w:val="405D597D"/>
    <w:rsid w:val="4081341A"/>
    <w:rsid w:val="40D8240F"/>
    <w:rsid w:val="411C3143"/>
    <w:rsid w:val="41582A5C"/>
    <w:rsid w:val="41CC2DBB"/>
    <w:rsid w:val="4275481E"/>
    <w:rsid w:val="428B617A"/>
    <w:rsid w:val="433D7BDC"/>
    <w:rsid w:val="437E1813"/>
    <w:rsid w:val="43EF0FE2"/>
    <w:rsid w:val="43F20826"/>
    <w:rsid w:val="44CA7C7F"/>
    <w:rsid w:val="45BD47FC"/>
    <w:rsid w:val="45CC5FB2"/>
    <w:rsid w:val="464529FA"/>
    <w:rsid w:val="46B75BA8"/>
    <w:rsid w:val="46C53BA3"/>
    <w:rsid w:val="46DC75FC"/>
    <w:rsid w:val="487970CD"/>
    <w:rsid w:val="48AD6EC1"/>
    <w:rsid w:val="48BC6665"/>
    <w:rsid w:val="48C97955"/>
    <w:rsid w:val="48CA6646"/>
    <w:rsid w:val="48E24BBA"/>
    <w:rsid w:val="49184B37"/>
    <w:rsid w:val="494F67AB"/>
    <w:rsid w:val="49880C8F"/>
    <w:rsid w:val="4A8561FD"/>
    <w:rsid w:val="4A8835F7"/>
    <w:rsid w:val="4B592E71"/>
    <w:rsid w:val="4BE60F1D"/>
    <w:rsid w:val="4CE74F4D"/>
    <w:rsid w:val="4CF539DF"/>
    <w:rsid w:val="4D2E0486"/>
    <w:rsid w:val="4D371A30"/>
    <w:rsid w:val="4DD45540"/>
    <w:rsid w:val="4DDA060D"/>
    <w:rsid w:val="4F195165"/>
    <w:rsid w:val="50615016"/>
    <w:rsid w:val="52650D16"/>
    <w:rsid w:val="526B3F2A"/>
    <w:rsid w:val="52B9239A"/>
    <w:rsid w:val="53193986"/>
    <w:rsid w:val="53422EDD"/>
    <w:rsid w:val="539D6365"/>
    <w:rsid w:val="53C34BA7"/>
    <w:rsid w:val="54BD78FD"/>
    <w:rsid w:val="552D196B"/>
    <w:rsid w:val="572A3CDF"/>
    <w:rsid w:val="580C557C"/>
    <w:rsid w:val="58A86DDE"/>
    <w:rsid w:val="58C6010C"/>
    <w:rsid w:val="59154AD7"/>
    <w:rsid w:val="593D49CE"/>
    <w:rsid w:val="599527E1"/>
    <w:rsid w:val="59CF4D9E"/>
    <w:rsid w:val="5A9A35FE"/>
    <w:rsid w:val="5AC71F19"/>
    <w:rsid w:val="5ADF548D"/>
    <w:rsid w:val="5C68504C"/>
    <w:rsid w:val="5C814A76"/>
    <w:rsid w:val="5CC42BB4"/>
    <w:rsid w:val="5D5C60B4"/>
    <w:rsid w:val="5E08087F"/>
    <w:rsid w:val="5E135BA1"/>
    <w:rsid w:val="5F6E12AA"/>
    <w:rsid w:val="5FD316B9"/>
    <w:rsid w:val="60031C46"/>
    <w:rsid w:val="60DD58EC"/>
    <w:rsid w:val="60F577E0"/>
    <w:rsid w:val="61C94742"/>
    <w:rsid w:val="639826A5"/>
    <w:rsid w:val="63E1229E"/>
    <w:rsid w:val="63F04A69"/>
    <w:rsid w:val="642B176B"/>
    <w:rsid w:val="652561BA"/>
    <w:rsid w:val="652811A1"/>
    <w:rsid w:val="663E5786"/>
    <w:rsid w:val="66A50B1E"/>
    <w:rsid w:val="676C6322"/>
    <w:rsid w:val="67B2063C"/>
    <w:rsid w:val="67C97AC3"/>
    <w:rsid w:val="67E30EC1"/>
    <w:rsid w:val="68534DEC"/>
    <w:rsid w:val="68CA77A4"/>
    <w:rsid w:val="68F3328F"/>
    <w:rsid w:val="695F613F"/>
    <w:rsid w:val="69620955"/>
    <w:rsid w:val="69747710"/>
    <w:rsid w:val="6A06480C"/>
    <w:rsid w:val="6A4E3B2B"/>
    <w:rsid w:val="6B481C3B"/>
    <w:rsid w:val="6B8E2D0B"/>
    <w:rsid w:val="6B99345E"/>
    <w:rsid w:val="6BF1329A"/>
    <w:rsid w:val="6C1331A3"/>
    <w:rsid w:val="6CA84BC1"/>
    <w:rsid w:val="6D0E1A3E"/>
    <w:rsid w:val="6D3E4756"/>
    <w:rsid w:val="6D940381"/>
    <w:rsid w:val="6F0E5A30"/>
    <w:rsid w:val="6FC523EB"/>
    <w:rsid w:val="700532A9"/>
    <w:rsid w:val="714D0F73"/>
    <w:rsid w:val="72895F2E"/>
    <w:rsid w:val="72B55613"/>
    <w:rsid w:val="72C02EBE"/>
    <w:rsid w:val="72C507AD"/>
    <w:rsid w:val="72D028D8"/>
    <w:rsid w:val="73100ED3"/>
    <w:rsid w:val="732E0930"/>
    <w:rsid w:val="745D47C3"/>
    <w:rsid w:val="76AC3757"/>
    <w:rsid w:val="775F37AE"/>
    <w:rsid w:val="77E84083"/>
    <w:rsid w:val="78A51694"/>
    <w:rsid w:val="78E73A5B"/>
    <w:rsid w:val="79676168"/>
    <w:rsid w:val="79E36624"/>
    <w:rsid w:val="7BB51BEE"/>
    <w:rsid w:val="7C2428D0"/>
    <w:rsid w:val="7CB93F8E"/>
    <w:rsid w:val="7CF66B46"/>
    <w:rsid w:val="7D1E1A15"/>
    <w:rsid w:val="7D276B1C"/>
    <w:rsid w:val="7D9341B1"/>
    <w:rsid w:val="7DBD28BA"/>
    <w:rsid w:val="7E755665"/>
    <w:rsid w:val="7F5F07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semiHidden="0"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69"/>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4"/>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6"/>
    <w:qFormat/>
    <w:uiPriority w:val="99"/>
    <w:pPr>
      <w:jc w:val="left"/>
    </w:pPr>
  </w:style>
  <w:style w:type="paragraph" w:styleId="11">
    <w:name w:val="Body Text"/>
    <w:basedOn w:val="1"/>
    <w:link w:val="42"/>
    <w:qFormat/>
    <w:uiPriority w:val="98"/>
    <w:rPr>
      <w:rFonts w:ascii="仿宋_GB2312" w:eastAsia="仿宋_GB2312"/>
      <w:sz w:val="32"/>
    </w:rPr>
  </w:style>
  <w:style w:type="paragraph" w:styleId="12">
    <w:name w:val="Body Text Indent"/>
    <w:basedOn w:val="1"/>
    <w:link w:val="49"/>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1"/>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8"/>
    <w:semiHidden/>
    <w:qFormat/>
    <w:uiPriority w:val="0"/>
    <w:rPr>
      <w:sz w:val="18"/>
      <w:szCs w:val="18"/>
    </w:rPr>
  </w:style>
  <w:style w:type="paragraph" w:styleId="18">
    <w:name w:val="footer"/>
    <w:basedOn w:val="1"/>
    <w:link w:val="43"/>
    <w:semiHidden/>
    <w:qFormat/>
    <w:uiPriority w:val="0"/>
    <w:pPr>
      <w:tabs>
        <w:tab w:val="center" w:pos="4153"/>
        <w:tab w:val="right" w:pos="8306"/>
      </w:tabs>
      <w:snapToGrid w:val="0"/>
      <w:jc w:val="left"/>
    </w:pPr>
    <w:rPr>
      <w:sz w:val="18"/>
      <w:szCs w:val="18"/>
    </w:rPr>
  </w:style>
  <w:style w:type="paragraph" w:styleId="19">
    <w:name w:val="header"/>
    <w:basedOn w:val="1"/>
    <w:link w:val="53"/>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autoRedefine/>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4"/>
    <w:semiHidden/>
    <w:qFormat/>
    <w:uiPriority w:val="98"/>
    <w:rPr>
      <w:b/>
      <w:bCs/>
    </w:rPr>
  </w:style>
  <w:style w:type="paragraph" w:styleId="29">
    <w:name w:val="Body Text First Indent 2"/>
    <w:basedOn w:val="12"/>
    <w:next w:val="1"/>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qFormat/>
    <w:uiPriority w:val="99"/>
    <w:rPr>
      <w:rFonts w:cs="Times New Roman"/>
      <w:color w:val="1F4F88"/>
      <w:u w:val="none"/>
    </w:rPr>
  </w:style>
  <w:style w:type="character" w:styleId="38">
    <w:name w:val="annotation reference"/>
    <w:semiHidden/>
    <w:qFormat/>
    <w:uiPriority w:val="98"/>
    <w:rPr>
      <w:sz w:val="21"/>
      <w:szCs w:val="21"/>
    </w:rPr>
  </w:style>
  <w:style w:type="paragraph" w:customStyle="1" w:styleId="39">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40">
    <w:name w:val="Char Char3"/>
    <w:semiHidden/>
    <w:qFormat/>
    <w:uiPriority w:val="98"/>
    <w:rPr>
      <w:rFonts w:ascii="宋体" w:hAnsi="Courier New" w:eastAsia="宋体"/>
      <w:kern w:val="2"/>
      <w:sz w:val="21"/>
      <w:lang w:val="en-US" w:eastAsia="zh-CN" w:bidi="ar-SA"/>
    </w:rPr>
  </w:style>
  <w:style w:type="character" w:customStyle="1" w:styleId="41">
    <w:name w:val="纯文本 Char"/>
    <w:semiHidden/>
    <w:qFormat/>
    <w:uiPriority w:val="98"/>
    <w:rPr>
      <w:rFonts w:ascii="宋体" w:hAnsi="Courier New" w:eastAsia="宋体"/>
      <w:kern w:val="2"/>
      <w:sz w:val="21"/>
      <w:lang w:val="en-US" w:eastAsia="zh-CN" w:bidi="ar-SA"/>
    </w:rPr>
  </w:style>
  <w:style w:type="character" w:customStyle="1" w:styleId="42">
    <w:name w:val="正文文本 字符"/>
    <w:link w:val="11"/>
    <w:semiHidden/>
    <w:qFormat/>
    <w:uiPriority w:val="98"/>
    <w:rPr>
      <w:rFonts w:ascii="仿宋_GB2312" w:eastAsia="仿宋_GB2312"/>
      <w:kern w:val="2"/>
      <w:sz w:val="32"/>
    </w:rPr>
  </w:style>
  <w:style w:type="character" w:customStyle="1" w:styleId="43">
    <w:name w:val="页脚 字符"/>
    <w:link w:val="18"/>
    <w:semiHidden/>
    <w:qFormat/>
    <w:uiPriority w:val="0"/>
    <w:rPr>
      <w:kern w:val="2"/>
      <w:sz w:val="18"/>
      <w:szCs w:val="18"/>
    </w:rPr>
  </w:style>
  <w:style w:type="character" w:customStyle="1" w:styleId="44">
    <w:name w:val="标题 3 字符"/>
    <w:link w:val="4"/>
    <w:semiHidden/>
    <w:qFormat/>
    <w:uiPriority w:val="0"/>
    <w:rPr>
      <w:b/>
      <w:bCs/>
      <w:kern w:val="2"/>
      <w:sz w:val="32"/>
      <w:szCs w:val="32"/>
    </w:rPr>
  </w:style>
  <w:style w:type="character" w:customStyle="1" w:styleId="45">
    <w:name w:val="正文文本 Char"/>
    <w:semiHidden/>
    <w:qFormat/>
    <w:uiPriority w:val="98"/>
    <w:rPr>
      <w:rFonts w:ascii="仿宋_GB2312" w:eastAsia="仿宋_GB2312"/>
      <w:kern w:val="2"/>
      <w:sz w:val="32"/>
    </w:rPr>
  </w:style>
  <w:style w:type="character" w:customStyle="1" w:styleId="46">
    <w:name w:val="批注文字 字符"/>
    <w:link w:val="10"/>
    <w:qFormat/>
    <w:uiPriority w:val="99"/>
    <w:rPr>
      <w:kern w:val="2"/>
      <w:sz w:val="21"/>
    </w:rPr>
  </w:style>
  <w:style w:type="character" w:customStyle="1" w:styleId="47">
    <w:name w:val="apple-converted-space"/>
    <w:basedOn w:val="32"/>
    <w:semiHidden/>
    <w:qFormat/>
    <w:uiPriority w:val="98"/>
  </w:style>
  <w:style w:type="character" w:customStyle="1" w:styleId="48">
    <w:name w:val="批注框文本 字符"/>
    <w:link w:val="17"/>
    <w:semiHidden/>
    <w:qFormat/>
    <w:uiPriority w:val="98"/>
    <w:rPr>
      <w:kern w:val="2"/>
      <w:sz w:val="18"/>
      <w:szCs w:val="18"/>
    </w:rPr>
  </w:style>
  <w:style w:type="character" w:customStyle="1" w:styleId="49">
    <w:name w:val="正文文本缩进 字符"/>
    <w:link w:val="12"/>
    <w:semiHidden/>
    <w:qFormat/>
    <w:uiPriority w:val="0"/>
    <w:rPr>
      <w:rFonts w:ascii="Calibri" w:hAnsi="Calibri"/>
      <w:kern w:val="2"/>
      <w:sz w:val="21"/>
      <w:szCs w:val="22"/>
    </w:rPr>
  </w:style>
  <w:style w:type="character" w:customStyle="1" w:styleId="50">
    <w:name w:val="Char Char5"/>
    <w:semiHidden/>
    <w:qFormat/>
    <w:uiPriority w:val="98"/>
    <w:rPr>
      <w:rFonts w:ascii="宋体" w:hAnsi="Courier New" w:eastAsia="宋体"/>
      <w:kern w:val="2"/>
      <w:sz w:val="21"/>
      <w:lang w:val="en-US" w:eastAsia="zh-CN" w:bidi="ar-SA"/>
    </w:rPr>
  </w:style>
  <w:style w:type="character" w:customStyle="1" w:styleId="51">
    <w:name w:val="纯文本 字符1"/>
    <w:link w:val="14"/>
    <w:semiHidden/>
    <w:qFormat/>
    <w:uiPriority w:val="0"/>
    <w:rPr>
      <w:rFonts w:ascii="宋体" w:hAnsi="Courier New"/>
      <w:kern w:val="2"/>
      <w:sz w:val="21"/>
    </w:rPr>
  </w:style>
  <w:style w:type="character" w:customStyle="1" w:styleId="52">
    <w:name w:val="纯文本 字符"/>
    <w:semiHidden/>
    <w:qFormat/>
    <w:uiPriority w:val="98"/>
    <w:rPr>
      <w:rFonts w:ascii="宋体" w:hAnsi="Courier New" w:eastAsia="宋体"/>
    </w:rPr>
  </w:style>
  <w:style w:type="character" w:customStyle="1" w:styleId="53">
    <w:name w:val="页眉 字符"/>
    <w:link w:val="19"/>
    <w:semiHidden/>
    <w:qFormat/>
    <w:uiPriority w:val="0"/>
    <w:rPr>
      <w:kern w:val="2"/>
      <w:sz w:val="18"/>
      <w:szCs w:val="18"/>
    </w:rPr>
  </w:style>
  <w:style w:type="character" w:customStyle="1" w:styleId="54">
    <w:name w:val="批注主题 字符"/>
    <w:link w:val="28"/>
    <w:semiHidden/>
    <w:qFormat/>
    <w:uiPriority w:val="98"/>
    <w:rPr>
      <w:b/>
      <w:bCs/>
      <w:kern w:val="2"/>
      <w:sz w:val="21"/>
    </w:rPr>
  </w:style>
  <w:style w:type="character" w:customStyle="1" w:styleId="55">
    <w:name w:val="Char Char2"/>
    <w:semiHidden/>
    <w:qFormat/>
    <w:uiPriority w:val="98"/>
    <w:rPr>
      <w:rFonts w:ascii="宋体" w:hAnsi="Courier New" w:cs="宋体"/>
      <w:kern w:val="2"/>
      <w:sz w:val="21"/>
      <w:szCs w:val="21"/>
    </w:rPr>
  </w:style>
  <w:style w:type="character" w:customStyle="1" w:styleId="56">
    <w:name w:val="HTML Markup"/>
    <w:semiHidden/>
    <w:qFormat/>
    <w:uiPriority w:val="98"/>
    <w:rPr>
      <w:vanish/>
      <w:color w:val="FF0000"/>
    </w:rPr>
  </w:style>
  <w:style w:type="character" w:customStyle="1" w:styleId="57">
    <w:name w:val="纯文本 Char3"/>
    <w:semiHidden/>
    <w:qFormat/>
    <w:uiPriority w:val="98"/>
    <w:rPr>
      <w:rFonts w:ascii="宋体" w:hAnsi="Courier New" w:eastAsia="宋体"/>
      <w:kern w:val="2"/>
      <w:sz w:val="21"/>
      <w:lang w:val="en-US" w:eastAsia="zh-CN" w:bidi="ar-SA"/>
    </w:rPr>
  </w:style>
  <w:style w:type="character" w:customStyle="1" w:styleId="58">
    <w:name w:val="正文文本缩进 Char"/>
    <w:link w:val="59"/>
    <w:semiHidden/>
    <w:qFormat/>
    <w:uiPriority w:val="98"/>
    <w:rPr>
      <w:kern w:val="2"/>
      <w:sz w:val="21"/>
    </w:rPr>
  </w:style>
  <w:style w:type="paragraph" w:customStyle="1" w:styleId="59">
    <w:name w:val="正文文本缩进1"/>
    <w:basedOn w:val="1"/>
    <w:link w:val="58"/>
    <w:semiHidden/>
    <w:qFormat/>
    <w:uiPriority w:val="98"/>
    <w:pPr>
      <w:spacing w:after="120"/>
      <w:ind w:left="420" w:leftChars="200"/>
    </w:pPr>
  </w:style>
  <w:style w:type="paragraph" w:customStyle="1" w:styleId="60">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1">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3">
    <w:name w:val="List Paragraph"/>
    <w:basedOn w:val="1"/>
    <w:semiHidden/>
    <w:qFormat/>
    <w:uiPriority w:val="98"/>
    <w:pPr>
      <w:ind w:firstLine="420" w:firstLineChars="200"/>
    </w:pPr>
    <w:rPr>
      <w:rFonts w:ascii="Calibri" w:hAnsi="Calibri"/>
      <w:szCs w:val="22"/>
    </w:rPr>
  </w:style>
  <w:style w:type="paragraph" w:customStyle="1" w:styleId="64">
    <w:name w:val="列出段落1"/>
    <w:basedOn w:val="1"/>
    <w:semiHidden/>
    <w:qFormat/>
    <w:uiPriority w:val="98"/>
    <w:pPr>
      <w:ind w:firstLine="420" w:firstLineChars="200"/>
    </w:pPr>
    <w:rPr>
      <w:rFonts w:ascii="Calibri" w:hAnsi="Calibri"/>
      <w:szCs w:val="22"/>
    </w:rPr>
  </w:style>
  <w:style w:type="paragraph" w:customStyle="1" w:styleId="65">
    <w:name w:val="二级列表 Char"/>
    <w:basedOn w:val="1"/>
    <w:semiHidden/>
    <w:qFormat/>
    <w:uiPriority w:val="98"/>
    <w:rPr>
      <w:rFonts w:ascii="Calibri" w:hAnsi="Calibri"/>
    </w:rPr>
  </w:style>
  <w:style w:type="character" w:customStyle="1" w:styleId="66">
    <w:name w:val="style61"/>
    <w:semiHidden/>
    <w:qFormat/>
    <w:uiPriority w:val="98"/>
  </w:style>
  <w:style w:type="character" w:customStyle="1" w:styleId="67">
    <w:name w:val="标题 1 字符"/>
    <w:basedOn w:val="32"/>
    <w:link w:val="2"/>
    <w:semiHidden/>
    <w:qFormat/>
    <w:uiPriority w:val="0"/>
    <w:rPr>
      <w:b/>
      <w:bCs/>
      <w:kern w:val="44"/>
      <w:sz w:val="44"/>
      <w:szCs w:val="44"/>
    </w:rPr>
  </w:style>
  <w:style w:type="paragraph" w:customStyle="1" w:styleId="68">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link w:val="3"/>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Char"/>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1"/>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Subtle Emphasis"/>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1"/>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paragraph" w:customStyle="1" w:styleId="111">
    <w:name w:val="首行缩进"/>
    <w:basedOn w:val="1"/>
    <w:qFormat/>
    <w:uiPriority w:val="0"/>
    <w:pPr>
      <w:spacing w:line="360" w:lineRule="auto"/>
      <w:ind w:firstLine="480" w:firstLineChars="200"/>
    </w:pPr>
    <w:rPr>
      <w:rFonts w:ascii="宋体" w:hAnsi="宋体" w:cs="宋体"/>
      <w:kern w:val="0"/>
      <w:sz w:val="24"/>
    </w:rPr>
  </w:style>
  <w:style w:type="character" w:customStyle="1" w:styleId="112">
    <w:name w:val="font11"/>
    <w:basedOn w:val="32"/>
    <w:qFormat/>
    <w:uiPriority w:val="0"/>
    <w:rPr>
      <w:rFonts w:hint="eastAsia" w:ascii="宋体" w:hAnsi="宋体" w:eastAsia="宋体" w:cs="宋体"/>
      <w:color w:val="000000"/>
      <w:sz w:val="24"/>
      <w:szCs w:val="24"/>
      <w:u w:val="single"/>
    </w:rPr>
  </w:style>
  <w:style w:type="character" w:customStyle="1" w:styleId="113">
    <w:name w:val="font21"/>
    <w:basedOn w:val="32"/>
    <w:qFormat/>
    <w:uiPriority w:val="0"/>
    <w:rPr>
      <w:rFonts w:hint="eastAsia" w:ascii="宋体" w:hAnsi="宋体" w:eastAsia="宋体" w:cs="宋体"/>
      <w:color w:val="000000"/>
      <w:sz w:val="24"/>
      <w:szCs w:val="24"/>
      <w:u w:val="none"/>
    </w:rPr>
  </w:style>
  <w:style w:type="paragraph" w:customStyle="1" w:styleId="114">
    <w:name w:val="标书三级标题"/>
    <w:basedOn w:val="4"/>
    <w:qFormat/>
    <w:uiPriority w:val="0"/>
    <w:pPr>
      <w:spacing w:line="240" w:lineRule="auto"/>
      <w:ind w:firstLine="482" w:firstLineChars="200"/>
    </w:pPr>
    <w:rPr>
      <w:color w:val="000000"/>
      <w:kern w:val="0"/>
      <w:sz w:val="24"/>
      <w:szCs w:val="24"/>
    </w:rPr>
  </w:style>
  <w:style w:type="paragraph" w:customStyle="1" w:styleId="115">
    <w:name w:val="标书正文格式"/>
    <w:basedOn w:val="14"/>
    <w:qFormat/>
    <w:uiPriority w:val="0"/>
    <w:pPr>
      <w:spacing w:line="360" w:lineRule="auto"/>
      <w:ind w:firstLine="200" w:firstLineChars="200"/>
    </w:pPr>
    <w:rPr>
      <w:rFonts w:hAnsi="宋体"/>
      <w:color w:val="000000"/>
      <w:kern w:val="0"/>
      <w:sz w:val="24"/>
      <w:szCs w:val="24"/>
    </w:rPr>
  </w:style>
  <w:style w:type="character" w:customStyle="1" w:styleId="116">
    <w:name w:val="font41"/>
    <w:basedOn w:val="32"/>
    <w:uiPriority w:val="0"/>
    <w:rPr>
      <w:rFonts w:hint="eastAsia" w:ascii="宋体" w:hAnsi="宋体" w:eastAsia="宋体" w:cs="宋体"/>
      <w:color w:val="000000"/>
      <w:sz w:val="20"/>
      <w:szCs w:val="20"/>
      <w:u w:val="none"/>
    </w:rPr>
  </w:style>
  <w:style w:type="character" w:customStyle="1" w:styleId="117">
    <w:name w:val="font71"/>
    <w:basedOn w:val="32"/>
    <w:uiPriority w:val="0"/>
    <w:rPr>
      <w:rFonts w:hint="default" w:ascii="Times New Roman" w:hAnsi="Times New Roman" w:cs="Times New Roman"/>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2.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emf"/><Relationship Id="rId15" Type="http://schemas.openxmlformats.org/officeDocument/2006/relationships/oleObject" Target="embeddings/oleObject1.bin"/><Relationship Id="rId14" Type="http://schemas.openxmlformats.org/officeDocument/2006/relationships/image" Target="media/image2.jpe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31</Pages>
  <Words>774</Words>
  <Characters>807</Characters>
  <Lines>127</Lines>
  <Paragraphs>35</Paragraphs>
  <TotalTime>9</TotalTime>
  <ScaleCrop>false</ScaleCrop>
  <LinksUpToDate>false</LinksUpToDate>
  <CharactersWithSpaces>845</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0174L</cp:lastModifiedBy>
  <cp:lastPrinted>2020-06-28T02:28:00Z</cp:lastPrinted>
  <dcterms:modified xsi:type="dcterms:W3CDTF">2025-12-18T08:13:32Z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00C72FA4176F42418B7E9E2970715569_13</vt:lpwstr>
  </property>
  <property fmtid="{D5CDD505-2E9C-101B-9397-08002B2CF9AE}" pid="4" name="KSOTemplateDocerSaveRecord">
    <vt:lpwstr>eyJoZGlkIjoiZDZiY2E3MTk3OWVkMDZmNDgwYmUwNDViMmIxMTA0OGYiLCJ1c2VySWQiOiIxMTQwNDY2NTAwIn0=</vt:lpwstr>
  </property>
</Properties>
</file>