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20F02">
      <w:pPr>
        <w:jc w:val="center"/>
        <w:rPr>
          <w:rFonts w:hint="eastAsia" w:ascii="宋体" w:hAnsi="宋体"/>
          <w:b/>
          <w:sz w:val="44"/>
          <w:szCs w:val="44"/>
        </w:rPr>
      </w:pPr>
    </w:p>
    <w:p w14:paraId="412F6872">
      <w:pPr>
        <w:jc w:val="center"/>
        <w:rPr>
          <w:rFonts w:hint="eastAsia" w:ascii="宋体" w:hAnsi="宋体"/>
          <w:b/>
          <w:sz w:val="44"/>
          <w:szCs w:val="44"/>
        </w:rPr>
      </w:pPr>
    </w:p>
    <w:p w14:paraId="4B81463B">
      <w:pPr>
        <w:jc w:val="center"/>
        <w:rPr>
          <w:rFonts w:hint="eastAsia" w:ascii="宋体" w:hAnsi="宋体"/>
          <w:b/>
          <w:sz w:val="44"/>
          <w:szCs w:val="44"/>
        </w:rPr>
      </w:pPr>
      <w:r>
        <w:rPr>
          <w:rFonts w:hint="eastAsia" w:ascii="宋体" w:hAnsi="宋体"/>
          <w:b/>
          <w:sz w:val="44"/>
          <w:szCs w:val="44"/>
          <w:lang w:val="en-US" w:eastAsia="zh-CN"/>
        </w:rPr>
        <w:t>重汽（济南）车桥</w:t>
      </w:r>
      <w:r>
        <w:rPr>
          <w:rFonts w:hint="eastAsia" w:ascii="宋体" w:hAnsi="宋体"/>
          <w:b/>
          <w:sz w:val="44"/>
          <w:szCs w:val="44"/>
        </w:rPr>
        <w:t>有限公司</w:t>
      </w:r>
    </w:p>
    <w:p w14:paraId="1681B3E5">
      <w:pPr>
        <w:ind w:right="280"/>
        <w:jc w:val="center"/>
        <w:rPr>
          <w:rFonts w:hint="eastAsia" w:ascii="宋体" w:hAnsi="宋体"/>
          <w:b/>
          <w:sz w:val="44"/>
          <w:szCs w:val="44"/>
          <w:lang w:val="en-US" w:eastAsia="zh-CN"/>
        </w:rPr>
      </w:pPr>
      <w:r>
        <w:rPr>
          <w:rFonts w:hint="eastAsia" w:ascii="宋体" w:hAnsi="宋体"/>
          <w:b/>
          <w:sz w:val="44"/>
          <w:szCs w:val="44"/>
          <w:lang w:val="en-US" w:eastAsia="zh-CN"/>
        </w:rPr>
        <w:t xml:space="preserve"> </w:t>
      </w:r>
    </w:p>
    <w:p w14:paraId="09486F5A">
      <w:pPr>
        <w:ind w:right="280"/>
        <w:jc w:val="center"/>
        <w:rPr>
          <w:rFonts w:hint="eastAsia" w:ascii="宋体" w:hAnsi="宋体"/>
          <w:b/>
          <w:sz w:val="44"/>
          <w:szCs w:val="44"/>
          <w:lang w:val="en-US" w:eastAsia="zh-CN"/>
        </w:rPr>
      </w:pPr>
    </w:p>
    <w:p w14:paraId="54A09999">
      <w:pPr>
        <w:pStyle w:val="6"/>
        <w:rPr>
          <w:rFonts w:hint="eastAsia" w:ascii="宋体" w:hAnsi="宋体"/>
          <w:b/>
          <w:sz w:val="44"/>
          <w:szCs w:val="44"/>
          <w:lang w:val="en-US" w:eastAsia="zh-CN"/>
        </w:rPr>
      </w:pPr>
    </w:p>
    <w:p w14:paraId="1929F4EE">
      <w:pPr>
        <w:rPr>
          <w:rFonts w:hint="eastAsia" w:ascii="宋体" w:hAnsi="宋体"/>
          <w:b/>
          <w:sz w:val="44"/>
          <w:szCs w:val="44"/>
          <w:lang w:val="en-US" w:eastAsia="zh-CN"/>
        </w:rPr>
      </w:pPr>
    </w:p>
    <w:p w14:paraId="6F473AAA">
      <w:pPr>
        <w:pStyle w:val="6"/>
        <w:rPr>
          <w:rFonts w:hint="eastAsia" w:ascii="宋体" w:hAnsi="宋体"/>
          <w:b/>
          <w:sz w:val="44"/>
          <w:szCs w:val="44"/>
          <w:lang w:val="en-US" w:eastAsia="zh-CN"/>
        </w:rPr>
      </w:pPr>
    </w:p>
    <w:p w14:paraId="315CEF6F">
      <w:pPr>
        <w:rPr>
          <w:rFonts w:hint="eastAsia"/>
          <w:lang w:val="en-US" w:eastAsia="zh-CN"/>
        </w:rPr>
      </w:pPr>
    </w:p>
    <w:p w14:paraId="03DC756F">
      <w:pPr>
        <w:pStyle w:val="8"/>
        <w:jc w:val="center"/>
        <w:rPr>
          <w:rFonts w:hint="default" w:ascii="宋体" w:hAnsi="宋体" w:cs="宋体"/>
          <w:sz w:val="72"/>
          <w:szCs w:val="72"/>
          <w:lang w:val="en-US"/>
        </w:rPr>
      </w:pPr>
      <w:r>
        <w:rPr>
          <w:rFonts w:hint="eastAsia" w:ascii="宋体" w:hAnsi="宋体" w:cs="宋体"/>
          <w:sz w:val="72"/>
          <w:szCs w:val="72"/>
          <w:lang w:val="en-US" w:eastAsia="zh-CN"/>
        </w:rPr>
        <w:t>招标书文件</w:t>
      </w:r>
    </w:p>
    <w:p w14:paraId="7157EAC1">
      <w:pPr>
        <w:pStyle w:val="8"/>
        <w:rPr>
          <w:rFonts w:hint="eastAsia" w:ascii="宋体" w:hAnsi="宋体" w:cs="宋体"/>
          <w:sz w:val="72"/>
          <w:szCs w:val="72"/>
        </w:rPr>
      </w:pPr>
    </w:p>
    <w:p w14:paraId="42031822">
      <w:pPr>
        <w:pStyle w:val="8"/>
        <w:rPr>
          <w:rFonts w:hint="eastAsia" w:ascii="宋体" w:hAnsi="宋体" w:cs="宋体"/>
          <w:sz w:val="72"/>
          <w:szCs w:val="72"/>
        </w:rPr>
      </w:pPr>
    </w:p>
    <w:p w14:paraId="6C34A2D4">
      <w:pPr>
        <w:widowControl/>
        <w:spacing w:line="360" w:lineRule="auto"/>
        <w:jc w:val="both"/>
        <w:rPr>
          <w:rFonts w:hint="eastAsia" w:ascii="宋体" w:hAnsi="宋体" w:cs="宋体"/>
          <w:sz w:val="72"/>
          <w:szCs w:val="72"/>
        </w:rPr>
      </w:pPr>
    </w:p>
    <w:p w14:paraId="79969E04">
      <w:pPr>
        <w:jc w:val="center"/>
        <w:rPr>
          <w:rFonts w:hint="default" w:ascii="楷体_GB2312" w:eastAsia="宋体"/>
          <w:b/>
          <w:sz w:val="32"/>
          <w:szCs w:val="36"/>
          <w:u w:val="single"/>
          <w:lang w:val="en-US" w:eastAsia="zh-CN"/>
        </w:rPr>
      </w:pPr>
      <w:r>
        <w:rPr>
          <w:rFonts w:hint="eastAsia" w:ascii="宋体" w:hAnsi="宋体" w:cs="宋体"/>
          <w:b/>
          <w:bCs/>
          <w:kern w:val="0"/>
          <w:sz w:val="32"/>
          <w:szCs w:val="32"/>
        </w:rPr>
        <w:t>项目</w:t>
      </w:r>
      <w:r>
        <w:rPr>
          <w:rFonts w:hint="eastAsia" w:ascii="宋体" w:hAnsi="宋体" w:cs="宋体"/>
          <w:b/>
          <w:bCs/>
          <w:kern w:val="0"/>
          <w:sz w:val="32"/>
          <w:szCs w:val="32"/>
          <w:lang w:val="en-US" w:eastAsia="zh-CN"/>
        </w:rPr>
        <w:t>名称</w:t>
      </w:r>
      <w:r>
        <w:rPr>
          <w:rFonts w:hint="eastAsia" w:ascii="宋体" w:hAnsi="宋体" w:cs="宋体"/>
          <w:b/>
          <w:bCs/>
          <w:kern w:val="0"/>
          <w:sz w:val="32"/>
          <w:szCs w:val="32"/>
        </w:rPr>
        <w:t>：</w:t>
      </w:r>
      <w:r>
        <w:rPr>
          <w:rFonts w:hint="eastAsia" w:ascii="宋体" w:hAnsi="宋体" w:cs="宋体"/>
          <w:b/>
          <w:bCs/>
          <w:kern w:val="0"/>
          <w:sz w:val="32"/>
          <w:szCs w:val="32"/>
          <w:u w:val="single"/>
          <w:lang w:val="en-US" w:eastAsia="zh-CN"/>
        </w:rPr>
        <w:t>前桥驱动桥喷漆项目</w:t>
      </w:r>
    </w:p>
    <w:p w14:paraId="3242072D">
      <w:pPr>
        <w:pStyle w:val="8"/>
        <w:rPr>
          <w:rFonts w:hint="eastAsia" w:ascii="宋体" w:hAnsi="宋体" w:cs="宋体"/>
          <w:sz w:val="72"/>
          <w:szCs w:val="72"/>
        </w:rPr>
      </w:pPr>
    </w:p>
    <w:p w14:paraId="71EA6E4B">
      <w:pPr>
        <w:pStyle w:val="8"/>
        <w:rPr>
          <w:rFonts w:hint="eastAsia" w:ascii="宋体" w:hAnsi="宋体" w:cs="宋体"/>
          <w:sz w:val="72"/>
          <w:szCs w:val="72"/>
        </w:rPr>
      </w:pPr>
    </w:p>
    <w:p w14:paraId="0581F6A2">
      <w:pPr>
        <w:jc w:val="center"/>
        <w:rPr>
          <w:rFonts w:hint="eastAsia" w:ascii="宋体" w:hAnsi="宋体"/>
          <w:b/>
          <w:bCs/>
          <w:sz w:val="30"/>
          <w:szCs w:val="30"/>
        </w:rPr>
      </w:pPr>
      <w:r>
        <w:rPr>
          <w:rFonts w:hint="eastAsia" w:ascii="宋体" w:hAnsi="宋体"/>
          <w:b/>
          <w:bCs/>
          <w:sz w:val="30"/>
          <w:szCs w:val="30"/>
        </w:rPr>
        <w:t>招 标 人：</w:t>
      </w:r>
      <w:r>
        <w:rPr>
          <w:rFonts w:hint="eastAsia" w:ascii="宋体" w:hAnsi="宋体"/>
          <w:b/>
          <w:bCs/>
          <w:sz w:val="30"/>
          <w:szCs w:val="30"/>
          <w:lang w:val="en-US" w:eastAsia="zh-CN"/>
        </w:rPr>
        <w:t>重汽（济南）车桥</w:t>
      </w:r>
      <w:r>
        <w:rPr>
          <w:rFonts w:hint="eastAsia" w:ascii="宋体" w:hAnsi="宋体"/>
          <w:b/>
          <w:bCs/>
          <w:sz w:val="30"/>
          <w:szCs w:val="30"/>
        </w:rPr>
        <w:t>有限公司</w:t>
      </w:r>
    </w:p>
    <w:p w14:paraId="0AE46485">
      <w:pPr>
        <w:spacing w:line="480" w:lineRule="auto"/>
        <w:jc w:val="center"/>
        <w:rPr>
          <w:rFonts w:hint="eastAsia" w:ascii="宋体" w:hAnsi="宋体"/>
          <w:b/>
          <w:bCs/>
          <w:sz w:val="30"/>
          <w:szCs w:val="30"/>
        </w:rPr>
      </w:pPr>
      <w:r>
        <w:rPr>
          <w:rFonts w:ascii="宋体" w:hAnsi="宋体"/>
          <w:b/>
          <w:bCs/>
          <w:sz w:val="30"/>
          <w:szCs w:val="30"/>
        </w:rPr>
        <w:t>202</w:t>
      </w:r>
      <w:r>
        <w:rPr>
          <w:rFonts w:hint="eastAsia" w:ascii="宋体" w:hAnsi="宋体"/>
          <w:b/>
          <w:bCs/>
          <w:sz w:val="30"/>
          <w:szCs w:val="30"/>
          <w:lang w:val="en-US" w:eastAsia="zh-CN"/>
        </w:rPr>
        <w:t>5</w:t>
      </w:r>
      <w:r>
        <w:rPr>
          <w:rFonts w:hint="eastAsia" w:ascii="宋体" w:hAnsi="宋体"/>
          <w:b/>
          <w:bCs/>
          <w:sz w:val="30"/>
          <w:szCs w:val="30"/>
        </w:rPr>
        <w:t xml:space="preserve">年 </w:t>
      </w:r>
      <w:r>
        <w:rPr>
          <w:rFonts w:hint="default" w:ascii="宋体" w:hAnsi="宋体"/>
          <w:b/>
          <w:bCs/>
          <w:sz w:val="30"/>
          <w:szCs w:val="30"/>
        </w:rPr>
        <w:t>1</w:t>
      </w:r>
      <w:r>
        <w:rPr>
          <w:rFonts w:hint="eastAsia" w:ascii="宋体" w:hAnsi="宋体"/>
          <w:b/>
          <w:bCs/>
          <w:sz w:val="30"/>
          <w:szCs w:val="30"/>
          <w:lang w:val="en-US" w:eastAsia="zh-CN"/>
        </w:rPr>
        <w:t>1</w:t>
      </w:r>
      <w:r>
        <w:rPr>
          <w:rFonts w:hint="eastAsia" w:ascii="宋体" w:hAnsi="宋体"/>
          <w:b/>
          <w:bCs/>
          <w:sz w:val="30"/>
          <w:szCs w:val="30"/>
        </w:rPr>
        <w:t xml:space="preserve"> 月</w:t>
      </w:r>
    </w:p>
    <w:p w14:paraId="2916CE7C">
      <w:pPr>
        <w:rPr>
          <w:rFonts w:hint="eastAsia" w:ascii="宋体" w:hAnsi="宋体"/>
          <w:b/>
          <w:bCs/>
          <w:sz w:val="30"/>
          <w:szCs w:val="30"/>
        </w:rPr>
      </w:pPr>
    </w:p>
    <w:p w14:paraId="2B44DE15">
      <w:pPr>
        <w:pStyle w:val="6"/>
        <w:rPr>
          <w:rFonts w:hint="eastAsia" w:ascii="宋体" w:hAnsi="宋体"/>
          <w:b/>
          <w:bCs/>
          <w:sz w:val="30"/>
          <w:szCs w:val="30"/>
        </w:rPr>
      </w:pPr>
    </w:p>
    <w:p w14:paraId="31F3C3C3">
      <w:pPr>
        <w:tabs>
          <w:tab w:val="left" w:pos="3240"/>
        </w:tabs>
        <w:spacing w:line="480" w:lineRule="auto"/>
        <w:rPr>
          <w:rFonts w:ascii="宋体" w:hAnsi="宋体"/>
          <w:b/>
          <w:bCs/>
          <w:sz w:val="24"/>
        </w:rPr>
      </w:pPr>
      <w:r>
        <w:rPr>
          <w:rFonts w:ascii="宋体" w:hAnsi="宋体"/>
          <w:b/>
          <w:bCs/>
          <w:sz w:val="24"/>
        </w:rPr>
        <w:tab/>
      </w:r>
    </w:p>
    <w:sdt>
      <w:sdtPr>
        <w:rPr>
          <w:rFonts w:ascii="宋体" w:hAnsi="宋体" w:eastAsia="宋体" w:cs="Times New Roman"/>
          <w:b/>
          <w:bCs/>
          <w:kern w:val="2"/>
          <w:sz w:val="32"/>
          <w:szCs w:val="32"/>
          <w:lang w:val="en-US" w:eastAsia="zh-CN" w:bidi="ar-SA"/>
        </w:rPr>
        <w:id w:val="147482366"/>
        <w15:color w:val="DBDBDB"/>
        <w:docPartObj>
          <w:docPartGallery w:val="Table of Contents"/>
          <w:docPartUnique/>
        </w:docPartObj>
      </w:sdtPr>
      <w:sdtEndPr>
        <w:rPr>
          <w:rFonts w:hint="eastAsia" w:ascii="仿宋_GB2312" w:hAnsi="Times New Roman" w:eastAsia="仿宋_GB2312" w:cs="Times New Roman"/>
          <w:b/>
          <w:bCs/>
          <w:kern w:val="2"/>
          <w:sz w:val="32"/>
          <w:szCs w:val="32"/>
          <w:lang w:val="en-US" w:eastAsia="zh-CN" w:bidi="ar-SA"/>
        </w:rPr>
      </w:sdtEndPr>
      <w:sdtContent>
        <w:p w14:paraId="7210C506">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14:paraId="20E573B8">
          <w:pPr>
            <w:pStyle w:val="12"/>
            <w:tabs>
              <w:tab w:val="right" w:leader="dot" w:pos="8732"/>
              <w:tab w:val="clear" w:pos="8729"/>
            </w:tabs>
          </w:pPr>
          <w:r>
            <w:rPr>
              <w:rFonts w:hint="eastAsia" w:ascii="仿宋_GB2312" w:hAnsi="Times New Roman" w:eastAsia="仿宋_GB2312" w:cs="Times New Roman"/>
              <w:kern w:val="2"/>
              <w:sz w:val="32"/>
              <w:lang w:val="en-US" w:eastAsia="zh-CN" w:bidi="ar-SA"/>
            </w:rPr>
            <w:fldChar w:fldCharType="begin"/>
          </w:r>
          <w:r>
            <w:rPr>
              <w:rFonts w:hint="eastAsia" w:ascii="仿宋_GB2312" w:hAnsi="Times New Roman" w:eastAsia="仿宋_GB2312" w:cs="Times New Roman"/>
              <w:kern w:val="2"/>
              <w:sz w:val="32"/>
              <w:lang w:val="en-US" w:eastAsia="zh-CN" w:bidi="ar-SA"/>
            </w:rPr>
            <w:instrText xml:space="preserve">TOC \o "1-2" \h \u </w:instrText>
          </w:r>
          <w:r>
            <w:rPr>
              <w:rFonts w:hint="eastAsia" w:ascii="仿宋_GB2312" w:hAnsi="Times New Roman" w:eastAsia="仿宋_GB2312" w:cs="Times New Roman"/>
              <w:kern w:val="2"/>
              <w:sz w:val="32"/>
              <w:lang w:val="en-US" w:eastAsia="zh-CN" w:bidi="ar-SA"/>
            </w:rPr>
            <w:fldChar w:fldCharType="separate"/>
          </w: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_Toc20756 </w:instrText>
          </w:r>
          <w:r>
            <w:rPr>
              <w:rFonts w:hint="eastAsia" w:ascii="仿宋_GB2312" w:hAnsi="Times New Roman" w:eastAsia="仿宋_GB2312" w:cs="Times New Roman"/>
              <w:kern w:val="2"/>
              <w:lang w:val="en-US" w:eastAsia="zh-CN" w:bidi="ar-SA"/>
            </w:rPr>
            <w:fldChar w:fldCharType="separate"/>
          </w:r>
          <w:r>
            <w:rPr>
              <w:rFonts w:hint="eastAsia"/>
            </w:rPr>
            <w:t>第一章 招标公告</w:t>
          </w:r>
          <w:r>
            <w:tab/>
          </w:r>
          <w:r>
            <w:fldChar w:fldCharType="begin"/>
          </w:r>
          <w:r>
            <w:instrText xml:space="preserve"> PAGEREF _Toc20756 \h </w:instrText>
          </w:r>
          <w:r>
            <w:fldChar w:fldCharType="separate"/>
          </w:r>
          <w:r>
            <w:t>- 1 -</w:t>
          </w:r>
          <w:r>
            <w:fldChar w:fldCharType="end"/>
          </w:r>
          <w:r>
            <w:rPr>
              <w:rFonts w:hint="eastAsia" w:ascii="仿宋_GB2312" w:hAnsi="Times New Roman" w:eastAsia="仿宋_GB2312" w:cs="Times New Roman"/>
              <w:kern w:val="2"/>
              <w:lang w:val="en-US" w:eastAsia="zh-CN" w:bidi="ar-SA"/>
            </w:rPr>
            <w:fldChar w:fldCharType="end"/>
          </w:r>
        </w:p>
        <w:p w14:paraId="3BDB10B9">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_Toc24321 </w:instrText>
          </w:r>
          <w:r>
            <w:rPr>
              <w:rFonts w:hint="eastAsia" w:ascii="仿宋_GB2312" w:hAnsi="Times New Roman" w:eastAsia="仿宋_GB2312" w:cs="Times New Roman"/>
              <w:kern w:val="2"/>
              <w:lang w:val="en-US" w:eastAsia="zh-CN" w:bidi="ar-SA"/>
            </w:rPr>
            <w:fldChar w:fldCharType="separate"/>
          </w:r>
          <w:r>
            <w:rPr>
              <w:rFonts w:hint="eastAsia"/>
            </w:rPr>
            <w:t>一、项目名称</w:t>
          </w:r>
          <w:r>
            <w:tab/>
          </w:r>
          <w:r>
            <w:fldChar w:fldCharType="begin"/>
          </w:r>
          <w:r>
            <w:instrText xml:space="preserve"> PAGEREF _Toc24321 \h </w:instrText>
          </w:r>
          <w:r>
            <w:fldChar w:fldCharType="separate"/>
          </w:r>
          <w:r>
            <w:t>- 1 -</w:t>
          </w:r>
          <w:r>
            <w:fldChar w:fldCharType="end"/>
          </w:r>
          <w:r>
            <w:rPr>
              <w:rFonts w:hint="eastAsia" w:ascii="仿宋_GB2312" w:hAnsi="Times New Roman" w:eastAsia="仿宋_GB2312" w:cs="Times New Roman"/>
              <w:kern w:val="2"/>
              <w:lang w:val="en-US" w:eastAsia="zh-CN" w:bidi="ar-SA"/>
            </w:rPr>
            <w:fldChar w:fldCharType="end"/>
          </w:r>
        </w:p>
        <w:p w14:paraId="7978FC50">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_Toc7419 </w:instrText>
          </w:r>
          <w:r>
            <w:rPr>
              <w:rFonts w:hint="eastAsia" w:ascii="仿宋_GB2312" w:hAnsi="Times New Roman" w:eastAsia="仿宋_GB2312" w:cs="Times New Roman"/>
              <w:kern w:val="2"/>
              <w:lang w:val="en-US" w:eastAsia="zh-CN" w:bidi="ar-SA"/>
            </w:rPr>
            <w:fldChar w:fldCharType="separate"/>
          </w:r>
          <w:r>
            <w:rPr>
              <w:rFonts w:hint="eastAsia"/>
            </w:rPr>
            <w:t>二、招标内容</w:t>
          </w:r>
          <w:r>
            <w:tab/>
          </w:r>
          <w:r>
            <w:fldChar w:fldCharType="begin"/>
          </w:r>
          <w:r>
            <w:instrText xml:space="preserve"> PAGEREF _Toc7419 \h </w:instrText>
          </w:r>
          <w:r>
            <w:fldChar w:fldCharType="separate"/>
          </w:r>
          <w:r>
            <w:t>- 1 -</w:t>
          </w:r>
          <w:r>
            <w:fldChar w:fldCharType="end"/>
          </w:r>
          <w:r>
            <w:rPr>
              <w:rFonts w:hint="eastAsia" w:ascii="仿宋_GB2312" w:hAnsi="Times New Roman" w:eastAsia="仿宋_GB2312" w:cs="Times New Roman"/>
              <w:kern w:val="2"/>
              <w:lang w:val="en-US" w:eastAsia="zh-CN" w:bidi="ar-SA"/>
            </w:rPr>
            <w:fldChar w:fldCharType="end"/>
          </w:r>
        </w:p>
        <w:p w14:paraId="2A025F15">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_Toc3896 </w:instrText>
          </w:r>
          <w:r>
            <w:rPr>
              <w:rFonts w:hint="eastAsia" w:ascii="仿宋_GB2312" w:hAnsi="Times New Roman" w:eastAsia="仿宋_GB2312" w:cs="Times New Roman"/>
              <w:kern w:val="2"/>
              <w:lang w:val="en-US" w:eastAsia="zh-CN" w:bidi="ar-SA"/>
            </w:rPr>
            <w:fldChar w:fldCharType="separate"/>
          </w:r>
          <w:r>
            <w:rPr>
              <w:rFonts w:hint="eastAsia"/>
            </w:rPr>
            <w:t>三、招标形式</w:t>
          </w:r>
          <w:r>
            <w:tab/>
          </w:r>
          <w:r>
            <w:fldChar w:fldCharType="begin"/>
          </w:r>
          <w:r>
            <w:instrText xml:space="preserve"> PAGEREF _Toc3896 \h </w:instrText>
          </w:r>
          <w:r>
            <w:fldChar w:fldCharType="separate"/>
          </w:r>
          <w:r>
            <w:t>- 4 -</w:t>
          </w:r>
          <w:r>
            <w:fldChar w:fldCharType="end"/>
          </w:r>
          <w:r>
            <w:rPr>
              <w:rFonts w:hint="eastAsia" w:ascii="仿宋_GB2312" w:hAnsi="Times New Roman" w:eastAsia="仿宋_GB2312" w:cs="Times New Roman"/>
              <w:kern w:val="2"/>
              <w:lang w:val="en-US" w:eastAsia="zh-CN" w:bidi="ar-SA"/>
            </w:rPr>
            <w:fldChar w:fldCharType="end"/>
          </w:r>
        </w:p>
        <w:p w14:paraId="2A848BFF">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_Toc18869 </w:instrText>
          </w:r>
          <w:r>
            <w:rPr>
              <w:rFonts w:hint="eastAsia" w:ascii="仿宋_GB2312" w:hAnsi="Times New Roman" w:eastAsia="仿宋_GB2312" w:cs="Times New Roman"/>
              <w:kern w:val="2"/>
              <w:lang w:val="en-US" w:eastAsia="zh-CN" w:bidi="ar-SA"/>
            </w:rPr>
            <w:fldChar w:fldCharType="separate"/>
          </w:r>
          <w:r>
            <w:rPr>
              <w:rFonts w:hint="eastAsia"/>
            </w:rPr>
            <w:t>四、议程安排</w:t>
          </w:r>
          <w:r>
            <w:tab/>
          </w:r>
          <w:r>
            <w:fldChar w:fldCharType="begin"/>
          </w:r>
          <w:r>
            <w:instrText xml:space="preserve"> PAGEREF _Toc18869 \h </w:instrText>
          </w:r>
          <w:r>
            <w:fldChar w:fldCharType="separate"/>
          </w:r>
          <w:r>
            <w:t>- 4 -</w:t>
          </w:r>
          <w:r>
            <w:fldChar w:fldCharType="end"/>
          </w:r>
          <w:r>
            <w:rPr>
              <w:rFonts w:hint="eastAsia" w:ascii="仿宋_GB2312" w:hAnsi="Times New Roman" w:eastAsia="仿宋_GB2312" w:cs="Times New Roman"/>
              <w:kern w:val="2"/>
              <w:lang w:val="en-US" w:eastAsia="zh-CN" w:bidi="ar-SA"/>
            </w:rPr>
            <w:fldChar w:fldCharType="end"/>
          </w:r>
        </w:p>
        <w:p w14:paraId="2552CA47">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_Toc26003 </w:instrText>
          </w:r>
          <w:r>
            <w:rPr>
              <w:rFonts w:hint="eastAsia" w:ascii="仿宋_GB2312" w:hAnsi="Times New Roman" w:eastAsia="仿宋_GB2312" w:cs="Times New Roman"/>
              <w:kern w:val="2"/>
              <w:lang w:val="en-US" w:eastAsia="zh-CN" w:bidi="ar-SA"/>
            </w:rPr>
            <w:fldChar w:fldCharType="separate"/>
          </w:r>
          <w:r>
            <w:rPr>
              <w:rFonts w:hint="eastAsia"/>
            </w:rPr>
            <w:t>五、获取招标文件</w:t>
          </w:r>
          <w:r>
            <w:tab/>
          </w:r>
          <w:r>
            <w:fldChar w:fldCharType="begin"/>
          </w:r>
          <w:r>
            <w:instrText xml:space="preserve"> PAGEREF _Toc26003 \h </w:instrText>
          </w:r>
          <w:r>
            <w:fldChar w:fldCharType="separate"/>
          </w:r>
          <w:r>
            <w:t>- 5 -</w:t>
          </w:r>
          <w:r>
            <w:fldChar w:fldCharType="end"/>
          </w:r>
          <w:r>
            <w:rPr>
              <w:rFonts w:hint="eastAsia" w:ascii="仿宋_GB2312" w:hAnsi="Times New Roman" w:eastAsia="仿宋_GB2312" w:cs="Times New Roman"/>
              <w:kern w:val="2"/>
              <w:lang w:val="en-US" w:eastAsia="zh-CN" w:bidi="ar-SA"/>
            </w:rPr>
            <w:fldChar w:fldCharType="end"/>
          </w:r>
        </w:p>
        <w:p w14:paraId="017412CA">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_Toc29478 </w:instrText>
          </w:r>
          <w:r>
            <w:rPr>
              <w:rFonts w:hint="eastAsia" w:ascii="仿宋_GB2312" w:hAnsi="Times New Roman" w:eastAsia="仿宋_GB2312" w:cs="Times New Roman"/>
              <w:kern w:val="2"/>
              <w:lang w:val="en-US" w:eastAsia="zh-CN" w:bidi="ar-SA"/>
            </w:rPr>
            <w:fldChar w:fldCharType="separate"/>
          </w:r>
          <w:r>
            <w:rPr>
              <w:rFonts w:hint="eastAsia"/>
            </w:rPr>
            <w:t>六、 投标须知</w:t>
          </w:r>
          <w:r>
            <w:tab/>
          </w:r>
          <w:r>
            <w:fldChar w:fldCharType="begin"/>
          </w:r>
          <w:r>
            <w:instrText xml:space="preserve"> PAGEREF _Toc29478 \h </w:instrText>
          </w:r>
          <w:r>
            <w:fldChar w:fldCharType="separate"/>
          </w:r>
          <w:r>
            <w:t>- 5 -</w:t>
          </w:r>
          <w:r>
            <w:fldChar w:fldCharType="end"/>
          </w:r>
          <w:r>
            <w:rPr>
              <w:rFonts w:hint="eastAsia" w:ascii="仿宋_GB2312" w:hAnsi="Times New Roman" w:eastAsia="仿宋_GB2312" w:cs="Times New Roman"/>
              <w:kern w:val="2"/>
              <w:lang w:val="en-US" w:eastAsia="zh-CN" w:bidi="ar-SA"/>
            </w:rPr>
            <w:fldChar w:fldCharType="end"/>
          </w:r>
        </w:p>
        <w:p w14:paraId="754EDFBC">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_Toc7516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七</w:t>
          </w:r>
          <w:r>
            <w:rPr>
              <w:rFonts w:hint="default"/>
              <w:lang w:val="en-US" w:eastAsia="zh-CN"/>
            </w:rPr>
            <w:t>、</w:t>
          </w:r>
          <w:r>
            <w:rPr>
              <w:rFonts w:hint="eastAsia"/>
              <w:lang w:val="en-US" w:eastAsia="zh-CN"/>
            </w:rPr>
            <w:t>生产管理</w:t>
          </w:r>
          <w:r>
            <w:tab/>
          </w:r>
          <w:r>
            <w:fldChar w:fldCharType="begin"/>
          </w:r>
          <w:r>
            <w:instrText xml:space="preserve"> PAGEREF _Toc7516 \h </w:instrText>
          </w:r>
          <w:r>
            <w:fldChar w:fldCharType="separate"/>
          </w:r>
          <w:r>
            <w:t>- 7 -</w:t>
          </w:r>
          <w:r>
            <w:fldChar w:fldCharType="end"/>
          </w:r>
          <w:r>
            <w:rPr>
              <w:rFonts w:hint="eastAsia" w:ascii="仿宋_GB2312" w:hAnsi="Times New Roman" w:eastAsia="仿宋_GB2312" w:cs="Times New Roman"/>
              <w:kern w:val="2"/>
              <w:lang w:val="en-US" w:eastAsia="zh-CN" w:bidi="ar-SA"/>
            </w:rPr>
            <w:fldChar w:fldCharType="end"/>
          </w:r>
        </w:p>
        <w:p w14:paraId="3E2AD550">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_Toc668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八</w:t>
          </w:r>
          <w:r>
            <w:rPr>
              <w:rFonts w:hint="eastAsia"/>
            </w:rPr>
            <w:t>、投标、开标、评标</w:t>
          </w:r>
          <w:r>
            <w:tab/>
          </w:r>
          <w:r>
            <w:fldChar w:fldCharType="begin"/>
          </w:r>
          <w:r>
            <w:instrText xml:space="preserve"> PAGEREF _Toc668 \h </w:instrText>
          </w:r>
          <w:r>
            <w:fldChar w:fldCharType="separate"/>
          </w:r>
          <w:r>
            <w:t>- 11 -</w:t>
          </w:r>
          <w:r>
            <w:fldChar w:fldCharType="end"/>
          </w:r>
          <w:r>
            <w:rPr>
              <w:rFonts w:hint="eastAsia" w:ascii="仿宋_GB2312" w:hAnsi="Times New Roman" w:eastAsia="仿宋_GB2312" w:cs="Times New Roman"/>
              <w:kern w:val="2"/>
              <w:lang w:val="en-US" w:eastAsia="zh-CN" w:bidi="ar-SA"/>
            </w:rPr>
            <w:fldChar w:fldCharType="end"/>
          </w:r>
        </w:p>
        <w:p w14:paraId="05CF31E3">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_Toc20773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九</w:t>
          </w:r>
          <w:r>
            <w:rPr>
              <w:rFonts w:hint="eastAsia"/>
            </w:rPr>
            <w:t>、双方责任</w:t>
          </w:r>
          <w:r>
            <w:tab/>
          </w:r>
          <w:r>
            <w:fldChar w:fldCharType="begin"/>
          </w:r>
          <w:r>
            <w:instrText xml:space="preserve"> PAGEREF _Toc20773 \h </w:instrText>
          </w:r>
          <w:r>
            <w:fldChar w:fldCharType="separate"/>
          </w:r>
          <w:r>
            <w:t>- 12 -</w:t>
          </w:r>
          <w:r>
            <w:fldChar w:fldCharType="end"/>
          </w:r>
          <w:r>
            <w:rPr>
              <w:rFonts w:hint="eastAsia" w:ascii="仿宋_GB2312" w:hAnsi="Times New Roman" w:eastAsia="仿宋_GB2312" w:cs="Times New Roman"/>
              <w:kern w:val="2"/>
              <w:lang w:val="en-US" w:eastAsia="zh-CN" w:bidi="ar-SA"/>
            </w:rPr>
            <w:fldChar w:fldCharType="end"/>
          </w:r>
        </w:p>
        <w:p w14:paraId="3C822EC5">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_Toc11482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w:t>
          </w:r>
          <w:r>
            <w:rPr>
              <w:rFonts w:hint="eastAsia"/>
            </w:rPr>
            <w:t>、合同签订</w:t>
          </w:r>
          <w:r>
            <w:tab/>
          </w:r>
          <w:r>
            <w:fldChar w:fldCharType="begin"/>
          </w:r>
          <w:r>
            <w:instrText xml:space="preserve"> PAGEREF _Toc11482 \h </w:instrText>
          </w:r>
          <w:r>
            <w:fldChar w:fldCharType="separate"/>
          </w:r>
          <w:r>
            <w:t>- 14 -</w:t>
          </w:r>
          <w:r>
            <w:fldChar w:fldCharType="end"/>
          </w:r>
          <w:r>
            <w:rPr>
              <w:rFonts w:hint="eastAsia" w:ascii="仿宋_GB2312" w:hAnsi="Times New Roman" w:eastAsia="仿宋_GB2312" w:cs="Times New Roman"/>
              <w:kern w:val="2"/>
              <w:lang w:val="en-US" w:eastAsia="zh-CN" w:bidi="ar-SA"/>
            </w:rPr>
            <w:fldChar w:fldCharType="end"/>
          </w:r>
        </w:p>
        <w:p w14:paraId="2049956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_Toc15677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十一</w:t>
          </w:r>
          <w:r>
            <w:rPr>
              <w:rFonts w:hint="eastAsia"/>
            </w:rPr>
            <w:t>、废标及终止招标</w:t>
          </w:r>
          <w:r>
            <w:tab/>
          </w:r>
          <w:r>
            <w:fldChar w:fldCharType="begin"/>
          </w:r>
          <w:r>
            <w:instrText xml:space="preserve"> PAGEREF _Toc15677 \h </w:instrText>
          </w:r>
          <w:r>
            <w:fldChar w:fldCharType="separate"/>
          </w:r>
          <w:r>
            <w:t>- 15 -</w:t>
          </w:r>
          <w:r>
            <w:fldChar w:fldCharType="end"/>
          </w:r>
          <w:r>
            <w:rPr>
              <w:rFonts w:hint="eastAsia" w:ascii="仿宋_GB2312" w:hAnsi="Times New Roman" w:eastAsia="仿宋_GB2312" w:cs="Times New Roman"/>
              <w:kern w:val="2"/>
              <w:lang w:val="en-US" w:eastAsia="zh-CN" w:bidi="ar-SA"/>
            </w:rPr>
            <w:fldChar w:fldCharType="end"/>
          </w:r>
        </w:p>
        <w:p w14:paraId="788BB638">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_Toc30016 </w:instrText>
          </w:r>
          <w:r>
            <w:rPr>
              <w:rFonts w:hint="eastAsia" w:ascii="仿宋_GB2312" w:hAnsi="Times New Roman" w:eastAsia="仿宋_GB2312" w:cs="Times New Roman"/>
              <w:kern w:val="2"/>
              <w:lang w:val="en-US" w:eastAsia="zh-CN" w:bidi="ar-SA"/>
            </w:rPr>
            <w:fldChar w:fldCharType="separate"/>
          </w:r>
          <w:r>
            <w:rPr>
              <w:rFonts w:hint="eastAsia"/>
            </w:rPr>
            <w:t>十</w:t>
          </w:r>
          <w:r>
            <w:rPr>
              <w:rFonts w:hint="eastAsia"/>
              <w:lang w:val="en-US" w:eastAsia="zh-CN"/>
            </w:rPr>
            <w:t>二</w:t>
          </w:r>
          <w:r>
            <w:rPr>
              <w:rFonts w:hint="eastAsia"/>
            </w:rPr>
            <w:t>、中标人瑕疵滞后发现的处理原则</w:t>
          </w:r>
          <w:r>
            <w:tab/>
          </w:r>
          <w:r>
            <w:fldChar w:fldCharType="begin"/>
          </w:r>
          <w:r>
            <w:instrText xml:space="preserve"> PAGEREF _Toc30016 \h </w:instrText>
          </w:r>
          <w:r>
            <w:fldChar w:fldCharType="separate"/>
          </w:r>
          <w:r>
            <w:t>- 16 -</w:t>
          </w:r>
          <w:r>
            <w:fldChar w:fldCharType="end"/>
          </w:r>
          <w:r>
            <w:rPr>
              <w:rFonts w:hint="eastAsia" w:ascii="仿宋_GB2312" w:hAnsi="Times New Roman" w:eastAsia="仿宋_GB2312" w:cs="Times New Roman"/>
              <w:kern w:val="2"/>
              <w:lang w:val="en-US" w:eastAsia="zh-CN" w:bidi="ar-SA"/>
            </w:rPr>
            <w:fldChar w:fldCharType="end"/>
          </w:r>
        </w:p>
        <w:p w14:paraId="12C47DD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_Toc22177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十三、保证金不予退还情景</w:t>
          </w:r>
          <w:r>
            <w:tab/>
          </w:r>
          <w:r>
            <w:fldChar w:fldCharType="begin"/>
          </w:r>
          <w:r>
            <w:instrText xml:space="preserve"> PAGEREF _Toc22177 \h </w:instrText>
          </w:r>
          <w:r>
            <w:fldChar w:fldCharType="separate"/>
          </w:r>
          <w:r>
            <w:t>- 16 -</w:t>
          </w:r>
          <w:r>
            <w:fldChar w:fldCharType="end"/>
          </w:r>
          <w:r>
            <w:rPr>
              <w:rFonts w:hint="eastAsia" w:ascii="仿宋_GB2312" w:hAnsi="Times New Roman" w:eastAsia="仿宋_GB2312" w:cs="Times New Roman"/>
              <w:kern w:val="2"/>
              <w:lang w:val="en-US" w:eastAsia="zh-CN" w:bidi="ar-SA"/>
            </w:rPr>
            <w:fldChar w:fldCharType="end"/>
          </w:r>
        </w:p>
        <w:p w14:paraId="08FD41A7">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_Toc1904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十四</w:t>
          </w:r>
          <w:r>
            <w:rPr>
              <w:rFonts w:hint="eastAsia"/>
            </w:rPr>
            <w:t>、</w:t>
          </w:r>
          <w:r>
            <w:rPr>
              <w:rFonts w:hint="eastAsia"/>
              <w:lang w:val="en-US" w:eastAsia="zh-CN"/>
            </w:rPr>
            <w:t>项目基本标准及基本要求</w:t>
          </w:r>
          <w:r>
            <w:tab/>
          </w:r>
          <w:r>
            <w:fldChar w:fldCharType="begin"/>
          </w:r>
          <w:r>
            <w:instrText xml:space="preserve"> PAGEREF _Toc1904 \h </w:instrText>
          </w:r>
          <w:r>
            <w:fldChar w:fldCharType="separate"/>
          </w:r>
          <w:r>
            <w:t>- 16 -</w:t>
          </w:r>
          <w:r>
            <w:fldChar w:fldCharType="end"/>
          </w:r>
          <w:r>
            <w:rPr>
              <w:rFonts w:hint="eastAsia" w:ascii="仿宋_GB2312" w:hAnsi="Times New Roman" w:eastAsia="仿宋_GB2312" w:cs="Times New Roman"/>
              <w:kern w:val="2"/>
              <w:lang w:val="en-US" w:eastAsia="zh-CN" w:bidi="ar-SA"/>
            </w:rPr>
            <w:fldChar w:fldCharType="end"/>
          </w:r>
        </w:p>
        <w:p w14:paraId="150A0A82">
          <w:pPr>
            <w:pStyle w:val="12"/>
            <w:tabs>
              <w:tab w:val="right" w:leader="dot" w:pos="8732"/>
              <w:tab w:val="clear" w:pos="8729"/>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_Toc25249 </w:instrText>
          </w:r>
          <w:r>
            <w:rPr>
              <w:rFonts w:hint="eastAsia" w:ascii="仿宋_GB2312" w:hAnsi="Times New Roman" w:eastAsia="仿宋_GB2312" w:cs="Times New Roman"/>
              <w:kern w:val="2"/>
              <w:lang w:val="en-US" w:eastAsia="zh-CN" w:bidi="ar-SA"/>
            </w:rPr>
            <w:fldChar w:fldCharType="separate"/>
          </w:r>
          <w:r>
            <w:rPr>
              <w:rFonts w:hint="eastAsia"/>
            </w:rPr>
            <w:t>第二章 投标文件编制</w:t>
          </w:r>
          <w:r>
            <w:tab/>
          </w:r>
          <w:r>
            <w:fldChar w:fldCharType="begin"/>
          </w:r>
          <w:r>
            <w:instrText xml:space="preserve"> PAGEREF _Toc25249 \h </w:instrText>
          </w:r>
          <w:r>
            <w:fldChar w:fldCharType="separate"/>
          </w:r>
          <w:r>
            <w:t>- 17 -</w:t>
          </w:r>
          <w:r>
            <w:fldChar w:fldCharType="end"/>
          </w:r>
          <w:r>
            <w:rPr>
              <w:rFonts w:hint="eastAsia" w:ascii="仿宋_GB2312" w:hAnsi="Times New Roman" w:eastAsia="仿宋_GB2312" w:cs="Times New Roman"/>
              <w:kern w:val="2"/>
              <w:lang w:val="en-US" w:eastAsia="zh-CN" w:bidi="ar-SA"/>
            </w:rPr>
            <w:fldChar w:fldCharType="end"/>
          </w:r>
        </w:p>
        <w:p w14:paraId="0824672F">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_Toc736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一</w:t>
          </w:r>
          <w:r>
            <w:rPr>
              <w:rFonts w:hint="default"/>
              <w:lang w:val="en-US" w:eastAsia="zh-CN"/>
            </w:rPr>
            <w:t>、投标文件格式</w:t>
          </w:r>
          <w:r>
            <w:tab/>
          </w:r>
          <w:r>
            <w:fldChar w:fldCharType="begin"/>
          </w:r>
          <w:r>
            <w:instrText xml:space="preserve"> PAGEREF _Toc736 \h </w:instrText>
          </w:r>
          <w:r>
            <w:fldChar w:fldCharType="separate"/>
          </w:r>
          <w:r>
            <w:t>- 17 -</w:t>
          </w:r>
          <w:r>
            <w:fldChar w:fldCharType="end"/>
          </w:r>
          <w:r>
            <w:rPr>
              <w:rFonts w:hint="eastAsia" w:ascii="仿宋_GB2312" w:hAnsi="Times New Roman" w:eastAsia="仿宋_GB2312" w:cs="Times New Roman"/>
              <w:kern w:val="2"/>
              <w:lang w:val="en-US" w:eastAsia="zh-CN" w:bidi="ar-SA"/>
            </w:rPr>
            <w:fldChar w:fldCharType="end"/>
          </w:r>
        </w:p>
        <w:p w14:paraId="6ADB316C">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_Toc23706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二</w:t>
          </w:r>
          <w:r>
            <w:rPr>
              <w:rFonts w:hint="eastAsia"/>
            </w:rPr>
            <w:t>、投标文件签署</w:t>
          </w:r>
          <w:r>
            <w:tab/>
          </w:r>
          <w:r>
            <w:fldChar w:fldCharType="begin"/>
          </w:r>
          <w:r>
            <w:instrText xml:space="preserve"> PAGEREF _Toc23706 \h </w:instrText>
          </w:r>
          <w:r>
            <w:fldChar w:fldCharType="separate"/>
          </w:r>
          <w:r>
            <w:t>- 18 -</w:t>
          </w:r>
          <w:r>
            <w:fldChar w:fldCharType="end"/>
          </w:r>
          <w:r>
            <w:rPr>
              <w:rFonts w:hint="eastAsia" w:ascii="仿宋_GB2312" w:hAnsi="Times New Roman" w:eastAsia="仿宋_GB2312" w:cs="Times New Roman"/>
              <w:kern w:val="2"/>
              <w:lang w:val="en-US" w:eastAsia="zh-CN" w:bidi="ar-SA"/>
            </w:rPr>
            <w:fldChar w:fldCharType="end"/>
          </w:r>
        </w:p>
        <w:p w14:paraId="71C40678">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_Toc28729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三</w:t>
          </w:r>
          <w:r>
            <w:rPr>
              <w:rFonts w:hint="eastAsia"/>
            </w:rPr>
            <w:t>、投标文件的密封和标记</w:t>
          </w:r>
          <w:r>
            <w:tab/>
          </w:r>
          <w:r>
            <w:fldChar w:fldCharType="begin"/>
          </w:r>
          <w:r>
            <w:instrText xml:space="preserve"> PAGEREF _Toc28729 \h </w:instrText>
          </w:r>
          <w:r>
            <w:fldChar w:fldCharType="separate"/>
          </w:r>
          <w:r>
            <w:t>- 19 -</w:t>
          </w:r>
          <w:r>
            <w:fldChar w:fldCharType="end"/>
          </w:r>
          <w:r>
            <w:rPr>
              <w:rFonts w:hint="eastAsia" w:ascii="仿宋_GB2312" w:hAnsi="Times New Roman" w:eastAsia="仿宋_GB2312" w:cs="Times New Roman"/>
              <w:kern w:val="2"/>
              <w:lang w:val="en-US" w:eastAsia="zh-CN" w:bidi="ar-SA"/>
            </w:rPr>
            <w:fldChar w:fldCharType="end"/>
          </w:r>
        </w:p>
        <w:p w14:paraId="2B660172">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_Toc8806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四</w:t>
          </w:r>
          <w:r>
            <w:rPr>
              <w:rFonts w:hint="eastAsia"/>
            </w:rPr>
            <w:t>、</w:t>
          </w:r>
          <w:r>
            <w:rPr>
              <w:rFonts w:hint="eastAsia"/>
              <w:lang w:val="en-US" w:eastAsia="zh-CN"/>
            </w:rPr>
            <w:t>纸质标书邮寄</w:t>
          </w:r>
          <w:r>
            <w:tab/>
          </w:r>
          <w:r>
            <w:fldChar w:fldCharType="begin"/>
          </w:r>
          <w:r>
            <w:instrText xml:space="preserve"> PAGEREF _Toc8806 \h </w:instrText>
          </w:r>
          <w:r>
            <w:fldChar w:fldCharType="separate"/>
          </w:r>
          <w:r>
            <w:t>- 19 -</w:t>
          </w:r>
          <w:r>
            <w:fldChar w:fldCharType="end"/>
          </w:r>
          <w:r>
            <w:rPr>
              <w:rFonts w:hint="eastAsia" w:ascii="仿宋_GB2312" w:hAnsi="Times New Roman" w:eastAsia="仿宋_GB2312" w:cs="Times New Roman"/>
              <w:kern w:val="2"/>
              <w:lang w:val="en-US" w:eastAsia="zh-CN" w:bidi="ar-SA"/>
            </w:rPr>
            <w:fldChar w:fldCharType="end"/>
          </w:r>
        </w:p>
        <w:p w14:paraId="2DFD62C5">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_Toc5748 </w:instrText>
          </w:r>
          <w:r>
            <w:rPr>
              <w:rFonts w:hint="eastAsia" w:ascii="仿宋_GB2312" w:hAnsi="Times New Roman" w:eastAsia="仿宋_GB2312" w:cs="Times New Roman"/>
              <w:kern w:val="2"/>
              <w:lang w:val="en-US" w:eastAsia="zh-CN" w:bidi="ar-SA"/>
            </w:rPr>
            <w:fldChar w:fldCharType="separate"/>
          </w:r>
          <w:r>
            <w:rPr>
              <w:rFonts w:hint="eastAsia"/>
            </w:rPr>
            <w:t>附件1</w:t>
          </w:r>
          <w:r>
            <w:tab/>
          </w:r>
          <w:r>
            <w:fldChar w:fldCharType="begin"/>
          </w:r>
          <w:r>
            <w:instrText xml:space="preserve"> PAGEREF _Toc5748 \h </w:instrText>
          </w:r>
          <w:r>
            <w:fldChar w:fldCharType="separate"/>
          </w:r>
          <w:r>
            <w:t>- 19 -</w:t>
          </w:r>
          <w:r>
            <w:fldChar w:fldCharType="end"/>
          </w:r>
          <w:r>
            <w:rPr>
              <w:rFonts w:hint="eastAsia" w:ascii="仿宋_GB2312" w:hAnsi="Times New Roman" w:eastAsia="仿宋_GB2312" w:cs="Times New Roman"/>
              <w:kern w:val="2"/>
              <w:lang w:val="en-US" w:eastAsia="zh-CN" w:bidi="ar-SA"/>
            </w:rPr>
            <w:fldChar w:fldCharType="end"/>
          </w:r>
        </w:p>
        <w:p w14:paraId="36775066">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_Toc25976 </w:instrText>
          </w:r>
          <w:r>
            <w:rPr>
              <w:rFonts w:hint="eastAsia" w:ascii="仿宋_GB2312" w:hAnsi="Times New Roman" w:eastAsia="仿宋_GB2312" w:cs="Times New Roman"/>
              <w:kern w:val="2"/>
              <w:lang w:val="en-US" w:eastAsia="zh-CN" w:bidi="ar-SA"/>
            </w:rPr>
            <w:fldChar w:fldCharType="separate"/>
          </w:r>
          <w:r>
            <w:rPr>
              <w:rFonts w:hint="eastAsia"/>
            </w:rPr>
            <w:t>附件2</w:t>
          </w:r>
          <w:r>
            <w:tab/>
          </w:r>
          <w:r>
            <w:fldChar w:fldCharType="begin"/>
          </w:r>
          <w:r>
            <w:instrText xml:space="preserve"> PAGEREF _Toc25976 \h </w:instrText>
          </w:r>
          <w:r>
            <w:fldChar w:fldCharType="separate"/>
          </w:r>
          <w:r>
            <w:t>- 20 -</w:t>
          </w:r>
          <w:r>
            <w:fldChar w:fldCharType="end"/>
          </w:r>
          <w:r>
            <w:rPr>
              <w:rFonts w:hint="eastAsia" w:ascii="仿宋_GB2312" w:hAnsi="Times New Roman" w:eastAsia="仿宋_GB2312" w:cs="Times New Roman"/>
              <w:kern w:val="2"/>
              <w:lang w:val="en-US" w:eastAsia="zh-CN" w:bidi="ar-SA"/>
            </w:rPr>
            <w:fldChar w:fldCharType="end"/>
          </w:r>
        </w:p>
        <w:p w14:paraId="1172EE82">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_Toc22034 </w:instrText>
          </w:r>
          <w:r>
            <w:rPr>
              <w:rFonts w:hint="eastAsia" w:ascii="仿宋_GB2312" w:hAnsi="Times New Roman" w:eastAsia="仿宋_GB2312" w:cs="Times New Roman"/>
              <w:kern w:val="2"/>
              <w:lang w:val="en-US" w:eastAsia="zh-CN" w:bidi="ar-SA"/>
            </w:rPr>
            <w:fldChar w:fldCharType="separate"/>
          </w:r>
          <w:r>
            <w:rPr>
              <w:rFonts w:hint="eastAsia"/>
            </w:rPr>
            <w:t>附件3</w:t>
          </w:r>
          <w:r>
            <w:tab/>
          </w:r>
          <w:r>
            <w:fldChar w:fldCharType="begin"/>
          </w:r>
          <w:r>
            <w:instrText xml:space="preserve"> PAGEREF _Toc22034 \h </w:instrText>
          </w:r>
          <w:r>
            <w:fldChar w:fldCharType="separate"/>
          </w:r>
          <w:r>
            <w:t>- 21 -</w:t>
          </w:r>
          <w:r>
            <w:fldChar w:fldCharType="end"/>
          </w:r>
          <w:r>
            <w:rPr>
              <w:rFonts w:hint="eastAsia" w:ascii="仿宋_GB2312" w:hAnsi="Times New Roman" w:eastAsia="仿宋_GB2312" w:cs="Times New Roman"/>
              <w:kern w:val="2"/>
              <w:lang w:val="en-US" w:eastAsia="zh-CN" w:bidi="ar-SA"/>
            </w:rPr>
            <w:fldChar w:fldCharType="end"/>
          </w:r>
        </w:p>
        <w:p w14:paraId="0FE23A6D">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_Toc3523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4</w:t>
          </w:r>
          <w:r>
            <w:tab/>
          </w:r>
          <w:r>
            <w:fldChar w:fldCharType="begin"/>
          </w:r>
          <w:r>
            <w:instrText xml:space="preserve"> PAGEREF _Toc3523 \h </w:instrText>
          </w:r>
          <w:r>
            <w:fldChar w:fldCharType="separate"/>
          </w:r>
          <w:r>
            <w:t>- 22 -</w:t>
          </w:r>
          <w:r>
            <w:fldChar w:fldCharType="end"/>
          </w:r>
          <w:r>
            <w:rPr>
              <w:rFonts w:hint="eastAsia" w:ascii="仿宋_GB2312" w:hAnsi="Times New Roman" w:eastAsia="仿宋_GB2312" w:cs="Times New Roman"/>
              <w:kern w:val="2"/>
              <w:lang w:val="en-US" w:eastAsia="zh-CN" w:bidi="ar-SA"/>
            </w:rPr>
            <w:fldChar w:fldCharType="end"/>
          </w:r>
        </w:p>
        <w:p w14:paraId="74440A3F">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_Toc8931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5</w:t>
          </w:r>
          <w:r>
            <w:tab/>
          </w:r>
          <w:r>
            <w:fldChar w:fldCharType="begin"/>
          </w:r>
          <w:r>
            <w:instrText xml:space="preserve"> PAGEREF _Toc8931 \h </w:instrText>
          </w:r>
          <w:r>
            <w:fldChar w:fldCharType="separate"/>
          </w:r>
          <w:r>
            <w:t>- 23 -</w:t>
          </w:r>
          <w:r>
            <w:fldChar w:fldCharType="end"/>
          </w:r>
          <w:r>
            <w:rPr>
              <w:rFonts w:hint="eastAsia" w:ascii="仿宋_GB2312" w:hAnsi="Times New Roman" w:eastAsia="仿宋_GB2312" w:cs="Times New Roman"/>
              <w:kern w:val="2"/>
              <w:lang w:val="en-US" w:eastAsia="zh-CN" w:bidi="ar-SA"/>
            </w:rPr>
            <w:fldChar w:fldCharType="end"/>
          </w:r>
        </w:p>
        <w:p w14:paraId="10F0BB2D">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_Toc25814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附件6</w:t>
          </w:r>
          <w:r>
            <w:tab/>
          </w:r>
          <w:r>
            <w:fldChar w:fldCharType="begin"/>
          </w:r>
          <w:r>
            <w:instrText xml:space="preserve"> PAGEREF _Toc25814 \h </w:instrText>
          </w:r>
          <w:r>
            <w:fldChar w:fldCharType="separate"/>
          </w:r>
          <w:r>
            <w:t>- 24 -</w:t>
          </w:r>
          <w:r>
            <w:fldChar w:fldCharType="end"/>
          </w:r>
          <w:r>
            <w:rPr>
              <w:rFonts w:hint="eastAsia" w:ascii="仿宋_GB2312" w:hAnsi="Times New Roman" w:eastAsia="仿宋_GB2312" w:cs="Times New Roman"/>
              <w:kern w:val="2"/>
              <w:lang w:val="en-US" w:eastAsia="zh-CN" w:bidi="ar-SA"/>
            </w:rPr>
            <w:fldChar w:fldCharType="end"/>
          </w:r>
        </w:p>
        <w:p w14:paraId="7A69F42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_Toc14648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附件7 业绩表</w:t>
          </w:r>
          <w:r>
            <w:tab/>
          </w:r>
          <w:r>
            <w:fldChar w:fldCharType="begin"/>
          </w:r>
          <w:r>
            <w:instrText xml:space="preserve"> PAGEREF _Toc14648 \h </w:instrText>
          </w:r>
          <w:r>
            <w:fldChar w:fldCharType="separate"/>
          </w:r>
          <w:r>
            <w:t>- 26 -</w:t>
          </w:r>
          <w:r>
            <w:fldChar w:fldCharType="end"/>
          </w:r>
          <w:r>
            <w:rPr>
              <w:rFonts w:hint="eastAsia" w:ascii="仿宋_GB2312" w:hAnsi="Times New Roman" w:eastAsia="仿宋_GB2312" w:cs="Times New Roman"/>
              <w:kern w:val="2"/>
              <w:lang w:val="en-US" w:eastAsia="zh-CN" w:bidi="ar-SA"/>
            </w:rPr>
            <w:fldChar w:fldCharType="end"/>
          </w:r>
        </w:p>
        <w:p w14:paraId="1FFA99C7">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_Toc21201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8</w:t>
          </w:r>
          <w:r>
            <w:tab/>
          </w:r>
          <w:r>
            <w:fldChar w:fldCharType="begin"/>
          </w:r>
          <w:r>
            <w:instrText xml:space="preserve"> PAGEREF _Toc21201 \h </w:instrText>
          </w:r>
          <w:r>
            <w:fldChar w:fldCharType="separate"/>
          </w:r>
          <w:r>
            <w:t>- 27 -</w:t>
          </w:r>
          <w:r>
            <w:fldChar w:fldCharType="end"/>
          </w:r>
          <w:r>
            <w:rPr>
              <w:rFonts w:hint="eastAsia" w:ascii="仿宋_GB2312" w:hAnsi="Times New Roman" w:eastAsia="仿宋_GB2312" w:cs="Times New Roman"/>
              <w:kern w:val="2"/>
              <w:lang w:val="en-US" w:eastAsia="zh-CN" w:bidi="ar-SA"/>
            </w:rPr>
            <w:fldChar w:fldCharType="end"/>
          </w:r>
        </w:p>
        <w:p w14:paraId="2EF4D7B3">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_Toc20854 </w:instrText>
          </w:r>
          <w:r>
            <w:rPr>
              <w:rFonts w:hint="eastAsia" w:ascii="仿宋_GB2312" w:hAnsi="Times New Roman" w:eastAsia="仿宋_GB2312" w:cs="Times New Roman"/>
              <w:kern w:val="2"/>
              <w:lang w:val="en-US" w:eastAsia="zh-CN" w:bidi="ar-SA"/>
            </w:rPr>
            <w:fldChar w:fldCharType="separate"/>
          </w:r>
          <w:r>
            <w:rPr>
              <w:rFonts w:hint="eastAsia"/>
            </w:rPr>
            <w:t>附件</w:t>
          </w:r>
          <w:r>
            <w:rPr>
              <w:rFonts w:hint="eastAsia"/>
              <w:lang w:val="en-US" w:eastAsia="zh-CN"/>
            </w:rPr>
            <w:t>8-1</w:t>
          </w:r>
          <w:r>
            <w:tab/>
          </w:r>
          <w:r>
            <w:fldChar w:fldCharType="begin"/>
          </w:r>
          <w:r>
            <w:instrText xml:space="preserve"> PAGEREF _Toc20854 \h </w:instrText>
          </w:r>
          <w:r>
            <w:fldChar w:fldCharType="separate"/>
          </w:r>
          <w:r>
            <w:t>- 28 -</w:t>
          </w:r>
          <w:r>
            <w:fldChar w:fldCharType="end"/>
          </w:r>
          <w:r>
            <w:rPr>
              <w:rFonts w:hint="eastAsia" w:ascii="仿宋_GB2312" w:hAnsi="Times New Roman" w:eastAsia="仿宋_GB2312" w:cs="Times New Roman"/>
              <w:kern w:val="2"/>
              <w:lang w:val="en-US" w:eastAsia="zh-CN" w:bidi="ar-SA"/>
            </w:rPr>
            <w:fldChar w:fldCharType="end"/>
          </w:r>
        </w:p>
        <w:p w14:paraId="17786A6A">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_Toc1064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附件9技术质量保证协议</w:t>
          </w:r>
          <w:r>
            <w:tab/>
          </w:r>
          <w:r>
            <w:fldChar w:fldCharType="begin"/>
          </w:r>
          <w:r>
            <w:instrText xml:space="preserve"> PAGEREF _Toc1064 \h </w:instrText>
          </w:r>
          <w:r>
            <w:fldChar w:fldCharType="separate"/>
          </w:r>
          <w:r>
            <w:t>- 29 -</w:t>
          </w:r>
          <w:r>
            <w:fldChar w:fldCharType="end"/>
          </w:r>
          <w:r>
            <w:rPr>
              <w:rFonts w:hint="eastAsia" w:ascii="仿宋_GB2312" w:hAnsi="Times New Roman" w:eastAsia="仿宋_GB2312" w:cs="Times New Roman"/>
              <w:kern w:val="2"/>
              <w:lang w:val="en-US" w:eastAsia="zh-CN" w:bidi="ar-SA"/>
            </w:rPr>
            <w:fldChar w:fldCharType="end"/>
          </w:r>
        </w:p>
        <w:p w14:paraId="3C0AE09D">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_Toc27998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附件10重汽E采通非生产供应商注册操作手册</w:t>
          </w:r>
          <w:r>
            <w:tab/>
          </w:r>
          <w:r>
            <w:fldChar w:fldCharType="begin"/>
          </w:r>
          <w:r>
            <w:instrText xml:space="preserve"> PAGEREF _Toc27998 \h </w:instrText>
          </w:r>
          <w:r>
            <w:fldChar w:fldCharType="separate"/>
          </w:r>
          <w:r>
            <w:t>- 39 -</w:t>
          </w:r>
          <w:r>
            <w:fldChar w:fldCharType="end"/>
          </w:r>
          <w:r>
            <w:rPr>
              <w:rFonts w:hint="eastAsia" w:ascii="仿宋_GB2312" w:hAnsi="Times New Roman" w:eastAsia="仿宋_GB2312" w:cs="Times New Roman"/>
              <w:kern w:val="2"/>
              <w:lang w:val="en-US" w:eastAsia="zh-CN" w:bidi="ar-SA"/>
            </w:rPr>
            <w:fldChar w:fldCharType="end"/>
          </w:r>
        </w:p>
        <w:p w14:paraId="65A4AB94">
          <w:pPr>
            <w:pStyle w:val="13"/>
            <w:tabs>
              <w:tab w:val="right" w:leader="dot" w:pos="8732"/>
            </w:tabs>
          </w:pPr>
          <w:r>
            <w:rPr>
              <w:rFonts w:hint="eastAsia" w:ascii="仿宋_GB2312" w:hAnsi="Times New Roman" w:eastAsia="仿宋_GB2312" w:cs="Times New Roman"/>
              <w:kern w:val="2"/>
              <w:lang w:val="en-US" w:eastAsia="zh-CN" w:bidi="ar-SA"/>
            </w:rPr>
            <w:fldChar w:fldCharType="begin"/>
          </w:r>
          <w:r>
            <w:rPr>
              <w:rFonts w:hint="eastAsia" w:ascii="仿宋_GB2312" w:hAnsi="Times New Roman" w:eastAsia="仿宋_GB2312" w:cs="Times New Roman"/>
              <w:kern w:val="2"/>
              <w:lang w:val="en-US" w:eastAsia="zh-CN" w:bidi="ar-SA"/>
            </w:rPr>
            <w:instrText xml:space="preserve"> HYPERLINK \l _Toc17994 </w:instrText>
          </w:r>
          <w:r>
            <w:rPr>
              <w:rFonts w:hint="eastAsia" w:ascii="仿宋_GB2312" w:hAnsi="Times New Roman" w:eastAsia="仿宋_GB2312" w:cs="Times New Roman"/>
              <w:kern w:val="2"/>
              <w:lang w:val="en-US" w:eastAsia="zh-CN" w:bidi="ar-SA"/>
            </w:rPr>
            <w:fldChar w:fldCharType="separate"/>
          </w:r>
          <w:r>
            <w:rPr>
              <w:rFonts w:hint="eastAsia"/>
              <w:lang w:val="en-US" w:eastAsia="zh-CN"/>
            </w:rPr>
            <w:t>附件11重汽E采通系统供应商用户手册</w:t>
          </w:r>
          <w:r>
            <w:tab/>
          </w:r>
          <w:r>
            <w:fldChar w:fldCharType="begin"/>
          </w:r>
          <w:r>
            <w:instrText xml:space="preserve"> PAGEREF _Toc17994 \h </w:instrText>
          </w:r>
          <w:r>
            <w:fldChar w:fldCharType="separate"/>
          </w:r>
          <w:r>
            <w:t>- 42 -</w:t>
          </w:r>
          <w:r>
            <w:fldChar w:fldCharType="end"/>
          </w:r>
          <w:r>
            <w:rPr>
              <w:rFonts w:hint="eastAsia" w:ascii="仿宋_GB2312" w:hAnsi="Times New Roman" w:eastAsia="仿宋_GB2312" w:cs="Times New Roman"/>
              <w:kern w:val="2"/>
              <w:lang w:val="en-US" w:eastAsia="zh-CN" w:bidi="ar-SA"/>
            </w:rPr>
            <w:fldChar w:fldCharType="end"/>
          </w:r>
        </w:p>
        <w:p w14:paraId="046D5F07">
          <w:pPr>
            <w:pStyle w:val="8"/>
            <w:rPr>
              <w:rFonts w:hint="eastAsia" w:ascii="仿宋_GB2312" w:hAnsi="Times New Roman" w:eastAsia="仿宋_GB2312" w:cs="Times New Roman"/>
              <w:kern w:val="2"/>
              <w:sz w:val="32"/>
              <w:lang w:val="en-US" w:eastAsia="zh-CN" w:bidi="ar-SA"/>
            </w:rPr>
          </w:pPr>
          <w:r>
            <w:rPr>
              <w:rFonts w:hint="eastAsia" w:ascii="仿宋_GB2312" w:hAnsi="Times New Roman" w:eastAsia="仿宋_GB2312" w:cs="Times New Roman"/>
              <w:kern w:val="2"/>
              <w:lang w:val="en-US" w:eastAsia="zh-CN" w:bidi="ar-SA"/>
            </w:rPr>
            <w:fldChar w:fldCharType="end"/>
          </w:r>
        </w:p>
      </w:sdtContent>
    </w:sdt>
    <w:p w14:paraId="17E7B5E5">
      <w:pPr>
        <w:pStyle w:val="8"/>
        <w:rPr>
          <w:rFonts w:hint="eastAsia" w:ascii="仿宋_GB2312" w:hAnsi="Times New Roman" w:eastAsia="仿宋_GB2312" w:cs="Times New Roman"/>
          <w:kern w:val="2"/>
          <w:sz w:val="32"/>
          <w:lang w:val="en-US" w:eastAsia="zh-CN" w:bidi="ar-SA"/>
        </w:rPr>
        <w:sectPr>
          <w:headerReference r:id="rId4" w:type="first"/>
          <w:headerReference r:id="rId3" w:type="default"/>
          <w:footerReference r:id="rId5" w:type="even"/>
          <w:pgSz w:w="11906" w:h="16838"/>
          <w:pgMar w:top="1417" w:right="1587" w:bottom="1020" w:left="1587" w:header="851" w:footer="992" w:gutter="0"/>
          <w:pgNumType w:fmt="numberInDash" w:start="0"/>
          <w:cols w:space="720" w:num="1"/>
          <w:titlePg/>
          <w:docGrid w:type="lines" w:linePitch="312" w:charSpace="0"/>
        </w:sectPr>
      </w:pPr>
    </w:p>
    <w:p w14:paraId="145EF64A">
      <w:pPr>
        <w:pStyle w:val="3"/>
        <w:numPr>
          <w:ilvl w:val="0"/>
          <w:numId w:val="2"/>
        </w:numPr>
        <w:bidi w:val="0"/>
        <w:jc w:val="center"/>
        <w:rPr>
          <w:rFonts w:hint="eastAsia"/>
        </w:rPr>
      </w:pPr>
      <w:r>
        <w:rPr>
          <w:rFonts w:hint="eastAsia"/>
          <w:lang w:val="en-US" w:eastAsia="zh-CN"/>
        </w:rPr>
        <w:t xml:space="preserve"> </w:t>
      </w:r>
      <w:bookmarkStart w:id="0" w:name="_Toc20756"/>
      <w:r>
        <w:rPr>
          <w:rFonts w:hint="eastAsia"/>
        </w:rPr>
        <w:t>招标公告</w:t>
      </w:r>
      <w:bookmarkEnd w:id="0"/>
    </w:p>
    <w:p w14:paraId="4701DBE8">
      <w:pPr>
        <w:pStyle w:val="2"/>
        <w:bidi w:val="0"/>
        <w:rPr>
          <w:rFonts w:hint="eastAsia"/>
        </w:rPr>
      </w:pPr>
      <w:bookmarkStart w:id="1" w:name="_Toc24321"/>
      <w:r>
        <w:rPr>
          <w:rFonts w:hint="eastAsia"/>
        </w:rPr>
        <w:t>一、项目名称</w:t>
      </w:r>
      <w:bookmarkEnd w:id="1"/>
    </w:p>
    <w:p w14:paraId="3D1E355C">
      <w:pPr>
        <w:pStyle w:val="9"/>
        <w:spacing w:line="360" w:lineRule="auto"/>
        <w:ind w:left="420"/>
        <w:rPr>
          <w:rFonts w:hint="default" w:eastAsia="宋体"/>
          <w:lang w:val="en-US" w:eastAsia="zh-CN"/>
        </w:rPr>
      </w:pPr>
      <w:r>
        <w:rPr>
          <w:rFonts w:hint="eastAsia"/>
        </w:rPr>
        <w:t>项目名称：</w:t>
      </w:r>
      <w:bookmarkStart w:id="2" w:name="OLE_LINK1"/>
      <w:r>
        <w:rPr>
          <w:rFonts w:hint="eastAsia"/>
          <w:lang w:val="en-US" w:eastAsia="zh-CN"/>
        </w:rPr>
        <w:t>前桥驱动桥喷漆项目（FSCZB2025110239）</w:t>
      </w:r>
    </w:p>
    <w:bookmarkEnd w:id="2"/>
    <w:p w14:paraId="640498BD">
      <w:pPr>
        <w:pStyle w:val="2"/>
        <w:bidi w:val="0"/>
        <w:rPr>
          <w:rFonts w:hint="eastAsia"/>
        </w:rPr>
      </w:pPr>
      <w:bookmarkStart w:id="3" w:name="_Toc7419"/>
      <w:r>
        <w:rPr>
          <w:rFonts w:hint="eastAsia"/>
        </w:rPr>
        <w:t>二、招标内容</w:t>
      </w:r>
      <w:bookmarkEnd w:id="3"/>
    </w:p>
    <w:p w14:paraId="628AB912">
      <w:pPr>
        <w:shd w:val="clear"/>
        <w:autoSpaceDE w:val="0"/>
        <w:autoSpaceDN w:val="0"/>
        <w:adjustRightInd w:val="0"/>
        <w:jc w:val="left"/>
        <w:rPr>
          <w:rFonts w:hint="eastAsia"/>
        </w:rPr>
      </w:pPr>
      <w:r>
        <w:rPr>
          <w:rFonts w:hint="eastAsia"/>
        </w:rPr>
        <w:t>招标内容：</w:t>
      </w:r>
    </w:p>
    <w:p w14:paraId="4159452B">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eastAsia" w:ascii="宋体" w:hAnsi="Courier New" w:eastAsia="宋体" w:cs="Times New Roman"/>
          <w:kern w:val="2"/>
          <w:sz w:val="21"/>
          <w:lang w:val="en-US" w:eastAsia="zh-CN" w:bidi="ar-SA"/>
        </w:rPr>
      </w:pPr>
      <w:r>
        <w:rPr>
          <w:rFonts w:hint="eastAsia"/>
          <w:lang w:val="en-US" w:eastAsia="zh-CN"/>
        </w:rPr>
        <w:t>前桥</w:t>
      </w:r>
      <w:r>
        <w:rPr>
          <w:rFonts w:hint="eastAsia" w:ascii="宋体" w:hAnsi="Courier New" w:eastAsia="宋体" w:cs="Times New Roman"/>
          <w:kern w:val="2"/>
          <w:sz w:val="21"/>
          <w:lang w:val="en-US" w:eastAsia="zh-CN" w:bidi="ar-SA"/>
        </w:rPr>
        <w:t>：负责前桥总成的清洗（加料、浮油打捞等）、预涂漆、防护、喷底漆、喷面漆、喷蜡、写标识、下线、入库整修套袋、发交整修、主机厂服务整修、刷涂硬膜防锈剂、现场5S、调漆配液、漆渣清理、喷涂质量控制以及喷涂设备的启停、点检、维护等。</w:t>
      </w:r>
    </w:p>
    <w:p w14:paraId="1301202E">
      <w:pPr>
        <w:keepNext w:val="0"/>
        <w:keepLines w:val="0"/>
        <w:pageBreakBefore w:val="0"/>
        <w:widowControl w:val="0"/>
        <w:shd w:val="clear"/>
        <w:kinsoku/>
        <w:wordWrap/>
        <w:overflowPunct/>
        <w:topLinePunct w:val="0"/>
        <w:autoSpaceDE w:val="0"/>
        <w:autoSpaceDN w:val="0"/>
        <w:bidi w:val="0"/>
        <w:adjustRightInd w:val="0"/>
        <w:snapToGrid/>
        <w:ind w:firstLine="420" w:firstLineChars="200"/>
        <w:jc w:val="left"/>
        <w:textAlignment w:val="auto"/>
        <w:rPr>
          <w:rFonts w:hint="default" w:eastAsia="宋体"/>
          <w:lang w:val="en-US" w:eastAsia="zh-CN"/>
        </w:rPr>
      </w:pPr>
      <w:r>
        <w:rPr>
          <w:rFonts w:hint="eastAsia" w:ascii="宋体" w:hAnsi="Courier New" w:eastAsia="宋体" w:cs="Times New Roman"/>
          <w:kern w:val="2"/>
          <w:sz w:val="21"/>
          <w:lang w:val="en-US" w:eastAsia="zh-CN" w:bidi="ar-SA"/>
        </w:rPr>
        <w:t>驱动桥：对驱动桥总成的清洗、防护、预涂漆、喷底漆、喷面漆、补面漆、喷蜡、烘干、注脂、刷涂硬膜防锈剂现场5S、调漆配液、漆渣清理、喷涂质量控制以及喷涂设备的启停、点检、维护等。</w:t>
      </w:r>
    </w:p>
    <w:p w14:paraId="22DD32ED">
      <w:pPr>
        <w:pStyle w:val="9"/>
        <w:numPr>
          <w:ilvl w:val="0"/>
          <w:numId w:val="3"/>
        </w:numPr>
        <w:spacing w:line="360" w:lineRule="auto"/>
        <w:ind w:firstLine="422" w:firstLineChars="200"/>
        <w:rPr>
          <w:rFonts w:hint="eastAsia"/>
          <w:b/>
          <w:bCs/>
        </w:rPr>
      </w:pPr>
      <w:r>
        <w:rPr>
          <w:rFonts w:hint="eastAsia"/>
          <w:b/>
          <w:bCs/>
          <w:lang w:val="en-US" w:eastAsia="zh-CN"/>
        </w:rPr>
        <w:t>承包</w:t>
      </w:r>
      <w:r>
        <w:rPr>
          <w:rFonts w:hint="eastAsia"/>
          <w:b/>
          <w:bCs/>
        </w:rPr>
        <w:t>方承包的</w:t>
      </w:r>
      <w:r>
        <w:rPr>
          <w:rFonts w:hint="eastAsia"/>
          <w:b/>
          <w:bCs/>
          <w:lang w:val="en-US" w:eastAsia="zh-CN"/>
        </w:rPr>
        <w:t>招标</w:t>
      </w:r>
      <w:r>
        <w:rPr>
          <w:rFonts w:hint="eastAsia"/>
          <w:b/>
          <w:bCs/>
        </w:rPr>
        <w:t>方区域为：</w:t>
      </w:r>
    </w:p>
    <w:p w14:paraId="314E131D">
      <w:pPr>
        <w:pStyle w:val="9"/>
        <w:spacing w:line="360" w:lineRule="auto"/>
        <w:ind w:firstLine="422" w:firstLineChars="200"/>
        <w:rPr>
          <w:rFonts w:hint="default" w:eastAsia="宋体"/>
          <w:b/>
          <w:bCs/>
          <w:lang w:val="en-US" w:eastAsia="zh-CN"/>
        </w:rPr>
      </w:pPr>
      <w:r>
        <w:rPr>
          <w:rFonts w:hint="eastAsia"/>
          <w:b/>
          <w:bCs/>
          <w:lang w:val="en-US" w:eastAsia="zh-CN"/>
        </w:rPr>
        <w:t>前桥喷漆线/驱动桥喷漆线</w:t>
      </w:r>
    </w:p>
    <w:p w14:paraId="0869A16B">
      <w:pPr>
        <w:pStyle w:val="9"/>
        <w:numPr>
          <w:ilvl w:val="0"/>
          <w:numId w:val="0"/>
        </w:numPr>
        <w:spacing w:line="360" w:lineRule="auto"/>
        <w:ind w:firstLine="422" w:firstLineChars="200"/>
        <w:rPr>
          <w:rFonts w:hint="eastAsia"/>
        </w:rPr>
      </w:pPr>
      <w:r>
        <w:rPr>
          <w:rFonts w:hint="eastAsia"/>
          <w:b/>
          <w:bCs/>
          <w:lang w:val="en-US" w:eastAsia="zh-CN"/>
        </w:rPr>
        <w:t>2、</w:t>
      </w:r>
      <w:r>
        <w:rPr>
          <w:rFonts w:hint="eastAsia"/>
          <w:b/>
          <w:bCs/>
        </w:rPr>
        <w:t>承包日期</w:t>
      </w:r>
      <w:r>
        <w:rPr>
          <w:rFonts w:hint="eastAsia"/>
          <w:lang w:eastAsia="zh-CN"/>
        </w:rPr>
        <w:t>：</w:t>
      </w:r>
      <w:r>
        <w:rPr>
          <w:rFonts w:hint="eastAsia"/>
        </w:rPr>
        <w:t>202</w:t>
      </w:r>
      <w:r>
        <w:rPr>
          <w:rFonts w:hint="eastAsia"/>
          <w:lang w:val="en-US" w:eastAsia="zh-CN"/>
        </w:rPr>
        <w:t>6</w:t>
      </w:r>
      <w:r>
        <w:rPr>
          <w:rFonts w:hint="eastAsia"/>
        </w:rPr>
        <w:t>年</w:t>
      </w:r>
      <w:r>
        <w:rPr>
          <w:rFonts w:hint="eastAsia"/>
          <w:lang w:val="en-US" w:eastAsia="zh-CN"/>
        </w:rPr>
        <w:t>1</w:t>
      </w:r>
      <w:r>
        <w:rPr>
          <w:rFonts w:hint="eastAsia"/>
        </w:rPr>
        <w:t>月1日至202</w:t>
      </w:r>
      <w:r>
        <w:rPr>
          <w:rFonts w:hint="eastAsia"/>
          <w:lang w:val="en-US" w:eastAsia="zh-CN"/>
        </w:rPr>
        <w:t>6</w:t>
      </w:r>
      <w:r>
        <w:rPr>
          <w:rFonts w:hint="eastAsia"/>
        </w:rPr>
        <w:t>年1</w:t>
      </w:r>
      <w:r>
        <w:rPr>
          <w:rFonts w:hint="eastAsia"/>
          <w:lang w:val="en-US" w:eastAsia="zh-CN"/>
        </w:rPr>
        <w:t>2</w:t>
      </w:r>
      <w:r>
        <w:rPr>
          <w:rFonts w:hint="eastAsia"/>
        </w:rPr>
        <w:t>月</w:t>
      </w:r>
      <w:r>
        <w:rPr>
          <w:rFonts w:hint="eastAsia"/>
          <w:lang w:val="en-US" w:eastAsia="zh-CN"/>
        </w:rPr>
        <w:t>31</w:t>
      </w:r>
      <w:r>
        <w:rPr>
          <w:rFonts w:hint="eastAsia"/>
        </w:rPr>
        <w:t>日。</w:t>
      </w:r>
    </w:p>
    <w:p w14:paraId="63D6E22D">
      <w:pPr>
        <w:pStyle w:val="9"/>
        <w:numPr>
          <w:ilvl w:val="0"/>
          <w:numId w:val="0"/>
        </w:numPr>
        <w:spacing w:line="360" w:lineRule="auto"/>
        <w:ind w:firstLine="422" w:firstLineChars="200"/>
        <w:rPr>
          <w:rFonts w:hint="eastAsia"/>
          <w:b/>
          <w:bCs/>
        </w:rPr>
      </w:pPr>
      <w:r>
        <w:rPr>
          <w:rFonts w:hint="eastAsia"/>
          <w:b/>
          <w:bCs/>
          <w:lang w:val="en-US" w:eastAsia="zh-CN"/>
        </w:rPr>
        <w:t>3、</w:t>
      </w:r>
      <w:r>
        <w:rPr>
          <w:rFonts w:hint="eastAsia"/>
          <w:b/>
          <w:bCs/>
        </w:rPr>
        <w:t>人员配置</w:t>
      </w:r>
      <w:r>
        <w:rPr>
          <w:rFonts w:hint="eastAsia"/>
          <w:b/>
          <w:bCs/>
          <w:lang w:val="en-US" w:eastAsia="zh-CN"/>
        </w:rPr>
        <w:t>及要求</w:t>
      </w:r>
      <w:r>
        <w:rPr>
          <w:rFonts w:hint="eastAsia"/>
          <w:b/>
          <w:bCs/>
        </w:rPr>
        <w:t>表</w:t>
      </w:r>
    </w:p>
    <w:p w14:paraId="49413271">
      <w:pPr>
        <w:pStyle w:val="9"/>
        <w:numPr>
          <w:ilvl w:val="0"/>
          <w:numId w:val="0"/>
        </w:numPr>
        <w:spacing w:line="360" w:lineRule="auto"/>
        <w:ind w:firstLine="420" w:firstLineChars="200"/>
        <w:rPr>
          <w:rFonts w:hint="eastAsia"/>
          <w:lang w:val="en-US" w:eastAsia="zh-CN"/>
        </w:rPr>
      </w:pPr>
      <w:r>
        <w:rPr>
          <w:rFonts w:hint="eastAsia"/>
          <w:lang w:val="en-US" w:eastAsia="zh-CN"/>
        </w:rPr>
        <w:t>3.1相关工序人员配置</w:t>
      </w:r>
    </w:p>
    <w:p w14:paraId="687AC141">
      <w:pPr>
        <w:pStyle w:val="9"/>
        <w:numPr>
          <w:ilvl w:val="0"/>
          <w:numId w:val="0"/>
        </w:numPr>
        <w:spacing w:line="360" w:lineRule="auto"/>
        <w:ind w:firstLine="420" w:firstLineChars="200"/>
        <w:rPr>
          <w:rFonts w:hint="default"/>
          <w:lang w:val="en-US" w:eastAsia="zh-CN"/>
        </w:rPr>
      </w:pPr>
      <w:r>
        <w:rPr>
          <w:rFonts w:hint="eastAsia"/>
          <w:lang w:val="en-US" w:eastAsia="zh-CN"/>
        </w:rPr>
        <w:t>前桥：</w:t>
      </w:r>
    </w:p>
    <w:tbl>
      <w:tblPr>
        <w:tblStyle w:val="15"/>
        <w:tblW w:w="966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6"/>
        <w:gridCol w:w="2856"/>
        <w:gridCol w:w="1096"/>
        <w:gridCol w:w="656"/>
        <w:gridCol w:w="1316"/>
        <w:gridCol w:w="666"/>
        <w:gridCol w:w="656"/>
        <w:gridCol w:w="656"/>
        <w:gridCol w:w="666"/>
      </w:tblGrid>
      <w:tr w14:paraId="3CD9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7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总人数</w:t>
            </w:r>
          </w:p>
        </w:tc>
        <w:tc>
          <w:tcPr>
            <w:tcW w:w="2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BC4D">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56</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D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生产线节拍</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7B5E">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11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总工时</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EBE1">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84.41</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0D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生产线平衡率</w:t>
            </w:r>
          </w:p>
        </w:tc>
        <w:tc>
          <w:tcPr>
            <w:tcW w:w="13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10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r w14:paraId="37D96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98A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F9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6D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单班定员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A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班次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7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3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辅助时间/min</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68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基本时间/min</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top"/>
          </w:tcPr>
          <w:p w14:paraId="6800AF8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工序工时/min</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top"/>
          </w:tcPr>
          <w:p w14:paraId="37EA1E2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工序节拍/min/件</w:t>
            </w:r>
          </w:p>
        </w:tc>
      </w:tr>
      <w:tr w14:paraId="4DAB1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CC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9</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E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防护一</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E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59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0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80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EE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1.2</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52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C8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0.4</w:t>
            </w:r>
          </w:p>
        </w:tc>
      </w:tr>
      <w:tr w14:paraId="72690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BD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10</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255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防护二</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8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D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5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81B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F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1.3</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8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12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0.65</w:t>
            </w:r>
          </w:p>
        </w:tc>
      </w:tr>
      <w:tr w14:paraId="5E226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3C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11</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A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喷底漆一</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E1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4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B3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喷漆工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957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1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1.66</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9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C0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0.83</w:t>
            </w:r>
          </w:p>
        </w:tc>
      </w:tr>
      <w:tr w14:paraId="766FE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3A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13</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3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喷底漆二</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49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4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B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喷漆工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2BE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A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95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2C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w:t>
            </w:r>
          </w:p>
        </w:tc>
      </w:tr>
      <w:tr w14:paraId="3739C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F0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15</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F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喷面漆</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C25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3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D2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喷漆工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93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C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6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09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0.8</w:t>
            </w:r>
          </w:p>
        </w:tc>
      </w:tr>
      <w:tr w14:paraId="28586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73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18</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B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写标识</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A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83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F0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F4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4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0.4</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E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E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0.4</w:t>
            </w:r>
          </w:p>
        </w:tc>
      </w:tr>
      <w:tr w14:paraId="1EB80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16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19</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C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A9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A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4C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喷漆工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82D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9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0.5</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C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DD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0.5</w:t>
            </w:r>
          </w:p>
        </w:tc>
      </w:tr>
      <w:tr w14:paraId="71A4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1C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20</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16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护具摘除，安装螺栓护套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28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4A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3A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57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40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1.5</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A6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5E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0.5</w:t>
            </w:r>
          </w:p>
        </w:tc>
      </w:tr>
      <w:tr w14:paraId="3378C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CEA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21</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BB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工件下线</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0B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76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B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涂装技能工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33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A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0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E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r>
      <w:tr w14:paraId="3E6CC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vMerge w:val="restart"/>
            <w:tcBorders>
              <w:top w:val="single" w:color="000000" w:sz="4" w:space="0"/>
              <w:left w:val="single" w:color="000000" w:sz="4" w:space="0"/>
              <w:right w:val="single" w:color="000000" w:sz="4" w:space="0"/>
            </w:tcBorders>
            <w:shd w:val="clear" w:color="auto" w:fill="auto"/>
            <w:noWrap/>
            <w:vAlign w:val="center"/>
          </w:tcPr>
          <w:p w14:paraId="23E8B8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22线外</w:t>
            </w: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ED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补漆修整</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D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A86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BF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涂装技能工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45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32A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8CE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CBD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r>
      <w:tr w14:paraId="3B14F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vMerge w:val="continue"/>
            <w:tcBorders>
              <w:left w:val="single" w:color="000000" w:sz="4" w:space="0"/>
              <w:right w:val="single" w:color="000000" w:sz="4" w:space="0"/>
            </w:tcBorders>
            <w:shd w:val="clear" w:color="auto" w:fill="auto"/>
            <w:noWrap/>
            <w:vAlign w:val="center"/>
          </w:tcPr>
          <w:p w14:paraId="15FDF6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lang w:val="en-US" w:eastAsia="zh-CN"/>
              </w:rPr>
            </w:pP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20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刷涂硬膜防锈剂</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5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56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02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涂装技能工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D81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E9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798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A57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r>
      <w:tr w14:paraId="66E25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vMerge w:val="continue"/>
            <w:tcBorders>
              <w:left w:val="single" w:color="000000" w:sz="4" w:space="0"/>
              <w:right w:val="single" w:color="000000" w:sz="4" w:space="0"/>
            </w:tcBorders>
            <w:shd w:val="clear" w:color="auto" w:fill="auto"/>
            <w:noWrap/>
            <w:vAlign w:val="center"/>
          </w:tcPr>
          <w:p w14:paraId="09A9D6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lang w:val="en-US" w:eastAsia="zh-CN"/>
              </w:rPr>
            </w:pP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E5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配漆配液</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A53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C03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单班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9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涂装技能工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13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F6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55A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AD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r>
      <w:tr w14:paraId="7D88B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vMerge w:val="continue"/>
            <w:tcBorders>
              <w:left w:val="single" w:color="000000" w:sz="4" w:space="0"/>
              <w:right w:val="single" w:color="000000" w:sz="4" w:space="0"/>
            </w:tcBorders>
            <w:shd w:val="clear" w:color="auto" w:fill="auto"/>
            <w:noWrap/>
            <w:vAlign w:val="center"/>
          </w:tcPr>
          <w:p w14:paraId="2B98531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lang w:val="en-US" w:eastAsia="zh-CN"/>
              </w:rPr>
            </w:pP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2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现场5S</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6A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AA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单班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62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41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7C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7B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C05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r>
      <w:tr w14:paraId="1548D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1096" w:type="dxa"/>
            <w:vMerge w:val="continue"/>
            <w:tcBorders>
              <w:left w:val="single" w:color="000000" w:sz="4" w:space="0"/>
              <w:bottom w:val="single" w:color="000000" w:sz="4" w:space="0"/>
              <w:right w:val="single" w:color="000000" w:sz="4" w:space="0"/>
            </w:tcBorders>
            <w:shd w:val="clear" w:color="auto" w:fill="auto"/>
            <w:noWrap/>
            <w:vAlign w:val="center"/>
          </w:tcPr>
          <w:p w14:paraId="6CC736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lang w:val="en-US" w:eastAsia="zh-CN"/>
              </w:rPr>
            </w:pPr>
          </w:p>
        </w:tc>
        <w:tc>
          <w:tcPr>
            <w:tcW w:w="2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6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班组长、安全员、质量管理</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3F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2D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双班</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DE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管辅操作工</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97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32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16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2942">
            <w:pPr>
              <w:keepNext w:val="0"/>
              <w:keepLines w:val="0"/>
              <w:suppressLineNumbers w:val="0"/>
              <w:spacing w:before="0" w:beforeAutospacing="0" w:after="0" w:afterAutospacing="0"/>
              <w:ind w:left="0" w:right="0"/>
              <w:rPr>
                <w:rFonts w:hint="eastAsia" w:ascii="宋体" w:hAnsi="宋体" w:eastAsia="宋体" w:cs="宋体"/>
                <w:i w:val="0"/>
                <w:iCs w:val="0"/>
                <w:color w:val="000000"/>
                <w:kern w:val="0"/>
                <w:sz w:val="18"/>
                <w:szCs w:val="18"/>
                <w:highlight w:val="none"/>
                <w:u w:val="none"/>
                <w:lang w:val="en-US" w:eastAsia="zh-CN" w:bidi="ar"/>
              </w:rPr>
            </w:pPr>
          </w:p>
        </w:tc>
      </w:tr>
    </w:tbl>
    <w:p w14:paraId="35CB3AAF">
      <w:pPr>
        <w:pStyle w:val="9"/>
        <w:numPr>
          <w:ilvl w:val="0"/>
          <w:numId w:val="0"/>
        </w:numPr>
        <w:spacing w:line="360" w:lineRule="auto"/>
        <w:ind w:firstLine="420" w:firstLineChars="200"/>
        <w:rPr>
          <w:rFonts w:hint="eastAsia"/>
          <w:lang w:val="en-US" w:eastAsia="zh-CN"/>
        </w:rPr>
      </w:pPr>
      <w:r>
        <w:rPr>
          <w:rFonts w:hint="eastAsia"/>
          <w:lang w:val="en-US" w:eastAsia="zh-CN"/>
        </w:rPr>
        <w:t>驱动桥：</w:t>
      </w:r>
    </w:p>
    <w:tbl>
      <w:tblPr>
        <w:tblStyle w:val="15"/>
        <w:tblW w:w="95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3"/>
        <w:gridCol w:w="1746"/>
        <w:gridCol w:w="2206"/>
        <w:gridCol w:w="633"/>
        <w:gridCol w:w="1920"/>
        <w:gridCol w:w="536"/>
        <w:gridCol w:w="536"/>
        <w:gridCol w:w="536"/>
        <w:gridCol w:w="620"/>
      </w:tblGrid>
      <w:tr w14:paraId="0DE4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0D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总人数</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A8AE">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88</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3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生产线节拍</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73F9">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1min</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7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总工时</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7FEF">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97min</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27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生产线平衡率</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EDD79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94.19%</w:t>
            </w:r>
          </w:p>
        </w:tc>
      </w:tr>
      <w:tr w14:paraId="1AF2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B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工序名称</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F0D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工序</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278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单班定员</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B7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班次</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A0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工种</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7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辅助时间/min</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C7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基本时间/min</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top"/>
          </w:tcPr>
          <w:p w14:paraId="10CC7BC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工序工时/min</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top"/>
          </w:tcPr>
          <w:p w14:paraId="291A296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工序节拍/min/件</w:t>
            </w:r>
          </w:p>
        </w:tc>
      </w:tr>
      <w:tr w14:paraId="105F1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5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CF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工件上线</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CF0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BB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双班</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BC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D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09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D2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DA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4CCD9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A3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C7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检查、防护</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F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4BB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367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9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9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E6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0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64029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D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D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预刷底漆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DB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391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A0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1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8A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1.76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F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1.76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7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0.88</w:t>
            </w:r>
          </w:p>
        </w:tc>
      </w:tr>
      <w:tr w14:paraId="27CE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2C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E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预喷底漆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B1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DB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A7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4A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2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56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6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0.93</w:t>
            </w:r>
          </w:p>
        </w:tc>
      </w:tr>
      <w:tr w14:paraId="21538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C39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8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喷底漆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BE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C32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D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AB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1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8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7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0.93</w:t>
            </w:r>
          </w:p>
        </w:tc>
      </w:tr>
      <w:tr w14:paraId="788FE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C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4D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喷面漆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DA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3</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00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6AA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1D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1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6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9D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0.93</w:t>
            </w:r>
          </w:p>
        </w:tc>
      </w:tr>
      <w:tr w14:paraId="0E28B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8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12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面漆补漆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3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A1E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A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E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7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3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1.86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2C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0.93</w:t>
            </w:r>
          </w:p>
        </w:tc>
      </w:tr>
      <w:tr w14:paraId="63CD1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C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6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去防护及强冷去防护</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493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54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E8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A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0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70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85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2A69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6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3E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喷蜡</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CD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5F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8C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喷漆工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9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1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9A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72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23CC5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ED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3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装橡胶软管</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C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51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E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C8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C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C0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A6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4442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19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69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装车轮螺母</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33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CC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A2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4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AF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FD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2C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6AF0D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3B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1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喷标识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5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9B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50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1F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1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D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27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76E40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7D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B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注脂</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1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48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59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9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26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8D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6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73072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E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A09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工件下线</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CD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337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5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4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E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6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4</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F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r>
      <w:tr w14:paraId="0585A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52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线外</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96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补漆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8139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5</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344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9C9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C9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E0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BE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C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0EEB4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AFFC">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72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发交整修</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59620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186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93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4B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2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A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2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2E710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5D59">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D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桥总成精修</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996F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34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E7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A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C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96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60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1F157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BBB8">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DE7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打捞漆渣、护具及挂具清理、更换</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D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2</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913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B9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E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54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0F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1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7A49E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7948">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D5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现场5S</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614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E79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1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5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B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E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5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49A67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0F64">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56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调漆</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8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16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8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涂装技能工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3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E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B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9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r w14:paraId="657E2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9649">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kern w:val="0"/>
                <w:sz w:val="22"/>
                <w:szCs w:val="22"/>
                <w:highlight w:val="none"/>
                <w:u w:val="none"/>
                <w:lang w:val="en-US" w:eastAsia="zh-CN" w:bidi="ar"/>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772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班长</w:t>
            </w: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652362">
            <w:pPr>
              <w:keepNext w:val="0"/>
              <w:keepLines w:val="0"/>
              <w:widowControl/>
              <w:suppressLineNumbers w:val="0"/>
              <w:spacing w:before="0" w:beforeAutospacing="0" w:after="0" w:afterAutospacing="0"/>
              <w:ind w:left="0" w:right="0"/>
              <w:jc w:val="center"/>
              <w:textAlignment w:val="bottom"/>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49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2"/>
                <w:szCs w:val="22"/>
                <w:highlight w:val="none"/>
                <w:u w:val="none"/>
                <w:lang w:val="en-US" w:eastAsia="zh-CN" w:bidi="ar"/>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8A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管辅操作工</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1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0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36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4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r>
    </w:tbl>
    <w:p w14:paraId="47ED55C9">
      <w:pPr>
        <w:pStyle w:val="9"/>
        <w:numPr>
          <w:ilvl w:val="0"/>
          <w:numId w:val="0"/>
        </w:numPr>
        <w:spacing w:line="360" w:lineRule="auto"/>
        <w:ind w:firstLine="420" w:firstLineChars="200"/>
        <w:rPr>
          <w:rFonts w:hint="default"/>
          <w:lang w:val="en-US" w:eastAsia="zh-CN"/>
        </w:rPr>
      </w:pPr>
    </w:p>
    <w:p w14:paraId="1C61580F">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3.2承包方根据要求，配置具有相应资格条件的人员：</w:t>
      </w:r>
    </w:p>
    <w:p w14:paraId="101B3CBB">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3.2.1年龄</w:t>
      </w:r>
      <w:r>
        <w:rPr>
          <w:rFonts w:hint="default"/>
          <w:highlight w:val="none"/>
          <w:lang w:val="en-US" w:eastAsia="zh-CN"/>
        </w:rPr>
        <w:t>原则上不超过45周岁，</w:t>
      </w:r>
      <w:r>
        <w:rPr>
          <w:rFonts w:hint="eastAsia"/>
          <w:highlight w:val="none"/>
          <w:lang w:val="en-US" w:eastAsia="zh-CN"/>
        </w:rPr>
        <w:t>学历不低于初中，</w:t>
      </w:r>
      <w:r>
        <w:rPr>
          <w:rFonts w:hint="default"/>
          <w:highlight w:val="none"/>
          <w:lang w:val="en-US" w:eastAsia="zh-CN"/>
        </w:rPr>
        <w:t>且身体健康，无潜在疾病，上岗前需提供身份证信息及健康查体合格报告和职业病医院查体合格报告；</w:t>
      </w:r>
    </w:p>
    <w:p w14:paraId="73EF19C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3.2.2对作业人员进行安全、技能等相关的培训，并建立台账；</w:t>
      </w:r>
    </w:p>
    <w:p w14:paraId="0B9B4D87">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3.2.3</w:t>
      </w:r>
      <w:r>
        <w:rPr>
          <w:rFonts w:hint="default"/>
          <w:highlight w:val="none"/>
          <w:lang w:val="en-US" w:eastAsia="zh-CN"/>
        </w:rPr>
        <w:t>建立人员档案，按时参加培训、复审，保证证件有效，档案备查；</w:t>
      </w:r>
    </w:p>
    <w:p w14:paraId="624DDB02">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3.2.4</w:t>
      </w:r>
      <w:r>
        <w:rPr>
          <w:rFonts w:hint="default"/>
          <w:highlight w:val="none"/>
          <w:lang w:val="en-US" w:eastAsia="zh-CN"/>
        </w:rPr>
        <w:t>涉及职业危害的岗位人员，</w:t>
      </w:r>
      <w:r>
        <w:rPr>
          <w:rFonts w:hint="eastAsia"/>
          <w:highlight w:val="none"/>
          <w:lang w:val="en-US" w:eastAsia="zh-CN"/>
        </w:rPr>
        <w:t>承包方</w:t>
      </w:r>
      <w:r>
        <w:rPr>
          <w:rFonts w:hint="default"/>
          <w:highlight w:val="none"/>
          <w:lang w:val="en-US" w:eastAsia="zh-CN"/>
        </w:rPr>
        <w:t>应建立从业人员台账，必须进行岗前、岗中、离岗健康查体工作，同时建立从业人员健康档案，档案备查</w:t>
      </w:r>
      <w:r>
        <w:rPr>
          <w:rFonts w:hint="eastAsia"/>
          <w:highlight w:val="none"/>
          <w:lang w:val="en-US" w:eastAsia="zh-CN"/>
        </w:rPr>
        <w:t>；</w:t>
      </w:r>
    </w:p>
    <w:p w14:paraId="2F4031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color w:val="auto"/>
          <w:kern w:val="2"/>
          <w:sz w:val="21"/>
          <w:highlight w:val="none"/>
          <w:lang w:val="en-US" w:eastAsia="zh-CN" w:bidi="ar-SA"/>
        </w:rPr>
      </w:pPr>
      <w:r>
        <w:rPr>
          <w:rFonts w:hint="eastAsia" w:ascii="宋体" w:hAnsi="Courier New" w:cs="Times New Roman"/>
          <w:color w:val="auto"/>
          <w:kern w:val="2"/>
          <w:sz w:val="21"/>
          <w:highlight w:val="none"/>
          <w:lang w:val="en-US" w:eastAsia="zh-CN" w:bidi="ar-SA"/>
        </w:rPr>
        <w:t>3</w:t>
      </w:r>
      <w:r>
        <w:rPr>
          <w:rFonts w:hint="eastAsia" w:ascii="宋体" w:hAnsi="Courier New" w:eastAsia="宋体" w:cs="Times New Roman"/>
          <w:color w:val="auto"/>
          <w:kern w:val="2"/>
          <w:sz w:val="21"/>
          <w:highlight w:val="none"/>
          <w:lang w:val="en-US" w:eastAsia="zh-CN" w:bidi="ar-SA"/>
        </w:rPr>
        <w:t>.2.5承包方</w:t>
      </w:r>
      <w:r>
        <w:rPr>
          <w:rFonts w:hint="default" w:ascii="宋体" w:hAnsi="Courier New" w:eastAsia="宋体" w:cs="Times New Roman"/>
          <w:color w:val="auto"/>
          <w:kern w:val="2"/>
          <w:sz w:val="21"/>
          <w:highlight w:val="none"/>
          <w:lang w:val="en-US" w:eastAsia="zh-CN" w:bidi="ar-SA"/>
        </w:rPr>
        <w:t>指定固定的工作人员作为</w:t>
      </w:r>
      <w:r>
        <w:rPr>
          <w:rFonts w:hint="eastAsia" w:ascii="宋体" w:hAnsi="Courier New" w:eastAsia="宋体" w:cs="Times New Roman"/>
          <w:color w:val="auto"/>
          <w:kern w:val="2"/>
          <w:sz w:val="21"/>
          <w:highlight w:val="none"/>
          <w:lang w:val="en-US" w:eastAsia="zh-CN" w:bidi="ar-SA"/>
        </w:rPr>
        <w:t>与招标方</w:t>
      </w:r>
      <w:r>
        <w:rPr>
          <w:rFonts w:hint="default" w:ascii="宋体" w:hAnsi="Courier New" w:eastAsia="宋体" w:cs="Times New Roman"/>
          <w:color w:val="auto"/>
          <w:kern w:val="2"/>
          <w:sz w:val="21"/>
          <w:highlight w:val="none"/>
          <w:lang w:val="en-US" w:eastAsia="zh-CN" w:bidi="ar-SA"/>
        </w:rPr>
        <w:t>的</w:t>
      </w:r>
      <w:r>
        <w:rPr>
          <w:rFonts w:hint="eastAsia" w:ascii="宋体" w:hAnsi="Courier New" w:eastAsia="宋体" w:cs="Times New Roman"/>
          <w:color w:val="auto"/>
          <w:kern w:val="2"/>
          <w:sz w:val="21"/>
          <w:highlight w:val="none"/>
          <w:lang w:val="en-US" w:eastAsia="zh-CN" w:bidi="ar-SA"/>
        </w:rPr>
        <w:t>对接与</w:t>
      </w:r>
      <w:r>
        <w:rPr>
          <w:rFonts w:hint="default" w:ascii="宋体" w:hAnsi="Courier New" w:eastAsia="宋体" w:cs="Times New Roman"/>
          <w:color w:val="auto"/>
          <w:kern w:val="2"/>
          <w:sz w:val="21"/>
          <w:highlight w:val="none"/>
          <w:lang w:val="en-US" w:eastAsia="zh-CN" w:bidi="ar-SA"/>
        </w:rPr>
        <w:t>协调</w:t>
      </w:r>
      <w:r>
        <w:rPr>
          <w:rFonts w:hint="eastAsia" w:ascii="宋体" w:hAnsi="Courier New" w:eastAsia="宋体" w:cs="Times New Roman"/>
          <w:color w:val="auto"/>
          <w:kern w:val="2"/>
          <w:sz w:val="21"/>
          <w:highlight w:val="none"/>
          <w:lang w:val="en-US" w:eastAsia="zh-CN" w:bidi="ar-SA"/>
        </w:rPr>
        <w:t>；</w:t>
      </w:r>
    </w:p>
    <w:p w14:paraId="628758F0">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3.2.6承包方人员</w:t>
      </w:r>
      <w:r>
        <w:rPr>
          <w:rFonts w:hint="default"/>
          <w:highlight w:val="none"/>
          <w:lang w:val="en-US" w:eastAsia="zh-CN"/>
        </w:rPr>
        <w:t>执行</w:t>
      </w:r>
      <w:r>
        <w:rPr>
          <w:rFonts w:hint="eastAsia"/>
          <w:highlight w:val="none"/>
          <w:lang w:val="en-US" w:eastAsia="zh-CN"/>
        </w:rPr>
        <w:t>招标方</w:t>
      </w:r>
      <w:r>
        <w:rPr>
          <w:rFonts w:hint="default"/>
          <w:highlight w:val="none"/>
          <w:lang w:val="en-US" w:eastAsia="zh-CN"/>
        </w:rPr>
        <w:t>的管理制度及考核细则</w:t>
      </w:r>
      <w:r>
        <w:rPr>
          <w:rFonts w:hint="eastAsia"/>
          <w:highlight w:val="none"/>
          <w:lang w:val="en-US" w:eastAsia="zh-CN"/>
        </w:rPr>
        <w:t>；</w:t>
      </w:r>
    </w:p>
    <w:p w14:paraId="109990CC">
      <w:pPr>
        <w:pStyle w:val="9"/>
        <w:numPr>
          <w:ilvl w:val="0"/>
          <w:numId w:val="0"/>
        </w:numPr>
        <w:spacing w:line="360" w:lineRule="auto"/>
        <w:ind w:firstLine="420" w:firstLineChars="200"/>
        <w:rPr>
          <w:rFonts w:hint="eastAsia" w:hAnsi="Courier New" w:eastAsia="宋体" w:cs="Times New Roman"/>
          <w:highlight w:val="none"/>
          <w:lang w:val="en-US" w:eastAsia="zh-CN"/>
        </w:rPr>
      </w:pPr>
      <w:r>
        <w:rPr>
          <w:rFonts w:hint="eastAsia"/>
          <w:highlight w:val="none"/>
          <w:lang w:val="en-US" w:eastAsia="zh-CN"/>
        </w:rPr>
        <w:t>3.2.7人员安置在相应的工序岗位，接受招标方现有工序班组的管理，按照班组员工的模式开展工作：人事考勤管理、岗位技能培训、安全培训、生产组织、多技能工培</w:t>
      </w:r>
      <w:r>
        <w:rPr>
          <w:rFonts w:hint="eastAsia" w:hAnsi="Courier New" w:eastAsia="宋体" w:cs="Times New Roman"/>
          <w:highlight w:val="none"/>
          <w:lang w:val="en-US" w:eastAsia="zh-CN"/>
        </w:rPr>
        <w:t>养、现场管理、团队建设、人员考评等内容；</w:t>
      </w:r>
    </w:p>
    <w:p w14:paraId="037E5B44">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3.2.8新员工培训不合格，或已入职员工不接受管理、发生责任事故、不团结等情况，招标方可提出辞退；</w:t>
      </w:r>
    </w:p>
    <w:p w14:paraId="5B3EDAF1">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3.2.9承包方要储备5%的人员，预防人员培训不合格、请假、离职、辞退等情况的发生，确保实际有效在岗人员数量不低于配置要求；</w:t>
      </w:r>
    </w:p>
    <w:p w14:paraId="56F75670">
      <w:pPr>
        <w:pStyle w:val="9"/>
        <w:numPr>
          <w:ilvl w:val="0"/>
          <w:numId w:val="0"/>
        </w:numPr>
        <w:spacing w:line="360" w:lineRule="auto"/>
        <w:ind w:firstLine="420" w:firstLineChars="200"/>
        <w:rPr>
          <w:rFonts w:hint="eastAsia"/>
          <w:color w:val="auto"/>
          <w:highlight w:val="none"/>
          <w:lang w:val="en-US" w:eastAsia="zh-CN"/>
        </w:rPr>
      </w:pPr>
      <w:r>
        <w:rPr>
          <w:rFonts w:hint="eastAsia"/>
          <w:color w:val="auto"/>
          <w:highlight w:val="none"/>
          <w:lang w:val="en-US" w:eastAsia="zh-CN"/>
        </w:rPr>
        <w:t>3.2.10如人员离职，需提前7天提出离职申请，新人员到岗培训合格后，方可离职；</w:t>
      </w:r>
    </w:p>
    <w:p w14:paraId="6B421ED3">
      <w:pPr>
        <w:pStyle w:val="9"/>
        <w:numPr>
          <w:ilvl w:val="0"/>
          <w:numId w:val="0"/>
        </w:numPr>
        <w:spacing w:line="360" w:lineRule="auto"/>
        <w:ind w:firstLine="420" w:firstLineChars="200"/>
        <w:rPr>
          <w:rFonts w:hint="eastAsia"/>
          <w:color w:val="auto"/>
          <w:highlight w:val="none"/>
          <w:lang w:val="en-US" w:eastAsia="zh-CN"/>
        </w:rPr>
      </w:pPr>
      <w:r>
        <w:rPr>
          <w:rFonts w:hint="eastAsia"/>
          <w:color w:val="auto"/>
          <w:highlight w:val="none"/>
          <w:lang w:val="en-US" w:eastAsia="zh-CN"/>
        </w:rPr>
        <w:t>3.2.11承包方员工的工作服、劳保鞋、防护帽，由承包方进行配置和发放，</w:t>
      </w:r>
    </w:p>
    <w:p w14:paraId="6E6DDCCE">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3.2.12</w:t>
      </w:r>
      <w:r>
        <w:rPr>
          <w:rFonts w:hint="default"/>
          <w:highlight w:val="none"/>
          <w:lang w:val="en-US" w:eastAsia="zh-CN"/>
        </w:rPr>
        <w:t>该业务</w:t>
      </w:r>
      <w:r>
        <w:rPr>
          <w:rFonts w:hint="eastAsia"/>
          <w:highlight w:val="none"/>
          <w:lang w:val="en-US" w:eastAsia="zh-CN"/>
        </w:rPr>
        <w:t>承包方和招标方均可采取措施，不断实施岗位的</w:t>
      </w:r>
      <w:r>
        <w:rPr>
          <w:rFonts w:hint="default"/>
          <w:highlight w:val="none"/>
          <w:lang w:val="en-US" w:eastAsia="zh-CN"/>
        </w:rPr>
        <w:t>优化</w:t>
      </w:r>
      <w:r>
        <w:rPr>
          <w:rFonts w:hint="eastAsia"/>
          <w:highlight w:val="none"/>
          <w:lang w:val="en-US" w:eastAsia="zh-CN"/>
        </w:rPr>
        <w:t>，从而降低用工成本，达到双赢的目的；</w:t>
      </w:r>
    </w:p>
    <w:p w14:paraId="5CA99F8E">
      <w:pPr>
        <w:pStyle w:val="9"/>
        <w:numPr>
          <w:ilvl w:val="0"/>
          <w:numId w:val="0"/>
        </w:numPr>
        <w:spacing w:line="360" w:lineRule="auto"/>
        <w:ind w:firstLine="420" w:firstLineChars="200"/>
        <w:rPr>
          <w:rFonts w:hint="eastAsia"/>
          <w:lang w:val="en-US" w:eastAsia="zh-CN"/>
        </w:rPr>
      </w:pPr>
      <w:r>
        <w:rPr>
          <w:rFonts w:hint="eastAsia"/>
          <w:lang w:val="en-US" w:eastAsia="zh-CN"/>
        </w:rPr>
        <w:t>3.2.14</w:t>
      </w:r>
      <w:r>
        <w:rPr>
          <w:rFonts w:hint="default"/>
          <w:lang w:val="en-US" w:eastAsia="zh-CN"/>
        </w:rPr>
        <w:t>为确保人员稳定，</w:t>
      </w:r>
      <w:r>
        <w:rPr>
          <w:rFonts w:hint="eastAsia"/>
          <w:lang w:val="en-US" w:eastAsia="zh-CN"/>
        </w:rPr>
        <w:t>承包方</w:t>
      </w:r>
      <w:r>
        <w:rPr>
          <w:rFonts w:hint="default"/>
          <w:lang w:val="en-US" w:eastAsia="zh-CN"/>
        </w:rPr>
        <w:t>应及时向</w:t>
      </w:r>
      <w:r>
        <w:rPr>
          <w:rFonts w:hint="eastAsia"/>
          <w:lang w:val="en-US" w:eastAsia="zh-CN"/>
        </w:rPr>
        <w:t>招标方</w:t>
      </w:r>
      <w:r>
        <w:rPr>
          <w:rFonts w:hint="default"/>
          <w:lang w:val="en-US" w:eastAsia="zh-CN"/>
        </w:rPr>
        <w:t>提供所属对应上岗员工有效的相关材料（人事基本信息、劳动合同附件明细、缴纳国家法律法规明确的保险有效资料明细、人员从业资质认定资料），如因</w:t>
      </w:r>
      <w:r>
        <w:rPr>
          <w:rFonts w:hint="eastAsia"/>
          <w:lang w:val="en-US" w:eastAsia="zh-CN"/>
        </w:rPr>
        <w:t>承包方</w:t>
      </w:r>
      <w:r>
        <w:rPr>
          <w:rFonts w:hint="default"/>
          <w:lang w:val="en-US" w:eastAsia="zh-CN"/>
        </w:rPr>
        <w:t>提供材料不符合</w:t>
      </w:r>
      <w:r>
        <w:rPr>
          <w:rFonts w:hint="eastAsia"/>
          <w:lang w:val="en-US" w:eastAsia="zh-CN"/>
        </w:rPr>
        <w:t>招标方</w:t>
      </w:r>
      <w:r>
        <w:rPr>
          <w:rFonts w:hint="default"/>
          <w:lang w:val="en-US" w:eastAsia="zh-CN"/>
        </w:rPr>
        <w:t>要求，导致协议不能如期履行的，</w:t>
      </w:r>
      <w:r>
        <w:rPr>
          <w:rFonts w:hint="eastAsia"/>
          <w:lang w:val="en-US" w:eastAsia="zh-CN"/>
        </w:rPr>
        <w:t>承包方</w:t>
      </w:r>
      <w:r>
        <w:rPr>
          <w:rFonts w:hint="default"/>
          <w:lang w:val="en-US" w:eastAsia="zh-CN"/>
        </w:rPr>
        <w:t>承担违约责任；</w:t>
      </w:r>
      <w:r>
        <w:rPr>
          <w:rFonts w:hint="eastAsia"/>
          <w:lang w:val="en-US" w:eastAsia="zh-CN"/>
        </w:rPr>
        <w:t>承包方</w:t>
      </w:r>
      <w:r>
        <w:rPr>
          <w:rFonts w:hint="default"/>
          <w:lang w:val="en-US" w:eastAsia="zh-CN"/>
        </w:rPr>
        <w:t>用工符合</w:t>
      </w:r>
      <w:r>
        <w:rPr>
          <w:rFonts w:hint="eastAsia"/>
          <w:lang w:val="en-US" w:eastAsia="zh-CN"/>
        </w:rPr>
        <w:t>国家</w:t>
      </w:r>
      <w:r>
        <w:rPr>
          <w:rFonts w:hint="default"/>
          <w:lang w:val="en-US" w:eastAsia="zh-CN"/>
        </w:rPr>
        <w:t>相关要求</w:t>
      </w:r>
      <w:r>
        <w:rPr>
          <w:rFonts w:hint="eastAsia"/>
          <w:lang w:val="en-US" w:eastAsia="zh-CN"/>
        </w:rPr>
        <w:t>。</w:t>
      </w:r>
    </w:p>
    <w:p w14:paraId="1491B5C4">
      <w:pPr>
        <w:pStyle w:val="2"/>
        <w:bidi w:val="0"/>
        <w:rPr>
          <w:rFonts w:hint="eastAsia"/>
        </w:rPr>
      </w:pPr>
      <w:bookmarkStart w:id="4" w:name="_Toc3896"/>
      <w:r>
        <w:rPr>
          <w:rFonts w:hint="eastAsia"/>
        </w:rPr>
        <w:t>三、招标形式</w:t>
      </w:r>
      <w:bookmarkEnd w:id="4"/>
    </w:p>
    <w:p w14:paraId="2A58001E">
      <w:pPr>
        <w:pStyle w:val="9"/>
        <w:spacing w:line="360" w:lineRule="auto"/>
        <w:ind w:firstLine="420" w:firstLineChars="200"/>
        <w:rPr>
          <w:rFonts w:hint="eastAsia"/>
        </w:rPr>
      </w:pPr>
      <w:r>
        <w:rPr>
          <w:rFonts w:hint="eastAsia"/>
        </w:rPr>
        <w:t>招标形式：</w:t>
      </w:r>
      <w:r>
        <w:rPr>
          <w:rFonts w:hint="eastAsia"/>
          <w:lang w:val="en-US" w:eastAsia="zh-CN"/>
        </w:rPr>
        <w:t>公开</w:t>
      </w:r>
      <w:r>
        <w:rPr>
          <w:rFonts w:hint="eastAsia"/>
        </w:rPr>
        <w:t>招标。</w:t>
      </w:r>
    </w:p>
    <w:p w14:paraId="65282C11">
      <w:pPr>
        <w:pStyle w:val="2"/>
        <w:bidi w:val="0"/>
        <w:rPr>
          <w:rFonts w:hint="eastAsia"/>
        </w:rPr>
      </w:pPr>
      <w:bookmarkStart w:id="5" w:name="_Toc18869"/>
      <w:r>
        <w:rPr>
          <w:rFonts w:hint="eastAsia"/>
        </w:rPr>
        <w:t>四、议程安排</w:t>
      </w:r>
      <w:bookmarkEnd w:id="5"/>
    </w:p>
    <w:p w14:paraId="5D3272CC">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86" w:rightChars="-41"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1.发标公告</w:t>
      </w:r>
      <w:r>
        <w:rPr>
          <w:rFonts w:hint="eastAsia" w:hAnsi="宋体" w:eastAsia="宋体" w:cs="宋体"/>
          <w:sz w:val="21"/>
          <w:szCs w:val="21"/>
          <w:highlight w:val="none"/>
          <w:lang w:val="en-US" w:eastAsia="zh-CN"/>
        </w:rPr>
        <w:t>及报名</w:t>
      </w:r>
      <w:r>
        <w:rPr>
          <w:rFonts w:hint="eastAsia" w:ascii="宋体" w:hAnsi="宋体" w:eastAsia="宋体" w:cs="宋体"/>
          <w:sz w:val="21"/>
          <w:szCs w:val="21"/>
          <w:highlight w:val="none"/>
        </w:rPr>
        <w:t>：中国重汽官网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新闻</w:t>
      </w:r>
      <w:r>
        <w:rPr>
          <w:rFonts w:hint="eastAsia" w:ascii="宋体" w:hAnsi="宋体" w:eastAsia="宋体" w:cs="宋体"/>
          <w:sz w:val="21"/>
          <w:szCs w:val="21"/>
          <w:highlight w:val="none"/>
        </w:rPr>
        <w:t>中心-通知公告）</w:t>
      </w:r>
      <w:r>
        <w:rPr>
          <w:rFonts w:hint="eastAsia" w:hAnsi="宋体" w:eastAsia="宋体" w:cs="宋体"/>
          <w:sz w:val="21"/>
          <w:szCs w:val="21"/>
          <w:highlight w:val="none"/>
          <w:lang w:eastAsia="zh-CN"/>
        </w:rPr>
        <w:t>、</w:t>
      </w:r>
      <w:r>
        <w:rPr>
          <w:rFonts w:hint="eastAsia" w:hAnsi="宋体" w:eastAsia="宋体" w:cs="宋体"/>
          <w:sz w:val="21"/>
          <w:szCs w:val="21"/>
          <w:highlight w:val="none"/>
          <w:lang w:val="en-US" w:eastAsia="zh-CN"/>
        </w:rPr>
        <w:t>阳关采购服务平台（www.ygcgfw.com）等</w:t>
      </w:r>
      <w:r>
        <w:rPr>
          <w:rFonts w:hint="default" w:ascii="宋体" w:hAnsi="Courier New" w:eastAsia="宋体" w:cs="Times New Roman"/>
          <w:highlight w:val="none"/>
          <w:lang w:val="en-US" w:eastAsia="zh-CN"/>
        </w:rPr>
        <w:t>公开媒体上发布的招标信息</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在“中国重汽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采通”平台报名</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按照中国重汽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r>
        <w:rPr>
          <w:rFonts w:hint="eastAsia" w:eastAsia="宋体" w:cs="Times New Roman"/>
          <w:highlight w:val="none"/>
          <w:lang w:val="en-US" w:eastAsia="zh-CN"/>
        </w:rPr>
        <w:t>重汽E采通</w:t>
      </w:r>
      <w:r>
        <w:rPr>
          <w:rFonts w:hint="default" w:ascii="宋体" w:hAnsi="Courier New" w:eastAsia="宋体" w:cs="Times New Roman"/>
          <w:highlight w:val="none"/>
          <w:lang w:val="en-US" w:eastAsia="zh-CN"/>
        </w:rPr>
        <w:t xml:space="preserve">非生产供应商注册手册（附件 </w:t>
      </w:r>
      <w:r>
        <w:rPr>
          <w:rFonts w:hint="eastAsia" w:eastAsia="宋体" w:cs="Times New Roman"/>
          <w:highlight w:val="none"/>
          <w:lang w:val="en-US" w:eastAsia="zh-CN"/>
        </w:rPr>
        <w:t>10</w:t>
      </w:r>
      <w:r>
        <w:rPr>
          <w:rFonts w:hint="default" w:ascii="宋体" w:hAnsi="Courier New" w:eastAsia="宋体" w:cs="Times New Roman"/>
          <w:highlight w:val="none"/>
          <w:lang w:val="en-US" w:eastAsia="zh-CN"/>
        </w:rPr>
        <w:t>）”进行注册，注册完毕后按照</w:t>
      </w:r>
      <w:r>
        <w:rPr>
          <w:rFonts w:hint="eastAsia" w:ascii="宋体" w:hAnsi="Courier New" w:eastAsia="宋体" w:cs="Times New Roman"/>
          <w:highlight w:val="none"/>
          <w:lang w:val="en-US" w:eastAsia="zh-CN"/>
        </w:rPr>
        <w:t>“</w:t>
      </w:r>
      <w:r>
        <w:rPr>
          <w:rFonts w:hint="eastAsia" w:eastAsia="宋体" w:cs="Times New Roman"/>
          <w:highlight w:val="none"/>
          <w:lang w:val="en-US" w:eastAsia="zh-CN"/>
        </w:rPr>
        <w:t>重汽E采通</w:t>
      </w:r>
      <w:r>
        <w:rPr>
          <w:rFonts w:hint="eastAsia" w:ascii="宋体" w:hAnsi="Courier New" w:eastAsia="宋体" w:cs="Times New Roman"/>
          <w:highlight w:val="none"/>
          <w:lang w:val="en-US" w:eastAsia="zh-CN"/>
        </w:rPr>
        <w:t>供应商用户手册”登录系统，</w:t>
      </w:r>
      <w:r>
        <w:rPr>
          <w:rFonts w:hint="default" w:ascii="宋体" w:hAnsi="Courier New" w:eastAsia="宋体" w:cs="Times New Roman"/>
          <w:highlight w:val="none"/>
          <w:lang w:val="en-US" w:eastAsia="zh-CN"/>
        </w:rPr>
        <w:t>进入“供应商应标”，选择对应的项目，点击“应标”后按照</w:t>
      </w:r>
      <w:r>
        <w:rPr>
          <w:rFonts w:hint="eastAsia" w:hAnsi="Courier New" w:eastAsia="宋体" w:cs="Times New Roman"/>
          <w:highlight w:val="none"/>
          <w:lang w:val="en-US" w:eastAsia="zh-CN"/>
        </w:rPr>
        <w:t>第二章</w:t>
      </w:r>
      <w:r>
        <w:rPr>
          <w:rFonts w:hint="default" w:ascii="宋体" w:hAnsi="Courier New" w:eastAsia="宋体" w:cs="Times New Roman"/>
          <w:highlight w:val="none"/>
          <w:lang w:val="en-US" w:eastAsia="zh-CN"/>
        </w:rPr>
        <w:t>招标文件</w:t>
      </w:r>
      <w:r>
        <w:rPr>
          <w:rFonts w:hint="eastAsia" w:ascii="宋体" w:hAnsi="Courier New" w:eastAsia="宋体" w:cs="Times New Roman"/>
          <w:highlight w:val="none"/>
          <w:lang w:val="en-US" w:eastAsia="zh-CN"/>
        </w:rPr>
        <w:t>编制</w:t>
      </w:r>
      <w:r>
        <w:rPr>
          <w:rFonts w:hint="default" w:ascii="宋体" w:hAnsi="Courier New" w:eastAsia="宋体" w:cs="Times New Roman"/>
          <w:highlight w:val="none"/>
          <w:lang w:val="en-US" w:eastAsia="zh-CN"/>
        </w:rPr>
        <w:t>组成资格证明文件中的</w:t>
      </w:r>
      <w:r>
        <w:rPr>
          <w:rFonts w:hint="eastAsia" w:hAnsi="Courier New" w:eastAsia="宋体" w:cs="Times New Roman"/>
          <w:highlight w:val="none"/>
          <w:lang w:val="en-US" w:eastAsia="zh-CN"/>
        </w:rPr>
        <w:t>要求</w:t>
      </w:r>
      <w:r>
        <w:rPr>
          <w:rFonts w:hint="default" w:ascii="宋体" w:hAnsi="Courier New" w:eastAsia="宋体" w:cs="Times New Roman"/>
          <w:highlight w:val="none"/>
          <w:lang w:val="en-US" w:eastAsia="zh-CN"/>
        </w:rPr>
        <w:t xml:space="preserve">准备资料并上传，资质审查通过即为报名成功，公示期间请尽快报名。 </w:t>
      </w:r>
    </w:p>
    <w:p w14:paraId="428F517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2.答疑方式：现场（或电话）答疑。</w:t>
      </w:r>
    </w:p>
    <w:p w14:paraId="1AE074E2">
      <w:pPr>
        <w:pStyle w:val="9"/>
        <w:spacing w:line="360" w:lineRule="auto"/>
        <w:ind w:firstLine="630" w:firstLineChars="3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答疑联系人及联系方式：</w:t>
      </w:r>
      <w:r>
        <w:rPr>
          <w:rFonts w:hint="eastAsia" w:hAnsi="宋体" w:eastAsia="宋体" w:cs="宋体"/>
          <w:sz w:val="21"/>
          <w:szCs w:val="21"/>
          <w:highlight w:val="none"/>
          <w:lang w:val="en-US" w:eastAsia="zh-CN"/>
        </w:rPr>
        <w:t xml:space="preserve">  </w:t>
      </w:r>
      <w:r>
        <w:rPr>
          <w:rFonts w:hint="eastAsia" w:hAnsi="宋体" w:cs="宋体"/>
          <w:sz w:val="21"/>
          <w:szCs w:val="21"/>
          <w:highlight w:val="none"/>
          <w:lang w:val="en-US" w:eastAsia="zh-CN"/>
        </w:rPr>
        <w:t>赵佳明 13066007932</w:t>
      </w:r>
    </w:p>
    <w:p w14:paraId="5A71BA01">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4.投标地点：</w:t>
      </w:r>
      <w:r>
        <w:rPr>
          <w:rFonts w:hint="default" w:ascii="宋体" w:hAnsi="Courier New" w:eastAsia="宋体" w:cs="Times New Roman"/>
          <w:highlight w:val="none"/>
          <w:lang w:val="en-US" w:eastAsia="zh-CN"/>
        </w:rPr>
        <w:t>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p>
    <w:p w14:paraId="2C15F6A4">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b/>
          <w:bCs/>
          <w:color w:val="auto"/>
          <w:lang w:val="en-US" w:eastAsia="zh-CN"/>
        </w:rPr>
      </w:pPr>
      <w:bookmarkStart w:id="6" w:name="_Toc26003"/>
      <w:r>
        <w:rPr>
          <w:rFonts w:hint="eastAsia" w:ascii="宋体" w:hAnsi="宋体" w:eastAsia="宋体" w:cs="宋体"/>
          <w:sz w:val="21"/>
          <w:szCs w:val="21"/>
          <w:highlight w:val="none"/>
        </w:rPr>
        <w:t>5.投标文件递交：</w:t>
      </w: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B71B1CF">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lang w:val="en-US" w:eastAsia="zh-CN" w:bidi="ar-SA"/>
        </w:rPr>
        <w:t>6.</w:t>
      </w:r>
      <w:r>
        <w:rPr>
          <w:rFonts w:hint="eastAsia" w:ascii="宋体" w:hAnsi="宋体" w:eastAsia="宋体" w:cs="宋体"/>
          <w:kern w:val="2"/>
          <w:sz w:val="21"/>
          <w:szCs w:val="21"/>
          <w:highlight w:val="none"/>
          <w:lang w:val="en-US" w:eastAsia="zh-CN" w:bidi="ar-SA"/>
        </w:rPr>
        <w:t>时间安排：</w:t>
      </w:r>
    </w:p>
    <w:p w14:paraId="2D563B08">
      <w:pPr>
        <w:keepNext w:val="0"/>
        <w:keepLines w:val="0"/>
        <w:suppressLineNumbers w:val="0"/>
        <w:spacing w:before="0" w:beforeAutospacing="0" w:after="0" w:afterAutospacing="0" w:line="300" w:lineRule="auto"/>
        <w:ind w:left="493" w:leftChars="200" w:right="0" w:hanging="73" w:hangingChars="35"/>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1）应标截止时间：2025年 1</w:t>
      </w:r>
      <w:r>
        <w:rPr>
          <w:rFonts w:hint="eastAsia" w:ascii="宋体" w:hAnsi="宋体" w:cs="宋体"/>
          <w:kern w:val="2"/>
          <w:sz w:val="21"/>
          <w:szCs w:val="21"/>
          <w:highlight w:val="none"/>
          <w:lang w:val="en-US" w:eastAsia="zh-CN" w:bidi="ar-SA"/>
        </w:rPr>
        <w:t>2</w:t>
      </w:r>
      <w:r>
        <w:rPr>
          <w:rFonts w:hint="eastAsia" w:ascii="宋体" w:hAnsi="宋体" w:eastAsia="宋体" w:cs="宋体"/>
          <w:kern w:val="2"/>
          <w:sz w:val="21"/>
          <w:szCs w:val="21"/>
          <w:highlight w:val="none"/>
          <w:lang w:val="en-US" w:eastAsia="zh-CN" w:bidi="ar-SA"/>
        </w:rPr>
        <w:t>月</w:t>
      </w:r>
      <w:r>
        <w:rPr>
          <w:rFonts w:hint="eastAsia" w:ascii="宋体" w:hAnsi="宋体" w:cs="宋体"/>
          <w:kern w:val="2"/>
          <w:sz w:val="21"/>
          <w:szCs w:val="21"/>
          <w:highlight w:val="none"/>
          <w:lang w:val="en-US" w:eastAsia="zh-CN" w:bidi="ar-SA"/>
        </w:rPr>
        <w:t>16</w:t>
      </w:r>
      <w:r>
        <w:rPr>
          <w:rFonts w:hint="eastAsia" w:ascii="宋体" w:hAnsi="宋体" w:eastAsia="宋体" w:cs="宋体"/>
          <w:kern w:val="2"/>
          <w:sz w:val="21"/>
          <w:szCs w:val="21"/>
          <w:highlight w:val="none"/>
          <w:lang w:val="en-US" w:eastAsia="zh-CN" w:bidi="ar-SA"/>
        </w:rPr>
        <w:t>日17:00时</w:t>
      </w:r>
    </w:p>
    <w:p w14:paraId="0D81AAC2">
      <w:pPr>
        <w:keepNext w:val="0"/>
        <w:keepLines w:val="0"/>
        <w:suppressLineNumbers w:val="0"/>
        <w:spacing w:before="0" w:beforeAutospacing="0" w:after="0" w:afterAutospacing="0" w:line="300" w:lineRule="auto"/>
        <w:ind w:left="493" w:leftChars="200" w:right="0" w:hanging="73" w:hangingChars="35"/>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2）投标截止时间：2025年12月</w:t>
      </w:r>
      <w:r>
        <w:rPr>
          <w:rFonts w:hint="eastAsia" w:ascii="宋体" w:hAnsi="宋体" w:cs="宋体"/>
          <w:kern w:val="2"/>
          <w:sz w:val="21"/>
          <w:szCs w:val="21"/>
          <w:highlight w:val="none"/>
          <w:lang w:val="en-US" w:eastAsia="zh-CN" w:bidi="ar-SA"/>
        </w:rPr>
        <w:t>22</w:t>
      </w:r>
      <w:r>
        <w:rPr>
          <w:rFonts w:hint="eastAsia" w:ascii="宋体" w:hAnsi="宋体" w:eastAsia="宋体" w:cs="宋体"/>
          <w:kern w:val="2"/>
          <w:sz w:val="21"/>
          <w:szCs w:val="21"/>
          <w:highlight w:val="none"/>
          <w:lang w:val="en-US" w:eastAsia="zh-CN" w:bidi="ar-SA"/>
        </w:rPr>
        <w:t>日9:00时</w:t>
      </w:r>
    </w:p>
    <w:p w14:paraId="1AA8DBC6">
      <w:pPr>
        <w:keepNext w:val="0"/>
        <w:keepLines w:val="0"/>
        <w:suppressLineNumbers w:val="0"/>
        <w:spacing w:before="0" w:beforeAutospacing="0" w:after="0" w:afterAutospacing="0" w:line="300" w:lineRule="auto"/>
        <w:ind w:left="493" w:leftChars="200" w:right="0" w:hanging="73" w:hangingChars="35"/>
        <w:rPr>
          <w:rFonts w:hint="eastAsia" w:ascii="仿宋_GB2312" w:hAnsi="仿宋_GB2312" w:eastAsia="仿宋_GB2312" w:cs="仿宋_GB2312"/>
          <w:color w:val="FF0000"/>
          <w:sz w:val="21"/>
          <w:szCs w:val="21"/>
          <w:highlight w:val="none"/>
          <w:lang w:val="en-US" w:eastAsia="zh-CN"/>
        </w:rPr>
      </w:pPr>
      <w:r>
        <w:rPr>
          <w:rFonts w:hint="eastAsia" w:ascii="宋体" w:hAnsi="宋体" w:eastAsia="宋体" w:cs="宋体"/>
          <w:kern w:val="2"/>
          <w:sz w:val="21"/>
          <w:szCs w:val="21"/>
          <w:highlight w:val="none"/>
          <w:lang w:val="en-US" w:eastAsia="zh-CN" w:bidi="ar-SA"/>
        </w:rPr>
        <w:t>3）开标时间：2025年12月</w:t>
      </w:r>
      <w:r>
        <w:rPr>
          <w:rFonts w:hint="eastAsia" w:ascii="宋体" w:hAnsi="宋体" w:cs="宋体"/>
          <w:kern w:val="2"/>
          <w:sz w:val="21"/>
          <w:szCs w:val="21"/>
          <w:highlight w:val="none"/>
          <w:lang w:val="en-US" w:eastAsia="zh-CN" w:bidi="ar-SA"/>
        </w:rPr>
        <w:t>22</w:t>
      </w:r>
      <w:r>
        <w:rPr>
          <w:rFonts w:hint="eastAsia" w:ascii="宋体" w:hAnsi="宋体" w:eastAsia="宋体" w:cs="宋体"/>
          <w:kern w:val="2"/>
          <w:sz w:val="21"/>
          <w:szCs w:val="21"/>
          <w:highlight w:val="none"/>
          <w:lang w:val="en-US" w:eastAsia="zh-CN" w:bidi="ar-SA"/>
        </w:rPr>
        <w:t>日9:00时(初定）</w:t>
      </w:r>
    </w:p>
    <w:p w14:paraId="1C518A3A">
      <w:pPr>
        <w:pStyle w:val="9"/>
        <w:numPr>
          <w:ilvl w:val="0"/>
          <w:numId w:val="0"/>
        </w:numPr>
        <w:spacing w:line="360" w:lineRule="auto"/>
        <w:ind w:firstLine="420" w:firstLineChars="200"/>
        <w:rPr>
          <w:rFonts w:hint="eastAsia" w:hAnsi="宋体" w:cs="宋体"/>
          <w:sz w:val="21"/>
          <w:szCs w:val="21"/>
          <w:highlight w:val="none"/>
          <w:lang w:val="en-US" w:eastAsia="zh-CN"/>
        </w:rPr>
      </w:pPr>
      <w:r>
        <w:rPr>
          <w:rFonts w:hint="eastAsia" w:hAnsi="宋体" w:cs="宋体"/>
          <w:kern w:val="2"/>
          <w:sz w:val="21"/>
          <w:szCs w:val="21"/>
          <w:lang w:val="en-US" w:eastAsia="zh-CN" w:bidi="ar-SA"/>
        </w:rPr>
        <w:t>7</w:t>
      </w:r>
      <w:r>
        <w:rPr>
          <w:rFonts w:hint="eastAsia" w:ascii="宋体" w:hAnsi="宋体" w:eastAsia="宋体" w:cs="宋体"/>
          <w:kern w:val="2"/>
          <w:sz w:val="21"/>
          <w:szCs w:val="21"/>
          <w:lang w:val="en-US" w:eastAsia="zh-CN" w:bidi="ar-SA"/>
        </w:rPr>
        <w:t>.</w:t>
      </w:r>
      <w:r>
        <w:rPr>
          <w:rFonts w:hint="eastAsia" w:ascii="宋体" w:hAnsi="宋体" w:eastAsia="宋体" w:cs="宋体"/>
          <w:sz w:val="21"/>
          <w:szCs w:val="21"/>
          <w:highlight w:val="none"/>
        </w:rPr>
        <w:t>商务事宜联系人：</w:t>
      </w:r>
      <w:r>
        <w:rPr>
          <w:rFonts w:hint="eastAsia" w:hAnsi="宋体" w:cs="宋体"/>
          <w:sz w:val="21"/>
          <w:szCs w:val="21"/>
          <w:highlight w:val="none"/>
          <w:lang w:val="en-US" w:eastAsia="zh-CN"/>
        </w:rPr>
        <w:t>赵佳明 13066007932</w:t>
      </w:r>
      <w:bookmarkStart w:id="37" w:name="_GoBack"/>
      <w:bookmarkEnd w:id="37"/>
    </w:p>
    <w:p w14:paraId="0A8DE94B">
      <w:pPr>
        <w:pStyle w:val="9"/>
        <w:numPr>
          <w:ilvl w:val="0"/>
          <w:numId w:val="0"/>
        </w:numPr>
        <w:spacing w:line="360" w:lineRule="auto"/>
        <w:ind w:firstLine="420" w:firstLineChars="200"/>
        <w:rPr>
          <w:rFonts w:hint="default" w:hAnsi="宋体" w:cs="宋体"/>
          <w:sz w:val="21"/>
          <w:szCs w:val="21"/>
          <w:highlight w:val="none"/>
          <w:lang w:val="en-US" w:eastAsia="zh-CN"/>
        </w:rPr>
      </w:pPr>
      <w:r>
        <w:rPr>
          <w:rFonts w:hint="eastAsia" w:hAnsi="宋体" w:cs="宋体"/>
          <w:kern w:val="2"/>
          <w:sz w:val="21"/>
          <w:szCs w:val="21"/>
          <w:lang w:val="en-US" w:eastAsia="zh-CN" w:bidi="ar-SA"/>
        </w:rPr>
        <w:t>8</w:t>
      </w:r>
      <w:r>
        <w:rPr>
          <w:rFonts w:hint="default" w:ascii="宋体" w:hAnsi="宋体" w:eastAsia="宋体" w:cs="宋体"/>
          <w:kern w:val="2"/>
          <w:sz w:val="21"/>
          <w:szCs w:val="21"/>
          <w:lang w:val="en-US" w:eastAsia="zh-CN" w:bidi="ar-SA"/>
        </w:rPr>
        <w:t>.</w:t>
      </w:r>
      <w:r>
        <w:rPr>
          <w:rFonts w:hint="eastAsia" w:ascii="宋体" w:hAnsi="宋体" w:eastAsia="宋体" w:cs="宋体"/>
          <w:b w:val="0"/>
          <w:bCs w:val="0"/>
          <w:sz w:val="21"/>
          <w:szCs w:val="21"/>
          <w:highlight w:val="none"/>
        </w:rPr>
        <w:t>报名及投标招标事宜联系人：</w:t>
      </w:r>
      <w:r>
        <w:rPr>
          <w:rFonts w:hint="eastAsia" w:ascii="宋体" w:hAnsi="宋体" w:eastAsia="宋体" w:cs="宋体"/>
          <w:b w:val="0"/>
          <w:bCs w:val="0"/>
          <w:sz w:val="21"/>
          <w:szCs w:val="21"/>
          <w:highlight w:val="none"/>
          <w:lang w:val="en-US" w:eastAsia="zh-CN"/>
        </w:rPr>
        <w:t xml:space="preserve"> 王瑄 17860605786</w:t>
      </w:r>
    </w:p>
    <w:p w14:paraId="2977C8F0">
      <w:pPr>
        <w:pStyle w:val="2"/>
        <w:bidi w:val="0"/>
        <w:rPr>
          <w:rFonts w:hint="eastAsia"/>
        </w:rPr>
      </w:pPr>
      <w:r>
        <w:rPr>
          <w:rFonts w:hint="eastAsia"/>
        </w:rPr>
        <w:t>五、获取招标文件</w:t>
      </w:r>
      <w:bookmarkEnd w:id="6"/>
    </w:p>
    <w:p w14:paraId="6CB45C73">
      <w:pPr>
        <w:pStyle w:val="9"/>
        <w:spacing w:line="360" w:lineRule="auto"/>
        <w:ind w:firstLine="420" w:firstLineChars="200"/>
        <w:rPr>
          <w:rFonts w:hint="eastAsia" w:ascii="黑体" w:hAnsi="宋体" w:eastAsia="黑体" w:cs="黑体"/>
          <w:b/>
          <w:kern w:val="2"/>
          <w:sz w:val="28"/>
          <w:szCs w:val="28"/>
          <w:lang w:val="en-US" w:eastAsia="zh-CN" w:bidi="ar"/>
        </w:rPr>
      </w:pPr>
      <w:r>
        <w:rPr>
          <w:rFonts w:hint="eastAsia" w:ascii="宋体" w:hAnsi="宋体" w:eastAsia="宋体" w:cs="宋体"/>
          <w:sz w:val="21"/>
          <w:szCs w:val="21"/>
          <w:highlight w:val="none"/>
        </w:rPr>
        <w:t>请在中国重汽官网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val="en-US" w:eastAsia="zh-CN"/>
        </w:rPr>
        <w:t>新闻</w:t>
      </w:r>
      <w:r>
        <w:rPr>
          <w:rFonts w:hint="eastAsia" w:ascii="宋体" w:hAnsi="宋体" w:eastAsia="宋体" w:cs="宋体"/>
          <w:sz w:val="21"/>
          <w:szCs w:val="21"/>
          <w:highlight w:val="none"/>
        </w:rPr>
        <w:t>中心-通知公告）下载获取。</w:t>
      </w:r>
    </w:p>
    <w:p w14:paraId="7D400B91">
      <w:pPr>
        <w:pStyle w:val="2"/>
        <w:numPr>
          <w:ilvl w:val="0"/>
          <w:numId w:val="4"/>
        </w:numPr>
        <w:bidi w:val="0"/>
        <w:rPr>
          <w:rFonts w:hint="eastAsia"/>
        </w:rPr>
      </w:pPr>
      <w:bookmarkStart w:id="7" w:name="_Toc29478"/>
      <w:r>
        <w:rPr>
          <w:rFonts w:hint="eastAsia"/>
        </w:rPr>
        <w:t>投标须知</w:t>
      </w:r>
      <w:bookmarkEnd w:id="7"/>
    </w:p>
    <w:p w14:paraId="2AD520AD">
      <w:pPr>
        <w:pStyle w:val="9"/>
        <w:spacing w:line="360" w:lineRule="auto"/>
        <w:ind w:firstLine="422" w:firstLineChars="200"/>
        <w:rPr>
          <w:rFonts w:hint="eastAsia"/>
          <w:b/>
        </w:rPr>
      </w:pPr>
      <w:r>
        <w:rPr>
          <w:rFonts w:hint="eastAsia"/>
          <w:b/>
        </w:rPr>
        <w:t>1.合格投标人：</w:t>
      </w:r>
    </w:p>
    <w:p w14:paraId="6CBE8FBB">
      <w:pPr>
        <w:pStyle w:val="9"/>
        <w:spacing w:line="360" w:lineRule="auto"/>
        <w:ind w:firstLine="420" w:firstLineChars="200"/>
        <w:rPr>
          <w:rFonts w:hint="eastAsia" w:ascii="宋体" w:hAnsi="Courier New" w:eastAsia="宋体"/>
          <w:sz w:val="21"/>
          <w:szCs w:val="21"/>
        </w:rPr>
      </w:pPr>
      <w:r>
        <w:rPr>
          <w:rFonts w:hint="eastAsia" w:hAnsi="Courier New"/>
          <w:sz w:val="21"/>
          <w:szCs w:val="21"/>
        </w:rPr>
        <w:t>1.1项目施工方必须具备项目内容相关成功案例</w:t>
      </w:r>
      <w:r>
        <w:rPr>
          <w:rFonts w:hint="eastAsia" w:ascii="宋体" w:hAnsi="Courier New" w:eastAsia="宋体"/>
          <w:sz w:val="21"/>
          <w:szCs w:val="21"/>
        </w:rPr>
        <w:t>等相关资质并提供近三年的相关业绩证明</w:t>
      </w:r>
      <w:r>
        <w:rPr>
          <w:rFonts w:hint="eastAsia" w:ascii="宋体" w:hAnsi="Courier New" w:eastAsia="宋体"/>
          <w:sz w:val="21"/>
          <w:szCs w:val="21"/>
          <w:lang w:eastAsia="zh-CN"/>
        </w:rPr>
        <w:t>；</w:t>
      </w:r>
      <w:r>
        <w:rPr>
          <w:rFonts w:hint="eastAsia" w:ascii="宋体" w:hAnsi="Courier New" w:eastAsia="宋体"/>
          <w:sz w:val="21"/>
          <w:szCs w:val="21"/>
        </w:rPr>
        <w:t>投标人须遵守《中华人民共和国招标投标法》、《中华人民共和国</w:t>
      </w:r>
      <w:r>
        <w:rPr>
          <w:rFonts w:hint="eastAsia" w:ascii="宋体" w:hAnsi="Courier New" w:eastAsia="宋体"/>
          <w:sz w:val="21"/>
          <w:szCs w:val="21"/>
          <w:lang w:val="en-US" w:eastAsia="zh-CN"/>
        </w:rPr>
        <w:t>民法典</w:t>
      </w:r>
      <w:r>
        <w:rPr>
          <w:rFonts w:hint="eastAsia" w:ascii="宋体" w:hAnsi="Courier New" w:eastAsia="宋体"/>
          <w:sz w:val="21"/>
          <w:szCs w:val="21"/>
        </w:rPr>
        <w:t>》及其它有关的法律和法规；为中华人民共和国境内注册的独立法人机构，具有独立承担民事责任能力；</w:t>
      </w:r>
    </w:p>
    <w:p w14:paraId="07CB74F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1.2公司成立三年以上，注册资金不得低于</w:t>
      </w:r>
      <w:r>
        <w:rPr>
          <w:rFonts w:hint="eastAsia" w:ascii="宋体" w:hAnsi="Courier New" w:cs="Times New Roman"/>
          <w:kern w:val="2"/>
          <w:sz w:val="21"/>
          <w:szCs w:val="21"/>
          <w:highlight w:val="none"/>
          <w:lang w:val="en-US" w:eastAsia="zh-CN" w:bidi="ar-SA"/>
        </w:rPr>
        <w:t>1000</w:t>
      </w:r>
      <w:r>
        <w:rPr>
          <w:rFonts w:hint="eastAsia" w:ascii="宋体" w:hAnsi="Courier New" w:eastAsia="宋体" w:cs="Times New Roman"/>
          <w:kern w:val="2"/>
          <w:sz w:val="21"/>
          <w:szCs w:val="21"/>
          <w:highlight w:val="none"/>
          <w:lang w:val="en-US" w:eastAsia="zh-CN" w:bidi="ar-SA"/>
        </w:rPr>
        <w:t>万，必须具有</w:t>
      </w:r>
      <w:r>
        <w:rPr>
          <w:rFonts w:hint="eastAsia" w:ascii="宋体" w:hAnsi="Courier New" w:cs="Times New Roman"/>
          <w:kern w:val="2"/>
          <w:sz w:val="21"/>
          <w:szCs w:val="21"/>
          <w:highlight w:val="none"/>
          <w:lang w:val="en-US" w:eastAsia="zh-CN" w:bidi="ar-SA"/>
        </w:rPr>
        <w:t>喷涂漆</w:t>
      </w:r>
      <w:r>
        <w:rPr>
          <w:rFonts w:hint="eastAsia" w:ascii="宋体" w:hAnsi="Courier New" w:eastAsia="宋体" w:cs="Times New Roman"/>
          <w:kern w:val="2"/>
          <w:sz w:val="21"/>
          <w:szCs w:val="21"/>
          <w:highlight w:val="none"/>
          <w:lang w:val="en-US" w:eastAsia="zh-CN" w:bidi="ar-SA"/>
        </w:rPr>
        <w:t>服务资质；具有IATF16949或ISO9001质量体系认证，认证范围必须包含</w:t>
      </w:r>
      <w:r>
        <w:rPr>
          <w:rFonts w:hint="eastAsia" w:ascii="宋体" w:hAnsi="Courier New" w:cs="Times New Roman"/>
          <w:kern w:val="2"/>
          <w:sz w:val="21"/>
          <w:szCs w:val="21"/>
          <w:highlight w:val="none"/>
          <w:lang w:val="en-US" w:eastAsia="zh-CN" w:bidi="ar-SA"/>
        </w:rPr>
        <w:t>喷涂漆</w:t>
      </w:r>
      <w:r>
        <w:rPr>
          <w:rFonts w:hint="eastAsia" w:ascii="宋体" w:hAnsi="Courier New" w:eastAsia="宋体" w:cs="Times New Roman"/>
          <w:kern w:val="2"/>
          <w:sz w:val="21"/>
          <w:szCs w:val="21"/>
          <w:highlight w:val="none"/>
          <w:lang w:val="en-US" w:eastAsia="zh-CN" w:bidi="ar-SA"/>
        </w:rPr>
        <w:t>类生产。</w:t>
      </w:r>
    </w:p>
    <w:p w14:paraId="5FA9402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1.3投标人须提供具有统一社会信用代码的新版营业执照副本复印件（加盖公章），必须具有</w:t>
      </w:r>
      <w:r>
        <w:rPr>
          <w:rFonts w:hint="eastAsia" w:ascii="宋体" w:hAnsi="Courier New" w:cs="Times New Roman"/>
          <w:kern w:val="2"/>
          <w:sz w:val="21"/>
          <w:szCs w:val="21"/>
          <w:lang w:val="en-US" w:eastAsia="zh-CN" w:bidi="ar-SA"/>
        </w:rPr>
        <w:t>喷涂漆</w:t>
      </w:r>
      <w:r>
        <w:rPr>
          <w:rFonts w:hint="eastAsia" w:ascii="宋体" w:hAnsi="Courier New" w:eastAsia="宋体" w:cs="Times New Roman"/>
          <w:kern w:val="2"/>
          <w:sz w:val="21"/>
          <w:szCs w:val="21"/>
          <w:lang w:val="en-US" w:eastAsia="zh-CN" w:bidi="ar-SA"/>
        </w:rPr>
        <w:t>服务资质；</w:t>
      </w:r>
    </w:p>
    <w:p w14:paraId="1D7C649B">
      <w:pPr>
        <w:pStyle w:val="9"/>
        <w:spacing w:line="360" w:lineRule="auto"/>
        <w:ind w:firstLine="420" w:firstLineChars="200"/>
        <w:rPr>
          <w:rFonts w:hint="eastAsia"/>
          <w:b w:val="0"/>
          <w:bCs w:val="0"/>
        </w:rPr>
      </w:pPr>
      <w:r>
        <w:rPr>
          <w:rFonts w:hint="eastAsia"/>
          <w:highlight w:val="none"/>
        </w:rPr>
        <w:t>1.4具有健全的财务会计制度，财务状况和市场行为良好。没有处于被有权机关吊销营业执照、吊销资质、停业整顿、取消投标资格以及财产被接管、冻结或进入破产程序等，投标单位需提供银行审计或资信证明</w:t>
      </w:r>
      <w:r>
        <w:rPr>
          <w:rFonts w:hint="eastAsia"/>
          <w:color w:val="auto"/>
          <w:highlight w:val="none"/>
        </w:rPr>
        <w:t>，保证单位财务状况良好可以进行投标；投标人应提供经会计师事务所审计且出具无保留意见的近三年的财务审计报告原件并加盖公章</w:t>
      </w:r>
      <w:r>
        <w:rPr>
          <w:rFonts w:hint="eastAsia"/>
          <w:color w:val="auto"/>
          <w:highlight w:val="none"/>
          <w:lang w:eastAsia="zh-CN"/>
        </w:rPr>
        <w:t>（</w:t>
      </w:r>
      <w:r>
        <w:rPr>
          <w:rFonts w:hint="eastAsia"/>
          <w:color w:val="auto"/>
          <w:highlight w:val="none"/>
        </w:rPr>
        <w:t>包括但不限于报告页、经审计的资产负债表、利润表、现金流量表及报表附注</w:t>
      </w:r>
      <w:r>
        <w:rPr>
          <w:rFonts w:hint="eastAsia"/>
          <w:color w:val="auto"/>
          <w:highlight w:val="none"/>
          <w:lang w:eastAsia="zh-CN"/>
        </w:rPr>
        <w:t>，</w:t>
      </w:r>
      <w:r>
        <w:rPr>
          <w:rFonts w:hint="eastAsia"/>
          <w:color w:val="auto"/>
          <w:highlight w:val="none"/>
        </w:rPr>
        <w:t>如投标人公司没有经审计的财务报告，可提供加盖公章的近三年财务报表，包括但不限于资产负债表、利润表、现金流量表</w:t>
      </w:r>
      <w:r>
        <w:rPr>
          <w:rFonts w:hint="eastAsia"/>
          <w:color w:val="auto"/>
          <w:highlight w:val="none"/>
          <w:lang w:eastAsia="zh-CN"/>
        </w:rPr>
        <w:t>，</w:t>
      </w:r>
      <w:r>
        <w:rPr>
          <w:rFonts w:hint="eastAsia"/>
          <w:color w:val="auto"/>
          <w:highlight w:val="none"/>
        </w:rPr>
        <w:t>应提供中文版本的审计报告或财务报表</w:t>
      </w:r>
      <w:r>
        <w:rPr>
          <w:rFonts w:hint="eastAsia"/>
          <w:color w:val="auto"/>
          <w:highlight w:val="none"/>
          <w:lang w:eastAsia="zh-CN"/>
        </w:rPr>
        <w:t>），</w:t>
      </w:r>
      <w:r>
        <w:rPr>
          <w:rFonts w:hint="eastAsia" w:hAnsi="Courier New" w:eastAsia="宋体" w:cs="Times New Roman"/>
          <w:color w:val="auto"/>
          <w:highlight w:val="none"/>
        </w:rPr>
        <w:t>企业最近半年完税证明、信用证明材料（征信报告）</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年度纳税信用评价信息（可从电子税务局查询截图，需加盖公章）</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 xml:space="preserve"> 企业对外担保说明（写明贵单位对外有无对外担保和质押业务，需加盖公章）。</w:t>
      </w:r>
    </w:p>
    <w:p w14:paraId="7345AC6A">
      <w:pPr>
        <w:pStyle w:val="9"/>
        <w:spacing w:line="360" w:lineRule="auto"/>
        <w:ind w:firstLine="420" w:firstLineChars="200"/>
        <w:rPr>
          <w:rFonts w:hint="eastAsia"/>
          <w:b w:val="0"/>
          <w:bCs w:val="0"/>
        </w:rPr>
      </w:pPr>
      <w:r>
        <w:rPr>
          <w:rFonts w:hint="eastAsia"/>
          <w:b w:val="0"/>
          <w:bCs w:val="0"/>
        </w:rPr>
        <w:t>1.5投标人没有被列入招标人处《黑名单》（《黑名单》指投标人</w:t>
      </w:r>
      <w:r>
        <w:rPr>
          <w:b w:val="0"/>
          <w:bCs w:val="0"/>
        </w:rPr>
        <w:t>与招标人在以往</w:t>
      </w:r>
      <w:r>
        <w:rPr>
          <w:rFonts w:hint="eastAsia"/>
          <w:b w:val="0"/>
          <w:bCs w:val="0"/>
        </w:rPr>
        <w:t>或</w:t>
      </w:r>
      <w:r>
        <w:rPr>
          <w:b w:val="0"/>
          <w:bCs w:val="0"/>
        </w:rPr>
        <w:t>正在</w:t>
      </w:r>
      <w:r>
        <w:rPr>
          <w:rFonts w:hint="eastAsia"/>
          <w:b w:val="0"/>
          <w:bCs w:val="0"/>
        </w:rPr>
        <w:t>进行</w:t>
      </w:r>
      <w:r>
        <w:rPr>
          <w:b w:val="0"/>
          <w:bCs w:val="0"/>
        </w:rPr>
        <w:t>的合作中</w:t>
      </w:r>
      <w:r>
        <w:rPr>
          <w:rFonts w:hint="eastAsia"/>
          <w:b w:val="0"/>
          <w:bCs w:val="0"/>
        </w:rPr>
        <w:t>，</w:t>
      </w:r>
      <w:r>
        <w:rPr>
          <w:b w:val="0"/>
          <w:bCs w:val="0"/>
        </w:rPr>
        <w:t>存在</w:t>
      </w:r>
      <w:r>
        <w:rPr>
          <w:rFonts w:hint="eastAsia"/>
          <w:b w:val="0"/>
          <w:bCs w:val="0"/>
        </w:rPr>
        <w:t>招标人</w:t>
      </w:r>
      <w:r>
        <w:rPr>
          <w:b w:val="0"/>
          <w:bCs w:val="0"/>
        </w:rPr>
        <w:t>认为的</w:t>
      </w:r>
      <w:r>
        <w:rPr>
          <w:rFonts w:hint="eastAsia"/>
          <w:b w:val="0"/>
          <w:bCs w:val="0"/>
        </w:rPr>
        <w:t>违反合同</w:t>
      </w:r>
      <w:r>
        <w:rPr>
          <w:b w:val="0"/>
          <w:bCs w:val="0"/>
        </w:rPr>
        <w:t>约定或</w:t>
      </w:r>
      <w:r>
        <w:rPr>
          <w:rFonts w:hint="eastAsia"/>
          <w:b w:val="0"/>
          <w:bCs w:val="0"/>
        </w:rPr>
        <w:t>违反法律法规</w:t>
      </w:r>
      <w:r>
        <w:rPr>
          <w:b w:val="0"/>
          <w:bCs w:val="0"/>
        </w:rPr>
        <w:t>等的</w:t>
      </w:r>
      <w:r>
        <w:rPr>
          <w:rFonts w:hint="eastAsia"/>
          <w:b w:val="0"/>
          <w:bCs w:val="0"/>
        </w:rPr>
        <w:t>失信行为）的。</w:t>
      </w:r>
    </w:p>
    <w:p w14:paraId="33B13EC7">
      <w:pPr>
        <w:pStyle w:val="9"/>
        <w:spacing w:line="360" w:lineRule="auto"/>
        <w:ind w:firstLine="420" w:firstLineChars="200"/>
        <w:rPr>
          <w:rFonts w:hint="eastAsia"/>
          <w:b w:val="0"/>
          <w:bCs w:val="0"/>
        </w:rPr>
      </w:pPr>
      <w:r>
        <w:rPr>
          <w:rFonts w:hint="eastAsia"/>
          <w:b w:val="0"/>
          <w:bCs w:val="0"/>
        </w:rPr>
        <w:t>1.6投标人须提供法人授权委托书复印件及投标单位授权代表的身份证复印件（加盖公章），开标现场核验授权代表身份证原件，</w:t>
      </w:r>
      <w:r>
        <w:rPr>
          <w:rFonts w:hint="eastAsia"/>
          <w:b w:val="0"/>
          <w:bCs w:val="0"/>
          <w:highlight w:val="yellow"/>
        </w:rPr>
        <w:t>授权代表由法人代表本人担任的，</w:t>
      </w:r>
      <w:r>
        <w:rPr>
          <w:rFonts w:hint="eastAsia"/>
          <w:b w:val="0"/>
          <w:bCs w:val="0"/>
          <w:highlight w:val="yellow"/>
          <w:lang w:val="en-US" w:eastAsia="zh-CN"/>
        </w:rPr>
        <w:t>也需</w:t>
      </w:r>
      <w:r>
        <w:rPr>
          <w:rFonts w:hint="eastAsia"/>
          <w:b w:val="0"/>
          <w:bCs w:val="0"/>
        </w:rPr>
        <w:t>提供法定代表人证明（加盖公章）。</w:t>
      </w:r>
    </w:p>
    <w:p w14:paraId="2F63547D">
      <w:pPr>
        <w:pStyle w:val="9"/>
        <w:spacing w:line="360" w:lineRule="auto"/>
        <w:ind w:firstLine="420" w:firstLineChars="200"/>
        <w:rPr>
          <w:rFonts w:hint="eastAsia"/>
          <w:szCs w:val="22"/>
        </w:rPr>
      </w:pPr>
      <w:r>
        <w:rPr>
          <w:rFonts w:hint="eastAsia"/>
          <w:szCs w:val="22"/>
        </w:rPr>
        <w:t>1.7在“信用中国”信息平台中，无</w:t>
      </w:r>
      <w:r>
        <w:rPr>
          <w:rFonts w:hint="eastAsia"/>
          <w:szCs w:val="22"/>
          <w:lang w:val="en-US" w:eastAsia="zh-CN"/>
        </w:rPr>
        <w:t>相关重大</w:t>
      </w:r>
      <w:r>
        <w:rPr>
          <w:rFonts w:hint="eastAsia"/>
          <w:szCs w:val="22"/>
        </w:rPr>
        <w:t>行政处罚及失信记录等信息，提供查询页截图；</w:t>
      </w:r>
    </w:p>
    <w:p w14:paraId="7979E506">
      <w:pPr>
        <w:pStyle w:val="9"/>
        <w:spacing w:line="360" w:lineRule="auto"/>
        <w:ind w:firstLine="420" w:firstLineChars="200"/>
        <w:rPr>
          <w:rFonts w:hint="eastAsia"/>
          <w:szCs w:val="22"/>
        </w:rPr>
      </w:pPr>
      <w:r>
        <w:rPr>
          <w:rFonts w:hint="eastAsia"/>
          <w:szCs w:val="22"/>
        </w:rPr>
        <w:t>1.8供方的直接或间接股东、法定代表人、董事、监事、高管非重汽员工及其亲属。</w:t>
      </w:r>
    </w:p>
    <w:p w14:paraId="6DB8D7A4">
      <w:pPr>
        <w:pStyle w:val="9"/>
        <w:spacing w:line="360" w:lineRule="auto"/>
        <w:ind w:firstLine="420" w:firstLineChars="200"/>
        <w:rPr>
          <w:rFonts w:hint="eastAsia"/>
        </w:rPr>
      </w:pPr>
      <w:r>
        <w:rPr>
          <w:rFonts w:hint="eastAsia"/>
        </w:rPr>
        <w:t>1.9投标人须认可招标人的工作指令，包括节假日、夜间能正常开展工作的要求；</w:t>
      </w:r>
    </w:p>
    <w:p w14:paraId="03E1CDD8">
      <w:pPr>
        <w:spacing w:line="360" w:lineRule="auto"/>
        <w:ind w:firstLine="457" w:firstLineChars="218"/>
        <w:rPr>
          <w:rFonts w:hint="eastAsia"/>
        </w:rPr>
      </w:pPr>
      <w:r>
        <w:rPr>
          <w:rFonts w:hint="eastAsia"/>
        </w:rPr>
        <w:t>1.10投标人必须是最终投标、签订合同的单位，不得以任何理由将已中标项目以任何形式转包给其他单位；</w:t>
      </w:r>
    </w:p>
    <w:p w14:paraId="0EB24AB1">
      <w:pPr>
        <w:spacing w:line="360" w:lineRule="auto"/>
        <w:ind w:firstLine="457" w:firstLineChars="218"/>
        <w:rPr>
          <w:rFonts w:hint="eastAsia" w:ascii="Times New Roman" w:hAnsi="Times New Roman" w:eastAsia="宋体" w:cs="Times New Roman"/>
          <w:highlight w:val="none"/>
        </w:rPr>
      </w:pPr>
      <w:r>
        <w:rPr>
          <w:rFonts w:hint="eastAsia" w:ascii="宋体" w:hAnsi="宋体" w:eastAsia="宋体" w:cs="宋体"/>
          <w:sz w:val="21"/>
          <w:szCs w:val="21"/>
          <w:highlight w:val="none"/>
          <w:lang w:val="en-US" w:eastAsia="zh-CN"/>
        </w:rPr>
        <w:t>1.1</w:t>
      </w:r>
      <w:r>
        <w:rPr>
          <w:rFonts w:hint="eastAsia" w:ascii="宋体" w:hAnsi="宋体" w:cs="宋体"/>
          <w:sz w:val="21"/>
          <w:szCs w:val="21"/>
          <w:highlight w:val="none"/>
          <w:lang w:val="en-US" w:eastAsia="zh-CN"/>
        </w:rPr>
        <w:t>1</w:t>
      </w:r>
      <w:r>
        <w:rPr>
          <w:rFonts w:hint="eastAsia" w:ascii="Times New Roman" w:hAnsi="Times New Roman" w:eastAsia="宋体" w:cs="Times New Roman"/>
          <w:highlight w:val="none"/>
        </w:rPr>
        <w:t>投标保证金有效期同投标有效期（中标通知书发出后</w:t>
      </w:r>
      <w:r>
        <w:rPr>
          <w:rFonts w:hint="eastAsia" w:cs="Times New Roman"/>
          <w:highlight w:val="none"/>
          <w:lang w:val="en-US" w:eastAsia="zh-CN"/>
        </w:rPr>
        <w:t>30</w:t>
      </w:r>
      <w:r>
        <w:rPr>
          <w:rFonts w:hint="eastAsia" w:ascii="Times New Roman" w:hAnsi="Times New Roman" w:eastAsia="宋体" w:cs="Times New Roman"/>
          <w:highlight w:val="none"/>
        </w:rPr>
        <w:t>个工作日内，</w:t>
      </w:r>
      <w:r>
        <w:rPr>
          <w:rFonts w:hint="default" w:ascii="Times New Roman" w:hAnsi="Times New Roman" w:eastAsia="宋体" w:cs="Times New Roman"/>
          <w:highlight w:val="none"/>
        </w:rPr>
        <w:t>将所有投</w:t>
      </w:r>
      <w:r>
        <w:rPr>
          <w:rFonts w:hint="eastAsia" w:ascii="Times New Roman" w:hAnsi="Times New Roman" w:eastAsia="宋体" w:cs="Times New Roman"/>
          <w:highlight w:val="none"/>
        </w:rPr>
        <w:t>标单位投标保证金退还（无息））。</w:t>
      </w:r>
    </w:p>
    <w:p w14:paraId="74226B0E">
      <w:pPr>
        <w:pStyle w:val="9"/>
        <w:spacing w:line="360" w:lineRule="auto"/>
        <w:ind w:firstLine="420" w:firstLineChars="200"/>
        <w:rPr>
          <w:rFonts w:hint="eastAsia"/>
          <w:highlight w:val="none"/>
        </w:rPr>
      </w:pPr>
      <w:r>
        <w:rPr>
          <w:rFonts w:hint="eastAsia"/>
          <w:highlight w:val="none"/>
        </w:rPr>
        <w:t>逾期的投标文件招标人不予受理。</w:t>
      </w:r>
    </w:p>
    <w:p w14:paraId="4451209A">
      <w:pPr>
        <w:pStyle w:val="9"/>
        <w:spacing w:line="360" w:lineRule="auto"/>
        <w:ind w:firstLine="422" w:firstLineChars="200"/>
        <w:rPr>
          <w:b/>
          <w:szCs w:val="22"/>
        </w:rPr>
      </w:pPr>
      <w:r>
        <w:rPr>
          <w:rFonts w:hint="eastAsia"/>
          <w:b/>
          <w:szCs w:val="22"/>
          <w:lang w:val="en-US" w:eastAsia="zh-CN"/>
        </w:rPr>
        <w:t>2</w:t>
      </w:r>
      <w:r>
        <w:rPr>
          <w:rFonts w:hint="eastAsia"/>
          <w:b/>
          <w:szCs w:val="22"/>
          <w:lang w:eastAsia="zh-CN"/>
        </w:rPr>
        <w:t>.</w:t>
      </w:r>
      <w:r>
        <w:rPr>
          <w:rFonts w:hint="eastAsia"/>
          <w:b/>
          <w:szCs w:val="22"/>
        </w:rPr>
        <w:t>结算</w:t>
      </w:r>
    </w:p>
    <w:p w14:paraId="6344BD40">
      <w:pPr>
        <w:pStyle w:val="9"/>
        <w:spacing w:line="360" w:lineRule="auto"/>
        <w:ind w:firstLine="420" w:firstLineChars="200"/>
        <w:rPr>
          <w:rFonts w:hint="eastAsia"/>
        </w:rPr>
      </w:pPr>
      <w:r>
        <w:rPr>
          <w:rFonts w:hint="eastAsia"/>
          <w:szCs w:val="22"/>
          <w:lang w:val="en-US" w:eastAsia="zh-CN"/>
        </w:rPr>
        <w:t>2</w:t>
      </w:r>
      <w:r>
        <w:rPr>
          <w:rFonts w:hint="eastAsia"/>
          <w:szCs w:val="22"/>
          <w:lang w:eastAsia="zh-CN"/>
        </w:rPr>
        <w:t>.</w:t>
      </w:r>
      <w:r>
        <w:rPr>
          <w:rFonts w:hint="eastAsia"/>
          <w:szCs w:val="22"/>
        </w:rPr>
        <w:t>1本次招标为</w:t>
      </w:r>
      <w:r>
        <w:rPr>
          <w:rFonts w:hint="eastAsia"/>
          <w:szCs w:val="22"/>
          <w:lang w:val="en-US" w:eastAsia="zh-CN"/>
        </w:rPr>
        <w:t>公开</w:t>
      </w:r>
      <w:r>
        <w:rPr>
          <w:rFonts w:hint="eastAsia"/>
          <w:szCs w:val="22"/>
        </w:rPr>
        <w:t>招标，报价应为：</w:t>
      </w:r>
      <w:r>
        <w:rPr>
          <w:rFonts w:hint="eastAsia"/>
        </w:rPr>
        <w:t>经与招标人或其指派的答疑人员充分沟通确认基础上，由投标人在满足招标人所提出的、与本项目所有相关环节有关的所有费用；</w:t>
      </w:r>
    </w:p>
    <w:p w14:paraId="26FF3C09">
      <w:pPr>
        <w:pStyle w:val="9"/>
        <w:spacing w:line="360" w:lineRule="auto"/>
        <w:ind w:firstLine="420" w:firstLineChars="200"/>
        <w:rPr>
          <w:rFonts w:hint="eastAsia" w:ascii="宋体" w:eastAsia="宋体"/>
          <w:szCs w:val="22"/>
          <w:lang w:val="en-US" w:eastAsia="zh-CN"/>
        </w:rPr>
      </w:pPr>
      <w:r>
        <w:rPr>
          <w:rFonts w:hint="eastAsia" w:ascii="宋体" w:eastAsia="宋体"/>
          <w:szCs w:val="22"/>
          <w:lang w:val="en-US" w:eastAsia="zh-CN"/>
        </w:rPr>
        <w:t>2.2付款结算方式：半年期商业汇票（包括银行承兑汇票和商业承兑汇票）。开具发票审核无误挂账 90 日后付款。</w:t>
      </w:r>
    </w:p>
    <w:p w14:paraId="6D5F2098">
      <w:pPr>
        <w:pStyle w:val="9"/>
        <w:spacing w:line="360" w:lineRule="auto"/>
        <w:ind w:firstLine="420" w:firstLineChars="200"/>
        <w:rPr>
          <w:rFonts w:hint="eastAsia" w:ascii="宋体" w:eastAsia="宋体"/>
          <w:szCs w:val="22"/>
          <w:highlight w:val="yellow"/>
          <w:lang w:val="en-US" w:eastAsia="zh-CN"/>
        </w:rPr>
      </w:pPr>
      <w:r>
        <w:rPr>
          <w:rFonts w:hint="eastAsia"/>
          <w:szCs w:val="22"/>
          <w:highlight w:val="yellow"/>
          <w:lang w:val="en-US" w:eastAsia="zh-CN"/>
        </w:rPr>
        <w:t>2.3 结算数据核对及发票开具时间：结算数据统计周期为1月1日-1月20日、1月21日-2月20日……，20-26日内完成数据核对及发票开具，28日前完成挂账。</w:t>
      </w:r>
    </w:p>
    <w:p w14:paraId="253C90A3">
      <w:pPr>
        <w:pStyle w:val="9"/>
        <w:spacing w:line="360" w:lineRule="auto"/>
        <w:ind w:firstLine="422" w:firstLineChars="200"/>
        <w:rPr>
          <w:rFonts w:hint="eastAsia" w:hAnsi="宋体" w:cs="宋体"/>
          <w:b/>
          <w:szCs w:val="21"/>
          <w:highlight w:val="none"/>
          <w:u w:val="none"/>
          <w:lang w:val="en-US" w:eastAsia="zh-CN"/>
        </w:rPr>
      </w:pPr>
      <w:r>
        <w:rPr>
          <w:rFonts w:hint="eastAsia" w:hAnsi="宋体" w:cs="宋体"/>
          <w:b/>
          <w:szCs w:val="21"/>
          <w:highlight w:val="none"/>
          <w:u w:val="none"/>
          <w:lang w:val="en-US" w:eastAsia="zh-CN"/>
        </w:rPr>
        <w:t>2.3核算方式：</w:t>
      </w:r>
    </w:p>
    <w:p w14:paraId="10FC2B36">
      <w:pPr>
        <w:pStyle w:val="9"/>
        <w:spacing w:line="360" w:lineRule="auto"/>
        <w:ind w:firstLine="420" w:firstLineChars="200"/>
        <w:rPr>
          <w:rFonts w:hint="eastAsia" w:hAnsi="Courier New" w:eastAsia="宋体" w:cs="Times New Roman"/>
          <w:lang w:val="en-US" w:eastAsia="zh-CN"/>
        </w:rPr>
      </w:pPr>
      <w:r>
        <w:rPr>
          <w:rFonts w:hint="eastAsia" w:hAnsi="Courier New" w:eastAsia="宋体" w:cs="Times New Roman"/>
          <w:lang w:val="en-US" w:eastAsia="zh-CN"/>
        </w:rPr>
        <w:t>按照</w:t>
      </w:r>
      <w:r>
        <w:rPr>
          <w:rFonts w:hint="eastAsia" w:cs="Times New Roman"/>
          <w:lang w:val="en-US" w:eastAsia="zh-CN"/>
        </w:rPr>
        <w:t>喷漆桥</w:t>
      </w:r>
      <w:r>
        <w:rPr>
          <w:rFonts w:hint="eastAsia" w:hAnsi="Courier New" w:eastAsia="宋体" w:cs="Times New Roman"/>
          <w:lang w:val="en-US" w:eastAsia="zh-CN"/>
        </w:rPr>
        <w:t>下线数量核算；</w:t>
      </w:r>
    </w:p>
    <w:p w14:paraId="2FB0B6B4">
      <w:pPr>
        <w:pStyle w:val="9"/>
        <w:spacing w:line="360" w:lineRule="auto"/>
        <w:ind w:firstLine="422" w:firstLineChars="200"/>
        <w:rPr>
          <w:rFonts w:hint="eastAsia" w:hAnsi="宋体" w:cs="宋体"/>
          <w:b/>
          <w:szCs w:val="21"/>
          <w:highlight w:val="none"/>
          <w:u w:val="none"/>
          <w:lang w:val="en-US" w:eastAsia="zh-CN"/>
        </w:rPr>
      </w:pPr>
      <w:r>
        <w:rPr>
          <w:rFonts w:hint="eastAsia" w:hAnsi="宋体" w:cs="宋体"/>
          <w:b/>
          <w:szCs w:val="21"/>
          <w:highlight w:val="none"/>
          <w:u w:val="none"/>
          <w:lang w:val="en-US" w:eastAsia="zh-CN"/>
        </w:rPr>
        <w:t>每月按照业务产量*单价进行核算统计。</w:t>
      </w:r>
    </w:p>
    <w:p w14:paraId="635A61F6">
      <w:pPr>
        <w:pStyle w:val="9"/>
        <w:spacing w:line="360" w:lineRule="auto"/>
        <w:ind w:firstLine="422" w:firstLineChars="200"/>
        <w:rPr>
          <w:rFonts w:hint="eastAsia"/>
          <w:b/>
        </w:rPr>
      </w:pPr>
      <w:r>
        <w:rPr>
          <w:rFonts w:hint="eastAsia"/>
          <w:b/>
        </w:rPr>
        <w:t>3.技术规范及服务</w:t>
      </w:r>
    </w:p>
    <w:p w14:paraId="2BEBBAF5">
      <w:pPr>
        <w:pStyle w:val="9"/>
        <w:spacing w:line="360" w:lineRule="auto"/>
        <w:ind w:firstLine="420" w:firstLineChars="200"/>
        <w:rPr>
          <w:rFonts w:hint="eastAsia"/>
        </w:rPr>
      </w:pPr>
      <w:r>
        <w:rPr>
          <w:rFonts w:hint="eastAsia"/>
        </w:rPr>
        <w:t>3.1投标人应与招标人指派的答疑人员充分沟通，理解认可并接受相关技术规范及服务要求。</w:t>
      </w:r>
    </w:p>
    <w:p w14:paraId="54DCCD36">
      <w:pPr>
        <w:pStyle w:val="9"/>
        <w:spacing w:line="360" w:lineRule="auto"/>
        <w:ind w:firstLine="420" w:firstLineChars="200"/>
      </w:pPr>
      <w:r>
        <w:rPr>
          <w:rFonts w:hint="eastAsia"/>
        </w:rPr>
        <w:t>3.2投标人可免费提供的、包含但不限于招标人所要求的其他相关服务内容，按本招标书“第二章 投标文件编制”要求</w:t>
      </w:r>
      <w:r>
        <w:rPr>
          <w:rFonts w:hint="eastAsia"/>
          <w:szCs w:val="22"/>
        </w:rPr>
        <w:t>，在</w:t>
      </w:r>
      <w:r>
        <w:rPr>
          <w:rFonts w:hint="eastAsia"/>
        </w:rPr>
        <w:t>技术标中说明。</w:t>
      </w:r>
    </w:p>
    <w:p w14:paraId="1925D1FF">
      <w:pPr>
        <w:pStyle w:val="9"/>
        <w:spacing w:line="360" w:lineRule="auto"/>
        <w:ind w:firstLine="422" w:firstLineChars="200"/>
        <w:rPr>
          <w:rFonts w:hint="eastAsia"/>
          <w:b/>
        </w:rPr>
      </w:pPr>
      <w:r>
        <w:rPr>
          <w:rFonts w:hint="eastAsia"/>
          <w:b/>
        </w:rPr>
        <w:t>4.其他</w:t>
      </w:r>
    </w:p>
    <w:p w14:paraId="3C16601C">
      <w:pPr>
        <w:pStyle w:val="9"/>
        <w:spacing w:line="360" w:lineRule="auto"/>
        <w:ind w:firstLine="420" w:firstLineChars="200"/>
        <w:rPr>
          <w:rFonts w:hint="eastAsia"/>
        </w:rPr>
      </w:pPr>
      <w:r>
        <w:rPr>
          <w:rFonts w:hint="eastAsia"/>
        </w:rPr>
        <w:t>投标人须认可招标人</w:t>
      </w:r>
      <w:r>
        <w:rPr>
          <w:rFonts w:hint="eastAsia"/>
          <w:b/>
          <w:bCs/>
        </w:rPr>
        <w:t>由于招标人上级集团公司政策变化引起的合同签订前终止项目</w:t>
      </w:r>
      <w:r>
        <w:rPr>
          <w:rFonts w:hint="eastAsia"/>
        </w:rPr>
        <w:t>的要求。如投标人不认可、不接受，则投标人在本招标书“第二章 投标文件编制”之“相关条款偏离表（含商务偏离及技术偏离）”中注明“不接受”字，招标人将视之为主动弃标。</w:t>
      </w:r>
    </w:p>
    <w:p w14:paraId="4A18B464">
      <w:pPr>
        <w:pStyle w:val="9"/>
        <w:spacing w:line="360" w:lineRule="auto"/>
        <w:ind w:firstLine="420" w:firstLineChars="200"/>
        <w:rPr>
          <w:rFonts w:hint="eastAsia"/>
        </w:rPr>
      </w:pPr>
      <w:r>
        <w:rPr>
          <w:rFonts w:hint="eastAsia"/>
        </w:rPr>
        <w:t>其余未尽事宜，均按合同约定。</w:t>
      </w:r>
    </w:p>
    <w:p w14:paraId="74D06D61">
      <w:pPr>
        <w:pStyle w:val="9"/>
        <w:spacing w:line="360" w:lineRule="auto"/>
        <w:ind w:firstLine="422" w:firstLineChars="200"/>
        <w:rPr>
          <w:rFonts w:hint="eastAsia"/>
          <w:b/>
        </w:rPr>
      </w:pPr>
      <w:r>
        <w:rPr>
          <w:rFonts w:hint="eastAsia"/>
          <w:b/>
        </w:rPr>
        <w:t>5.要求招标人或相关合同签订单位提供的配合，在标书文件中说明。</w:t>
      </w:r>
    </w:p>
    <w:p w14:paraId="67AA535E">
      <w:pPr>
        <w:pStyle w:val="2"/>
        <w:bidi w:val="0"/>
        <w:rPr>
          <w:rFonts w:hint="default"/>
          <w:lang w:val="en-US"/>
        </w:rPr>
      </w:pPr>
      <w:bookmarkStart w:id="8" w:name="_Toc7516"/>
      <w:r>
        <w:rPr>
          <w:rFonts w:hint="eastAsia"/>
          <w:lang w:val="en-US" w:eastAsia="zh-CN"/>
        </w:rPr>
        <w:t>七</w:t>
      </w:r>
      <w:r>
        <w:rPr>
          <w:rFonts w:hint="default"/>
          <w:lang w:val="en-US" w:eastAsia="zh-CN"/>
        </w:rPr>
        <w:t>、</w:t>
      </w:r>
      <w:r>
        <w:rPr>
          <w:rFonts w:hint="eastAsia"/>
          <w:lang w:val="en-US" w:eastAsia="zh-CN"/>
        </w:rPr>
        <w:t>生产管理</w:t>
      </w:r>
      <w:bookmarkEnd w:id="8"/>
    </w:p>
    <w:p w14:paraId="2DA928FC">
      <w:pPr>
        <w:pStyle w:val="9"/>
        <w:numPr>
          <w:ilvl w:val="0"/>
          <w:numId w:val="0"/>
        </w:numPr>
        <w:spacing w:line="360" w:lineRule="auto"/>
        <w:ind w:firstLine="422" w:firstLineChars="200"/>
        <w:rPr>
          <w:rFonts w:hint="eastAsia" w:ascii="黑体" w:eastAsia="黑体"/>
          <w:b/>
          <w:bCs/>
          <w:sz w:val="36"/>
          <w:szCs w:val="36"/>
        </w:rPr>
      </w:pPr>
      <w:r>
        <w:rPr>
          <w:rFonts w:hint="eastAsia"/>
          <w:b/>
          <w:bCs/>
          <w:lang w:val="en-US" w:eastAsia="zh-CN"/>
        </w:rPr>
        <w:t>1、</w:t>
      </w:r>
      <w:r>
        <w:rPr>
          <w:rFonts w:hint="eastAsia"/>
          <w:b/>
          <w:bCs/>
        </w:rPr>
        <w:t>生产</w:t>
      </w:r>
      <w:r>
        <w:rPr>
          <w:rFonts w:hint="eastAsia"/>
          <w:b/>
          <w:bCs/>
          <w:lang w:val="en-US" w:eastAsia="zh-CN"/>
        </w:rPr>
        <w:t>组织</w:t>
      </w:r>
    </w:p>
    <w:p w14:paraId="62B1F182">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1.1</w:t>
      </w:r>
      <w:r>
        <w:rPr>
          <w:rFonts w:hint="default"/>
          <w:highlight w:val="none"/>
          <w:lang w:val="en-US" w:eastAsia="zh-CN"/>
        </w:rPr>
        <w:t>设备操作：</w:t>
      </w:r>
      <w:r>
        <w:rPr>
          <w:rFonts w:hint="eastAsia"/>
          <w:highlight w:val="none"/>
          <w:lang w:val="en-US" w:eastAsia="zh-CN"/>
        </w:rPr>
        <w:t>承包</w:t>
      </w:r>
      <w:r>
        <w:rPr>
          <w:rFonts w:hint="eastAsia" w:hAnsi="Courier New" w:eastAsia="宋体" w:cs="Times New Roman"/>
          <w:highlight w:val="none"/>
        </w:rPr>
        <w:t>方设备操作人员必须经过专门培训，并经</w:t>
      </w:r>
      <w:r>
        <w:rPr>
          <w:rFonts w:hint="eastAsia" w:hAnsi="Courier New" w:eastAsia="宋体" w:cs="Times New Roman"/>
          <w:highlight w:val="none"/>
          <w:lang w:val="en-US" w:eastAsia="zh-CN"/>
        </w:rPr>
        <w:t>招标方</w:t>
      </w:r>
      <w:r>
        <w:rPr>
          <w:rFonts w:hint="eastAsia" w:hAnsi="Courier New" w:eastAsia="宋体" w:cs="Times New Roman"/>
          <w:highlight w:val="none"/>
        </w:rPr>
        <w:t>考评合格后，持证上岗；无证人员不得操作设备。</w:t>
      </w:r>
      <w:r>
        <w:rPr>
          <w:rFonts w:hint="eastAsia"/>
          <w:highlight w:val="none"/>
          <w:lang w:val="en-US" w:eastAsia="zh-CN"/>
        </w:rPr>
        <w:t>承包</w:t>
      </w:r>
      <w:r>
        <w:rPr>
          <w:rFonts w:hint="eastAsia" w:hAnsi="Courier New" w:eastAsia="宋体" w:cs="Times New Roman"/>
          <w:highlight w:val="none"/>
        </w:rPr>
        <w:t>方设备操作人员的培训由</w:t>
      </w:r>
      <w:r>
        <w:rPr>
          <w:rFonts w:hint="eastAsia"/>
          <w:highlight w:val="none"/>
          <w:lang w:val="en-US" w:eastAsia="zh-CN"/>
        </w:rPr>
        <w:t>承包</w:t>
      </w:r>
      <w:r>
        <w:rPr>
          <w:rFonts w:hint="eastAsia" w:hAnsi="Courier New" w:eastAsia="宋体" w:cs="Times New Roman"/>
          <w:highlight w:val="none"/>
        </w:rPr>
        <w:t>方负责。</w:t>
      </w:r>
    </w:p>
    <w:p w14:paraId="16EC6BF3">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1.2</w:t>
      </w:r>
      <w:r>
        <w:rPr>
          <w:rFonts w:hint="default"/>
          <w:highlight w:val="none"/>
          <w:lang w:val="en-US" w:eastAsia="zh-CN"/>
        </w:rPr>
        <w:t>产品摆放：</w:t>
      </w:r>
      <w:r>
        <w:rPr>
          <w:rFonts w:hint="eastAsia"/>
          <w:highlight w:val="none"/>
          <w:lang w:val="en-US" w:eastAsia="zh-CN"/>
        </w:rPr>
        <w:t>承包方</w:t>
      </w:r>
      <w:r>
        <w:rPr>
          <w:rFonts w:hint="default"/>
          <w:highlight w:val="none"/>
          <w:lang w:val="en-US" w:eastAsia="zh-CN"/>
        </w:rPr>
        <w:t>同意按要求执行</w:t>
      </w:r>
      <w:r>
        <w:rPr>
          <w:rFonts w:hint="eastAsia"/>
          <w:highlight w:val="none"/>
          <w:lang w:val="en-US" w:eastAsia="zh-CN"/>
        </w:rPr>
        <w:t>招标方</w:t>
      </w:r>
      <w:r>
        <w:rPr>
          <w:rFonts w:hint="default"/>
          <w:highlight w:val="none"/>
          <w:lang w:val="en-US" w:eastAsia="zh-CN"/>
        </w:rPr>
        <w:t>工艺文件，使用规定的工位器具，并按规定的数量和方式摆放整齐，不准出现超高、杂乱、混放等现象；</w:t>
      </w:r>
      <w:r>
        <w:rPr>
          <w:rFonts w:hint="eastAsia"/>
          <w:highlight w:val="none"/>
          <w:lang w:val="en-US" w:eastAsia="zh-CN"/>
        </w:rPr>
        <w:t>承包方</w:t>
      </w:r>
      <w:r>
        <w:rPr>
          <w:rFonts w:hint="default"/>
          <w:highlight w:val="none"/>
          <w:lang w:val="en-US" w:eastAsia="zh-CN"/>
        </w:rPr>
        <w:t>必须保证产品标示规范，且标示卡与实物数量一致</w:t>
      </w:r>
      <w:r>
        <w:rPr>
          <w:rFonts w:hint="eastAsia"/>
          <w:highlight w:val="none"/>
          <w:lang w:val="en-US" w:eastAsia="zh-CN"/>
        </w:rPr>
        <w:t>。</w:t>
      </w:r>
    </w:p>
    <w:p w14:paraId="4956157B">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1.3</w:t>
      </w:r>
      <w:r>
        <w:rPr>
          <w:rFonts w:hint="default"/>
          <w:highlight w:val="none"/>
          <w:lang w:val="en-US" w:eastAsia="zh-CN"/>
        </w:rPr>
        <w:t>因</w:t>
      </w:r>
      <w:r>
        <w:rPr>
          <w:rFonts w:hint="eastAsia"/>
          <w:highlight w:val="none"/>
          <w:lang w:val="en-US" w:eastAsia="zh-CN"/>
        </w:rPr>
        <w:t>承包方</w:t>
      </w:r>
      <w:r>
        <w:rPr>
          <w:rFonts w:hint="default"/>
          <w:highlight w:val="none"/>
          <w:lang w:val="en-US" w:eastAsia="zh-CN"/>
        </w:rPr>
        <w:t>人员的设备操作及产品摆放不符合上述约定，导致产生安全生产事故，由</w:t>
      </w:r>
      <w:r>
        <w:rPr>
          <w:rFonts w:hint="eastAsia"/>
          <w:highlight w:val="none"/>
          <w:lang w:val="en-US" w:eastAsia="zh-CN"/>
        </w:rPr>
        <w:t>承包方</w:t>
      </w:r>
      <w:r>
        <w:rPr>
          <w:rFonts w:hint="default"/>
          <w:highlight w:val="none"/>
          <w:lang w:val="en-US" w:eastAsia="zh-CN"/>
        </w:rPr>
        <w:t>自行承担所有损失，如因此给</w:t>
      </w:r>
      <w:r>
        <w:rPr>
          <w:rFonts w:hint="eastAsia"/>
          <w:highlight w:val="none"/>
          <w:lang w:val="en-US" w:eastAsia="zh-CN"/>
        </w:rPr>
        <w:t>招标方</w:t>
      </w:r>
      <w:r>
        <w:rPr>
          <w:rFonts w:hint="default"/>
          <w:highlight w:val="none"/>
          <w:lang w:val="en-US" w:eastAsia="zh-CN"/>
        </w:rPr>
        <w:t>或第三方造成任何损失，</w:t>
      </w:r>
      <w:r>
        <w:rPr>
          <w:rFonts w:hint="eastAsia"/>
          <w:highlight w:val="none"/>
          <w:lang w:val="en-US" w:eastAsia="zh-CN"/>
        </w:rPr>
        <w:t>承包方</w:t>
      </w:r>
      <w:r>
        <w:rPr>
          <w:rFonts w:hint="default"/>
          <w:highlight w:val="none"/>
          <w:lang w:val="en-US" w:eastAsia="zh-CN"/>
        </w:rPr>
        <w:t>承担全部赔偿责任</w:t>
      </w:r>
      <w:r>
        <w:rPr>
          <w:rFonts w:hint="eastAsia"/>
          <w:highlight w:val="none"/>
          <w:lang w:val="en-US" w:eastAsia="zh-CN"/>
        </w:rPr>
        <w:t>。</w:t>
      </w:r>
    </w:p>
    <w:p w14:paraId="0E33A4A7">
      <w:pPr>
        <w:pStyle w:val="9"/>
        <w:numPr>
          <w:ilvl w:val="0"/>
          <w:numId w:val="0"/>
        </w:numPr>
        <w:spacing w:line="360" w:lineRule="auto"/>
        <w:ind w:left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生产作业计划：</w:t>
      </w:r>
    </w:p>
    <w:p w14:paraId="3A3C8FB8">
      <w:pPr>
        <w:pStyle w:val="9"/>
        <w:numPr>
          <w:ilvl w:val="0"/>
          <w:numId w:val="0"/>
        </w:numPr>
        <w:spacing w:line="360" w:lineRule="auto"/>
        <w:ind w:leftChars="200"/>
        <w:rPr>
          <w:rFonts w:hint="default"/>
          <w:highlight w:val="none"/>
          <w:lang w:val="en-US" w:eastAsia="zh-CN"/>
        </w:rPr>
      </w:pPr>
      <w:r>
        <w:rPr>
          <w:rFonts w:hint="eastAsia"/>
          <w:highlight w:val="none"/>
          <w:lang w:val="en-US" w:eastAsia="zh-CN"/>
        </w:rPr>
        <w:t>2.1</w:t>
      </w:r>
      <w:r>
        <w:rPr>
          <w:rFonts w:hint="default"/>
          <w:highlight w:val="none"/>
          <w:lang w:val="en-US" w:eastAsia="zh-CN"/>
        </w:rPr>
        <w:t>编制：</w:t>
      </w:r>
      <w:r>
        <w:rPr>
          <w:rFonts w:hint="eastAsia"/>
          <w:highlight w:val="none"/>
          <w:lang w:val="en-US" w:eastAsia="zh-CN"/>
        </w:rPr>
        <w:t>招标方</w:t>
      </w:r>
      <w:r>
        <w:rPr>
          <w:rFonts w:hint="default"/>
          <w:highlight w:val="none"/>
          <w:lang w:val="en-US" w:eastAsia="zh-CN"/>
        </w:rPr>
        <w:t>负责生产计划的编制,制定生产作业计划</w:t>
      </w:r>
      <w:r>
        <w:rPr>
          <w:rFonts w:hint="eastAsia"/>
          <w:highlight w:val="none"/>
          <w:lang w:val="en-US" w:eastAsia="zh-CN"/>
        </w:rPr>
        <w:t>。</w:t>
      </w:r>
    </w:p>
    <w:p w14:paraId="324E66FD">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2下达：</w:t>
      </w:r>
      <w:r>
        <w:rPr>
          <w:rFonts w:hint="eastAsia"/>
          <w:highlight w:val="none"/>
          <w:lang w:val="en-US" w:eastAsia="zh-CN"/>
        </w:rPr>
        <w:t>招标方</w:t>
      </w:r>
      <w:r>
        <w:rPr>
          <w:rFonts w:hint="default"/>
          <w:highlight w:val="none"/>
          <w:lang w:val="en-US" w:eastAsia="zh-CN"/>
        </w:rPr>
        <w:t>将生产作业计划提前一天传递给</w:t>
      </w:r>
      <w:r>
        <w:rPr>
          <w:rFonts w:hint="eastAsia"/>
          <w:highlight w:val="none"/>
          <w:lang w:val="en-US" w:eastAsia="zh-CN"/>
        </w:rPr>
        <w:t>承包方</w:t>
      </w:r>
      <w:r>
        <w:rPr>
          <w:rFonts w:hint="default"/>
          <w:highlight w:val="none"/>
          <w:lang w:val="en-US" w:eastAsia="zh-CN"/>
        </w:rPr>
        <w:t>，</w:t>
      </w:r>
      <w:r>
        <w:rPr>
          <w:rFonts w:hint="eastAsia"/>
          <w:highlight w:val="none"/>
          <w:lang w:val="en-US" w:eastAsia="zh-CN"/>
        </w:rPr>
        <w:t>承包方</w:t>
      </w:r>
      <w:r>
        <w:rPr>
          <w:rFonts w:hint="default"/>
          <w:highlight w:val="none"/>
          <w:lang w:val="en-US" w:eastAsia="zh-CN"/>
        </w:rPr>
        <w:t>根据</w:t>
      </w:r>
      <w:r>
        <w:rPr>
          <w:rFonts w:hint="eastAsia"/>
          <w:highlight w:val="none"/>
          <w:lang w:val="en-US" w:eastAsia="zh-CN"/>
        </w:rPr>
        <w:t>招标方</w:t>
      </w:r>
      <w:r>
        <w:rPr>
          <w:rFonts w:hint="default"/>
          <w:highlight w:val="none"/>
          <w:lang w:val="en-US" w:eastAsia="zh-CN"/>
        </w:rPr>
        <w:t>的生产作业计划组织业务开展</w:t>
      </w:r>
      <w:r>
        <w:rPr>
          <w:rFonts w:hint="eastAsia"/>
          <w:highlight w:val="none"/>
          <w:lang w:val="en-US" w:eastAsia="zh-CN"/>
        </w:rPr>
        <w:t>。</w:t>
      </w:r>
    </w:p>
    <w:p w14:paraId="2F96C54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3调整：紧急情况下，</w:t>
      </w:r>
      <w:r>
        <w:rPr>
          <w:rFonts w:hint="eastAsia"/>
          <w:highlight w:val="none"/>
          <w:lang w:val="en-US" w:eastAsia="zh-CN"/>
        </w:rPr>
        <w:t>招标方</w:t>
      </w:r>
      <w:r>
        <w:rPr>
          <w:rFonts w:hint="default"/>
          <w:highlight w:val="none"/>
          <w:lang w:val="en-US" w:eastAsia="zh-CN"/>
        </w:rPr>
        <w:t>因特殊原因，需要紧急调整生产作业计划时，须及时通知</w:t>
      </w:r>
      <w:r>
        <w:rPr>
          <w:rFonts w:hint="eastAsia"/>
          <w:highlight w:val="none"/>
          <w:lang w:val="en-US" w:eastAsia="zh-CN"/>
        </w:rPr>
        <w:t>承包方</w:t>
      </w:r>
      <w:r>
        <w:rPr>
          <w:rFonts w:hint="default"/>
          <w:highlight w:val="none"/>
          <w:lang w:val="en-US" w:eastAsia="zh-CN"/>
        </w:rPr>
        <w:t>，并提供相关支持，</w:t>
      </w:r>
      <w:r>
        <w:rPr>
          <w:rFonts w:hint="eastAsia"/>
          <w:highlight w:val="none"/>
          <w:lang w:val="en-US" w:eastAsia="zh-CN"/>
        </w:rPr>
        <w:t>承包方</w:t>
      </w:r>
      <w:r>
        <w:rPr>
          <w:rFonts w:hint="default"/>
          <w:highlight w:val="none"/>
          <w:lang w:val="en-US" w:eastAsia="zh-CN"/>
        </w:rPr>
        <w:t>必须全力配合以便保证生产供应；</w:t>
      </w:r>
      <w:r>
        <w:rPr>
          <w:rFonts w:hint="eastAsia"/>
          <w:highlight w:val="none"/>
          <w:lang w:val="en-US" w:eastAsia="zh-CN"/>
        </w:rPr>
        <w:t>承包方</w:t>
      </w:r>
      <w:r>
        <w:rPr>
          <w:rFonts w:hint="default"/>
          <w:highlight w:val="none"/>
          <w:lang w:val="en-US" w:eastAsia="zh-CN"/>
        </w:rPr>
        <w:t>因特殊原因，需要调整生产计划时，必须经</w:t>
      </w:r>
      <w:r>
        <w:rPr>
          <w:rFonts w:hint="eastAsia"/>
          <w:highlight w:val="none"/>
          <w:lang w:val="en-US" w:eastAsia="zh-CN"/>
        </w:rPr>
        <w:t>招标方</w:t>
      </w:r>
      <w:r>
        <w:rPr>
          <w:rFonts w:hint="default"/>
          <w:highlight w:val="none"/>
          <w:lang w:val="en-US" w:eastAsia="zh-CN"/>
        </w:rPr>
        <w:t>书面同意后方可实施，以便保证生产供应。</w:t>
      </w:r>
    </w:p>
    <w:p w14:paraId="658D9758">
      <w:pPr>
        <w:pStyle w:val="9"/>
        <w:spacing w:line="360" w:lineRule="auto"/>
        <w:ind w:firstLine="422" w:firstLineChars="200"/>
        <w:rPr>
          <w:rFonts w:hint="eastAsia" w:hAnsi="Courier New" w:eastAsia="宋体" w:cs="Times New Roman"/>
          <w:b/>
          <w:bCs/>
          <w:highlight w:val="none"/>
          <w:lang w:eastAsia="zh-CN"/>
        </w:rPr>
      </w:pPr>
      <w:r>
        <w:rPr>
          <w:rFonts w:hint="eastAsia" w:cs="Times New Roman"/>
          <w:b/>
          <w:bCs/>
          <w:highlight w:val="none"/>
          <w:lang w:val="en-US" w:eastAsia="zh-CN"/>
        </w:rPr>
        <w:t>3</w:t>
      </w:r>
      <w:r>
        <w:rPr>
          <w:rFonts w:hint="eastAsia" w:hAnsi="Courier New" w:eastAsia="宋体" w:cs="Times New Roman"/>
          <w:b/>
          <w:bCs/>
          <w:highlight w:val="none"/>
        </w:rPr>
        <w:t>、设备管理</w:t>
      </w:r>
    </w:p>
    <w:p w14:paraId="1F2D6941">
      <w:pPr>
        <w:pStyle w:val="9"/>
        <w:spacing w:line="360" w:lineRule="auto"/>
        <w:ind w:firstLine="420" w:firstLineChars="200"/>
        <w:rPr>
          <w:rFonts w:hint="eastAsia" w:hAnsi="Courier New" w:eastAsia="宋体" w:cs="Times New Roman"/>
          <w:highlight w:val="none"/>
        </w:rPr>
      </w:pPr>
      <w:bookmarkStart w:id="9" w:name="_Hlk118301137"/>
      <w:r>
        <w:rPr>
          <w:rFonts w:hint="eastAsia" w:cs="Times New Roman"/>
          <w:highlight w:val="none"/>
          <w:lang w:val="en-US" w:eastAsia="zh-CN"/>
        </w:rPr>
        <w:t>3</w:t>
      </w:r>
      <w:r>
        <w:rPr>
          <w:rFonts w:hint="eastAsia" w:hAnsi="Courier New" w:eastAsia="宋体" w:cs="Times New Roman"/>
          <w:highlight w:val="none"/>
          <w:lang w:val="en-US" w:eastAsia="zh-CN"/>
        </w:rPr>
        <w:t>.1</w:t>
      </w:r>
      <w:r>
        <w:rPr>
          <w:rFonts w:hint="eastAsia" w:ascii="宋体" w:hAnsi="Courier New" w:eastAsia="宋体" w:cs="Times New Roman"/>
          <w:kern w:val="2"/>
          <w:sz w:val="21"/>
          <w:highlight w:val="none"/>
          <w:lang w:val="en-US" w:eastAsia="zh-CN" w:bidi="ar-SA"/>
        </w:rPr>
        <w:t>设备所有权归车桥公司所有，明细如下：</w:t>
      </w:r>
    </w:p>
    <w:p w14:paraId="69356890">
      <w:pPr>
        <w:pStyle w:val="9"/>
        <w:spacing w:line="360" w:lineRule="auto"/>
        <w:ind w:firstLine="420" w:firstLineChars="200"/>
        <w:rPr>
          <w:rFonts w:hint="eastAsia" w:cs="Times New Roman"/>
          <w:highlight w:val="none"/>
          <w:lang w:val="en-US" w:eastAsia="zh-CN"/>
        </w:rPr>
      </w:pPr>
      <w:r>
        <w:rPr>
          <w:rFonts w:hint="eastAsia" w:cs="Times New Roman"/>
          <w:highlight w:val="none"/>
          <w:lang w:val="en-US" w:eastAsia="zh-CN"/>
        </w:rPr>
        <w:t>前桥：</w:t>
      </w:r>
    </w:p>
    <w:tbl>
      <w:tblPr>
        <w:tblStyle w:val="15"/>
        <w:tblW w:w="8312" w:type="dxa"/>
        <w:jc w:val="center"/>
        <w:tblLayout w:type="autofit"/>
        <w:tblCellMar>
          <w:top w:w="0" w:type="dxa"/>
          <w:left w:w="108" w:type="dxa"/>
          <w:bottom w:w="0" w:type="dxa"/>
          <w:right w:w="108" w:type="dxa"/>
        </w:tblCellMar>
      </w:tblPr>
      <w:tblGrid>
        <w:gridCol w:w="678"/>
        <w:gridCol w:w="1211"/>
        <w:gridCol w:w="1255"/>
        <w:gridCol w:w="2421"/>
        <w:gridCol w:w="641"/>
        <w:gridCol w:w="688"/>
        <w:gridCol w:w="1418"/>
      </w:tblGrid>
      <w:tr w14:paraId="0E0ABD8F">
        <w:tblPrEx>
          <w:tblCellMar>
            <w:top w:w="0" w:type="dxa"/>
            <w:left w:w="108" w:type="dxa"/>
            <w:bottom w:w="0" w:type="dxa"/>
            <w:right w:w="108" w:type="dxa"/>
          </w:tblCellMar>
        </w:tblPrEx>
        <w:trPr>
          <w:trHeight w:val="705"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DA5CCFD">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序号</w:t>
            </w:r>
          </w:p>
        </w:tc>
        <w:tc>
          <w:tcPr>
            <w:tcW w:w="1270" w:type="dxa"/>
            <w:tcBorders>
              <w:top w:val="single" w:color="auto" w:sz="4" w:space="0"/>
              <w:left w:val="nil"/>
              <w:bottom w:val="single" w:color="auto" w:sz="4" w:space="0"/>
              <w:right w:val="single" w:color="auto" w:sz="4" w:space="0"/>
            </w:tcBorders>
            <w:shd w:val="clear" w:color="auto" w:fill="auto"/>
            <w:vAlign w:val="center"/>
          </w:tcPr>
          <w:p w14:paraId="2895CD9D">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设备名称</w:t>
            </w:r>
          </w:p>
        </w:tc>
        <w:tc>
          <w:tcPr>
            <w:tcW w:w="1276" w:type="dxa"/>
            <w:tcBorders>
              <w:top w:val="single" w:color="auto" w:sz="4" w:space="0"/>
              <w:left w:val="nil"/>
              <w:bottom w:val="single" w:color="auto" w:sz="4" w:space="0"/>
              <w:right w:val="single" w:color="auto" w:sz="4" w:space="0"/>
            </w:tcBorders>
            <w:shd w:val="clear" w:color="auto" w:fill="auto"/>
            <w:vAlign w:val="center"/>
          </w:tcPr>
          <w:p w14:paraId="2A748F36">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设备型号</w:t>
            </w:r>
          </w:p>
        </w:tc>
        <w:tc>
          <w:tcPr>
            <w:tcW w:w="2266" w:type="dxa"/>
            <w:tcBorders>
              <w:top w:val="single" w:color="auto" w:sz="4" w:space="0"/>
              <w:left w:val="nil"/>
              <w:bottom w:val="single" w:color="auto" w:sz="4" w:space="0"/>
              <w:right w:val="single" w:color="auto" w:sz="4" w:space="0"/>
            </w:tcBorders>
            <w:shd w:val="clear" w:color="auto" w:fill="auto"/>
            <w:vAlign w:val="center"/>
          </w:tcPr>
          <w:p w14:paraId="18DD6A8E">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固定资产编号</w:t>
            </w:r>
          </w:p>
        </w:tc>
        <w:tc>
          <w:tcPr>
            <w:tcW w:w="663" w:type="dxa"/>
            <w:tcBorders>
              <w:top w:val="single" w:color="auto" w:sz="4" w:space="0"/>
              <w:left w:val="nil"/>
              <w:bottom w:val="single" w:color="auto" w:sz="4" w:space="0"/>
              <w:right w:val="single" w:color="auto" w:sz="4" w:space="0"/>
            </w:tcBorders>
            <w:shd w:val="clear" w:color="auto" w:fill="auto"/>
            <w:vAlign w:val="center"/>
          </w:tcPr>
          <w:p w14:paraId="45D65C00">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单位</w:t>
            </w:r>
          </w:p>
        </w:tc>
        <w:tc>
          <w:tcPr>
            <w:tcW w:w="715" w:type="dxa"/>
            <w:tcBorders>
              <w:top w:val="single" w:color="auto" w:sz="4" w:space="0"/>
              <w:left w:val="nil"/>
              <w:bottom w:val="single" w:color="auto" w:sz="4" w:space="0"/>
              <w:right w:val="single" w:color="auto" w:sz="4" w:space="0"/>
            </w:tcBorders>
            <w:shd w:val="clear" w:color="auto" w:fill="auto"/>
            <w:vAlign w:val="center"/>
          </w:tcPr>
          <w:p w14:paraId="71FB4F3F">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数量</w:t>
            </w:r>
          </w:p>
        </w:tc>
        <w:tc>
          <w:tcPr>
            <w:tcW w:w="1418" w:type="dxa"/>
            <w:tcBorders>
              <w:top w:val="single" w:color="auto" w:sz="4" w:space="0"/>
              <w:left w:val="nil"/>
              <w:bottom w:val="single" w:color="auto" w:sz="4" w:space="0"/>
              <w:right w:val="single" w:color="auto" w:sz="4" w:space="0"/>
            </w:tcBorders>
            <w:shd w:val="clear" w:color="auto" w:fill="auto"/>
            <w:vAlign w:val="center"/>
          </w:tcPr>
          <w:p w14:paraId="6E806509">
            <w:pPr>
              <w:widowControl/>
              <w:spacing w:line="360" w:lineRule="auto"/>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价值（元）</w:t>
            </w:r>
          </w:p>
        </w:tc>
      </w:tr>
      <w:tr w14:paraId="5734F8C6">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41B39C3D">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270" w:type="dxa"/>
            <w:tcBorders>
              <w:top w:val="nil"/>
              <w:left w:val="nil"/>
              <w:bottom w:val="single" w:color="auto" w:sz="4" w:space="0"/>
              <w:right w:val="single" w:color="auto" w:sz="4" w:space="0"/>
            </w:tcBorders>
            <w:shd w:val="clear" w:color="auto" w:fill="auto"/>
            <w:vAlign w:val="center"/>
          </w:tcPr>
          <w:p w14:paraId="194EA5F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喷涂线</w:t>
            </w:r>
          </w:p>
        </w:tc>
        <w:tc>
          <w:tcPr>
            <w:tcW w:w="1276" w:type="dxa"/>
            <w:tcBorders>
              <w:top w:val="nil"/>
              <w:left w:val="nil"/>
              <w:bottom w:val="single" w:color="auto" w:sz="4" w:space="0"/>
              <w:right w:val="single" w:color="auto" w:sz="4" w:space="0"/>
            </w:tcBorders>
            <w:shd w:val="clear" w:color="auto" w:fill="auto"/>
            <w:vAlign w:val="center"/>
          </w:tcPr>
          <w:p w14:paraId="23976D0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w:t>
            </w:r>
          </w:p>
        </w:tc>
        <w:tc>
          <w:tcPr>
            <w:tcW w:w="2266" w:type="dxa"/>
            <w:tcBorders>
              <w:top w:val="nil"/>
              <w:left w:val="nil"/>
              <w:bottom w:val="single" w:color="auto" w:sz="4" w:space="0"/>
              <w:right w:val="single" w:color="auto" w:sz="4" w:space="0"/>
            </w:tcBorders>
            <w:shd w:val="clear" w:color="auto" w:fill="auto"/>
            <w:vAlign w:val="center"/>
          </w:tcPr>
          <w:p w14:paraId="6146B62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7FAEBA3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条</w:t>
            </w:r>
          </w:p>
        </w:tc>
        <w:tc>
          <w:tcPr>
            <w:tcW w:w="715" w:type="dxa"/>
            <w:tcBorders>
              <w:top w:val="nil"/>
              <w:left w:val="nil"/>
              <w:bottom w:val="single" w:color="auto" w:sz="4" w:space="0"/>
              <w:right w:val="single" w:color="auto" w:sz="4" w:space="0"/>
            </w:tcBorders>
            <w:shd w:val="clear" w:color="auto" w:fill="auto"/>
            <w:vAlign w:val="center"/>
          </w:tcPr>
          <w:p w14:paraId="555AF02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vMerge w:val="restart"/>
            <w:tcBorders>
              <w:top w:val="nil"/>
              <w:left w:val="nil"/>
              <w:right w:val="single" w:color="auto" w:sz="4" w:space="0"/>
            </w:tcBorders>
            <w:shd w:val="clear" w:color="auto" w:fill="auto"/>
            <w:noWrap/>
            <w:vAlign w:val="center"/>
          </w:tcPr>
          <w:p w14:paraId="7B1A6C5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15689647.27</w:t>
            </w:r>
          </w:p>
        </w:tc>
      </w:tr>
      <w:tr w14:paraId="070BF43A">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239742AF">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1270" w:type="dxa"/>
            <w:tcBorders>
              <w:top w:val="nil"/>
              <w:left w:val="nil"/>
              <w:bottom w:val="single" w:color="auto" w:sz="4" w:space="0"/>
              <w:right w:val="single" w:color="auto" w:sz="4" w:space="0"/>
            </w:tcBorders>
            <w:shd w:val="clear" w:color="auto" w:fill="auto"/>
            <w:vAlign w:val="center"/>
          </w:tcPr>
          <w:p w14:paraId="71039A84">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喷涂自动循环系统</w:t>
            </w:r>
          </w:p>
        </w:tc>
        <w:tc>
          <w:tcPr>
            <w:tcW w:w="1276" w:type="dxa"/>
            <w:tcBorders>
              <w:top w:val="nil"/>
              <w:left w:val="nil"/>
              <w:bottom w:val="single" w:color="auto" w:sz="4" w:space="0"/>
              <w:right w:val="single" w:color="auto" w:sz="4" w:space="0"/>
            </w:tcBorders>
            <w:shd w:val="clear" w:color="auto" w:fill="auto"/>
            <w:vAlign w:val="center"/>
          </w:tcPr>
          <w:p w14:paraId="569C09D7">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风机</w:t>
            </w:r>
          </w:p>
        </w:tc>
        <w:tc>
          <w:tcPr>
            <w:tcW w:w="2266" w:type="dxa"/>
            <w:tcBorders>
              <w:top w:val="nil"/>
              <w:left w:val="nil"/>
              <w:bottom w:val="single" w:color="auto" w:sz="4" w:space="0"/>
              <w:right w:val="single" w:color="auto" w:sz="4" w:space="0"/>
            </w:tcBorders>
            <w:shd w:val="clear" w:color="auto" w:fill="auto"/>
            <w:vAlign w:val="center"/>
          </w:tcPr>
          <w:p w14:paraId="443631A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5E7B2406">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08B42EA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vMerge w:val="continue"/>
            <w:tcBorders>
              <w:left w:val="nil"/>
              <w:right w:val="single" w:color="auto" w:sz="4" w:space="0"/>
            </w:tcBorders>
            <w:shd w:val="clear" w:color="auto" w:fill="auto"/>
            <w:noWrap/>
            <w:vAlign w:val="center"/>
          </w:tcPr>
          <w:p w14:paraId="3BB651C9">
            <w:pPr>
              <w:widowControl/>
              <w:spacing w:line="360" w:lineRule="auto"/>
              <w:jc w:val="center"/>
              <w:rPr>
                <w:rFonts w:hint="eastAsia" w:ascii="宋体" w:hAnsi="宋体" w:eastAsia="宋体" w:cs="宋体"/>
                <w:kern w:val="0"/>
                <w:sz w:val="21"/>
                <w:szCs w:val="21"/>
                <w:highlight w:val="none"/>
              </w:rPr>
            </w:pPr>
          </w:p>
        </w:tc>
      </w:tr>
      <w:tr w14:paraId="7DDDED80">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17A7476F">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1270" w:type="dxa"/>
            <w:tcBorders>
              <w:top w:val="nil"/>
              <w:left w:val="nil"/>
              <w:bottom w:val="single" w:color="auto" w:sz="4" w:space="0"/>
              <w:right w:val="single" w:color="auto" w:sz="4" w:space="0"/>
            </w:tcBorders>
            <w:shd w:val="clear" w:color="auto" w:fill="auto"/>
            <w:vAlign w:val="center"/>
          </w:tcPr>
          <w:p w14:paraId="63DE056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热风炉</w:t>
            </w:r>
          </w:p>
        </w:tc>
        <w:tc>
          <w:tcPr>
            <w:tcW w:w="1276" w:type="dxa"/>
            <w:tcBorders>
              <w:top w:val="nil"/>
              <w:left w:val="nil"/>
              <w:bottom w:val="single" w:color="auto" w:sz="4" w:space="0"/>
              <w:right w:val="single" w:color="auto" w:sz="4" w:space="0"/>
            </w:tcBorders>
            <w:shd w:val="clear" w:color="auto" w:fill="auto"/>
            <w:vAlign w:val="center"/>
          </w:tcPr>
          <w:p w14:paraId="188B3F6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HRF-580Z</w:t>
            </w:r>
          </w:p>
        </w:tc>
        <w:tc>
          <w:tcPr>
            <w:tcW w:w="2266" w:type="dxa"/>
            <w:tcBorders>
              <w:top w:val="nil"/>
              <w:left w:val="nil"/>
              <w:bottom w:val="single" w:color="auto" w:sz="4" w:space="0"/>
              <w:right w:val="single" w:color="auto" w:sz="4" w:space="0"/>
            </w:tcBorders>
            <w:shd w:val="clear" w:color="auto" w:fill="auto"/>
            <w:vAlign w:val="center"/>
          </w:tcPr>
          <w:p w14:paraId="0660A96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4BDD475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23108C25">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6</w:t>
            </w:r>
          </w:p>
        </w:tc>
        <w:tc>
          <w:tcPr>
            <w:tcW w:w="1418" w:type="dxa"/>
            <w:vMerge w:val="continue"/>
            <w:tcBorders>
              <w:left w:val="nil"/>
              <w:bottom w:val="single" w:color="auto" w:sz="4" w:space="0"/>
              <w:right w:val="single" w:color="auto" w:sz="4" w:space="0"/>
            </w:tcBorders>
            <w:shd w:val="clear" w:color="auto" w:fill="auto"/>
            <w:noWrap/>
            <w:vAlign w:val="center"/>
          </w:tcPr>
          <w:p w14:paraId="072F68DB">
            <w:pPr>
              <w:widowControl/>
              <w:spacing w:line="360" w:lineRule="auto"/>
              <w:jc w:val="center"/>
              <w:rPr>
                <w:rFonts w:hint="eastAsia" w:ascii="宋体" w:hAnsi="宋体" w:eastAsia="宋体" w:cs="宋体"/>
                <w:kern w:val="0"/>
                <w:sz w:val="21"/>
                <w:szCs w:val="21"/>
                <w:highlight w:val="none"/>
              </w:rPr>
            </w:pPr>
          </w:p>
        </w:tc>
      </w:tr>
      <w:tr w14:paraId="1109E800">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08A34BE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w:t>
            </w:r>
          </w:p>
        </w:tc>
        <w:tc>
          <w:tcPr>
            <w:tcW w:w="1270" w:type="dxa"/>
            <w:tcBorders>
              <w:top w:val="nil"/>
              <w:left w:val="nil"/>
              <w:bottom w:val="single" w:color="auto" w:sz="4" w:space="0"/>
              <w:right w:val="single" w:color="auto" w:sz="4" w:space="0"/>
            </w:tcBorders>
            <w:shd w:val="clear" w:color="auto" w:fill="auto"/>
            <w:vAlign w:val="center"/>
          </w:tcPr>
          <w:p w14:paraId="7F02F45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组合式空调</w:t>
            </w:r>
          </w:p>
        </w:tc>
        <w:tc>
          <w:tcPr>
            <w:tcW w:w="1276" w:type="dxa"/>
            <w:tcBorders>
              <w:top w:val="nil"/>
              <w:left w:val="nil"/>
              <w:bottom w:val="single" w:color="auto" w:sz="4" w:space="0"/>
              <w:right w:val="single" w:color="auto" w:sz="4" w:space="0"/>
            </w:tcBorders>
            <w:shd w:val="clear" w:color="auto" w:fill="auto"/>
            <w:vAlign w:val="center"/>
          </w:tcPr>
          <w:p w14:paraId="416C23EF">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CH2500G</w:t>
            </w:r>
          </w:p>
        </w:tc>
        <w:tc>
          <w:tcPr>
            <w:tcW w:w="2266" w:type="dxa"/>
            <w:tcBorders>
              <w:top w:val="nil"/>
              <w:left w:val="nil"/>
              <w:bottom w:val="single" w:color="auto" w:sz="4" w:space="0"/>
              <w:right w:val="single" w:color="auto" w:sz="4" w:space="0"/>
            </w:tcBorders>
            <w:shd w:val="clear" w:color="auto" w:fill="auto"/>
            <w:vAlign w:val="center"/>
          </w:tcPr>
          <w:p w14:paraId="58E2DBD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2100-DL-972-00011-4</w:t>
            </w:r>
          </w:p>
        </w:tc>
        <w:tc>
          <w:tcPr>
            <w:tcW w:w="663" w:type="dxa"/>
            <w:tcBorders>
              <w:top w:val="nil"/>
              <w:left w:val="nil"/>
              <w:bottom w:val="single" w:color="auto" w:sz="4" w:space="0"/>
              <w:right w:val="single" w:color="auto" w:sz="4" w:space="0"/>
            </w:tcBorders>
            <w:shd w:val="clear" w:color="auto" w:fill="auto"/>
            <w:vAlign w:val="center"/>
          </w:tcPr>
          <w:p w14:paraId="426C1B2D">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173544D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center"/>
          </w:tcPr>
          <w:p w14:paraId="3C3E2BD4">
            <w:pPr>
              <w:widowControl/>
              <w:jc w:val="center"/>
              <w:textAlignment w:val="top"/>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423076.92</w:t>
            </w:r>
          </w:p>
        </w:tc>
      </w:tr>
      <w:tr w14:paraId="52FFAF86">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4F365F9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w:t>
            </w:r>
          </w:p>
        </w:tc>
        <w:tc>
          <w:tcPr>
            <w:tcW w:w="1270" w:type="dxa"/>
            <w:tcBorders>
              <w:top w:val="nil"/>
              <w:left w:val="nil"/>
              <w:bottom w:val="single" w:color="auto" w:sz="4" w:space="0"/>
              <w:right w:val="single" w:color="auto" w:sz="4" w:space="0"/>
            </w:tcBorders>
            <w:shd w:val="clear" w:color="auto" w:fill="auto"/>
            <w:vAlign w:val="center"/>
          </w:tcPr>
          <w:p w14:paraId="050318F5">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柔性吊</w:t>
            </w:r>
          </w:p>
        </w:tc>
        <w:tc>
          <w:tcPr>
            <w:tcW w:w="1276" w:type="dxa"/>
            <w:tcBorders>
              <w:top w:val="nil"/>
              <w:left w:val="nil"/>
              <w:bottom w:val="single" w:color="auto" w:sz="4" w:space="0"/>
              <w:right w:val="single" w:color="auto" w:sz="4" w:space="0"/>
            </w:tcBorders>
            <w:shd w:val="clear" w:color="auto" w:fill="auto"/>
            <w:vAlign w:val="center"/>
          </w:tcPr>
          <w:p w14:paraId="5BB8F0D6">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1T</w:t>
            </w:r>
          </w:p>
        </w:tc>
        <w:tc>
          <w:tcPr>
            <w:tcW w:w="2266" w:type="dxa"/>
            <w:tcBorders>
              <w:top w:val="nil"/>
              <w:left w:val="nil"/>
              <w:bottom w:val="single" w:color="auto" w:sz="4" w:space="0"/>
              <w:right w:val="single" w:color="auto" w:sz="4" w:space="0"/>
            </w:tcBorders>
            <w:shd w:val="clear" w:color="auto" w:fill="auto"/>
            <w:vAlign w:val="center"/>
          </w:tcPr>
          <w:p w14:paraId="002EB9B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2100-QY-239-00008-021</w:t>
            </w:r>
          </w:p>
        </w:tc>
        <w:tc>
          <w:tcPr>
            <w:tcW w:w="663" w:type="dxa"/>
            <w:tcBorders>
              <w:top w:val="nil"/>
              <w:left w:val="nil"/>
              <w:bottom w:val="single" w:color="auto" w:sz="4" w:space="0"/>
              <w:right w:val="single" w:color="auto" w:sz="4" w:space="0"/>
            </w:tcBorders>
            <w:shd w:val="clear" w:color="auto" w:fill="auto"/>
            <w:vAlign w:val="center"/>
          </w:tcPr>
          <w:p w14:paraId="4ED11DF6">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109C342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bottom"/>
          </w:tcPr>
          <w:p w14:paraId="1DCF39B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108262.1</w:t>
            </w:r>
          </w:p>
        </w:tc>
      </w:tr>
      <w:tr w14:paraId="291CAAF3">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0D357EE3">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6</w:t>
            </w:r>
          </w:p>
        </w:tc>
        <w:tc>
          <w:tcPr>
            <w:tcW w:w="1270" w:type="dxa"/>
            <w:tcBorders>
              <w:top w:val="nil"/>
              <w:left w:val="nil"/>
              <w:bottom w:val="single" w:color="auto" w:sz="4" w:space="0"/>
              <w:right w:val="single" w:color="auto" w:sz="4" w:space="0"/>
            </w:tcBorders>
            <w:shd w:val="clear" w:color="auto" w:fill="auto"/>
            <w:vAlign w:val="center"/>
          </w:tcPr>
          <w:p w14:paraId="06282A4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柔性吊</w:t>
            </w:r>
          </w:p>
        </w:tc>
        <w:tc>
          <w:tcPr>
            <w:tcW w:w="1276" w:type="dxa"/>
            <w:tcBorders>
              <w:top w:val="nil"/>
              <w:left w:val="nil"/>
              <w:bottom w:val="single" w:color="auto" w:sz="4" w:space="0"/>
              <w:right w:val="single" w:color="auto" w:sz="4" w:space="0"/>
            </w:tcBorders>
            <w:shd w:val="clear" w:color="auto" w:fill="auto"/>
            <w:vAlign w:val="center"/>
          </w:tcPr>
          <w:p w14:paraId="64557BA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1T</w:t>
            </w:r>
          </w:p>
        </w:tc>
        <w:tc>
          <w:tcPr>
            <w:tcW w:w="2266" w:type="dxa"/>
            <w:tcBorders>
              <w:top w:val="nil"/>
              <w:left w:val="nil"/>
              <w:bottom w:val="single" w:color="auto" w:sz="4" w:space="0"/>
              <w:right w:val="single" w:color="auto" w:sz="4" w:space="0"/>
            </w:tcBorders>
            <w:shd w:val="clear" w:color="auto" w:fill="auto"/>
            <w:vAlign w:val="center"/>
          </w:tcPr>
          <w:p w14:paraId="5E404BB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2100-QY-239-00008-022</w:t>
            </w:r>
          </w:p>
        </w:tc>
        <w:tc>
          <w:tcPr>
            <w:tcW w:w="663" w:type="dxa"/>
            <w:tcBorders>
              <w:top w:val="nil"/>
              <w:left w:val="nil"/>
              <w:bottom w:val="single" w:color="auto" w:sz="4" w:space="0"/>
              <w:right w:val="single" w:color="auto" w:sz="4" w:space="0"/>
            </w:tcBorders>
            <w:shd w:val="clear" w:color="auto" w:fill="auto"/>
            <w:vAlign w:val="center"/>
          </w:tcPr>
          <w:p w14:paraId="0CDFF43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1E4F0B6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bottom"/>
          </w:tcPr>
          <w:p w14:paraId="2F9ABF8D">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108262.1</w:t>
            </w:r>
          </w:p>
        </w:tc>
      </w:tr>
      <w:tr w14:paraId="31785630">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43236F1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7</w:t>
            </w:r>
          </w:p>
        </w:tc>
        <w:tc>
          <w:tcPr>
            <w:tcW w:w="1270" w:type="dxa"/>
            <w:tcBorders>
              <w:top w:val="nil"/>
              <w:left w:val="nil"/>
              <w:bottom w:val="single" w:color="auto" w:sz="4" w:space="0"/>
              <w:right w:val="single" w:color="auto" w:sz="4" w:space="0"/>
            </w:tcBorders>
            <w:shd w:val="clear" w:color="auto" w:fill="auto"/>
            <w:vAlign w:val="center"/>
          </w:tcPr>
          <w:p w14:paraId="55F8B40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柔性吊</w:t>
            </w:r>
          </w:p>
        </w:tc>
        <w:tc>
          <w:tcPr>
            <w:tcW w:w="1276" w:type="dxa"/>
            <w:tcBorders>
              <w:top w:val="nil"/>
              <w:left w:val="nil"/>
              <w:bottom w:val="single" w:color="auto" w:sz="4" w:space="0"/>
              <w:right w:val="single" w:color="auto" w:sz="4" w:space="0"/>
            </w:tcBorders>
            <w:shd w:val="clear" w:color="auto" w:fill="auto"/>
            <w:vAlign w:val="center"/>
          </w:tcPr>
          <w:p w14:paraId="52B5003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1T</w:t>
            </w:r>
          </w:p>
        </w:tc>
        <w:tc>
          <w:tcPr>
            <w:tcW w:w="2266" w:type="dxa"/>
            <w:tcBorders>
              <w:top w:val="nil"/>
              <w:left w:val="nil"/>
              <w:bottom w:val="single" w:color="auto" w:sz="4" w:space="0"/>
              <w:right w:val="single" w:color="auto" w:sz="4" w:space="0"/>
            </w:tcBorders>
            <w:shd w:val="clear" w:color="auto" w:fill="auto"/>
            <w:vAlign w:val="center"/>
          </w:tcPr>
          <w:p w14:paraId="1C15B35D">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2100-QY-239-00008-023</w:t>
            </w:r>
          </w:p>
        </w:tc>
        <w:tc>
          <w:tcPr>
            <w:tcW w:w="663" w:type="dxa"/>
            <w:tcBorders>
              <w:top w:val="nil"/>
              <w:left w:val="nil"/>
              <w:bottom w:val="single" w:color="auto" w:sz="4" w:space="0"/>
              <w:right w:val="single" w:color="auto" w:sz="4" w:space="0"/>
            </w:tcBorders>
            <w:shd w:val="clear" w:color="auto" w:fill="auto"/>
            <w:vAlign w:val="center"/>
          </w:tcPr>
          <w:p w14:paraId="7290425A">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4C4C510F">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bottom"/>
          </w:tcPr>
          <w:p w14:paraId="098D0CA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108262.1</w:t>
            </w:r>
          </w:p>
        </w:tc>
      </w:tr>
      <w:tr w14:paraId="48D867B7">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02B42E91">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8</w:t>
            </w:r>
          </w:p>
        </w:tc>
        <w:tc>
          <w:tcPr>
            <w:tcW w:w="1270" w:type="dxa"/>
            <w:tcBorders>
              <w:top w:val="nil"/>
              <w:left w:val="nil"/>
              <w:bottom w:val="single" w:color="auto" w:sz="4" w:space="0"/>
              <w:right w:val="single" w:color="auto" w:sz="4" w:space="0"/>
            </w:tcBorders>
            <w:shd w:val="clear" w:color="auto" w:fill="auto"/>
            <w:vAlign w:val="center"/>
          </w:tcPr>
          <w:p w14:paraId="05E09EE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桥式行车</w:t>
            </w:r>
          </w:p>
        </w:tc>
        <w:tc>
          <w:tcPr>
            <w:tcW w:w="1276" w:type="dxa"/>
            <w:tcBorders>
              <w:top w:val="nil"/>
              <w:left w:val="nil"/>
              <w:bottom w:val="single" w:color="auto" w:sz="4" w:space="0"/>
              <w:right w:val="single" w:color="auto" w:sz="4" w:space="0"/>
            </w:tcBorders>
            <w:shd w:val="clear" w:color="auto" w:fill="auto"/>
            <w:vAlign w:val="center"/>
          </w:tcPr>
          <w:p w14:paraId="043352E3">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2T</w:t>
            </w:r>
          </w:p>
        </w:tc>
        <w:tc>
          <w:tcPr>
            <w:tcW w:w="2266" w:type="dxa"/>
            <w:tcBorders>
              <w:top w:val="nil"/>
              <w:left w:val="nil"/>
              <w:bottom w:val="single" w:color="auto" w:sz="4" w:space="0"/>
              <w:right w:val="single" w:color="auto" w:sz="4" w:space="0"/>
            </w:tcBorders>
            <w:shd w:val="clear" w:color="auto" w:fill="auto"/>
            <w:vAlign w:val="center"/>
          </w:tcPr>
          <w:p w14:paraId="7FF9AD78">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2100-QY-216-00024　</w:t>
            </w:r>
          </w:p>
        </w:tc>
        <w:tc>
          <w:tcPr>
            <w:tcW w:w="663" w:type="dxa"/>
            <w:tcBorders>
              <w:top w:val="nil"/>
              <w:left w:val="nil"/>
              <w:bottom w:val="single" w:color="auto" w:sz="4" w:space="0"/>
              <w:right w:val="single" w:color="auto" w:sz="4" w:space="0"/>
            </w:tcBorders>
            <w:shd w:val="clear" w:color="auto" w:fill="auto"/>
            <w:vAlign w:val="center"/>
          </w:tcPr>
          <w:p w14:paraId="307772D5">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台</w:t>
            </w:r>
          </w:p>
        </w:tc>
        <w:tc>
          <w:tcPr>
            <w:tcW w:w="715" w:type="dxa"/>
            <w:tcBorders>
              <w:top w:val="nil"/>
              <w:left w:val="nil"/>
              <w:bottom w:val="single" w:color="auto" w:sz="4" w:space="0"/>
              <w:right w:val="single" w:color="auto" w:sz="4" w:space="0"/>
            </w:tcBorders>
            <w:shd w:val="clear" w:color="auto" w:fill="auto"/>
            <w:vAlign w:val="center"/>
          </w:tcPr>
          <w:p w14:paraId="4142962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bottom"/>
          </w:tcPr>
          <w:p w14:paraId="1863AFC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38324.78</w:t>
            </w:r>
          </w:p>
        </w:tc>
      </w:tr>
      <w:tr w14:paraId="4BB3CB64">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70EDECB7">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9</w:t>
            </w:r>
          </w:p>
        </w:tc>
        <w:tc>
          <w:tcPr>
            <w:tcW w:w="1270" w:type="dxa"/>
            <w:tcBorders>
              <w:top w:val="nil"/>
              <w:left w:val="nil"/>
              <w:bottom w:val="single" w:color="auto" w:sz="4" w:space="0"/>
              <w:right w:val="single" w:color="auto" w:sz="4" w:space="0"/>
            </w:tcBorders>
            <w:shd w:val="clear" w:color="auto" w:fill="auto"/>
            <w:vAlign w:val="center"/>
          </w:tcPr>
          <w:p w14:paraId="06D2ADF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高压混气喷涂输调系统</w:t>
            </w:r>
          </w:p>
        </w:tc>
        <w:tc>
          <w:tcPr>
            <w:tcW w:w="1276" w:type="dxa"/>
            <w:tcBorders>
              <w:top w:val="nil"/>
              <w:left w:val="nil"/>
              <w:bottom w:val="single" w:color="auto" w:sz="4" w:space="0"/>
              <w:right w:val="single" w:color="auto" w:sz="4" w:space="0"/>
            </w:tcBorders>
            <w:shd w:val="clear" w:color="auto" w:fill="auto"/>
            <w:vAlign w:val="center"/>
          </w:tcPr>
          <w:p w14:paraId="7B42BAE5">
            <w:pPr>
              <w:widowControl/>
              <w:spacing w:line="360" w:lineRule="auto"/>
              <w:jc w:val="center"/>
              <w:rPr>
                <w:rFonts w:hint="eastAsia" w:ascii="宋体" w:hAnsi="宋体" w:eastAsia="宋体" w:cs="宋体"/>
                <w:kern w:val="0"/>
                <w:sz w:val="21"/>
                <w:szCs w:val="21"/>
                <w:highlight w:val="none"/>
              </w:rPr>
            </w:pPr>
          </w:p>
        </w:tc>
        <w:tc>
          <w:tcPr>
            <w:tcW w:w="2266" w:type="dxa"/>
            <w:tcBorders>
              <w:top w:val="nil"/>
              <w:left w:val="nil"/>
              <w:bottom w:val="single" w:color="auto" w:sz="4" w:space="0"/>
              <w:right w:val="single" w:color="auto" w:sz="4" w:space="0"/>
            </w:tcBorders>
            <w:shd w:val="clear" w:color="auto" w:fill="auto"/>
            <w:vAlign w:val="center"/>
          </w:tcPr>
          <w:p w14:paraId="12D3594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5F3B6F95">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00909D93">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center"/>
          </w:tcPr>
          <w:p w14:paraId="20AB36A8">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3000000</w:t>
            </w:r>
          </w:p>
        </w:tc>
      </w:tr>
      <w:tr w14:paraId="1726087D">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39132503">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10</w:t>
            </w:r>
          </w:p>
        </w:tc>
        <w:tc>
          <w:tcPr>
            <w:tcW w:w="1270" w:type="dxa"/>
            <w:tcBorders>
              <w:top w:val="nil"/>
              <w:left w:val="nil"/>
              <w:bottom w:val="single" w:color="auto" w:sz="4" w:space="0"/>
              <w:right w:val="single" w:color="auto" w:sz="4" w:space="0"/>
            </w:tcBorders>
            <w:shd w:val="clear" w:color="auto" w:fill="auto"/>
            <w:vAlign w:val="center"/>
          </w:tcPr>
          <w:p w14:paraId="0EE8B7B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前桥VOCs治理设备</w:t>
            </w:r>
          </w:p>
        </w:tc>
        <w:tc>
          <w:tcPr>
            <w:tcW w:w="1276" w:type="dxa"/>
            <w:tcBorders>
              <w:top w:val="nil"/>
              <w:left w:val="nil"/>
              <w:bottom w:val="single" w:color="auto" w:sz="4" w:space="0"/>
              <w:right w:val="single" w:color="auto" w:sz="4" w:space="0"/>
            </w:tcBorders>
            <w:shd w:val="clear" w:color="auto" w:fill="auto"/>
            <w:vAlign w:val="center"/>
          </w:tcPr>
          <w:p w14:paraId="79C80E7F">
            <w:pPr>
              <w:widowControl/>
              <w:spacing w:line="360" w:lineRule="auto"/>
              <w:jc w:val="center"/>
              <w:rPr>
                <w:rFonts w:hint="eastAsia" w:ascii="宋体" w:hAnsi="宋体" w:eastAsia="宋体" w:cs="宋体"/>
                <w:kern w:val="0"/>
                <w:sz w:val="21"/>
                <w:szCs w:val="21"/>
                <w:highlight w:val="none"/>
              </w:rPr>
            </w:pPr>
          </w:p>
        </w:tc>
        <w:tc>
          <w:tcPr>
            <w:tcW w:w="2266" w:type="dxa"/>
            <w:tcBorders>
              <w:top w:val="nil"/>
              <w:left w:val="nil"/>
              <w:bottom w:val="single" w:color="auto" w:sz="4" w:space="0"/>
              <w:right w:val="single" w:color="auto" w:sz="4" w:space="0"/>
            </w:tcBorders>
            <w:shd w:val="clear" w:color="auto" w:fill="auto"/>
            <w:vAlign w:val="center"/>
          </w:tcPr>
          <w:p w14:paraId="7FAC696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2100-DL-955-00002</w:t>
            </w:r>
          </w:p>
        </w:tc>
        <w:tc>
          <w:tcPr>
            <w:tcW w:w="663" w:type="dxa"/>
            <w:tcBorders>
              <w:top w:val="nil"/>
              <w:left w:val="nil"/>
              <w:bottom w:val="single" w:color="auto" w:sz="4" w:space="0"/>
              <w:right w:val="single" w:color="auto" w:sz="4" w:space="0"/>
            </w:tcBorders>
            <w:shd w:val="clear" w:color="auto" w:fill="auto"/>
            <w:vAlign w:val="center"/>
          </w:tcPr>
          <w:p w14:paraId="3B6CC6DC">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2677A77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center"/>
          </w:tcPr>
          <w:p w14:paraId="1C51A8DD">
            <w:pPr>
              <w:widowControl/>
              <w:jc w:val="center"/>
              <w:textAlignment w:val="top"/>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5842390.30</w:t>
            </w:r>
          </w:p>
        </w:tc>
      </w:tr>
      <w:tr w14:paraId="7D3C0708">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3E768AC4">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11</w:t>
            </w:r>
          </w:p>
        </w:tc>
        <w:tc>
          <w:tcPr>
            <w:tcW w:w="1270" w:type="dxa"/>
            <w:tcBorders>
              <w:top w:val="nil"/>
              <w:left w:val="nil"/>
              <w:bottom w:val="single" w:color="auto" w:sz="4" w:space="0"/>
              <w:right w:val="single" w:color="auto" w:sz="4" w:space="0"/>
            </w:tcBorders>
            <w:shd w:val="clear" w:color="auto" w:fill="auto"/>
            <w:vAlign w:val="center"/>
          </w:tcPr>
          <w:p w14:paraId="5FA70E1E">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防爆可燃气体探测器</w:t>
            </w:r>
          </w:p>
        </w:tc>
        <w:tc>
          <w:tcPr>
            <w:tcW w:w="1276" w:type="dxa"/>
            <w:tcBorders>
              <w:top w:val="nil"/>
              <w:left w:val="nil"/>
              <w:bottom w:val="single" w:color="auto" w:sz="4" w:space="0"/>
              <w:right w:val="single" w:color="auto" w:sz="4" w:space="0"/>
            </w:tcBorders>
            <w:shd w:val="clear" w:color="auto" w:fill="auto"/>
            <w:vAlign w:val="center"/>
          </w:tcPr>
          <w:p w14:paraId="591FBB52">
            <w:pPr>
              <w:widowControl/>
              <w:spacing w:line="360" w:lineRule="auto"/>
              <w:jc w:val="center"/>
              <w:rPr>
                <w:rFonts w:hint="eastAsia" w:ascii="宋体" w:hAnsi="宋体" w:eastAsia="宋体" w:cs="宋体"/>
                <w:kern w:val="0"/>
                <w:sz w:val="21"/>
                <w:szCs w:val="21"/>
                <w:highlight w:val="none"/>
              </w:rPr>
            </w:pPr>
          </w:p>
        </w:tc>
        <w:tc>
          <w:tcPr>
            <w:tcW w:w="2266" w:type="dxa"/>
            <w:tcBorders>
              <w:top w:val="nil"/>
              <w:left w:val="nil"/>
              <w:bottom w:val="single" w:color="auto" w:sz="4" w:space="0"/>
              <w:right w:val="single" w:color="auto" w:sz="4" w:space="0"/>
            </w:tcBorders>
            <w:shd w:val="clear" w:color="auto" w:fill="auto"/>
            <w:vAlign w:val="center"/>
          </w:tcPr>
          <w:p w14:paraId="729689C6">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2100-DL-972-00011</w:t>
            </w:r>
          </w:p>
        </w:tc>
        <w:tc>
          <w:tcPr>
            <w:tcW w:w="663" w:type="dxa"/>
            <w:tcBorders>
              <w:top w:val="nil"/>
              <w:left w:val="nil"/>
              <w:bottom w:val="single" w:color="auto" w:sz="4" w:space="0"/>
              <w:right w:val="single" w:color="auto" w:sz="4" w:space="0"/>
            </w:tcBorders>
            <w:shd w:val="clear" w:color="auto" w:fill="auto"/>
            <w:vAlign w:val="center"/>
          </w:tcPr>
          <w:p w14:paraId="5FADF099">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套</w:t>
            </w:r>
          </w:p>
        </w:tc>
        <w:tc>
          <w:tcPr>
            <w:tcW w:w="715" w:type="dxa"/>
            <w:tcBorders>
              <w:top w:val="nil"/>
              <w:left w:val="nil"/>
              <w:bottom w:val="single" w:color="auto" w:sz="4" w:space="0"/>
              <w:right w:val="single" w:color="auto" w:sz="4" w:space="0"/>
            </w:tcBorders>
            <w:shd w:val="clear" w:color="auto" w:fill="auto"/>
            <w:vAlign w:val="center"/>
          </w:tcPr>
          <w:p w14:paraId="7C02B6B0">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418" w:type="dxa"/>
            <w:tcBorders>
              <w:top w:val="nil"/>
              <w:left w:val="nil"/>
              <w:bottom w:val="single" w:color="auto" w:sz="4" w:space="0"/>
              <w:right w:val="single" w:color="auto" w:sz="4" w:space="0"/>
            </w:tcBorders>
            <w:shd w:val="clear" w:color="auto" w:fill="auto"/>
            <w:noWrap/>
            <w:vAlign w:val="center"/>
          </w:tcPr>
          <w:p w14:paraId="2282240A">
            <w:pPr>
              <w:widowControl/>
              <w:jc w:val="center"/>
              <w:textAlignment w:val="top"/>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30598.25</w:t>
            </w:r>
          </w:p>
        </w:tc>
      </w:tr>
      <w:tr w14:paraId="0EF51750">
        <w:tblPrEx>
          <w:tblCellMar>
            <w:top w:w="0" w:type="dxa"/>
            <w:left w:w="108" w:type="dxa"/>
            <w:bottom w:w="0" w:type="dxa"/>
            <w:right w:w="108" w:type="dxa"/>
          </w:tblCellMar>
        </w:tblPrEx>
        <w:trPr>
          <w:trHeight w:val="435"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3261EE1B">
            <w:pPr>
              <w:widowControl/>
              <w:spacing w:line="360" w:lineRule="auto"/>
              <w:jc w:val="center"/>
              <w:rPr>
                <w:rFonts w:hint="eastAsia" w:ascii="宋体" w:hAnsi="宋体" w:eastAsia="宋体" w:cs="宋体"/>
                <w:kern w:val="0"/>
                <w:sz w:val="21"/>
                <w:szCs w:val="21"/>
                <w:highlight w:val="none"/>
              </w:rPr>
            </w:pPr>
          </w:p>
        </w:tc>
        <w:tc>
          <w:tcPr>
            <w:tcW w:w="6190" w:type="dxa"/>
            <w:gridSpan w:val="5"/>
            <w:tcBorders>
              <w:top w:val="single" w:color="auto" w:sz="4" w:space="0"/>
              <w:left w:val="nil"/>
              <w:bottom w:val="single" w:color="auto" w:sz="4" w:space="0"/>
              <w:right w:val="single" w:color="000000" w:sz="4" w:space="0"/>
            </w:tcBorders>
            <w:shd w:val="clear" w:color="auto" w:fill="auto"/>
            <w:vAlign w:val="center"/>
          </w:tcPr>
          <w:p w14:paraId="719C13D2">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合计</w:t>
            </w:r>
          </w:p>
        </w:tc>
        <w:tc>
          <w:tcPr>
            <w:tcW w:w="1418" w:type="dxa"/>
            <w:tcBorders>
              <w:top w:val="nil"/>
              <w:left w:val="nil"/>
              <w:bottom w:val="single" w:color="auto" w:sz="4" w:space="0"/>
              <w:right w:val="single" w:color="auto" w:sz="4" w:space="0"/>
            </w:tcBorders>
            <w:shd w:val="clear" w:color="auto" w:fill="auto"/>
            <w:noWrap/>
            <w:vAlign w:val="bottom"/>
          </w:tcPr>
          <w:p w14:paraId="2BEF1ADB">
            <w:pPr>
              <w:widowControl/>
              <w:spacing w:line="360" w:lineRule="auto"/>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25348823.82</w:t>
            </w:r>
          </w:p>
        </w:tc>
      </w:tr>
    </w:tbl>
    <w:p w14:paraId="0CCCAAC6">
      <w:pPr>
        <w:pStyle w:val="9"/>
        <w:spacing w:line="360" w:lineRule="auto"/>
        <w:ind w:firstLine="420" w:firstLineChars="200"/>
        <w:rPr>
          <w:rFonts w:hint="eastAsia" w:cs="Times New Roman"/>
          <w:highlight w:val="none"/>
          <w:lang w:val="en-US" w:eastAsia="zh-CN"/>
        </w:rPr>
      </w:pPr>
      <w:r>
        <w:rPr>
          <w:rFonts w:hint="eastAsia" w:cs="Times New Roman"/>
          <w:highlight w:val="none"/>
          <w:lang w:val="en-US" w:eastAsia="zh-CN"/>
        </w:rPr>
        <w:t>驱动桥：</w:t>
      </w:r>
    </w:p>
    <w:tbl>
      <w:tblPr>
        <w:tblStyle w:val="15"/>
        <w:tblpPr w:leftFromText="180" w:rightFromText="180" w:vertAnchor="text" w:tblpXSpec="center" w:tblpY="1"/>
        <w:tblOverlap w:val="never"/>
        <w:tblW w:w="9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515"/>
        <w:gridCol w:w="1097"/>
        <w:gridCol w:w="2344"/>
        <w:gridCol w:w="847"/>
        <w:gridCol w:w="750"/>
        <w:gridCol w:w="1381"/>
        <w:gridCol w:w="1327"/>
      </w:tblGrid>
      <w:tr w14:paraId="0152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88" w:type="dxa"/>
            <w:vAlign w:val="center"/>
          </w:tcPr>
          <w:p w14:paraId="195E306F">
            <w:pPr>
              <w:widowControl/>
              <w:jc w:val="center"/>
              <w:rPr>
                <w:rFonts w:ascii="宋体" w:hAnsi="宋体"/>
                <w:sz w:val="24"/>
                <w:szCs w:val="24"/>
                <w:highlight w:val="none"/>
              </w:rPr>
            </w:pPr>
            <w:r>
              <w:rPr>
                <w:rFonts w:hint="eastAsia" w:ascii="宋体" w:hAnsi="宋体"/>
                <w:sz w:val="24"/>
                <w:szCs w:val="24"/>
                <w:highlight w:val="none"/>
              </w:rPr>
              <w:t>序号</w:t>
            </w:r>
          </w:p>
        </w:tc>
        <w:tc>
          <w:tcPr>
            <w:tcW w:w="1515" w:type="dxa"/>
            <w:vAlign w:val="center"/>
          </w:tcPr>
          <w:p w14:paraId="7C609B04">
            <w:pPr>
              <w:widowControl/>
              <w:jc w:val="center"/>
              <w:rPr>
                <w:rFonts w:ascii="宋体" w:hAnsi="宋体"/>
                <w:sz w:val="24"/>
                <w:szCs w:val="24"/>
                <w:highlight w:val="none"/>
              </w:rPr>
            </w:pPr>
            <w:r>
              <w:rPr>
                <w:rFonts w:hint="eastAsia" w:ascii="宋体" w:hAnsi="宋体"/>
                <w:sz w:val="24"/>
                <w:szCs w:val="24"/>
                <w:highlight w:val="none"/>
              </w:rPr>
              <w:t>设备名称</w:t>
            </w:r>
          </w:p>
        </w:tc>
        <w:tc>
          <w:tcPr>
            <w:tcW w:w="1097" w:type="dxa"/>
            <w:vAlign w:val="center"/>
          </w:tcPr>
          <w:p w14:paraId="6AC38FDB">
            <w:pPr>
              <w:widowControl/>
              <w:jc w:val="center"/>
              <w:rPr>
                <w:rFonts w:ascii="宋体" w:hAnsi="宋体"/>
                <w:sz w:val="24"/>
                <w:szCs w:val="24"/>
                <w:highlight w:val="none"/>
              </w:rPr>
            </w:pPr>
            <w:r>
              <w:rPr>
                <w:rFonts w:hint="eastAsia" w:ascii="宋体" w:hAnsi="宋体"/>
                <w:sz w:val="24"/>
                <w:szCs w:val="24"/>
                <w:highlight w:val="none"/>
              </w:rPr>
              <w:t>设备型号</w:t>
            </w:r>
          </w:p>
        </w:tc>
        <w:tc>
          <w:tcPr>
            <w:tcW w:w="2344" w:type="dxa"/>
            <w:vAlign w:val="center"/>
          </w:tcPr>
          <w:p w14:paraId="70F0A03E">
            <w:pPr>
              <w:widowControl/>
              <w:jc w:val="center"/>
              <w:rPr>
                <w:rFonts w:ascii="宋体" w:hAnsi="宋体"/>
                <w:sz w:val="24"/>
                <w:szCs w:val="24"/>
                <w:highlight w:val="none"/>
              </w:rPr>
            </w:pPr>
            <w:r>
              <w:rPr>
                <w:rFonts w:hint="eastAsia" w:ascii="宋体" w:hAnsi="宋体"/>
                <w:sz w:val="24"/>
                <w:szCs w:val="24"/>
                <w:highlight w:val="none"/>
              </w:rPr>
              <w:t>固定资产编号</w:t>
            </w:r>
          </w:p>
        </w:tc>
        <w:tc>
          <w:tcPr>
            <w:tcW w:w="847" w:type="dxa"/>
            <w:vAlign w:val="center"/>
          </w:tcPr>
          <w:p w14:paraId="29ED30D5">
            <w:pPr>
              <w:widowControl/>
              <w:jc w:val="center"/>
              <w:rPr>
                <w:rFonts w:ascii="宋体" w:hAnsi="宋体"/>
                <w:sz w:val="24"/>
                <w:szCs w:val="24"/>
                <w:highlight w:val="none"/>
              </w:rPr>
            </w:pPr>
            <w:r>
              <w:rPr>
                <w:rFonts w:hint="eastAsia" w:ascii="宋体" w:hAnsi="宋体"/>
                <w:sz w:val="24"/>
                <w:szCs w:val="24"/>
                <w:highlight w:val="none"/>
              </w:rPr>
              <w:t>单位</w:t>
            </w:r>
          </w:p>
        </w:tc>
        <w:tc>
          <w:tcPr>
            <w:tcW w:w="750" w:type="dxa"/>
            <w:vAlign w:val="center"/>
          </w:tcPr>
          <w:p w14:paraId="5F46127D">
            <w:pPr>
              <w:widowControl/>
              <w:jc w:val="center"/>
              <w:rPr>
                <w:rFonts w:ascii="宋体" w:hAnsi="宋体"/>
                <w:sz w:val="24"/>
                <w:szCs w:val="24"/>
                <w:highlight w:val="none"/>
              </w:rPr>
            </w:pPr>
            <w:r>
              <w:rPr>
                <w:rFonts w:hint="eastAsia" w:ascii="宋体" w:hAnsi="宋体"/>
                <w:sz w:val="24"/>
                <w:szCs w:val="24"/>
                <w:highlight w:val="none"/>
              </w:rPr>
              <w:t>数量</w:t>
            </w:r>
          </w:p>
        </w:tc>
        <w:tc>
          <w:tcPr>
            <w:tcW w:w="1381" w:type="dxa"/>
            <w:vAlign w:val="center"/>
          </w:tcPr>
          <w:p w14:paraId="3BDF28FD">
            <w:pPr>
              <w:widowControl/>
              <w:jc w:val="center"/>
              <w:rPr>
                <w:rFonts w:ascii="宋体" w:hAnsi="宋体"/>
                <w:sz w:val="24"/>
                <w:szCs w:val="24"/>
                <w:highlight w:val="none"/>
              </w:rPr>
            </w:pPr>
            <w:r>
              <w:rPr>
                <w:rFonts w:hint="eastAsia" w:ascii="宋体" w:hAnsi="宋体"/>
                <w:sz w:val="24"/>
                <w:szCs w:val="24"/>
                <w:highlight w:val="none"/>
              </w:rPr>
              <w:t>价值（元）</w:t>
            </w:r>
          </w:p>
        </w:tc>
        <w:tc>
          <w:tcPr>
            <w:tcW w:w="1327" w:type="dxa"/>
            <w:vAlign w:val="center"/>
          </w:tcPr>
          <w:p w14:paraId="26902DAA">
            <w:pPr>
              <w:widowControl/>
              <w:jc w:val="center"/>
              <w:rPr>
                <w:rFonts w:ascii="宋体" w:hAnsi="宋体"/>
                <w:sz w:val="24"/>
                <w:szCs w:val="24"/>
                <w:highlight w:val="none"/>
              </w:rPr>
            </w:pPr>
            <w:r>
              <w:rPr>
                <w:rFonts w:hint="eastAsia" w:ascii="宋体" w:hAnsi="宋体"/>
                <w:sz w:val="24"/>
                <w:szCs w:val="24"/>
                <w:highlight w:val="none"/>
              </w:rPr>
              <w:t>备注</w:t>
            </w:r>
          </w:p>
        </w:tc>
      </w:tr>
      <w:tr w14:paraId="1192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88" w:type="dxa"/>
            <w:vAlign w:val="center"/>
          </w:tcPr>
          <w:p w14:paraId="300CDFFC">
            <w:pPr>
              <w:widowControl/>
              <w:jc w:val="center"/>
              <w:rPr>
                <w:rFonts w:ascii="宋体" w:hAnsi="宋体"/>
                <w:sz w:val="24"/>
                <w:szCs w:val="24"/>
                <w:highlight w:val="none"/>
              </w:rPr>
            </w:pPr>
            <w:r>
              <w:rPr>
                <w:rFonts w:hint="eastAsia" w:ascii="宋体" w:hAnsi="宋体"/>
                <w:sz w:val="24"/>
                <w:szCs w:val="24"/>
                <w:highlight w:val="none"/>
              </w:rPr>
              <w:t>1</w:t>
            </w:r>
          </w:p>
        </w:tc>
        <w:tc>
          <w:tcPr>
            <w:tcW w:w="1515" w:type="dxa"/>
            <w:vAlign w:val="center"/>
          </w:tcPr>
          <w:p w14:paraId="1536FB98">
            <w:pPr>
              <w:widowControl/>
              <w:jc w:val="center"/>
              <w:rPr>
                <w:rFonts w:ascii="宋体" w:hAnsi="宋体"/>
                <w:sz w:val="24"/>
                <w:szCs w:val="24"/>
                <w:highlight w:val="none"/>
              </w:rPr>
            </w:pPr>
            <w:r>
              <w:rPr>
                <w:rFonts w:hint="eastAsia" w:ascii="宋体" w:hAnsi="宋体"/>
                <w:sz w:val="24"/>
                <w:szCs w:val="24"/>
                <w:highlight w:val="none"/>
              </w:rPr>
              <w:t>驱动桥喷涂线</w:t>
            </w:r>
          </w:p>
        </w:tc>
        <w:tc>
          <w:tcPr>
            <w:tcW w:w="1097" w:type="dxa"/>
            <w:vAlign w:val="center"/>
          </w:tcPr>
          <w:p w14:paraId="432423EF">
            <w:pPr>
              <w:widowControl/>
              <w:jc w:val="center"/>
              <w:rPr>
                <w:rFonts w:ascii="宋体" w:hAnsi="宋体"/>
                <w:sz w:val="24"/>
                <w:szCs w:val="24"/>
                <w:highlight w:val="none"/>
              </w:rPr>
            </w:pPr>
            <w:r>
              <w:rPr>
                <w:rFonts w:hint="eastAsia" w:ascii="宋体" w:hAnsi="宋体"/>
                <w:sz w:val="24"/>
                <w:szCs w:val="24"/>
                <w:highlight w:val="none"/>
              </w:rPr>
              <w:t>HTZ-700Z</w:t>
            </w:r>
          </w:p>
        </w:tc>
        <w:tc>
          <w:tcPr>
            <w:tcW w:w="2344" w:type="dxa"/>
            <w:vAlign w:val="center"/>
          </w:tcPr>
          <w:p w14:paraId="2231CEFA">
            <w:pPr>
              <w:widowControl/>
              <w:jc w:val="center"/>
              <w:rPr>
                <w:rFonts w:ascii="宋体" w:hAnsi="宋体"/>
                <w:sz w:val="24"/>
                <w:szCs w:val="24"/>
                <w:highlight w:val="none"/>
              </w:rPr>
            </w:pPr>
            <w:r>
              <w:rPr>
                <w:rFonts w:hint="eastAsia" w:ascii="宋体" w:hAnsi="宋体"/>
                <w:sz w:val="24"/>
                <w:szCs w:val="24"/>
                <w:highlight w:val="none"/>
              </w:rPr>
              <w:t>2100-DL-972-00013-A</w:t>
            </w:r>
          </w:p>
        </w:tc>
        <w:tc>
          <w:tcPr>
            <w:tcW w:w="847" w:type="dxa"/>
            <w:vAlign w:val="center"/>
          </w:tcPr>
          <w:p w14:paraId="1D5F7B67">
            <w:pPr>
              <w:widowControl/>
              <w:jc w:val="center"/>
              <w:rPr>
                <w:rFonts w:ascii="宋体" w:hAnsi="宋体"/>
                <w:sz w:val="24"/>
                <w:szCs w:val="24"/>
                <w:highlight w:val="none"/>
              </w:rPr>
            </w:pPr>
            <w:r>
              <w:rPr>
                <w:rFonts w:hint="eastAsia" w:ascii="宋体" w:hAnsi="宋体"/>
                <w:sz w:val="24"/>
                <w:szCs w:val="24"/>
                <w:highlight w:val="none"/>
              </w:rPr>
              <w:t>套</w:t>
            </w:r>
          </w:p>
        </w:tc>
        <w:tc>
          <w:tcPr>
            <w:tcW w:w="750" w:type="dxa"/>
            <w:vAlign w:val="center"/>
          </w:tcPr>
          <w:p w14:paraId="4F8A47F2">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35437636">
            <w:pPr>
              <w:widowControl/>
              <w:rPr>
                <w:rFonts w:ascii="宋体" w:hAnsi="宋体"/>
                <w:sz w:val="24"/>
                <w:szCs w:val="24"/>
                <w:highlight w:val="none"/>
              </w:rPr>
            </w:pPr>
            <w:r>
              <w:rPr>
                <w:rFonts w:hint="eastAsia" w:ascii="宋体" w:hAnsi="宋体"/>
                <w:sz w:val="24"/>
                <w:szCs w:val="24"/>
                <w:highlight w:val="none"/>
              </w:rPr>
              <w:t>17479410.16</w:t>
            </w:r>
          </w:p>
        </w:tc>
        <w:tc>
          <w:tcPr>
            <w:tcW w:w="1327" w:type="dxa"/>
            <w:vAlign w:val="center"/>
          </w:tcPr>
          <w:p w14:paraId="20D8D4EC">
            <w:pPr>
              <w:widowControl/>
              <w:jc w:val="center"/>
              <w:rPr>
                <w:rFonts w:ascii="宋体" w:hAnsi="宋体"/>
                <w:sz w:val="24"/>
                <w:szCs w:val="24"/>
                <w:highlight w:val="none"/>
              </w:rPr>
            </w:pPr>
          </w:p>
        </w:tc>
      </w:tr>
      <w:tr w14:paraId="3003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4899AA5F">
            <w:pPr>
              <w:widowControl/>
              <w:jc w:val="center"/>
              <w:rPr>
                <w:rFonts w:ascii="宋体" w:hAnsi="宋体"/>
                <w:sz w:val="24"/>
                <w:szCs w:val="24"/>
                <w:highlight w:val="none"/>
              </w:rPr>
            </w:pPr>
            <w:r>
              <w:rPr>
                <w:rFonts w:hint="eastAsia" w:ascii="宋体" w:hAnsi="宋体"/>
                <w:sz w:val="24"/>
                <w:szCs w:val="24"/>
                <w:highlight w:val="none"/>
              </w:rPr>
              <w:t>2</w:t>
            </w:r>
          </w:p>
        </w:tc>
        <w:tc>
          <w:tcPr>
            <w:tcW w:w="1515" w:type="dxa"/>
            <w:vAlign w:val="center"/>
          </w:tcPr>
          <w:p w14:paraId="4E1D8FD9">
            <w:pPr>
              <w:widowControl/>
              <w:jc w:val="center"/>
              <w:rPr>
                <w:rFonts w:ascii="宋体" w:hAnsi="宋体"/>
                <w:sz w:val="24"/>
                <w:szCs w:val="24"/>
                <w:highlight w:val="none"/>
              </w:rPr>
            </w:pPr>
            <w:r>
              <w:rPr>
                <w:rFonts w:hint="eastAsia" w:ascii="宋体" w:hAnsi="宋体"/>
                <w:sz w:val="24"/>
                <w:szCs w:val="24"/>
                <w:highlight w:val="none"/>
              </w:rPr>
              <w:t>组合式空调</w:t>
            </w:r>
          </w:p>
        </w:tc>
        <w:tc>
          <w:tcPr>
            <w:tcW w:w="1097" w:type="dxa"/>
            <w:vAlign w:val="center"/>
          </w:tcPr>
          <w:p w14:paraId="35D9B66B">
            <w:pPr>
              <w:widowControl/>
              <w:jc w:val="center"/>
              <w:rPr>
                <w:rFonts w:ascii="宋体" w:hAnsi="宋体"/>
                <w:sz w:val="24"/>
                <w:szCs w:val="24"/>
                <w:highlight w:val="none"/>
              </w:rPr>
            </w:pPr>
            <w:r>
              <w:rPr>
                <w:rFonts w:hint="eastAsia" w:ascii="宋体" w:hAnsi="宋体"/>
                <w:sz w:val="24"/>
                <w:szCs w:val="24"/>
                <w:highlight w:val="none"/>
              </w:rPr>
              <w:t>CH2500G</w:t>
            </w:r>
          </w:p>
        </w:tc>
        <w:tc>
          <w:tcPr>
            <w:tcW w:w="2344" w:type="dxa"/>
            <w:vAlign w:val="center"/>
          </w:tcPr>
          <w:p w14:paraId="4BC69A77">
            <w:pPr>
              <w:widowControl/>
              <w:jc w:val="center"/>
              <w:rPr>
                <w:rFonts w:ascii="宋体" w:hAnsi="宋体"/>
                <w:sz w:val="24"/>
                <w:szCs w:val="24"/>
                <w:highlight w:val="none"/>
              </w:rPr>
            </w:pPr>
            <w:r>
              <w:rPr>
                <w:rFonts w:hint="eastAsia" w:ascii="宋体" w:hAnsi="宋体"/>
                <w:sz w:val="24"/>
                <w:szCs w:val="24"/>
                <w:highlight w:val="none"/>
              </w:rPr>
              <w:t>2100-DL-972-00013-2</w:t>
            </w:r>
          </w:p>
        </w:tc>
        <w:tc>
          <w:tcPr>
            <w:tcW w:w="847" w:type="dxa"/>
            <w:vAlign w:val="center"/>
          </w:tcPr>
          <w:p w14:paraId="5E0E8F98">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42FA73A5">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6E63C262">
            <w:pPr>
              <w:widowControl/>
              <w:jc w:val="center"/>
              <w:rPr>
                <w:rFonts w:ascii="宋体" w:hAnsi="宋体"/>
                <w:sz w:val="24"/>
                <w:szCs w:val="24"/>
                <w:highlight w:val="none"/>
              </w:rPr>
            </w:pPr>
            <w:r>
              <w:rPr>
                <w:rFonts w:ascii="宋体" w:hAnsi="宋体"/>
                <w:sz w:val="24"/>
                <w:szCs w:val="24"/>
                <w:highlight w:val="none"/>
              </w:rPr>
              <w:t>423076.92</w:t>
            </w:r>
          </w:p>
        </w:tc>
        <w:tc>
          <w:tcPr>
            <w:tcW w:w="1327" w:type="dxa"/>
            <w:vAlign w:val="center"/>
          </w:tcPr>
          <w:p w14:paraId="4E58B54C">
            <w:pPr>
              <w:widowControl/>
              <w:jc w:val="center"/>
              <w:rPr>
                <w:rFonts w:ascii="宋体" w:hAnsi="宋体"/>
                <w:sz w:val="24"/>
                <w:szCs w:val="24"/>
                <w:highlight w:val="none"/>
              </w:rPr>
            </w:pPr>
            <w:r>
              <w:rPr>
                <w:rFonts w:hint="eastAsia" w:ascii="宋体" w:hAnsi="宋体"/>
                <w:sz w:val="24"/>
                <w:szCs w:val="24"/>
                <w:highlight w:val="none"/>
              </w:rPr>
              <w:t>　</w:t>
            </w:r>
          </w:p>
        </w:tc>
      </w:tr>
      <w:tr w14:paraId="4D1A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0B821D00">
            <w:pPr>
              <w:widowControl/>
              <w:jc w:val="center"/>
              <w:rPr>
                <w:rFonts w:ascii="宋体" w:hAnsi="宋体"/>
                <w:sz w:val="24"/>
                <w:szCs w:val="24"/>
                <w:highlight w:val="none"/>
              </w:rPr>
            </w:pPr>
            <w:r>
              <w:rPr>
                <w:rFonts w:hint="eastAsia" w:ascii="宋体" w:hAnsi="宋体"/>
                <w:sz w:val="24"/>
                <w:szCs w:val="24"/>
                <w:highlight w:val="none"/>
              </w:rPr>
              <w:t>3</w:t>
            </w:r>
          </w:p>
        </w:tc>
        <w:tc>
          <w:tcPr>
            <w:tcW w:w="1515" w:type="dxa"/>
            <w:vAlign w:val="center"/>
          </w:tcPr>
          <w:p w14:paraId="1DF1714F">
            <w:pPr>
              <w:widowControl/>
              <w:jc w:val="center"/>
              <w:rPr>
                <w:rFonts w:ascii="宋体" w:hAnsi="宋体"/>
                <w:sz w:val="24"/>
                <w:szCs w:val="24"/>
                <w:highlight w:val="none"/>
              </w:rPr>
            </w:pPr>
            <w:r>
              <w:rPr>
                <w:rFonts w:hint="eastAsia" w:ascii="宋体" w:hAnsi="宋体"/>
                <w:sz w:val="24"/>
                <w:szCs w:val="24"/>
                <w:highlight w:val="none"/>
              </w:rPr>
              <w:t>高压混气喷涂输调系统</w:t>
            </w:r>
          </w:p>
        </w:tc>
        <w:tc>
          <w:tcPr>
            <w:tcW w:w="1097" w:type="dxa"/>
            <w:vAlign w:val="center"/>
          </w:tcPr>
          <w:p w14:paraId="43B70273">
            <w:pPr>
              <w:widowControl/>
              <w:jc w:val="center"/>
              <w:rPr>
                <w:rFonts w:ascii="宋体" w:hAnsi="宋体"/>
                <w:sz w:val="24"/>
                <w:szCs w:val="24"/>
                <w:highlight w:val="none"/>
              </w:rPr>
            </w:pPr>
          </w:p>
        </w:tc>
        <w:tc>
          <w:tcPr>
            <w:tcW w:w="2344" w:type="dxa"/>
            <w:vAlign w:val="center"/>
          </w:tcPr>
          <w:p w14:paraId="3A4D56E3">
            <w:pPr>
              <w:widowControl/>
              <w:jc w:val="center"/>
              <w:rPr>
                <w:rFonts w:ascii="宋体" w:hAnsi="宋体"/>
                <w:sz w:val="24"/>
                <w:szCs w:val="24"/>
                <w:highlight w:val="none"/>
              </w:rPr>
            </w:pPr>
            <w:r>
              <w:rPr>
                <w:rFonts w:hint="eastAsia" w:ascii="宋体" w:hAnsi="宋体"/>
                <w:sz w:val="24"/>
                <w:szCs w:val="24"/>
                <w:highlight w:val="none"/>
              </w:rPr>
              <w:t>2100-DL-972-00012</w:t>
            </w:r>
          </w:p>
        </w:tc>
        <w:tc>
          <w:tcPr>
            <w:tcW w:w="847" w:type="dxa"/>
            <w:vAlign w:val="center"/>
          </w:tcPr>
          <w:p w14:paraId="0E32E1E2">
            <w:pPr>
              <w:widowControl/>
              <w:jc w:val="center"/>
              <w:rPr>
                <w:rFonts w:ascii="宋体" w:hAnsi="宋体"/>
                <w:sz w:val="24"/>
                <w:szCs w:val="24"/>
                <w:highlight w:val="none"/>
              </w:rPr>
            </w:pPr>
            <w:r>
              <w:rPr>
                <w:rFonts w:hint="eastAsia" w:ascii="宋体" w:hAnsi="宋体"/>
                <w:sz w:val="24"/>
                <w:szCs w:val="24"/>
                <w:highlight w:val="none"/>
              </w:rPr>
              <w:t>套</w:t>
            </w:r>
          </w:p>
        </w:tc>
        <w:tc>
          <w:tcPr>
            <w:tcW w:w="750" w:type="dxa"/>
            <w:vAlign w:val="center"/>
          </w:tcPr>
          <w:p w14:paraId="4D5802C4">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48E10DA4">
            <w:pPr>
              <w:widowControl/>
              <w:jc w:val="center"/>
              <w:rPr>
                <w:rFonts w:ascii="宋体" w:hAnsi="宋体"/>
                <w:sz w:val="24"/>
                <w:szCs w:val="24"/>
                <w:highlight w:val="none"/>
              </w:rPr>
            </w:pPr>
          </w:p>
        </w:tc>
        <w:tc>
          <w:tcPr>
            <w:tcW w:w="1327" w:type="dxa"/>
            <w:vAlign w:val="center"/>
          </w:tcPr>
          <w:p w14:paraId="14D0B4B0">
            <w:pPr>
              <w:widowControl/>
              <w:jc w:val="center"/>
              <w:rPr>
                <w:rFonts w:ascii="宋体" w:hAnsi="宋体"/>
                <w:sz w:val="24"/>
                <w:szCs w:val="24"/>
                <w:highlight w:val="none"/>
              </w:rPr>
            </w:pPr>
          </w:p>
        </w:tc>
      </w:tr>
      <w:tr w14:paraId="47AA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88" w:type="dxa"/>
            <w:vAlign w:val="center"/>
          </w:tcPr>
          <w:p w14:paraId="61EE73F0">
            <w:pPr>
              <w:widowControl/>
              <w:jc w:val="center"/>
              <w:rPr>
                <w:rFonts w:ascii="宋体" w:hAnsi="宋体"/>
                <w:sz w:val="24"/>
                <w:szCs w:val="24"/>
                <w:highlight w:val="none"/>
              </w:rPr>
            </w:pPr>
            <w:r>
              <w:rPr>
                <w:rFonts w:hint="eastAsia" w:ascii="宋体" w:hAnsi="宋体"/>
                <w:sz w:val="24"/>
                <w:szCs w:val="24"/>
                <w:highlight w:val="none"/>
              </w:rPr>
              <w:t>4</w:t>
            </w:r>
          </w:p>
        </w:tc>
        <w:tc>
          <w:tcPr>
            <w:tcW w:w="1515" w:type="dxa"/>
            <w:vAlign w:val="center"/>
          </w:tcPr>
          <w:p w14:paraId="1C6DC601">
            <w:pPr>
              <w:widowControl/>
              <w:jc w:val="center"/>
              <w:rPr>
                <w:rFonts w:ascii="宋体" w:hAnsi="宋体"/>
                <w:sz w:val="24"/>
                <w:szCs w:val="24"/>
                <w:highlight w:val="none"/>
              </w:rPr>
            </w:pPr>
            <w:r>
              <w:rPr>
                <w:rFonts w:hint="eastAsia" w:ascii="宋体" w:hAnsi="宋体"/>
                <w:sz w:val="24"/>
                <w:szCs w:val="24"/>
                <w:highlight w:val="none"/>
              </w:rPr>
              <w:t>单梁行车</w:t>
            </w:r>
          </w:p>
        </w:tc>
        <w:tc>
          <w:tcPr>
            <w:tcW w:w="1097" w:type="dxa"/>
            <w:vAlign w:val="center"/>
          </w:tcPr>
          <w:p w14:paraId="3D1A7368">
            <w:pPr>
              <w:widowControl/>
              <w:jc w:val="center"/>
              <w:rPr>
                <w:rFonts w:ascii="宋体" w:hAnsi="宋体"/>
                <w:sz w:val="24"/>
                <w:szCs w:val="24"/>
                <w:highlight w:val="none"/>
              </w:rPr>
            </w:pPr>
            <w:r>
              <w:rPr>
                <w:rFonts w:hint="eastAsia" w:ascii="宋体" w:hAnsi="宋体"/>
                <w:sz w:val="24"/>
                <w:szCs w:val="24"/>
                <w:highlight w:val="none"/>
              </w:rPr>
              <w:t>2T</w:t>
            </w:r>
          </w:p>
        </w:tc>
        <w:tc>
          <w:tcPr>
            <w:tcW w:w="2344" w:type="dxa"/>
            <w:vAlign w:val="center"/>
          </w:tcPr>
          <w:p w14:paraId="54E097F8">
            <w:pPr>
              <w:widowControl/>
              <w:jc w:val="center"/>
              <w:rPr>
                <w:rFonts w:ascii="宋体" w:hAnsi="宋体"/>
                <w:sz w:val="24"/>
                <w:szCs w:val="24"/>
                <w:highlight w:val="none"/>
              </w:rPr>
            </w:pPr>
            <w:r>
              <w:rPr>
                <w:rFonts w:hint="eastAsia" w:ascii="宋体" w:hAnsi="宋体"/>
                <w:sz w:val="24"/>
                <w:szCs w:val="24"/>
                <w:highlight w:val="none"/>
              </w:rPr>
              <w:t>2100-QY-212-00498</w:t>
            </w:r>
          </w:p>
        </w:tc>
        <w:tc>
          <w:tcPr>
            <w:tcW w:w="847" w:type="dxa"/>
            <w:vAlign w:val="center"/>
          </w:tcPr>
          <w:p w14:paraId="6662964D">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3B72C9F4">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5FC7C2D2">
            <w:pPr>
              <w:widowControl/>
              <w:jc w:val="center"/>
              <w:rPr>
                <w:rFonts w:ascii="宋体" w:hAnsi="宋体"/>
                <w:sz w:val="24"/>
                <w:szCs w:val="24"/>
                <w:highlight w:val="none"/>
              </w:rPr>
            </w:pPr>
            <w:r>
              <w:rPr>
                <w:rFonts w:hint="eastAsia" w:ascii="宋体" w:hAnsi="宋体"/>
                <w:sz w:val="24"/>
                <w:szCs w:val="24"/>
                <w:highlight w:val="none"/>
              </w:rPr>
              <w:t>108262.1</w:t>
            </w:r>
          </w:p>
        </w:tc>
        <w:tc>
          <w:tcPr>
            <w:tcW w:w="1327" w:type="dxa"/>
            <w:vAlign w:val="center"/>
          </w:tcPr>
          <w:p w14:paraId="307539FF">
            <w:pPr>
              <w:widowControl/>
              <w:jc w:val="center"/>
              <w:rPr>
                <w:rFonts w:ascii="宋体" w:hAnsi="宋体"/>
                <w:sz w:val="24"/>
                <w:szCs w:val="24"/>
                <w:highlight w:val="none"/>
              </w:rPr>
            </w:pPr>
            <w:r>
              <w:rPr>
                <w:rFonts w:hint="eastAsia" w:ascii="宋体" w:hAnsi="宋体"/>
                <w:sz w:val="24"/>
                <w:szCs w:val="24"/>
                <w:highlight w:val="none"/>
              </w:rPr>
              <w:t>　</w:t>
            </w:r>
          </w:p>
        </w:tc>
      </w:tr>
      <w:tr w14:paraId="0DD2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17597D1F">
            <w:pPr>
              <w:widowControl/>
              <w:jc w:val="center"/>
              <w:rPr>
                <w:rFonts w:ascii="宋体" w:hAnsi="宋体"/>
                <w:sz w:val="24"/>
                <w:szCs w:val="24"/>
                <w:highlight w:val="none"/>
              </w:rPr>
            </w:pPr>
            <w:r>
              <w:rPr>
                <w:rFonts w:hint="eastAsia" w:ascii="宋体" w:hAnsi="宋体"/>
                <w:sz w:val="24"/>
                <w:szCs w:val="24"/>
                <w:highlight w:val="none"/>
              </w:rPr>
              <w:t>5</w:t>
            </w:r>
          </w:p>
        </w:tc>
        <w:tc>
          <w:tcPr>
            <w:tcW w:w="1515" w:type="dxa"/>
            <w:vAlign w:val="center"/>
          </w:tcPr>
          <w:p w14:paraId="71F1B6A3">
            <w:pPr>
              <w:widowControl/>
              <w:jc w:val="center"/>
              <w:rPr>
                <w:rFonts w:ascii="宋体" w:hAnsi="宋体"/>
                <w:sz w:val="24"/>
                <w:szCs w:val="24"/>
                <w:highlight w:val="none"/>
              </w:rPr>
            </w:pPr>
            <w:r>
              <w:rPr>
                <w:rFonts w:hint="eastAsia" w:ascii="宋体" w:hAnsi="宋体"/>
                <w:sz w:val="24"/>
                <w:szCs w:val="24"/>
                <w:highlight w:val="none"/>
              </w:rPr>
              <w:t>单梁行车</w:t>
            </w:r>
          </w:p>
        </w:tc>
        <w:tc>
          <w:tcPr>
            <w:tcW w:w="1097" w:type="dxa"/>
            <w:vAlign w:val="center"/>
          </w:tcPr>
          <w:p w14:paraId="1675478B">
            <w:pPr>
              <w:widowControl/>
              <w:jc w:val="center"/>
              <w:rPr>
                <w:rFonts w:ascii="宋体" w:hAnsi="宋体"/>
                <w:sz w:val="24"/>
                <w:szCs w:val="24"/>
                <w:highlight w:val="none"/>
              </w:rPr>
            </w:pPr>
            <w:r>
              <w:rPr>
                <w:rFonts w:hint="eastAsia" w:ascii="宋体" w:hAnsi="宋体"/>
                <w:sz w:val="24"/>
                <w:szCs w:val="24"/>
                <w:highlight w:val="none"/>
              </w:rPr>
              <w:t>2T</w:t>
            </w:r>
          </w:p>
        </w:tc>
        <w:tc>
          <w:tcPr>
            <w:tcW w:w="2344" w:type="dxa"/>
            <w:vAlign w:val="center"/>
          </w:tcPr>
          <w:p w14:paraId="23E51529">
            <w:pPr>
              <w:widowControl/>
              <w:jc w:val="center"/>
              <w:rPr>
                <w:rFonts w:ascii="宋体" w:hAnsi="宋体"/>
                <w:sz w:val="24"/>
                <w:szCs w:val="24"/>
                <w:highlight w:val="none"/>
              </w:rPr>
            </w:pPr>
            <w:r>
              <w:rPr>
                <w:rFonts w:hint="eastAsia" w:ascii="宋体" w:hAnsi="宋体"/>
                <w:sz w:val="24"/>
                <w:szCs w:val="24"/>
                <w:highlight w:val="none"/>
              </w:rPr>
              <w:t>2100-QY-212-00499</w:t>
            </w:r>
          </w:p>
        </w:tc>
        <w:tc>
          <w:tcPr>
            <w:tcW w:w="847" w:type="dxa"/>
            <w:vAlign w:val="center"/>
          </w:tcPr>
          <w:p w14:paraId="69D0415F">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3DD76985">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0A56FFA2">
            <w:pPr>
              <w:widowControl/>
              <w:jc w:val="center"/>
              <w:rPr>
                <w:rFonts w:ascii="宋体" w:hAnsi="宋体"/>
                <w:sz w:val="24"/>
                <w:szCs w:val="24"/>
                <w:highlight w:val="none"/>
              </w:rPr>
            </w:pPr>
            <w:r>
              <w:rPr>
                <w:rFonts w:hint="eastAsia" w:ascii="宋体" w:hAnsi="宋体"/>
                <w:sz w:val="24"/>
                <w:szCs w:val="24"/>
                <w:highlight w:val="none"/>
              </w:rPr>
              <w:t>108262.1</w:t>
            </w:r>
          </w:p>
        </w:tc>
        <w:tc>
          <w:tcPr>
            <w:tcW w:w="1327" w:type="dxa"/>
            <w:vAlign w:val="center"/>
          </w:tcPr>
          <w:p w14:paraId="003A6FCE">
            <w:pPr>
              <w:widowControl/>
              <w:jc w:val="center"/>
              <w:rPr>
                <w:rFonts w:ascii="宋体" w:hAnsi="宋体"/>
                <w:sz w:val="24"/>
                <w:szCs w:val="24"/>
                <w:highlight w:val="none"/>
              </w:rPr>
            </w:pPr>
            <w:r>
              <w:rPr>
                <w:rFonts w:hint="eastAsia" w:ascii="宋体" w:hAnsi="宋体"/>
                <w:sz w:val="24"/>
                <w:szCs w:val="24"/>
                <w:highlight w:val="none"/>
              </w:rPr>
              <w:t>　</w:t>
            </w:r>
          </w:p>
        </w:tc>
      </w:tr>
      <w:tr w14:paraId="6F4C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15979285">
            <w:pPr>
              <w:widowControl/>
              <w:jc w:val="center"/>
              <w:rPr>
                <w:rFonts w:ascii="宋体" w:hAnsi="宋体"/>
                <w:sz w:val="24"/>
                <w:szCs w:val="24"/>
                <w:highlight w:val="none"/>
              </w:rPr>
            </w:pPr>
            <w:r>
              <w:rPr>
                <w:rFonts w:hint="eastAsia" w:ascii="宋体" w:hAnsi="宋体"/>
                <w:sz w:val="24"/>
                <w:szCs w:val="24"/>
                <w:highlight w:val="none"/>
              </w:rPr>
              <w:t>6</w:t>
            </w:r>
          </w:p>
        </w:tc>
        <w:tc>
          <w:tcPr>
            <w:tcW w:w="1515" w:type="dxa"/>
            <w:vAlign w:val="center"/>
          </w:tcPr>
          <w:p w14:paraId="331A8F03">
            <w:pPr>
              <w:widowControl/>
              <w:jc w:val="center"/>
              <w:rPr>
                <w:rFonts w:ascii="宋体" w:hAnsi="宋体"/>
                <w:sz w:val="24"/>
                <w:szCs w:val="24"/>
                <w:highlight w:val="none"/>
              </w:rPr>
            </w:pPr>
            <w:r>
              <w:rPr>
                <w:rFonts w:hint="eastAsia" w:ascii="宋体" w:hAnsi="宋体"/>
                <w:sz w:val="24"/>
                <w:szCs w:val="24"/>
                <w:highlight w:val="none"/>
              </w:rPr>
              <w:t>单梁行车</w:t>
            </w:r>
          </w:p>
        </w:tc>
        <w:tc>
          <w:tcPr>
            <w:tcW w:w="1097" w:type="dxa"/>
            <w:vAlign w:val="center"/>
          </w:tcPr>
          <w:p w14:paraId="404AF9A0">
            <w:pPr>
              <w:widowControl/>
              <w:jc w:val="center"/>
              <w:rPr>
                <w:rFonts w:ascii="宋体" w:hAnsi="宋体"/>
                <w:sz w:val="24"/>
                <w:szCs w:val="24"/>
                <w:highlight w:val="none"/>
              </w:rPr>
            </w:pPr>
            <w:r>
              <w:rPr>
                <w:rFonts w:hint="eastAsia" w:ascii="宋体" w:hAnsi="宋体"/>
                <w:sz w:val="24"/>
                <w:szCs w:val="24"/>
                <w:highlight w:val="none"/>
              </w:rPr>
              <w:t>2T</w:t>
            </w:r>
          </w:p>
        </w:tc>
        <w:tc>
          <w:tcPr>
            <w:tcW w:w="2344" w:type="dxa"/>
            <w:vAlign w:val="center"/>
          </w:tcPr>
          <w:p w14:paraId="73983892">
            <w:pPr>
              <w:widowControl/>
              <w:jc w:val="center"/>
              <w:rPr>
                <w:rFonts w:ascii="宋体" w:hAnsi="宋体"/>
                <w:sz w:val="24"/>
                <w:szCs w:val="24"/>
                <w:highlight w:val="none"/>
              </w:rPr>
            </w:pPr>
            <w:r>
              <w:rPr>
                <w:rFonts w:hint="eastAsia" w:ascii="宋体" w:hAnsi="宋体"/>
                <w:sz w:val="24"/>
                <w:szCs w:val="24"/>
                <w:highlight w:val="none"/>
              </w:rPr>
              <w:t>2100-QY-212-00500</w:t>
            </w:r>
          </w:p>
        </w:tc>
        <w:tc>
          <w:tcPr>
            <w:tcW w:w="847" w:type="dxa"/>
            <w:vAlign w:val="center"/>
          </w:tcPr>
          <w:p w14:paraId="3ABD44DB">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64B1D1B5">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04159776">
            <w:pPr>
              <w:widowControl/>
              <w:jc w:val="center"/>
              <w:rPr>
                <w:rFonts w:ascii="宋体" w:hAnsi="宋体"/>
                <w:sz w:val="24"/>
                <w:szCs w:val="24"/>
                <w:highlight w:val="none"/>
              </w:rPr>
            </w:pPr>
            <w:r>
              <w:rPr>
                <w:rFonts w:hint="eastAsia" w:ascii="宋体" w:hAnsi="宋体"/>
                <w:sz w:val="24"/>
                <w:szCs w:val="24"/>
                <w:highlight w:val="none"/>
              </w:rPr>
              <w:t>108262.1</w:t>
            </w:r>
          </w:p>
        </w:tc>
        <w:tc>
          <w:tcPr>
            <w:tcW w:w="1327" w:type="dxa"/>
            <w:vAlign w:val="center"/>
          </w:tcPr>
          <w:p w14:paraId="7548689B">
            <w:pPr>
              <w:widowControl/>
              <w:jc w:val="center"/>
              <w:rPr>
                <w:rFonts w:ascii="宋体" w:hAnsi="宋体"/>
                <w:sz w:val="24"/>
                <w:szCs w:val="24"/>
                <w:highlight w:val="none"/>
              </w:rPr>
            </w:pPr>
            <w:r>
              <w:rPr>
                <w:rFonts w:hint="eastAsia" w:ascii="宋体" w:hAnsi="宋体"/>
                <w:sz w:val="24"/>
                <w:szCs w:val="24"/>
                <w:highlight w:val="none"/>
              </w:rPr>
              <w:t>　</w:t>
            </w:r>
          </w:p>
        </w:tc>
      </w:tr>
      <w:tr w14:paraId="365C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5E95C96A">
            <w:pPr>
              <w:widowControl/>
              <w:jc w:val="center"/>
              <w:rPr>
                <w:rFonts w:ascii="宋体" w:hAnsi="宋体"/>
                <w:sz w:val="24"/>
                <w:szCs w:val="24"/>
                <w:highlight w:val="none"/>
              </w:rPr>
            </w:pPr>
            <w:r>
              <w:rPr>
                <w:rFonts w:hint="eastAsia" w:ascii="宋体" w:hAnsi="宋体"/>
                <w:sz w:val="24"/>
                <w:szCs w:val="24"/>
                <w:highlight w:val="none"/>
              </w:rPr>
              <w:t>7</w:t>
            </w:r>
          </w:p>
        </w:tc>
        <w:tc>
          <w:tcPr>
            <w:tcW w:w="1515" w:type="dxa"/>
            <w:vAlign w:val="center"/>
          </w:tcPr>
          <w:p w14:paraId="23A88F52">
            <w:pPr>
              <w:widowControl/>
              <w:jc w:val="center"/>
              <w:rPr>
                <w:rFonts w:ascii="宋体" w:hAnsi="宋体"/>
                <w:sz w:val="24"/>
                <w:szCs w:val="24"/>
                <w:highlight w:val="none"/>
              </w:rPr>
            </w:pPr>
            <w:r>
              <w:rPr>
                <w:rFonts w:hint="eastAsia" w:ascii="宋体" w:hAnsi="宋体"/>
                <w:sz w:val="24"/>
                <w:szCs w:val="24"/>
                <w:highlight w:val="none"/>
              </w:rPr>
              <w:t>单梁行车</w:t>
            </w:r>
          </w:p>
        </w:tc>
        <w:tc>
          <w:tcPr>
            <w:tcW w:w="1097" w:type="dxa"/>
            <w:vAlign w:val="center"/>
          </w:tcPr>
          <w:p w14:paraId="37680178">
            <w:pPr>
              <w:widowControl/>
              <w:jc w:val="center"/>
              <w:rPr>
                <w:rFonts w:ascii="宋体" w:hAnsi="宋体"/>
                <w:sz w:val="24"/>
                <w:szCs w:val="24"/>
                <w:highlight w:val="none"/>
              </w:rPr>
            </w:pPr>
            <w:r>
              <w:rPr>
                <w:rFonts w:hint="eastAsia" w:ascii="宋体" w:hAnsi="宋体"/>
                <w:sz w:val="24"/>
                <w:szCs w:val="24"/>
                <w:highlight w:val="none"/>
              </w:rPr>
              <w:t>2T</w:t>
            </w:r>
          </w:p>
        </w:tc>
        <w:tc>
          <w:tcPr>
            <w:tcW w:w="2344" w:type="dxa"/>
            <w:vAlign w:val="center"/>
          </w:tcPr>
          <w:p w14:paraId="56D679D7">
            <w:pPr>
              <w:widowControl/>
              <w:jc w:val="center"/>
              <w:rPr>
                <w:rFonts w:ascii="宋体" w:hAnsi="宋体"/>
                <w:sz w:val="24"/>
                <w:szCs w:val="24"/>
                <w:highlight w:val="none"/>
              </w:rPr>
            </w:pPr>
            <w:r>
              <w:rPr>
                <w:rFonts w:hint="eastAsia" w:ascii="宋体" w:hAnsi="宋体"/>
                <w:sz w:val="24"/>
                <w:szCs w:val="24"/>
                <w:highlight w:val="none"/>
              </w:rPr>
              <w:t>2100-QY-212-00501</w:t>
            </w:r>
          </w:p>
        </w:tc>
        <w:tc>
          <w:tcPr>
            <w:tcW w:w="847" w:type="dxa"/>
            <w:vAlign w:val="center"/>
          </w:tcPr>
          <w:p w14:paraId="0A55EDB2">
            <w:pPr>
              <w:widowControl/>
              <w:jc w:val="center"/>
              <w:rPr>
                <w:rFonts w:ascii="宋体" w:hAnsi="宋体"/>
                <w:sz w:val="24"/>
                <w:szCs w:val="24"/>
                <w:highlight w:val="none"/>
              </w:rPr>
            </w:pPr>
            <w:r>
              <w:rPr>
                <w:rFonts w:hint="eastAsia" w:ascii="宋体" w:hAnsi="宋体"/>
                <w:sz w:val="24"/>
                <w:szCs w:val="24"/>
                <w:highlight w:val="none"/>
              </w:rPr>
              <w:t>台</w:t>
            </w:r>
          </w:p>
        </w:tc>
        <w:tc>
          <w:tcPr>
            <w:tcW w:w="750" w:type="dxa"/>
            <w:vAlign w:val="center"/>
          </w:tcPr>
          <w:p w14:paraId="4073AC94">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2898FE11">
            <w:pPr>
              <w:widowControl/>
              <w:jc w:val="center"/>
              <w:rPr>
                <w:rFonts w:ascii="宋体" w:hAnsi="宋体"/>
                <w:sz w:val="24"/>
                <w:szCs w:val="24"/>
                <w:highlight w:val="none"/>
              </w:rPr>
            </w:pPr>
            <w:r>
              <w:rPr>
                <w:rFonts w:hint="eastAsia" w:ascii="宋体" w:hAnsi="宋体"/>
                <w:sz w:val="24"/>
                <w:szCs w:val="24"/>
                <w:highlight w:val="none"/>
              </w:rPr>
              <w:t>108262.1</w:t>
            </w:r>
          </w:p>
        </w:tc>
        <w:tc>
          <w:tcPr>
            <w:tcW w:w="1327" w:type="dxa"/>
            <w:vAlign w:val="center"/>
          </w:tcPr>
          <w:p w14:paraId="37F7FBAD">
            <w:pPr>
              <w:widowControl/>
              <w:jc w:val="center"/>
              <w:rPr>
                <w:rFonts w:ascii="宋体" w:hAnsi="宋体"/>
                <w:sz w:val="24"/>
                <w:szCs w:val="24"/>
                <w:highlight w:val="none"/>
              </w:rPr>
            </w:pPr>
            <w:r>
              <w:rPr>
                <w:rFonts w:hint="eastAsia" w:ascii="宋体" w:hAnsi="宋体"/>
                <w:sz w:val="24"/>
                <w:szCs w:val="24"/>
                <w:highlight w:val="none"/>
              </w:rPr>
              <w:t>　</w:t>
            </w:r>
          </w:p>
        </w:tc>
      </w:tr>
      <w:tr w14:paraId="044A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8" w:type="dxa"/>
            <w:vAlign w:val="center"/>
          </w:tcPr>
          <w:p w14:paraId="1727857B">
            <w:pPr>
              <w:widowControl/>
              <w:jc w:val="center"/>
              <w:rPr>
                <w:rFonts w:ascii="宋体" w:hAnsi="宋体"/>
                <w:sz w:val="24"/>
                <w:szCs w:val="24"/>
                <w:highlight w:val="none"/>
              </w:rPr>
            </w:pPr>
            <w:r>
              <w:rPr>
                <w:rFonts w:hint="eastAsia" w:ascii="宋体" w:hAnsi="宋体"/>
                <w:sz w:val="24"/>
                <w:szCs w:val="24"/>
                <w:highlight w:val="none"/>
              </w:rPr>
              <w:t>8</w:t>
            </w:r>
          </w:p>
        </w:tc>
        <w:tc>
          <w:tcPr>
            <w:tcW w:w="1515" w:type="dxa"/>
            <w:vAlign w:val="center"/>
          </w:tcPr>
          <w:p w14:paraId="5EF0FB71">
            <w:pPr>
              <w:widowControl/>
              <w:rPr>
                <w:rFonts w:ascii="宋体" w:hAnsi="宋体"/>
                <w:sz w:val="24"/>
                <w:szCs w:val="24"/>
                <w:highlight w:val="none"/>
              </w:rPr>
            </w:pPr>
            <w:r>
              <w:rPr>
                <w:rFonts w:hint="eastAsia" w:ascii="宋体" w:hAnsi="宋体"/>
                <w:sz w:val="24"/>
                <w:szCs w:val="24"/>
                <w:highlight w:val="none"/>
              </w:rPr>
              <w:t>驱动桥VOCs治理设备</w:t>
            </w:r>
          </w:p>
        </w:tc>
        <w:tc>
          <w:tcPr>
            <w:tcW w:w="1097" w:type="dxa"/>
            <w:vAlign w:val="bottom"/>
          </w:tcPr>
          <w:p w14:paraId="59D668B1">
            <w:pPr>
              <w:widowControl/>
              <w:jc w:val="right"/>
              <w:rPr>
                <w:rFonts w:ascii="宋体" w:hAnsi="宋体"/>
                <w:sz w:val="24"/>
                <w:szCs w:val="24"/>
                <w:highlight w:val="none"/>
              </w:rPr>
            </w:pPr>
          </w:p>
        </w:tc>
        <w:tc>
          <w:tcPr>
            <w:tcW w:w="2344" w:type="dxa"/>
            <w:vAlign w:val="center"/>
          </w:tcPr>
          <w:p w14:paraId="161C361A">
            <w:pPr>
              <w:widowControl/>
              <w:jc w:val="center"/>
              <w:rPr>
                <w:rFonts w:ascii="宋体" w:hAnsi="宋体"/>
                <w:sz w:val="24"/>
                <w:szCs w:val="24"/>
                <w:highlight w:val="none"/>
              </w:rPr>
            </w:pPr>
            <w:r>
              <w:rPr>
                <w:rFonts w:hint="eastAsia" w:ascii="宋体" w:hAnsi="宋体"/>
                <w:sz w:val="24"/>
                <w:szCs w:val="24"/>
                <w:highlight w:val="none"/>
              </w:rPr>
              <w:t>2100-dl-955-00001　</w:t>
            </w:r>
          </w:p>
        </w:tc>
        <w:tc>
          <w:tcPr>
            <w:tcW w:w="847" w:type="dxa"/>
            <w:vAlign w:val="center"/>
          </w:tcPr>
          <w:p w14:paraId="61BAFAFF">
            <w:pPr>
              <w:widowControl/>
              <w:jc w:val="center"/>
              <w:rPr>
                <w:rFonts w:ascii="宋体" w:hAnsi="宋体"/>
                <w:sz w:val="24"/>
                <w:szCs w:val="24"/>
                <w:highlight w:val="none"/>
              </w:rPr>
            </w:pPr>
            <w:r>
              <w:rPr>
                <w:rFonts w:hint="eastAsia" w:ascii="宋体" w:hAnsi="宋体"/>
                <w:sz w:val="24"/>
                <w:szCs w:val="24"/>
                <w:highlight w:val="none"/>
              </w:rPr>
              <w:t>套</w:t>
            </w:r>
          </w:p>
        </w:tc>
        <w:tc>
          <w:tcPr>
            <w:tcW w:w="750" w:type="dxa"/>
            <w:vAlign w:val="center"/>
          </w:tcPr>
          <w:p w14:paraId="06A1C666">
            <w:pPr>
              <w:widowControl/>
              <w:jc w:val="center"/>
              <w:rPr>
                <w:rFonts w:ascii="宋体" w:hAnsi="宋体"/>
                <w:sz w:val="24"/>
                <w:szCs w:val="24"/>
                <w:highlight w:val="none"/>
              </w:rPr>
            </w:pPr>
            <w:r>
              <w:rPr>
                <w:rFonts w:hint="eastAsia" w:ascii="宋体" w:hAnsi="宋体"/>
                <w:sz w:val="24"/>
                <w:szCs w:val="24"/>
                <w:highlight w:val="none"/>
              </w:rPr>
              <w:t>1</w:t>
            </w:r>
          </w:p>
        </w:tc>
        <w:tc>
          <w:tcPr>
            <w:tcW w:w="1381" w:type="dxa"/>
            <w:vAlign w:val="bottom"/>
          </w:tcPr>
          <w:p w14:paraId="2CE75402">
            <w:pPr>
              <w:widowControl/>
              <w:spacing w:line="480" w:lineRule="auto"/>
              <w:jc w:val="center"/>
              <w:rPr>
                <w:rFonts w:ascii="宋体" w:hAnsi="宋体"/>
                <w:sz w:val="24"/>
                <w:szCs w:val="24"/>
                <w:highlight w:val="none"/>
              </w:rPr>
            </w:pPr>
            <w:r>
              <w:rPr>
                <w:rFonts w:hint="eastAsia" w:ascii="宋体" w:hAnsi="宋体"/>
                <w:sz w:val="24"/>
                <w:szCs w:val="24"/>
                <w:highlight w:val="none"/>
              </w:rPr>
              <w:t>5337608.55</w:t>
            </w:r>
          </w:p>
        </w:tc>
        <w:tc>
          <w:tcPr>
            <w:tcW w:w="1327" w:type="dxa"/>
            <w:vAlign w:val="center"/>
          </w:tcPr>
          <w:p w14:paraId="4530888B">
            <w:pPr>
              <w:widowControl/>
              <w:jc w:val="center"/>
              <w:rPr>
                <w:rFonts w:ascii="宋体" w:hAnsi="宋体"/>
                <w:sz w:val="24"/>
                <w:szCs w:val="24"/>
                <w:highlight w:val="none"/>
              </w:rPr>
            </w:pPr>
          </w:p>
        </w:tc>
      </w:tr>
      <w:tr w14:paraId="1B5F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849" w:type="dxa"/>
            <w:gridSpan w:val="8"/>
            <w:vAlign w:val="center"/>
          </w:tcPr>
          <w:p w14:paraId="09C09C6F">
            <w:pPr>
              <w:widowControl/>
              <w:jc w:val="center"/>
              <w:rPr>
                <w:rFonts w:ascii="宋体" w:hAnsi="宋体"/>
                <w:sz w:val="24"/>
                <w:szCs w:val="24"/>
                <w:highlight w:val="none"/>
              </w:rPr>
            </w:pPr>
            <w:r>
              <w:rPr>
                <w:rFonts w:hint="eastAsia" w:ascii="宋体" w:hAnsi="宋体"/>
                <w:sz w:val="24"/>
                <w:szCs w:val="24"/>
                <w:highlight w:val="none"/>
              </w:rPr>
              <w:t>注：包括上桥口和下桥口所有使用的设备及行车、柔性吊</w:t>
            </w:r>
          </w:p>
        </w:tc>
      </w:tr>
    </w:tbl>
    <w:p w14:paraId="4521175B">
      <w:pPr>
        <w:pStyle w:val="9"/>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方在设备EAM系统中开展设备自主保全及定期维护，制定并更新设备日常维护基准及定期维护基准。承包方根据设备说明书及招标方要求，严格按照设备管理系统中任务开展其负责的设备自主保全及定期维护作业内容，招标方按计划对设备维保情况及点检记录进行检查。维护保养所使用易耗品（如清洁剂、润滑油等）、易损件、非使用不当或者操作不当原因造成需更换设备备件的，均由招标方提供相应设备备件。</w:t>
      </w:r>
    </w:p>
    <w:p w14:paraId="6957E0E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2承包方需确保设备保持完好状态，若设备发生故障或者出现异常，需立即向招标方汇报，由招标方负责现场确认后判定故障责任；非使用不当或者操作不当原因造成设备的项修及大修均由招标方负责；招标方对设备保养情况、设备状态、设备使用进行检查，对未按要求进行维保，设备状态异常，违规使用设备情况进行通报，情况严重时按照规定对承包方进行考核。</w:t>
      </w:r>
    </w:p>
    <w:p w14:paraId="6E5EF36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3承包方必须遵守招标方设备安全操作规程以及标准作业要求，因承包方操作失误或维护不当，引起的设备故障，产生的设备维修费用及停产损失全部由承包方负责。如果承包方拒不执行修复工作，或设备维修后达不到招标方要求，招标方可自行组织对设备维修、保全，所发生费用以及招标方停产所造成损失，由承包方承担。</w:t>
      </w:r>
    </w:p>
    <w:p w14:paraId="64EAAB4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hAnsi="Courier New" w:eastAsia="宋体" w:cs="Times New Roman"/>
          <w:highlight w:val="none"/>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4承包方设备操作人员必须经过安全和技能培训，根据招标方要求取得设备操作资质，持证上岗；无证人员不得操作设备。因承包方人员的违规作业导致产生安全、质量、生产事故，由承包方承担所有损失，如因此给招标方或第三方造成任何损失，承包方承担全部赔偿责任。</w:t>
      </w:r>
    </w:p>
    <w:bookmarkEnd w:id="9"/>
    <w:p w14:paraId="38962A84">
      <w:pPr>
        <w:pStyle w:val="9"/>
        <w:spacing w:line="360" w:lineRule="auto"/>
        <w:ind w:firstLine="422" w:firstLineChars="200"/>
        <w:rPr>
          <w:rFonts w:hint="eastAsia" w:hAnsi="Courier New" w:eastAsia="宋体" w:cs="Times New Roman"/>
          <w:b/>
          <w:bCs/>
          <w:strike w:val="0"/>
          <w:dstrike w:val="0"/>
          <w:color w:val="auto"/>
          <w:highlight w:val="none"/>
        </w:rPr>
      </w:pPr>
      <w:r>
        <w:rPr>
          <w:rFonts w:hint="eastAsia" w:cs="Times New Roman"/>
          <w:b/>
          <w:bCs/>
          <w:strike w:val="0"/>
          <w:dstrike w:val="0"/>
          <w:color w:val="auto"/>
          <w:highlight w:val="none"/>
          <w:lang w:val="en-US" w:eastAsia="zh-CN"/>
        </w:rPr>
        <w:t>4</w:t>
      </w:r>
      <w:r>
        <w:rPr>
          <w:rFonts w:hint="eastAsia" w:hAnsi="Courier New" w:eastAsia="宋体" w:cs="Times New Roman"/>
          <w:b/>
          <w:bCs/>
          <w:strike w:val="0"/>
          <w:dstrike w:val="0"/>
          <w:color w:val="auto"/>
          <w:highlight w:val="none"/>
          <w:lang w:val="en-US" w:eastAsia="zh-CN"/>
        </w:rPr>
        <w:t>、</w:t>
      </w:r>
      <w:r>
        <w:rPr>
          <w:rFonts w:hint="eastAsia" w:hAnsi="Courier New" w:eastAsia="宋体" w:cs="Times New Roman"/>
          <w:b/>
          <w:bCs/>
          <w:strike w:val="0"/>
          <w:dstrike w:val="0"/>
          <w:color w:val="auto"/>
          <w:highlight w:val="none"/>
        </w:rPr>
        <w:t>物料计划</w:t>
      </w:r>
    </w:p>
    <w:p w14:paraId="0A586492">
      <w:pPr>
        <w:pStyle w:val="9"/>
        <w:spacing w:line="360" w:lineRule="auto"/>
        <w:ind w:firstLine="420" w:firstLineChars="200"/>
        <w:rPr>
          <w:rFonts w:hint="eastAsia" w:hAnsi="Courier New" w:eastAsia="宋体" w:cs="Times New Roman"/>
          <w:strike w:val="0"/>
          <w:dstrike w:val="0"/>
          <w:color w:val="auto"/>
          <w:highlight w:val="none"/>
        </w:rPr>
      </w:pPr>
      <w:bookmarkStart w:id="10" w:name="_Hlk118301166"/>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.1</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负责对</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生产组织监控；</w:t>
      </w:r>
    </w:p>
    <w:p w14:paraId="095BAB67">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.2</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严格按照</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下达的日生产计划，组织生产，确保产品发交的准确性、及时性，满足下工序生产需求；</w:t>
      </w:r>
    </w:p>
    <w:p w14:paraId="6268BD8C">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.3</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生产完成后，</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进行工作量的统计；</w:t>
      </w:r>
    </w:p>
    <w:p w14:paraId="5F6320EB">
      <w:pPr>
        <w:pStyle w:val="9"/>
        <w:spacing w:line="360" w:lineRule="auto"/>
        <w:ind w:firstLine="420" w:firstLineChars="200"/>
        <w:rPr>
          <w:rFonts w:hint="eastAsia" w:hAnsi="Courier New" w:eastAsia="宋体" w:cs="Times New Roman"/>
          <w:strike w:val="0"/>
          <w:dstrike w:val="0"/>
          <w:color w:val="auto"/>
          <w:highlight w:val="none"/>
          <w:lang w:eastAsia="zh-CN"/>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.4</w:t>
      </w:r>
      <w:r>
        <w:rPr>
          <w:rFonts w:hint="eastAsia" w:hAnsi="Courier New" w:eastAsia="宋体" w:cs="Times New Roman"/>
          <w:strike w:val="0"/>
          <w:dstrike w:val="0"/>
          <w:color w:val="auto"/>
          <w:highlight w:val="none"/>
        </w:rPr>
        <w:t>物料为</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提供，并根据实际生产计划按需执行</w:t>
      </w:r>
      <w:r>
        <w:rPr>
          <w:rFonts w:hint="eastAsia" w:hAnsi="Courier New" w:eastAsia="宋体" w:cs="Times New Roman"/>
          <w:strike w:val="0"/>
          <w:dstrike w:val="0"/>
          <w:color w:val="auto"/>
          <w:highlight w:val="none"/>
          <w:lang w:eastAsia="zh-CN"/>
        </w:rPr>
        <w:t>。</w:t>
      </w:r>
    </w:p>
    <w:p w14:paraId="51E8524F">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.5</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建立</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仓储物资的台账，指定固定人员管理，并保管好相关单据。保证现场实物、台账、单据与物资管理系统信息一致。</w:t>
      </w:r>
    </w:p>
    <w:p w14:paraId="12726FEE">
      <w:pPr>
        <w:pStyle w:val="9"/>
        <w:spacing w:line="360" w:lineRule="auto"/>
        <w:ind w:firstLine="420" w:firstLineChars="200"/>
        <w:rPr>
          <w:rFonts w:hint="eastAsia" w:hAnsi="Courier New" w:eastAsia="宋体" w:cs="Times New Roman"/>
          <w:strike w:val="0"/>
          <w:dstrike w:val="0"/>
          <w:color w:val="auto"/>
          <w:highlight w:val="none"/>
          <w:lang w:eastAsia="zh-CN"/>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.6</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应按照</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要求进行盘点，并形成相关记录，盘点范围包含</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现场管理区域内所有产品。</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对盘点结果数据准确性负全部责任。</w:t>
      </w:r>
    </w:p>
    <w:bookmarkEnd w:id="10"/>
    <w:p w14:paraId="75CF43EF">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5</w:t>
      </w:r>
      <w:r>
        <w:rPr>
          <w:rFonts w:hint="eastAsia" w:hAnsi="Courier New" w:eastAsia="宋体" w:cs="Times New Roman"/>
          <w:b/>
          <w:bCs/>
          <w:highlight w:val="none"/>
          <w:lang w:val="en-US" w:eastAsia="zh-CN"/>
        </w:rPr>
        <w:t>、工艺</w:t>
      </w:r>
    </w:p>
    <w:p w14:paraId="7C90F137">
      <w:pPr>
        <w:pStyle w:val="9"/>
        <w:spacing w:line="360" w:lineRule="auto"/>
        <w:ind w:firstLine="420" w:firstLineChars="200"/>
        <w:rPr>
          <w:rFonts w:hint="eastAsia" w:hAnsi="Courier New" w:eastAsia="宋体" w:cs="Times New Roman"/>
          <w:highlight w:val="none"/>
          <w:lang w:val="en-US" w:eastAsia="zh-CN"/>
        </w:rPr>
      </w:pPr>
      <w:r>
        <w:rPr>
          <w:rFonts w:hint="eastAsia" w:hAnsi="Courier New" w:eastAsia="宋体" w:cs="Times New Roman"/>
          <w:highlight w:val="none"/>
          <w:lang w:val="en-US" w:eastAsia="zh-CN"/>
        </w:rPr>
        <w:t>依据招标方下发的工艺文件执行：</w:t>
      </w:r>
    </w:p>
    <w:p w14:paraId="34B1EE77">
      <w:pPr>
        <w:pStyle w:val="9"/>
        <w:spacing w:line="360" w:lineRule="auto"/>
        <w:ind w:firstLine="420" w:firstLineChars="200"/>
        <w:rPr>
          <w:rFonts w:hint="eastAsia" w:hAnsi="Courier New" w:eastAsia="宋体" w:cs="Times New Roman"/>
          <w:highlight w:val="none"/>
          <w:lang w:val="en-US" w:eastAsia="zh-CN"/>
        </w:rPr>
      </w:pPr>
      <w:bookmarkStart w:id="11" w:name="_Hlk118301244"/>
      <w:r>
        <w:rPr>
          <w:rFonts w:hint="eastAsia" w:cs="Times New Roman"/>
          <w:highlight w:val="none"/>
          <w:lang w:val="en-US" w:eastAsia="zh-CN"/>
        </w:rPr>
        <w:t>5</w:t>
      </w:r>
      <w:r>
        <w:rPr>
          <w:rFonts w:hint="eastAsia" w:hAnsi="Courier New" w:eastAsia="宋体" w:cs="Times New Roman"/>
          <w:highlight w:val="none"/>
          <w:lang w:val="en-US" w:eastAsia="zh-CN"/>
        </w:rPr>
        <w:t>.1必须按照招标方工艺文件所要求的作业人数安排作业人员。如招标方工艺进行更改，承包方必须配合招标方执行新工艺；</w:t>
      </w:r>
    </w:p>
    <w:p w14:paraId="2AF96DFE">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.2承包方按照招标方控制计划等技术文件实施生产作业活动，必须按照提供的工艺文件进行操作，如出现违反工艺纪律要求的情况，承包方承担相应责任；</w:t>
      </w:r>
    </w:p>
    <w:p w14:paraId="010E0699">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.3承包方负责按照招标方质量控制标准，实施招标方所有产品制造过程质量控制，确保每工序质量问题得到及时修复，不得流入下工序影响产品质量；</w:t>
      </w:r>
    </w:p>
    <w:p w14:paraId="5BD79F1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.4产品下线后如出现因承包方责任导致的缺件、质量缺陷情况的，由承包方承担修补更换；承包方原因导致的返修、返工费用由承包方承担。</w:t>
      </w:r>
    </w:p>
    <w:bookmarkEnd w:id="11"/>
    <w:p w14:paraId="13BB4C7F">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6</w:t>
      </w:r>
      <w:r>
        <w:rPr>
          <w:rFonts w:hint="eastAsia" w:hAnsi="Courier New" w:eastAsia="宋体" w:cs="Times New Roman"/>
          <w:b/>
          <w:bCs/>
          <w:highlight w:val="none"/>
          <w:lang w:val="en-US" w:eastAsia="zh-CN"/>
        </w:rPr>
        <w:t>、质量检验规范</w:t>
      </w:r>
    </w:p>
    <w:p w14:paraId="0F3C819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.1承包方要执行招标方的质量控制要求，主要包含：操作岗位要求，操作者的工作技能、工作经历、受教育情况、上岗培训，相关生产设备、工装器具的维护保养；</w:t>
      </w:r>
    </w:p>
    <w:p w14:paraId="7675B05B">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.2承包方确保交付的产品符合招标方的质量标准要求；</w:t>
      </w:r>
    </w:p>
    <w:p w14:paraId="2597885F">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.3承包方质量管理及加工原因造成的质量考核及索赔由承包方全额承担；</w:t>
      </w:r>
    </w:p>
    <w:p w14:paraId="2C7F0E6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.4签订外包</w:t>
      </w:r>
      <w:r>
        <w:rPr>
          <w:rFonts w:hint="eastAsia" w:eastAsia="宋体" w:cs="Times New Roman"/>
          <w:highlight w:val="none"/>
          <w:lang w:val="en-US" w:eastAsia="zh-CN"/>
        </w:rPr>
        <w:t>《技术质量保证协议》</w:t>
      </w:r>
      <w:r>
        <w:rPr>
          <w:rFonts w:hint="eastAsia" w:hAnsi="Courier New" w:eastAsia="宋体" w:cs="Times New Roman"/>
          <w:highlight w:val="none"/>
          <w:lang w:val="en-US" w:eastAsia="zh-CN"/>
        </w:rPr>
        <w:t>的按协议执行。</w:t>
      </w:r>
    </w:p>
    <w:p w14:paraId="4ACFC8A1">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7</w:t>
      </w:r>
      <w:r>
        <w:rPr>
          <w:rFonts w:hint="eastAsia" w:hAnsi="Courier New" w:eastAsia="宋体" w:cs="Times New Roman"/>
          <w:b/>
          <w:bCs/>
          <w:highlight w:val="none"/>
          <w:lang w:val="en-US" w:eastAsia="zh-CN"/>
        </w:rPr>
        <w:t>、其他</w:t>
      </w:r>
    </w:p>
    <w:p w14:paraId="6D3ECC6A">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.1承包方所有人员的食宿、交通、安全、保险、劳资纠纷等，由承包方自行解决，招标方不承担任何责任。若造成招标方人员、场地、设备、生产等损失，由承包方承担；</w:t>
      </w:r>
    </w:p>
    <w:p w14:paraId="0ACC3170">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.2承包方负责承包业务范围的安全生产、环境保护、职业健康等所有管理事务，并接受招标方的监督管理；</w:t>
      </w:r>
    </w:p>
    <w:p w14:paraId="1E125BFC">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.3招标方定期组织对承包方进行评审，严格监控承包方的履约能力，确保其提供的服务达到相关要求；</w:t>
      </w:r>
    </w:p>
    <w:p w14:paraId="53017A6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.4承包方应建立应急预案，确保生产正常进行；</w:t>
      </w:r>
    </w:p>
    <w:p w14:paraId="6BD9ADBF">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.5承包方如无法满足生产任务要求或出现重大风险事件的，公司可要求解除合同；</w:t>
      </w:r>
    </w:p>
    <w:p w14:paraId="6C5CF91E">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.6合同期内双方解除合同需提前30日以上书面通知对方，经双方友好协商办理解除合同手续；</w:t>
      </w:r>
    </w:p>
    <w:p w14:paraId="1841FA52">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.7本项目严禁转包行为，如发现转包行为，公司可终止合同，承包方将承担一切损失及相关法律责任；</w:t>
      </w:r>
    </w:p>
    <w:p w14:paraId="297112F5">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.8严格限制分包，中标后不准分包，否则公司可终止合同，承包方将承担一切损失及相关法律责任；</w:t>
      </w:r>
    </w:p>
    <w:p w14:paraId="60EBB1DD">
      <w:pPr>
        <w:spacing w:line="360" w:lineRule="auto"/>
        <w:ind w:firstLine="420" w:firstLineChars="200"/>
        <w:rPr>
          <w:rFonts w:ascii="宋体" w:hAnsi="Courier New"/>
          <w:highlight w:val="none"/>
        </w:rPr>
      </w:pPr>
      <w:r>
        <w:rPr>
          <w:rFonts w:hint="eastAsia" w:ascii="宋体" w:hAnsi="Courier New"/>
          <w:highlight w:val="none"/>
          <w:lang w:val="en-US" w:eastAsia="zh-CN"/>
        </w:rPr>
        <w:t>7.9</w:t>
      </w:r>
      <w:r>
        <w:rPr>
          <w:rFonts w:hint="eastAsia" w:ascii="宋体" w:hAnsi="Courier New"/>
          <w:highlight w:val="none"/>
        </w:rPr>
        <w:t>中标方需承诺人员到齐时间，招标人需求为一周内到齐。</w:t>
      </w:r>
      <w:r>
        <w:rPr>
          <w:rFonts w:ascii="宋体" w:hAnsi="Courier New"/>
          <w:highlight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14:paraId="1CCC69D2">
      <w:pPr>
        <w:pStyle w:val="2"/>
        <w:bidi w:val="0"/>
        <w:rPr>
          <w:rFonts w:hint="eastAsia"/>
        </w:rPr>
      </w:pPr>
      <w:bookmarkStart w:id="12" w:name="_Toc668"/>
      <w:r>
        <w:rPr>
          <w:rFonts w:hint="eastAsia"/>
          <w:lang w:val="en-US" w:eastAsia="zh-CN"/>
        </w:rPr>
        <w:t>八</w:t>
      </w:r>
      <w:r>
        <w:rPr>
          <w:rFonts w:hint="eastAsia"/>
        </w:rPr>
        <w:t>、投标、开标、评标</w:t>
      </w:r>
      <w:bookmarkEnd w:id="12"/>
    </w:p>
    <w:p w14:paraId="1A6E4264">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投标文件的澄清</w:t>
      </w:r>
    </w:p>
    <w:p w14:paraId="4BDFF529">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6A53DCF2">
      <w:pPr>
        <w:pStyle w:val="9"/>
        <w:spacing w:line="360" w:lineRule="auto"/>
        <w:ind w:firstLine="420" w:firstLineChars="200"/>
        <w:rPr>
          <w:rFonts w:hint="default" w:hAnsi="宋体" w:eastAsia="宋体" w:cs="宋体"/>
          <w:sz w:val="21"/>
          <w:szCs w:val="21"/>
          <w:highlight w:val="none"/>
          <w:lang w:val="en-US" w:eastAsia="zh-CN"/>
        </w:rPr>
      </w:pPr>
      <w:r>
        <w:rPr>
          <w:rFonts w:hint="eastAsia" w:hAnsi="宋体" w:cs="宋体"/>
          <w:sz w:val="21"/>
          <w:szCs w:val="21"/>
          <w:highlight w:val="none"/>
          <w:lang w:val="en-US" w:eastAsia="zh-CN"/>
        </w:rPr>
        <w:t>1</w:t>
      </w:r>
      <w:r>
        <w:rPr>
          <w:rFonts w:hint="eastAsia" w:ascii="宋体" w:hAnsi="宋体" w:eastAsia="宋体" w:cs="宋体"/>
          <w:sz w:val="21"/>
          <w:szCs w:val="21"/>
          <w:highlight w:val="none"/>
        </w:rPr>
        <w:t>.</w:t>
      </w:r>
      <w:r>
        <w:rPr>
          <w:rFonts w:hint="eastAsia" w:hAnsi="宋体" w:cs="宋体"/>
          <w:sz w:val="21"/>
          <w:szCs w:val="21"/>
          <w:highlight w:val="none"/>
          <w:lang w:val="en-US" w:eastAsia="zh-CN"/>
        </w:rPr>
        <w:t>2</w:t>
      </w:r>
      <w:r>
        <w:rPr>
          <w:rFonts w:hint="eastAsia" w:ascii="宋体" w:hAnsi="宋体" w:eastAsia="宋体" w:cs="宋体"/>
          <w:sz w:val="21"/>
          <w:szCs w:val="21"/>
          <w:highlight w:val="none"/>
        </w:rPr>
        <w:t>评标工作由招标人为该项目依法组织的、由三人及以上单数成员（视标的额大小按规定确定专家人数）组成的评标专家小组负责，参照以下评分标准，采用</w:t>
      </w:r>
      <w:r>
        <w:rPr>
          <w:rFonts w:hint="eastAsia" w:hAnsi="宋体" w:cs="宋体"/>
          <w:sz w:val="21"/>
          <w:szCs w:val="21"/>
          <w:highlight w:val="none"/>
          <w:lang w:val="en-US" w:eastAsia="zh-CN"/>
        </w:rPr>
        <w:t>合理最低价中标</w:t>
      </w:r>
      <w:r>
        <w:rPr>
          <w:rFonts w:hint="eastAsia" w:ascii="宋体" w:hAnsi="宋体" w:eastAsia="宋体" w:cs="宋体"/>
          <w:sz w:val="21"/>
          <w:szCs w:val="21"/>
          <w:highlight w:val="none"/>
        </w:rPr>
        <w:t>，</w:t>
      </w:r>
      <w:r>
        <w:rPr>
          <w:rFonts w:hint="eastAsia" w:cs="Times New Roman"/>
          <w:b w:val="0"/>
          <w:bCs/>
          <w:highlight w:val="none"/>
          <w:u w:val="none"/>
          <w:lang w:val="en-US" w:eastAsia="zh-CN"/>
        </w:rPr>
        <w:t>本着公平、公正、公开的原则，选择合理最低价确定中标人，对未中标单位不做任何解释。</w:t>
      </w:r>
    </w:p>
    <w:p w14:paraId="1D8D3683">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hAnsi="宋体" w:cs="宋体"/>
          <w:sz w:val="21"/>
          <w:szCs w:val="21"/>
          <w:highlight w:val="none"/>
          <w:lang w:val="en-US" w:eastAsia="zh-CN"/>
        </w:rPr>
        <w:t>、</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1C48C83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技术标评审：技术标评标专家组，通过重汽e采通，对各投标人的《投标文件（技术标）》进行评审；评审期间产生的技术澄清均由投标人在重汽e采通平台内完成提交；评审合格的单位进入商务标评审环节，</w:t>
      </w:r>
      <w:r>
        <w:rPr>
          <w:rFonts w:hint="eastAsia" w:ascii="宋体" w:hAnsi="宋体" w:eastAsia="宋体" w:cs="宋体"/>
          <w:sz w:val="21"/>
          <w:szCs w:val="21"/>
          <w:highlight w:val="yellow"/>
        </w:rPr>
        <w:t>评审不合格的单位被淘汰</w:t>
      </w:r>
      <w:r>
        <w:rPr>
          <w:rFonts w:hint="eastAsia" w:hAnsi="宋体" w:cs="宋体"/>
          <w:sz w:val="21"/>
          <w:szCs w:val="21"/>
          <w:highlight w:val="yellow"/>
          <w:lang w:eastAsia="zh-CN"/>
        </w:rPr>
        <w:t>（</w:t>
      </w:r>
      <w:r>
        <w:rPr>
          <w:rFonts w:hint="eastAsia" w:hAnsi="宋体" w:cs="宋体"/>
          <w:sz w:val="21"/>
          <w:szCs w:val="21"/>
          <w:highlight w:val="yellow"/>
          <w:lang w:val="en-US" w:eastAsia="zh-CN"/>
        </w:rPr>
        <w:t>技术标得分低于80分</w:t>
      </w:r>
      <w:r>
        <w:rPr>
          <w:rFonts w:hint="eastAsia" w:hAnsi="宋体" w:cs="宋体"/>
          <w:sz w:val="21"/>
          <w:szCs w:val="21"/>
          <w:highlight w:val="yellow"/>
          <w:lang w:eastAsia="zh-CN"/>
        </w:rPr>
        <w:t>）</w:t>
      </w:r>
      <w:r>
        <w:rPr>
          <w:rFonts w:hint="eastAsia" w:ascii="宋体" w:hAnsi="宋体" w:eastAsia="宋体" w:cs="宋体"/>
          <w:sz w:val="21"/>
          <w:szCs w:val="21"/>
          <w:highlight w:val="none"/>
        </w:rPr>
        <w:t>；具体</w:t>
      </w:r>
      <w:r>
        <w:rPr>
          <w:rFonts w:hint="eastAsia" w:ascii="宋体" w:hAnsi="宋体" w:eastAsia="宋体" w:cs="宋体"/>
          <w:sz w:val="21"/>
          <w:szCs w:val="21"/>
          <w:highlight w:val="none"/>
          <w:lang w:val="en-US" w:eastAsia="zh-CN"/>
        </w:rPr>
        <w:t>见</w:t>
      </w:r>
      <w:r>
        <w:rPr>
          <w:rFonts w:hint="eastAsia" w:ascii="宋体" w:hAnsi="宋体" w:eastAsia="宋体" w:cs="宋体"/>
          <w:sz w:val="21"/>
          <w:szCs w:val="21"/>
          <w:highlight w:val="none"/>
        </w:rPr>
        <w:t>技术标评分标准；</w:t>
      </w:r>
    </w:p>
    <w:p w14:paraId="5695F458">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1C9470DF">
      <w:pPr>
        <w:pStyle w:val="9"/>
        <w:spacing w:line="360" w:lineRule="auto"/>
        <w:ind w:firstLine="420" w:firstLineChars="200"/>
        <w:rPr>
          <w:rFonts w:hint="eastAsia" w:ascii="宋体" w:hAnsi="宋体" w:eastAsia="宋体" w:cs="宋体"/>
          <w:sz w:val="21"/>
          <w:szCs w:val="21"/>
          <w:highlight w:val="none"/>
        </w:rPr>
      </w:pPr>
      <w:r>
        <w:rPr>
          <w:rFonts w:hint="eastAsia" w:hAnsi="宋体" w:cs="宋体"/>
          <w:sz w:val="21"/>
          <w:szCs w:val="21"/>
          <w:highlight w:val="none"/>
          <w:lang w:val="en-US" w:eastAsia="zh-CN"/>
        </w:rPr>
        <w:t>2.2</w:t>
      </w:r>
      <w:r>
        <w:rPr>
          <w:rFonts w:hint="eastAsia" w:ascii="宋体" w:hAnsi="宋体" w:eastAsia="宋体" w:cs="宋体"/>
          <w:sz w:val="21"/>
          <w:szCs w:val="21"/>
          <w:highlight w:val="none"/>
        </w:rPr>
        <w:t>商务标评审：商务条款相应确认→价格澄清→商务标评审；评审期间产生的商务价格澄清均由投标人在重汽e采通平台限时内完成提交；</w:t>
      </w:r>
    </w:p>
    <w:p w14:paraId="146793B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6C67871A">
      <w:pPr>
        <w:pStyle w:val="14"/>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评分标准</w:t>
      </w:r>
    </w:p>
    <w:p w14:paraId="0FA46050">
      <w:pPr>
        <w:pStyle w:val="14"/>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3B7E3568">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.2</w:t>
      </w:r>
      <w:r>
        <w:rPr>
          <w:rFonts w:hint="eastAsia" w:ascii="宋体" w:hAnsi="宋体" w:eastAsia="宋体" w:cs="宋体"/>
          <w:kern w:val="2"/>
          <w:sz w:val="21"/>
          <w:szCs w:val="21"/>
          <w:highlight w:val="none"/>
          <w:lang w:val="en-US" w:eastAsia="zh-CN" w:bidi="ar"/>
        </w:rPr>
        <w:t>技术标开标，商务标开标</w:t>
      </w:r>
      <w:r>
        <w:rPr>
          <w:rFonts w:hint="eastAsia" w:ascii="宋体" w:hAnsi="宋体" w:cs="宋体"/>
          <w:kern w:val="2"/>
          <w:sz w:val="21"/>
          <w:szCs w:val="21"/>
          <w:highlight w:val="none"/>
          <w:lang w:val="en-US" w:eastAsia="zh-CN" w:bidi="ar"/>
        </w:rPr>
        <w:t>，</w:t>
      </w:r>
      <w:r>
        <w:rPr>
          <w:rFonts w:hint="eastAsia" w:ascii="宋体" w:hAnsi="宋体" w:eastAsia="宋体" w:cs="宋体"/>
          <w:kern w:val="2"/>
          <w:sz w:val="21"/>
          <w:szCs w:val="21"/>
          <w:highlight w:val="none"/>
          <w:lang w:val="en-US" w:eastAsia="zh-CN" w:bidi="ar"/>
        </w:rPr>
        <w:t>专家审核推荐入围单位</w:t>
      </w:r>
      <w:r>
        <w:rPr>
          <w:rFonts w:hint="eastAsia" w:hAnsi="宋体" w:eastAsia="宋体" w:cs="宋体"/>
          <w:sz w:val="21"/>
          <w:szCs w:val="21"/>
          <w:highlight w:val="none"/>
          <w:lang w:eastAsia="zh-CN"/>
        </w:rPr>
        <w:t>。</w:t>
      </w:r>
    </w:p>
    <w:p w14:paraId="5B84EC09">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报主管领导审核。</w:t>
      </w:r>
    </w:p>
    <w:p w14:paraId="348EA69B">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b/>
          <w:bCs/>
          <w:sz w:val="24"/>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本次招标评价分为技术标和商务标，技术标总赋分为100分。</w:t>
      </w:r>
    </w:p>
    <w:tbl>
      <w:tblPr>
        <w:tblStyle w:val="15"/>
        <w:tblW w:w="0" w:type="auto"/>
        <w:tblInd w:w="0" w:type="dxa"/>
        <w:tblLayout w:type="fixed"/>
        <w:tblCellMar>
          <w:top w:w="15" w:type="dxa"/>
          <w:left w:w="15" w:type="dxa"/>
          <w:bottom w:w="15" w:type="dxa"/>
          <w:right w:w="15" w:type="dxa"/>
        </w:tblCellMar>
      </w:tblPr>
      <w:tblGrid>
        <w:gridCol w:w="684"/>
        <w:gridCol w:w="780"/>
        <w:gridCol w:w="1515"/>
        <w:gridCol w:w="5783"/>
      </w:tblGrid>
      <w:tr w14:paraId="25397903">
        <w:tblPrEx>
          <w:tblCellMar>
            <w:top w:w="15" w:type="dxa"/>
            <w:left w:w="15" w:type="dxa"/>
            <w:bottom w:w="15" w:type="dxa"/>
            <w:right w:w="15" w:type="dxa"/>
          </w:tblCellMar>
        </w:tblPrEx>
        <w:trPr>
          <w:trHeight w:val="29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7F51C6D5">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序号</w:t>
            </w:r>
          </w:p>
        </w:tc>
        <w:tc>
          <w:tcPr>
            <w:tcW w:w="8078" w:type="dxa"/>
            <w:gridSpan w:val="3"/>
            <w:tcBorders>
              <w:top w:val="single" w:color="000000" w:sz="4" w:space="0"/>
              <w:left w:val="single" w:color="000000" w:sz="4" w:space="0"/>
              <w:bottom w:val="single" w:color="000000" w:sz="4" w:space="0"/>
              <w:right w:val="single" w:color="000000" w:sz="4" w:space="0"/>
            </w:tcBorders>
            <w:noWrap w:val="0"/>
            <w:vAlign w:val="center"/>
          </w:tcPr>
          <w:p w14:paraId="699839F1">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评审内容（100分）</w:t>
            </w:r>
          </w:p>
        </w:tc>
      </w:tr>
      <w:tr w14:paraId="69DF6BBF">
        <w:tblPrEx>
          <w:tblCellMar>
            <w:top w:w="15" w:type="dxa"/>
            <w:left w:w="15" w:type="dxa"/>
            <w:bottom w:w="15" w:type="dxa"/>
            <w:right w:w="15" w:type="dxa"/>
          </w:tblCellMar>
        </w:tblPrEx>
        <w:trPr>
          <w:trHeight w:val="671" w:hRule="atLeast"/>
        </w:trPr>
        <w:tc>
          <w:tcPr>
            <w:tcW w:w="68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53898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1</w:t>
            </w:r>
          </w:p>
        </w:tc>
        <w:tc>
          <w:tcPr>
            <w:tcW w:w="780" w:type="dxa"/>
            <w:vMerge w:val="restart"/>
            <w:tcBorders>
              <w:top w:val="single" w:color="000000" w:sz="4" w:space="0"/>
              <w:left w:val="single" w:color="000000" w:sz="4" w:space="0"/>
              <w:bottom w:val="single" w:color="000000" w:sz="4" w:space="0"/>
              <w:right w:val="single" w:color="000000" w:sz="4" w:space="0"/>
            </w:tcBorders>
            <w:noWrap w:val="0"/>
            <w:vAlign w:val="center"/>
          </w:tcPr>
          <w:p w14:paraId="645D3DCE">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技术标（</w:t>
            </w:r>
            <w:r>
              <w:rPr>
                <w:rFonts w:hint="eastAsia" w:ascii="宋体" w:hAnsi="宋体" w:cs="宋体"/>
                <w:color w:val="000000"/>
                <w:kern w:val="0"/>
                <w:sz w:val="20"/>
                <w:highlight w:val="none"/>
                <w:lang w:val="en-US" w:eastAsia="zh-CN" w:bidi="ar"/>
              </w:rPr>
              <w:t>100</w:t>
            </w:r>
            <w:r>
              <w:rPr>
                <w:rFonts w:hint="eastAsia" w:ascii="宋体" w:hAnsi="宋体" w:cs="宋体"/>
                <w:color w:val="000000"/>
                <w:kern w:val="0"/>
                <w:sz w:val="20"/>
                <w:highlight w:val="none"/>
                <w:lang w:bidi="ar"/>
              </w:rPr>
              <w:t>分)</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7C2C49A">
            <w:pPr>
              <w:widowControl/>
              <w:jc w:val="center"/>
              <w:textAlignment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highlight w:val="none"/>
                <w:lang w:bidi="ar"/>
              </w:rPr>
              <w:t>技术方案部分</w:t>
            </w:r>
          </w:p>
          <w:p w14:paraId="61C6BDE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w:t>
            </w:r>
            <w:r>
              <w:rPr>
                <w:rFonts w:hint="eastAsia" w:ascii="宋体" w:hAnsi="宋体" w:eastAsia="宋体" w:cs="宋体"/>
                <w:color w:val="000000"/>
                <w:kern w:val="0"/>
                <w:sz w:val="20"/>
                <w:szCs w:val="20"/>
                <w:highlight w:val="none"/>
                <w:lang w:val="en-US" w:eastAsia="zh-CN" w:bidi="ar"/>
              </w:rPr>
              <w:t>70</w:t>
            </w:r>
            <w:r>
              <w:rPr>
                <w:rFonts w:hint="eastAsia" w:ascii="宋体" w:hAnsi="宋体" w:eastAsia="宋体" w:cs="宋体"/>
                <w:color w:val="000000"/>
                <w:kern w:val="0"/>
                <w:sz w:val="20"/>
                <w:szCs w:val="20"/>
                <w:highlight w:val="none"/>
                <w:lang w:bidi="ar"/>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75B7A46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本单位业务能力及服务质量保证能力的情况描述。</w:t>
            </w:r>
            <w:r>
              <w:rPr>
                <w:rFonts w:hint="eastAsia" w:ascii="宋体" w:hAnsi="宋体" w:eastAsia="宋体" w:cs="宋体"/>
                <w:sz w:val="20"/>
                <w:szCs w:val="20"/>
                <w:highlight w:val="none"/>
              </w:rPr>
              <w:t>依据投标方所承诺的、能够为本招标项目所配备的、包含但不限于各种设备、人员、工具和服务支持及保证生产节拍和质量稳定的情况予以赋分</w:t>
            </w:r>
            <w:r>
              <w:rPr>
                <w:rFonts w:hint="eastAsia" w:ascii="宋体" w:hAnsi="宋体" w:eastAsia="宋体" w:cs="宋体"/>
                <w:color w:val="000000"/>
                <w:sz w:val="20"/>
                <w:szCs w:val="20"/>
                <w:highlight w:val="none"/>
              </w:rPr>
              <w:t>。优</w:t>
            </w:r>
            <w:r>
              <w:rPr>
                <w:rFonts w:hint="eastAsia" w:ascii="宋体" w:hAnsi="宋体" w:eastAsia="宋体" w:cs="宋体"/>
                <w:color w:val="000000"/>
                <w:sz w:val="20"/>
                <w:szCs w:val="20"/>
                <w:highlight w:val="none"/>
                <w:lang w:val="en-US" w:eastAsia="zh-CN"/>
              </w:rPr>
              <w:t>56</w:t>
            </w: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7</w:t>
            </w:r>
            <w:r>
              <w:rPr>
                <w:rFonts w:hint="eastAsia" w:ascii="宋体" w:hAnsi="宋体" w:eastAsia="宋体" w:cs="宋体"/>
                <w:color w:val="000000"/>
                <w:sz w:val="20"/>
                <w:szCs w:val="20"/>
                <w:highlight w:val="none"/>
              </w:rPr>
              <w:t>0分，良</w:t>
            </w:r>
            <w:r>
              <w:rPr>
                <w:rFonts w:hint="eastAsia" w:ascii="宋体" w:hAnsi="宋体" w:eastAsia="宋体" w:cs="宋体"/>
                <w:color w:val="000000"/>
                <w:sz w:val="20"/>
                <w:szCs w:val="20"/>
                <w:highlight w:val="none"/>
                <w:lang w:val="en-US" w:eastAsia="zh-CN"/>
              </w:rPr>
              <w:t>4</w:t>
            </w:r>
            <w:r>
              <w:rPr>
                <w:rFonts w:hint="eastAsia" w:ascii="宋体" w:hAnsi="宋体" w:eastAsia="宋体" w:cs="宋体"/>
                <w:color w:val="000000"/>
                <w:sz w:val="20"/>
                <w:szCs w:val="20"/>
                <w:highlight w:val="none"/>
              </w:rPr>
              <w:t>1-</w:t>
            </w:r>
            <w:r>
              <w:rPr>
                <w:rFonts w:hint="eastAsia" w:ascii="宋体" w:hAnsi="宋体" w:eastAsia="宋体" w:cs="宋体"/>
                <w:color w:val="000000"/>
                <w:sz w:val="20"/>
                <w:szCs w:val="20"/>
                <w:highlight w:val="none"/>
                <w:lang w:val="en-US" w:eastAsia="zh-CN"/>
              </w:rPr>
              <w:t>55</w:t>
            </w:r>
            <w:r>
              <w:rPr>
                <w:rFonts w:hint="eastAsia" w:ascii="宋体" w:hAnsi="宋体" w:eastAsia="宋体" w:cs="宋体"/>
                <w:color w:val="000000"/>
                <w:sz w:val="20"/>
                <w:szCs w:val="20"/>
                <w:highlight w:val="none"/>
              </w:rPr>
              <w:t>分，一般1-</w:t>
            </w:r>
            <w:r>
              <w:rPr>
                <w:rFonts w:hint="eastAsia" w:ascii="宋体" w:hAnsi="宋体" w:eastAsia="宋体" w:cs="宋体"/>
                <w:color w:val="000000"/>
                <w:sz w:val="20"/>
                <w:szCs w:val="20"/>
                <w:highlight w:val="none"/>
                <w:lang w:val="en-US" w:eastAsia="zh-CN"/>
              </w:rPr>
              <w:t>40</w:t>
            </w:r>
            <w:r>
              <w:rPr>
                <w:rFonts w:hint="eastAsia" w:ascii="宋体" w:hAnsi="宋体" w:eastAsia="宋体" w:cs="宋体"/>
                <w:color w:val="000000"/>
                <w:sz w:val="20"/>
                <w:szCs w:val="20"/>
                <w:highlight w:val="none"/>
              </w:rPr>
              <w:t>分。</w:t>
            </w:r>
          </w:p>
        </w:tc>
      </w:tr>
      <w:tr w14:paraId="19BB47A7">
        <w:tblPrEx>
          <w:tblCellMar>
            <w:top w:w="15" w:type="dxa"/>
            <w:left w:w="15" w:type="dxa"/>
            <w:bottom w:w="15" w:type="dxa"/>
            <w:right w:w="15" w:type="dxa"/>
          </w:tblCellMar>
        </w:tblPrEx>
        <w:trPr>
          <w:trHeight w:val="96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492B06">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0C7E7">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9ACB4E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资信情况和履约能力</w:t>
            </w:r>
          </w:p>
          <w:p w14:paraId="6E9ABF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2B478D8B">
            <w:pPr>
              <w:widowControl/>
              <w:jc w:val="left"/>
              <w:textAlignment w:val="center"/>
              <w:rPr>
                <w:rFonts w:hint="eastAsia"/>
              </w:rPr>
            </w:pPr>
            <w:r>
              <w:rPr>
                <w:rFonts w:hint="eastAsia" w:ascii="宋体" w:hAnsi="宋体" w:eastAsia="宋体" w:cs="宋体"/>
                <w:color w:val="000000"/>
                <w:sz w:val="20"/>
                <w:szCs w:val="20"/>
                <w:highlight w:val="none"/>
              </w:rPr>
              <w:t>视投标人的综合实力、资质、企业信誉认证情况、第三方独立评估机构出具的资信等级情况、财务状况履约能力情况。</w:t>
            </w:r>
            <w:r>
              <w:rPr>
                <w:rFonts w:hint="eastAsia" w:ascii="宋体" w:hAnsi="宋体" w:eastAsia="宋体" w:cs="宋体"/>
                <w:sz w:val="20"/>
                <w:szCs w:val="20"/>
                <w:highlight w:val="none"/>
              </w:rPr>
              <w:t>依据企业人员、规模、资质、经营状况、技术力量及设施设备等综和能力</w:t>
            </w:r>
            <w:r>
              <w:rPr>
                <w:rFonts w:hint="eastAsia" w:ascii="宋体" w:hAnsi="宋体" w:cs="宋体"/>
                <w:sz w:val="20"/>
                <w:szCs w:val="20"/>
                <w:highlight w:val="none"/>
                <w:lang w:val="en-US" w:eastAsia="zh-CN"/>
              </w:rPr>
              <w:t>赋分满分4分。</w:t>
            </w:r>
            <w:r>
              <w:rPr>
                <w:rFonts w:hint="eastAsia" w:ascii="宋体" w:hAnsi="宋体" w:eastAsia="宋体" w:cs="宋体"/>
                <w:sz w:val="20"/>
                <w:szCs w:val="20"/>
                <w:highlight w:val="none"/>
              </w:rPr>
              <w:t>企业注册资本金达到500 万元得</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分，每增加100万元加</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分，最多加</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分；近三年营收情况等内容，根据财务报表情况，酌情得分，最多得</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w:t>
            </w:r>
            <w:r>
              <w:rPr>
                <w:rFonts w:hint="eastAsia" w:ascii="宋体" w:hAnsi="宋体" w:eastAsia="宋体" w:cs="宋体"/>
                <w:color w:val="000000"/>
                <w:sz w:val="20"/>
                <w:szCs w:val="20"/>
                <w:highlight w:val="none"/>
              </w:rPr>
              <w:t>。</w:t>
            </w:r>
          </w:p>
        </w:tc>
      </w:tr>
      <w:tr w14:paraId="11BFE270">
        <w:tblPrEx>
          <w:tblCellMar>
            <w:top w:w="15" w:type="dxa"/>
            <w:left w:w="15" w:type="dxa"/>
            <w:bottom w:w="15" w:type="dxa"/>
            <w:right w:w="15" w:type="dxa"/>
          </w:tblCellMar>
        </w:tblPrEx>
        <w:trPr>
          <w:trHeight w:val="515"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036E2C">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51ABE6">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093EFD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类似业绩</w:t>
            </w:r>
          </w:p>
          <w:p w14:paraId="2975ADB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6AEFABD6">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根据投标人近3年同类项目业绩数量进行评分，每项业绩</w:t>
            </w:r>
            <w:r>
              <w:rPr>
                <w:rFonts w:hint="eastAsia" w:ascii="宋体" w:hAnsi="宋体" w:cs="宋体"/>
                <w:color w:val="000000"/>
                <w:sz w:val="20"/>
                <w:szCs w:val="20"/>
                <w:highlight w:val="none"/>
                <w:lang w:val="en-US" w:eastAsia="zh-CN"/>
              </w:rPr>
              <w:t>2.5</w:t>
            </w:r>
            <w:r>
              <w:rPr>
                <w:rFonts w:hint="eastAsia" w:ascii="宋体" w:hAnsi="宋体" w:eastAsia="宋体" w:cs="宋体"/>
                <w:color w:val="000000"/>
                <w:sz w:val="20"/>
                <w:szCs w:val="20"/>
                <w:highlight w:val="none"/>
              </w:rPr>
              <w:t>分，最高</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分，以合同为准。</w:t>
            </w:r>
          </w:p>
        </w:tc>
      </w:tr>
      <w:tr w14:paraId="5174914E">
        <w:tblPrEx>
          <w:tblCellMar>
            <w:top w:w="15" w:type="dxa"/>
            <w:left w:w="15" w:type="dxa"/>
            <w:bottom w:w="15" w:type="dxa"/>
            <w:right w:w="15" w:type="dxa"/>
          </w:tblCellMar>
        </w:tblPrEx>
        <w:trPr>
          <w:trHeight w:val="93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EF2D8">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AA1F7F">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1D143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标书编制及对招标文件的响应情况（</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7A76432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内容完整齐全，反正面打印，对招标文件响应程度、制作精美等情况得0-</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r>
      <w:tr w14:paraId="344F842A">
        <w:tblPrEx>
          <w:tblCellMar>
            <w:top w:w="15" w:type="dxa"/>
            <w:left w:w="15" w:type="dxa"/>
            <w:bottom w:w="15" w:type="dxa"/>
            <w:right w:w="15" w:type="dxa"/>
          </w:tblCellMar>
        </w:tblPrEx>
        <w:trPr>
          <w:trHeight w:val="1951"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4C87B2F">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1634D8F">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商务标</w:t>
            </w:r>
          </w:p>
        </w:tc>
        <w:tc>
          <w:tcPr>
            <w:tcW w:w="7298" w:type="dxa"/>
            <w:gridSpan w:val="2"/>
            <w:tcBorders>
              <w:top w:val="single" w:color="000000" w:sz="4" w:space="0"/>
              <w:left w:val="single" w:color="000000" w:sz="4" w:space="0"/>
              <w:bottom w:val="single" w:color="000000" w:sz="4" w:space="0"/>
              <w:right w:val="single" w:color="000000" w:sz="4" w:space="0"/>
            </w:tcBorders>
            <w:noWrap w:val="0"/>
            <w:vAlign w:val="center"/>
          </w:tcPr>
          <w:p w14:paraId="385E35A1">
            <w:pPr>
              <w:widowControl/>
              <w:jc w:val="left"/>
              <w:textAlignment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bidi="ar"/>
              </w:rPr>
              <w:t>1.经初审合格的投标文件其投标报价为有效报价。</w:t>
            </w:r>
            <w:r>
              <w:rPr>
                <w:rFonts w:hint="eastAsia" w:ascii="宋体" w:hAnsi="宋体" w:eastAsia="宋体" w:cs="宋体"/>
                <w:color w:val="000000"/>
                <w:kern w:val="0"/>
                <w:sz w:val="20"/>
                <w:szCs w:val="20"/>
                <w:highlight w:val="none"/>
                <w:lang w:val="en-US" w:eastAsia="zh-CN" w:bidi="ar"/>
              </w:rPr>
              <w:t>多轮谈判合理最低价中标。</w:t>
            </w:r>
          </w:p>
          <w:p w14:paraId="0A0C6D22">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val="en-US" w:eastAsia="zh-CN" w:bidi="ar"/>
              </w:rPr>
              <w:t>2</w:t>
            </w:r>
            <w:r>
              <w:rPr>
                <w:rFonts w:hint="eastAsia" w:ascii="宋体" w:hAnsi="宋体" w:eastAsia="宋体" w:cs="宋体"/>
                <w:color w:val="000000"/>
                <w:kern w:val="0"/>
                <w:sz w:val="20"/>
                <w:szCs w:val="20"/>
                <w:highlight w:val="none"/>
                <w:lang w:bidi="ar"/>
              </w:rPr>
              <w:t>.百分率、得分值小数点后保留二位，第三位四舍五入。</w:t>
            </w:r>
          </w:p>
        </w:tc>
      </w:tr>
    </w:tbl>
    <w:p w14:paraId="55F64104">
      <w:pPr>
        <w:pStyle w:val="9"/>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rPr>
        <w:t>投标保证金：</w:t>
      </w:r>
    </w:p>
    <w:p w14:paraId="6DC48EEA">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(1)投标人在</w:t>
      </w:r>
      <w:r>
        <w:rPr>
          <w:rFonts w:hint="default" w:ascii="宋体" w:hAnsi="宋体" w:eastAsia="宋体" w:cs="宋体"/>
          <w:sz w:val="21"/>
          <w:szCs w:val="21"/>
          <w:highlight w:val="none"/>
          <w:lang w:val="en-US" w:eastAsia="zh-CN"/>
        </w:rPr>
        <w:t>开标前三天</w:t>
      </w:r>
      <w:r>
        <w:rPr>
          <w:rFonts w:hint="default" w:ascii="宋体" w:hAnsi="宋体" w:eastAsia="宋体" w:cs="宋体"/>
          <w:sz w:val="21"/>
          <w:szCs w:val="21"/>
          <w:highlight w:val="none"/>
        </w:rPr>
        <w:t>向招标人财务部门缴纳</w:t>
      </w:r>
      <w:r>
        <w:rPr>
          <w:rFonts w:hint="default" w:ascii="宋体" w:hAnsi="宋体" w:eastAsia="宋体" w:cs="宋体"/>
          <w:sz w:val="21"/>
          <w:szCs w:val="21"/>
          <w:highlight w:val="none"/>
          <w:lang w:val="en-US" w:eastAsia="zh-CN"/>
        </w:rPr>
        <w:t>20000</w:t>
      </w:r>
      <w:r>
        <w:rPr>
          <w:rFonts w:hint="eastAsia" w:hAnsi="宋体" w:cs="宋体"/>
          <w:sz w:val="21"/>
          <w:szCs w:val="21"/>
          <w:highlight w:val="none"/>
          <w:lang w:val="en-US" w:eastAsia="zh-CN"/>
        </w:rPr>
        <w:t>0</w:t>
      </w:r>
      <w:r>
        <w:rPr>
          <w:rFonts w:hint="default" w:ascii="宋体" w:hAnsi="宋体" w:eastAsia="宋体" w:cs="宋体"/>
          <w:sz w:val="21"/>
          <w:szCs w:val="21"/>
          <w:highlight w:val="none"/>
          <w:lang w:val="en-US" w:eastAsia="zh-CN"/>
        </w:rPr>
        <w:t>元（</w:t>
      </w:r>
      <w:r>
        <w:rPr>
          <w:rFonts w:hint="eastAsia" w:ascii="宋体" w:hAnsi="宋体" w:eastAsia="宋体" w:cs="宋体"/>
          <w:sz w:val="21"/>
          <w:szCs w:val="21"/>
          <w:highlight w:val="none"/>
          <w:lang w:val="en-US" w:eastAsia="zh-CN"/>
        </w:rPr>
        <w:t>贰</w:t>
      </w:r>
      <w:r>
        <w:rPr>
          <w:rFonts w:hint="eastAsia" w:hAnsi="宋体" w:cs="宋体"/>
          <w:sz w:val="21"/>
          <w:szCs w:val="21"/>
          <w:highlight w:val="none"/>
          <w:lang w:val="en-US" w:eastAsia="zh-CN"/>
        </w:rPr>
        <w:t>拾</w:t>
      </w:r>
      <w:r>
        <w:rPr>
          <w:rFonts w:hint="eastAsia" w:ascii="宋体" w:hAnsi="宋体" w:eastAsia="宋体" w:cs="宋体"/>
          <w:sz w:val="21"/>
          <w:szCs w:val="21"/>
          <w:highlight w:val="none"/>
          <w:lang w:val="en-US" w:eastAsia="zh-CN"/>
        </w:rPr>
        <w:t>万元整</w:t>
      </w:r>
      <w:r>
        <w:rPr>
          <w:rFonts w:hint="default" w:ascii="宋体" w:hAnsi="宋体" w:eastAsia="宋体" w:cs="宋体"/>
          <w:sz w:val="21"/>
          <w:szCs w:val="21"/>
          <w:highlight w:val="none"/>
          <w:lang w:val="en-US" w:eastAsia="zh-CN"/>
        </w:rPr>
        <w:t>，人民币）</w:t>
      </w:r>
      <w:r>
        <w:rPr>
          <w:rFonts w:hint="default" w:ascii="宋体" w:hAnsi="宋体" w:eastAsia="宋体" w:cs="宋体"/>
          <w:sz w:val="21"/>
          <w:szCs w:val="21"/>
          <w:highlight w:val="none"/>
        </w:rPr>
        <w:t>，作为投标人本次投标的保证金</w:t>
      </w:r>
      <w:r>
        <w:rPr>
          <w:rFonts w:hint="default" w:ascii="宋体" w:hAnsi="宋体" w:eastAsia="宋体" w:cs="宋体"/>
          <w:sz w:val="21"/>
          <w:szCs w:val="21"/>
          <w:highlight w:val="none"/>
          <w:lang w:eastAsia="zh-CN"/>
        </w:rPr>
        <w:t>。</w:t>
      </w:r>
      <w:r>
        <w:rPr>
          <w:rFonts w:hint="default" w:ascii="宋体" w:hAnsi="宋体" w:eastAsia="宋体" w:cs="宋体"/>
          <w:sz w:val="21"/>
          <w:szCs w:val="21"/>
          <w:highlight w:val="none"/>
          <w:lang w:val="en-US" w:eastAsia="zh-CN"/>
        </w:rPr>
        <w:t>且转账时留言备注“时间与投标项目全称”，以便于后续退还保证金</w:t>
      </w:r>
      <w:r>
        <w:rPr>
          <w:rFonts w:hint="default" w:ascii="宋体" w:hAnsi="宋体" w:eastAsia="宋体" w:cs="宋体"/>
          <w:sz w:val="21"/>
          <w:szCs w:val="21"/>
          <w:highlight w:val="none"/>
        </w:rPr>
        <w:t>。</w:t>
      </w:r>
    </w:p>
    <w:p w14:paraId="71D9C7C4">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(2)缴纳方式：基本账户转账；</w:t>
      </w:r>
    </w:p>
    <w:p w14:paraId="301FF0E2">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(3)转账信息：</w:t>
      </w:r>
    </w:p>
    <w:tbl>
      <w:tblPr>
        <w:tblStyle w:val="16"/>
        <w:tblW w:w="0" w:type="auto"/>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8"/>
      </w:tblGrid>
      <w:tr w14:paraId="3DA5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187BE446">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账户名称：重汽（济南）车桥有限公司</w:t>
            </w:r>
          </w:p>
        </w:tc>
      </w:tr>
      <w:tr w14:paraId="0C0D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6CD9F0AE">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开户银行：浙商银行股份有限公司济南分行</w:t>
            </w:r>
          </w:p>
        </w:tc>
      </w:tr>
      <w:tr w14:paraId="4B87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049563F2">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银行账号：4510000010120100527995</w:t>
            </w:r>
          </w:p>
        </w:tc>
      </w:tr>
      <w:tr w14:paraId="7C19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4E253279">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行    号：316451000016</w:t>
            </w:r>
          </w:p>
        </w:tc>
      </w:tr>
    </w:tbl>
    <w:p w14:paraId="0F4F1834">
      <w:pPr>
        <w:pStyle w:val="2"/>
        <w:bidi w:val="0"/>
        <w:rPr>
          <w:rFonts w:hint="eastAsia"/>
        </w:rPr>
      </w:pPr>
      <w:bookmarkStart w:id="13" w:name="_Toc20773"/>
      <w:r>
        <w:rPr>
          <w:rFonts w:hint="eastAsia"/>
          <w:lang w:val="en-US" w:eastAsia="zh-CN"/>
        </w:rPr>
        <w:t>九</w:t>
      </w:r>
      <w:r>
        <w:rPr>
          <w:rFonts w:hint="eastAsia"/>
        </w:rPr>
        <w:t>、双方责任</w:t>
      </w:r>
      <w:bookmarkEnd w:id="13"/>
    </w:p>
    <w:p w14:paraId="2B06AD9F">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1招标方责任</w:t>
      </w:r>
    </w:p>
    <w:p w14:paraId="448C8BD3">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1</w:t>
      </w:r>
      <w:r>
        <w:rPr>
          <w:rFonts w:hint="eastAsia" w:ascii="宋体" w:hAnsi="宋体" w:eastAsia="宋体" w:cs="宋体"/>
          <w:szCs w:val="22"/>
          <w:highlight w:val="none"/>
        </w:rPr>
        <w:t>招标方负责按相关要求管理投标方队伍，按生产计划安排生产任务</w:t>
      </w:r>
      <w:r>
        <w:rPr>
          <w:rFonts w:hint="eastAsia" w:hAnsi="宋体" w:eastAsia="宋体" w:cs="宋体"/>
          <w:sz w:val="21"/>
          <w:szCs w:val="21"/>
          <w:highlight w:val="none"/>
          <w:lang w:eastAsia="zh-CN"/>
        </w:rPr>
        <w:t>。</w:t>
      </w:r>
    </w:p>
    <w:p w14:paraId="34C9E45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2</w:t>
      </w:r>
      <w:r>
        <w:rPr>
          <w:rFonts w:hint="eastAsia" w:ascii="宋体" w:hAnsi="宋体" w:eastAsia="宋体" w:cs="宋体"/>
          <w:szCs w:val="22"/>
          <w:highlight w:val="none"/>
        </w:rPr>
        <w:t>招标方有权对投标方队伍进行质量考核，以及对其它违反招标方管理制度、工艺纪律的情况进行考核。（详见《技术质量保证协议》）</w:t>
      </w:r>
      <w:r>
        <w:rPr>
          <w:rFonts w:hint="eastAsia" w:hAnsi="宋体" w:eastAsia="宋体" w:cs="宋体"/>
          <w:sz w:val="21"/>
          <w:szCs w:val="21"/>
          <w:highlight w:val="none"/>
          <w:lang w:eastAsia="zh-CN"/>
        </w:rPr>
        <w:t>。</w:t>
      </w:r>
    </w:p>
    <w:p w14:paraId="16724B9F">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2投标方责任</w:t>
      </w:r>
    </w:p>
    <w:p w14:paraId="7C3F6D2A">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2.1投标方有责任服从招标方外包管理车间的各项管理</w:t>
      </w:r>
      <w:r>
        <w:rPr>
          <w:rFonts w:hint="eastAsia" w:hAnsi="宋体" w:eastAsia="宋体" w:cs="宋体"/>
          <w:sz w:val="21"/>
          <w:szCs w:val="21"/>
          <w:highlight w:val="none"/>
          <w:lang w:eastAsia="zh-CN"/>
        </w:rPr>
        <w:t>。</w:t>
      </w:r>
    </w:p>
    <w:p w14:paraId="1959F974">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2.2投标方有责任按招标方的要求正确使用设备、工具</w:t>
      </w:r>
      <w:r>
        <w:rPr>
          <w:rFonts w:hint="eastAsia" w:hAnsi="宋体" w:eastAsia="宋体" w:cs="宋体"/>
          <w:sz w:val="21"/>
          <w:szCs w:val="21"/>
          <w:highlight w:val="none"/>
          <w:lang w:eastAsia="zh-CN"/>
        </w:rPr>
        <w:t>。</w:t>
      </w:r>
    </w:p>
    <w:p w14:paraId="726F89C8">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r>
        <w:rPr>
          <w:rFonts w:hint="eastAsia" w:hAnsi="宋体" w:eastAsia="宋体" w:cs="宋体"/>
          <w:sz w:val="21"/>
          <w:szCs w:val="21"/>
          <w:highlight w:val="none"/>
          <w:lang w:eastAsia="zh-CN"/>
        </w:rPr>
        <w:t>。</w:t>
      </w:r>
    </w:p>
    <w:p w14:paraId="50444F4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2.4投标方应严格按照工艺使用各种辅料、材料、劳保用品，未按规定使用从而造成成本浪费及质量问题的，投标方应负全部责任</w:t>
      </w:r>
      <w:r>
        <w:rPr>
          <w:rFonts w:hint="eastAsia" w:hAnsi="宋体" w:eastAsia="宋体" w:cs="宋体"/>
          <w:sz w:val="21"/>
          <w:szCs w:val="21"/>
          <w:highlight w:val="none"/>
          <w:lang w:eastAsia="zh-CN"/>
        </w:rPr>
        <w:t>。</w:t>
      </w:r>
    </w:p>
    <w:p w14:paraId="76EC030C">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2.5质量要求</w:t>
      </w:r>
    </w:p>
    <w:p w14:paraId="6B1AC01D">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2.5.1质量标准工艺及质量控制标准，执行双方会签的《技术质量保证协议》</w:t>
      </w:r>
      <w:r>
        <w:rPr>
          <w:rFonts w:hint="eastAsia" w:hAnsi="宋体" w:eastAsia="宋体" w:cs="宋体"/>
          <w:sz w:val="21"/>
          <w:szCs w:val="21"/>
          <w:highlight w:val="none"/>
          <w:lang w:eastAsia="zh-CN"/>
        </w:rPr>
        <w:t>。</w:t>
      </w:r>
    </w:p>
    <w:p w14:paraId="57B64ED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2.5.2投标方生产过程中要首先对自己的产品实施自检，对接收的产品互检，以保证各工序环节符合工艺要求，统计一次下线合格率和返线率</w:t>
      </w:r>
      <w:r>
        <w:rPr>
          <w:rFonts w:hint="eastAsia" w:hAnsi="宋体" w:eastAsia="宋体" w:cs="宋体"/>
          <w:sz w:val="21"/>
          <w:szCs w:val="21"/>
          <w:highlight w:val="none"/>
          <w:lang w:eastAsia="zh-CN"/>
        </w:rPr>
        <w:t>。</w:t>
      </w:r>
    </w:p>
    <w:p w14:paraId="753395C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2.6发生不合格的处理</w:t>
      </w:r>
    </w:p>
    <w:p w14:paraId="2B40337C">
      <w:pPr>
        <w:spacing w:line="580" w:lineRule="exact"/>
        <w:ind w:firstLine="420" w:firstLineChars="200"/>
        <w:jc w:val="both"/>
        <w:rPr>
          <w:rFonts w:hint="default" w:ascii="宋体" w:hAnsi="宋体" w:eastAsia="宋体" w:cs="宋体"/>
          <w:szCs w:val="22"/>
          <w:highlight w:val="none"/>
          <w:lang w:val="en-US"/>
        </w:rPr>
      </w:pPr>
      <w:r>
        <w:rPr>
          <w:rFonts w:hint="eastAsia" w:ascii="宋体" w:hAnsi="宋体" w:eastAsia="宋体" w:cs="宋体"/>
          <w:szCs w:val="22"/>
          <w:highlight w:val="none"/>
        </w:rPr>
        <w:t>2.6.1投标方应采取切实可行的措施，避免由投标方人员责任或操作原因造成批量</w:t>
      </w:r>
      <w:r>
        <w:rPr>
          <w:rFonts w:hint="eastAsia" w:ascii="宋体" w:hAnsi="宋体" w:eastAsia="宋体" w:cs="宋体"/>
          <w:szCs w:val="22"/>
          <w:highlight w:val="none"/>
          <w:lang w:val="en-US" w:eastAsia="zh-CN"/>
        </w:rPr>
        <w:t>不合格</w:t>
      </w:r>
      <w:r>
        <w:rPr>
          <w:rFonts w:hint="eastAsia" w:ascii="宋体" w:hAnsi="宋体" w:eastAsia="宋体" w:cs="宋体"/>
          <w:szCs w:val="22"/>
          <w:highlight w:val="none"/>
          <w:lang w:eastAsia="zh-CN"/>
        </w:rPr>
        <w:t>。</w:t>
      </w:r>
    </w:p>
    <w:p w14:paraId="5730739C">
      <w:pPr>
        <w:keepNext w:val="0"/>
        <w:keepLines w:val="0"/>
        <w:pageBreakBefore w:val="0"/>
        <w:widowControl w:val="0"/>
        <w:kinsoku/>
        <w:wordWrap/>
        <w:overflowPunct/>
        <w:topLinePunct w:val="0"/>
        <w:autoSpaceDE/>
        <w:autoSpaceDN/>
        <w:bidi w:val="0"/>
        <w:adjustRightInd/>
        <w:snapToGrid/>
        <w:spacing w:line="520" w:lineRule="exact"/>
        <w:ind w:right="0" w:firstLine="420" w:firstLineChars="200"/>
        <w:textAlignment w:val="auto"/>
        <w:rPr>
          <w:rFonts w:hint="eastAsia" w:ascii="宋体" w:hAnsi="宋体" w:eastAsia="宋体" w:cs="宋体"/>
          <w:szCs w:val="22"/>
          <w:highlight w:val="none"/>
        </w:rPr>
      </w:pPr>
      <w:r>
        <w:rPr>
          <w:rFonts w:hint="eastAsia" w:ascii="宋体" w:hAnsi="宋体" w:eastAsia="宋体" w:cs="宋体"/>
          <w:szCs w:val="22"/>
          <w:highlight w:val="none"/>
        </w:rPr>
        <w:t>2.6.2经招标方检验质量问题或被质量部门反馈需到现场修复的，投标方须无条件返修或现场服务，且必须保证达到招标方的质量要求和总装等用户要求，由此可能产生的额外费用或用户索赔由投标方全额承担</w:t>
      </w:r>
      <w:r>
        <w:rPr>
          <w:rFonts w:hint="eastAsia" w:hAnsi="宋体" w:eastAsia="宋体" w:cs="宋体"/>
          <w:sz w:val="21"/>
          <w:szCs w:val="21"/>
          <w:highlight w:val="none"/>
          <w:lang w:eastAsia="zh-CN"/>
        </w:rPr>
        <w:t>。</w:t>
      </w:r>
    </w:p>
    <w:p w14:paraId="6769D104">
      <w:pPr>
        <w:spacing w:line="520" w:lineRule="exact"/>
        <w:ind w:right="2" w:firstLine="420" w:firstLineChars="200"/>
        <w:rPr>
          <w:rFonts w:hint="eastAsia" w:hAnsi="宋体" w:eastAsia="宋体" w:cs="宋体"/>
          <w:sz w:val="21"/>
          <w:szCs w:val="21"/>
          <w:highlight w:val="none"/>
          <w:lang w:eastAsia="zh-CN"/>
        </w:rPr>
      </w:pPr>
      <w:r>
        <w:rPr>
          <w:rFonts w:hint="eastAsia" w:ascii="宋体" w:hAnsi="宋体" w:eastAsia="宋体" w:cs="宋体"/>
          <w:szCs w:val="22"/>
          <w:highlight w:val="none"/>
        </w:rPr>
        <w:t>2.6.3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r>
        <w:rPr>
          <w:rFonts w:hint="eastAsia" w:hAnsi="宋体" w:eastAsia="宋体" w:cs="宋体"/>
          <w:sz w:val="21"/>
          <w:szCs w:val="21"/>
          <w:highlight w:val="none"/>
          <w:lang w:eastAsia="zh-CN"/>
        </w:rPr>
        <w:t>。</w:t>
      </w:r>
    </w:p>
    <w:p w14:paraId="33D8D5F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2.6.4投标方应对车间的质量指标完成情况负责，由于投标方原因造成指标未完成的，由投标方无条件承担全部责任，进行双倍考核</w:t>
      </w:r>
      <w:r>
        <w:rPr>
          <w:rFonts w:hint="eastAsia" w:hAnsi="宋体" w:eastAsia="宋体" w:cs="宋体"/>
          <w:sz w:val="21"/>
          <w:szCs w:val="21"/>
          <w:highlight w:val="none"/>
          <w:lang w:eastAsia="zh-CN"/>
        </w:rPr>
        <w:t>。</w:t>
      </w:r>
    </w:p>
    <w:p w14:paraId="2FD94F1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2.6.5违反工艺和质量保证体系，屡次出现质量问题，未及时整改、拒不整改的，对质量考核或索赔拒不执行的，招标方将从结算额中直接扣除</w:t>
      </w:r>
      <w:r>
        <w:rPr>
          <w:rFonts w:hint="eastAsia" w:hAnsi="宋体" w:eastAsia="宋体" w:cs="宋体"/>
          <w:sz w:val="21"/>
          <w:szCs w:val="21"/>
          <w:highlight w:val="none"/>
          <w:lang w:eastAsia="zh-CN"/>
        </w:rPr>
        <w:t>。</w:t>
      </w:r>
    </w:p>
    <w:p w14:paraId="76627772">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2.6.6投标方所做的必要的产品防护必须满足产品防护及外观质量要求，应正确使用工装、工位器具，因工位器具使用不当造成的损失，投标方应承担全部责任</w:t>
      </w:r>
      <w:r>
        <w:rPr>
          <w:rFonts w:hint="eastAsia" w:hAnsi="宋体" w:eastAsia="宋体" w:cs="宋体"/>
          <w:sz w:val="21"/>
          <w:szCs w:val="21"/>
          <w:highlight w:val="none"/>
          <w:lang w:eastAsia="zh-CN"/>
        </w:rPr>
        <w:t>。</w:t>
      </w:r>
    </w:p>
    <w:p w14:paraId="042DA8C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2.6.7投标方应对质量负责，由投标方原因（包括产品和管理）引起的考核或用户索赔由投标方无条件全额承担，最终仲裁权归</w:t>
      </w:r>
      <w:r>
        <w:rPr>
          <w:rFonts w:hint="eastAsia" w:ascii="宋体" w:hAnsi="宋体" w:cs="宋体"/>
          <w:szCs w:val="22"/>
          <w:highlight w:val="none"/>
          <w:lang w:val="en-US" w:eastAsia="zh-CN"/>
        </w:rPr>
        <w:t>车桥</w:t>
      </w:r>
      <w:r>
        <w:rPr>
          <w:rFonts w:hint="eastAsia" w:ascii="宋体" w:hAnsi="宋体" w:eastAsia="宋体" w:cs="宋体"/>
          <w:szCs w:val="22"/>
          <w:highlight w:val="none"/>
        </w:rPr>
        <w:t>质量部，需由第三方仲裁的，第三方的资质应得到双方质量部门的认可，其仲裁费用由责任方全额承担</w:t>
      </w:r>
      <w:r>
        <w:rPr>
          <w:rFonts w:hint="eastAsia" w:hAnsi="宋体" w:eastAsia="宋体" w:cs="宋体"/>
          <w:sz w:val="21"/>
          <w:szCs w:val="21"/>
          <w:highlight w:val="none"/>
          <w:lang w:eastAsia="zh-CN"/>
        </w:rPr>
        <w:t>。</w:t>
      </w:r>
    </w:p>
    <w:p w14:paraId="5B8AEE74">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2.7投标方必须按照车间各工位工艺配备充足人员，当人员发生变更时，需经过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r>
        <w:rPr>
          <w:rFonts w:hint="eastAsia" w:hAnsi="宋体" w:eastAsia="宋体" w:cs="宋体"/>
          <w:sz w:val="21"/>
          <w:szCs w:val="21"/>
          <w:highlight w:val="none"/>
          <w:lang w:eastAsia="zh-CN"/>
        </w:rPr>
        <w:t>。</w:t>
      </w:r>
    </w:p>
    <w:p w14:paraId="206CC9D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2.8投标方应做好安全生产管理，由投标方原因造成的消防等安全事故导致的甲、乙双方损失由投标方承担全部责任</w:t>
      </w:r>
      <w:r>
        <w:rPr>
          <w:rFonts w:hint="eastAsia" w:hAnsi="宋体" w:eastAsia="宋体" w:cs="宋体"/>
          <w:sz w:val="21"/>
          <w:szCs w:val="21"/>
          <w:highlight w:val="none"/>
          <w:lang w:eastAsia="zh-CN"/>
        </w:rPr>
        <w:t>。</w:t>
      </w:r>
    </w:p>
    <w:p w14:paraId="2B46E06D">
      <w:pPr>
        <w:spacing w:line="520" w:lineRule="exact"/>
        <w:ind w:right="2" w:firstLine="420" w:firstLineChars="200"/>
        <w:rPr>
          <w:rFonts w:hint="eastAsia" w:eastAsia="黑体"/>
          <w:b/>
          <w:bCs/>
          <w:sz w:val="36"/>
          <w:szCs w:val="36"/>
        </w:rPr>
      </w:pPr>
      <w:r>
        <w:rPr>
          <w:rFonts w:hint="eastAsia" w:ascii="宋体" w:hAnsi="宋体" w:eastAsia="宋体" w:cs="宋体"/>
          <w:szCs w:val="22"/>
          <w:highlight w:val="none"/>
        </w:rPr>
        <w:t>2.9承包期间，投标方所有人员的食宿、交通、安全、保险、劳资纠纷等，由投标方自行解决，招标方不承担任何责任。若因此造成招标方人员、场地、设备、生产等所有损失，由投标方承担。</w:t>
      </w:r>
    </w:p>
    <w:p w14:paraId="3E5F122F">
      <w:pPr>
        <w:pStyle w:val="2"/>
        <w:bidi w:val="0"/>
        <w:rPr>
          <w:rFonts w:hint="eastAsia"/>
        </w:rPr>
      </w:pPr>
      <w:bookmarkStart w:id="14" w:name="_Toc11482"/>
      <w:r>
        <w:rPr>
          <w:rFonts w:hint="eastAsia"/>
          <w:lang w:val="en-US" w:eastAsia="zh-CN"/>
        </w:rPr>
        <w:t>十</w:t>
      </w:r>
      <w:r>
        <w:rPr>
          <w:rFonts w:hint="eastAsia"/>
        </w:rPr>
        <w:t>、合同签订</w:t>
      </w:r>
      <w:bookmarkEnd w:id="14"/>
    </w:p>
    <w:p w14:paraId="4288DA21">
      <w:pPr>
        <w:pStyle w:val="9"/>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1.根据评标工作小组的评标结果并按相关法律法规的规定及公司相关制度要求，确定中标人。</w:t>
      </w:r>
      <w:r>
        <w:rPr>
          <w:rFonts w:hint="eastAsia" w:ascii="宋体" w:hAnsi="宋体" w:eastAsia="宋体" w:cs="宋体"/>
          <w:color w:val="auto"/>
          <w:sz w:val="21"/>
          <w:szCs w:val="21"/>
          <w:highlight w:val="none"/>
          <w:lang w:val="en-US" w:eastAsia="zh-CN"/>
        </w:rPr>
        <w:t>在重汽e采通平台公布中标结果，</w:t>
      </w:r>
      <w:r>
        <w:rPr>
          <w:rFonts w:hint="eastAsia" w:ascii="宋体" w:hAnsi="宋体" w:eastAsia="宋体" w:cs="宋体"/>
          <w:color w:val="auto"/>
          <w:sz w:val="21"/>
          <w:szCs w:val="21"/>
          <w:highlight w:val="none"/>
        </w:rPr>
        <w:t>并</w:t>
      </w:r>
      <w:r>
        <w:rPr>
          <w:rFonts w:hint="eastAsia" w:ascii="宋体" w:hAnsi="宋体" w:eastAsia="宋体" w:cs="宋体"/>
          <w:color w:val="auto"/>
          <w:sz w:val="21"/>
          <w:szCs w:val="21"/>
          <w:highlight w:val="none"/>
          <w:lang w:val="en-US" w:eastAsia="zh-CN"/>
        </w:rPr>
        <w:t>发送中标通知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中标人承诺无条件服从招标人针对该项目的后续所有安排。招标人不承诺将合同授予报价最低的投标人，也不对未中标人做任何解释。</w:t>
      </w:r>
    </w:p>
    <w:p w14:paraId="5CCAC825">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中标通知书是签定合同的依据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中标人应在招标人要求的时间内完成合同签订，如果中标人</w:t>
      </w:r>
      <w:r>
        <w:rPr>
          <w:rFonts w:hint="eastAsia" w:ascii="宋体" w:hAnsi="宋体" w:eastAsia="宋体" w:cs="宋体"/>
          <w:color w:val="auto"/>
          <w:sz w:val="21"/>
          <w:szCs w:val="21"/>
          <w:highlight w:val="none"/>
          <w:lang w:val="en-US" w:eastAsia="zh-CN"/>
        </w:rPr>
        <w:t>未在规定时间内完成合同签订</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无正当理由拒绝按其规定的期限与相关单位签订合同或在签订合同时向招标人或相关单位提出附加条件或者更改合同实质性内容的，对条款作出较大变更或提出令招标单位难以接受的附加条款，则招标单位有权撤销中标单位的“中标通知书”，招标人有权取消其中标资格，且由中标单位承担由此引起的有关责任，投标保证金不予返还。招标人将从剩余投标人中依序重新确定中标人，或重新组织招标。</w:t>
      </w:r>
    </w:p>
    <w:p w14:paraId="7328F216">
      <w:pPr>
        <w:pStyle w:val="9"/>
        <w:spacing w:line="360" w:lineRule="auto"/>
        <w:ind w:firstLine="420" w:firstLineChars="200"/>
        <w:rPr>
          <w:rFonts w:hint="eastAsia" w:hAnsi="宋体"/>
          <w:szCs w:val="21"/>
        </w:rPr>
      </w:pPr>
      <w:r>
        <w:rPr>
          <w:rFonts w:hint="eastAsia" w:hAnsi="宋体"/>
          <w:szCs w:val="21"/>
        </w:rPr>
        <w:t>3.中标人应在保证质量的前提下完成中标项目，</w:t>
      </w:r>
      <w:r>
        <w:rPr>
          <w:rFonts w:hAnsi="宋体"/>
          <w:szCs w:val="21"/>
        </w:rPr>
        <w:t>且检测全过程符合相关法规要求，</w:t>
      </w:r>
      <w:r>
        <w:rPr>
          <w:rFonts w:hint="eastAsia" w:hAnsi="宋体"/>
          <w:szCs w:val="21"/>
        </w:rPr>
        <w:t>否则视为违约，招标人或相关单位有权解除合同。</w:t>
      </w:r>
    </w:p>
    <w:p w14:paraId="6BF48D29">
      <w:pPr>
        <w:pStyle w:val="9"/>
        <w:spacing w:line="360" w:lineRule="auto"/>
        <w:ind w:firstLine="420" w:firstLineChars="200"/>
        <w:rPr>
          <w:rFonts w:hint="eastAsia" w:hAnsi="宋体"/>
          <w:szCs w:val="21"/>
        </w:rPr>
      </w:pPr>
      <w:r>
        <w:rPr>
          <w:rFonts w:hint="eastAsia" w:hAnsi="宋体"/>
          <w:szCs w:val="21"/>
        </w:rPr>
        <w:t>4.中标人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14:paraId="037C3D5C">
      <w:pPr>
        <w:pStyle w:val="9"/>
        <w:spacing w:line="360" w:lineRule="auto"/>
        <w:ind w:firstLine="420" w:firstLineChars="200"/>
        <w:rPr>
          <w:rFonts w:hint="eastAsia" w:hAnsi="宋体"/>
          <w:szCs w:val="21"/>
        </w:rPr>
      </w:pPr>
      <w:r>
        <w:rPr>
          <w:rFonts w:hint="eastAsia" w:hAnsi="宋体"/>
          <w:szCs w:val="21"/>
        </w:rPr>
        <w:t>5.招标人有权指定招标人的关联单位作为合同签订人，与中标人签署相关合同，且具体权利义务以双方最终签署的合同为准。</w:t>
      </w:r>
    </w:p>
    <w:p w14:paraId="3E12899F">
      <w:pPr>
        <w:pStyle w:val="9"/>
        <w:spacing w:line="360" w:lineRule="auto"/>
        <w:ind w:firstLine="420" w:firstLineChars="200"/>
        <w:rPr>
          <w:rFonts w:hint="eastAsia"/>
        </w:rPr>
      </w:pPr>
      <w:r>
        <w:rPr>
          <w:rFonts w:hint="eastAsia"/>
        </w:rPr>
        <w:t>6.中标人须认可由于招标人上级集团公司政策变化引起的合同签订前终止项目的要求。</w:t>
      </w:r>
    </w:p>
    <w:p w14:paraId="5B8996DA">
      <w:pPr>
        <w:pStyle w:val="2"/>
        <w:bidi w:val="0"/>
        <w:rPr>
          <w:rFonts w:hint="eastAsia"/>
        </w:rPr>
      </w:pPr>
      <w:bookmarkStart w:id="15" w:name="_Toc15677"/>
      <w:r>
        <w:rPr>
          <w:rFonts w:hint="eastAsia"/>
          <w:lang w:val="en-US" w:eastAsia="zh-CN"/>
        </w:rPr>
        <w:t>十一</w:t>
      </w:r>
      <w:r>
        <w:rPr>
          <w:rFonts w:hint="eastAsia"/>
        </w:rPr>
        <w:t>、废标及终止招标</w:t>
      </w:r>
      <w:bookmarkEnd w:id="15"/>
    </w:p>
    <w:p w14:paraId="72719D7A">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3A91658">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1.1投标人提供的有关资格、资质证明文件不合格、不真实或提供虚假投标材料</w:t>
      </w:r>
      <w:r>
        <w:rPr>
          <w:rFonts w:hint="eastAsia" w:hAnsi="宋体" w:eastAsia="宋体" w:cs="宋体"/>
          <w:sz w:val="21"/>
          <w:szCs w:val="21"/>
          <w:highlight w:val="none"/>
          <w:lang w:eastAsia="zh-CN"/>
        </w:rPr>
        <w:t>。</w:t>
      </w:r>
    </w:p>
    <w:p w14:paraId="45965162">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1.2投标人在报价有效期内撤回投标</w:t>
      </w:r>
      <w:r>
        <w:rPr>
          <w:rFonts w:hint="eastAsia" w:hAnsi="宋体" w:eastAsia="宋体" w:cs="宋体"/>
          <w:sz w:val="21"/>
          <w:szCs w:val="21"/>
          <w:highlight w:val="none"/>
          <w:lang w:eastAsia="zh-CN"/>
        </w:rPr>
        <w:t>。</w:t>
      </w:r>
    </w:p>
    <w:p w14:paraId="61097260">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1.3在整个评标过程中，投标人有企图影响评标结果公正性的任何活动</w:t>
      </w:r>
      <w:r>
        <w:rPr>
          <w:rFonts w:hint="eastAsia" w:hAnsi="宋体" w:eastAsia="宋体" w:cs="宋体"/>
          <w:sz w:val="21"/>
          <w:szCs w:val="21"/>
          <w:highlight w:val="none"/>
          <w:lang w:eastAsia="zh-CN"/>
        </w:rPr>
        <w:t>。</w:t>
      </w:r>
    </w:p>
    <w:p w14:paraId="1E16F587">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1.4投标人以任何方式诋毁其他投标人</w:t>
      </w:r>
      <w:r>
        <w:rPr>
          <w:rFonts w:hint="eastAsia" w:hAnsi="宋体" w:eastAsia="宋体" w:cs="宋体"/>
          <w:sz w:val="21"/>
          <w:szCs w:val="21"/>
          <w:highlight w:val="none"/>
          <w:lang w:eastAsia="zh-CN"/>
        </w:rPr>
        <w:t>。</w:t>
      </w:r>
    </w:p>
    <w:p w14:paraId="1A1CC37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1.5投标人串通投标</w:t>
      </w:r>
      <w:r>
        <w:rPr>
          <w:rFonts w:hint="eastAsia" w:hAnsi="宋体" w:eastAsia="宋体" w:cs="宋体"/>
          <w:sz w:val="21"/>
          <w:szCs w:val="21"/>
          <w:highlight w:val="none"/>
          <w:lang w:eastAsia="zh-CN"/>
        </w:rPr>
        <w:t>。</w:t>
      </w:r>
    </w:p>
    <w:p w14:paraId="08CB5BF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1.6以他人名义投标或者以其他方式弄虚作假，骗取中标的</w:t>
      </w:r>
      <w:r>
        <w:rPr>
          <w:rFonts w:hint="eastAsia" w:hAnsi="宋体" w:eastAsia="宋体" w:cs="宋体"/>
          <w:sz w:val="21"/>
          <w:szCs w:val="21"/>
          <w:highlight w:val="none"/>
          <w:lang w:eastAsia="zh-CN"/>
        </w:rPr>
        <w:t>。</w:t>
      </w:r>
    </w:p>
    <w:p w14:paraId="64E04744">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1.7中标人不按规定签订合同</w:t>
      </w:r>
      <w:r>
        <w:rPr>
          <w:rFonts w:hint="eastAsia" w:hAnsi="宋体" w:eastAsia="宋体" w:cs="宋体"/>
          <w:sz w:val="21"/>
          <w:szCs w:val="21"/>
          <w:highlight w:val="none"/>
          <w:lang w:eastAsia="zh-CN"/>
        </w:rPr>
        <w:t>。</w:t>
      </w:r>
    </w:p>
    <w:p w14:paraId="12484F24">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1.8法律、法规规定的其他情况。</w:t>
      </w:r>
    </w:p>
    <w:p w14:paraId="7C757543">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9投标单位负责人为同一人或存在管理关系的</w:t>
      </w:r>
      <w:r>
        <w:rPr>
          <w:rFonts w:hint="eastAsia" w:ascii="宋体" w:hAnsi="宋体" w:eastAsia="宋体" w:cs="宋体"/>
          <w:color w:val="auto"/>
          <w:sz w:val="21"/>
          <w:szCs w:val="21"/>
          <w:highlight w:val="none"/>
          <w:lang w:eastAsia="zh-CN"/>
        </w:rPr>
        <w:t>。</w:t>
      </w:r>
    </w:p>
    <w:p w14:paraId="74E7BCC6">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1.10投标人被举报。检举，并经招标方查实无误的</w:t>
      </w:r>
      <w:r>
        <w:rPr>
          <w:rFonts w:hint="eastAsia" w:ascii="宋体" w:hAnsi="宋体" w:eastAsia="宋体" w:cs="宋体"/>
          <w:color w:val="auto"/>
          <w:sz w:val="21"/>
          <w:szCs w:val="21"/>
          <w:highlight w:val="none"/>
          <w:lang w:eastAsia="zh-CN"/>
        </w:rPr>
        <w:t>。</w:t>
      </w:r>
    </w:p>
    <w:p w14:paraId="4AB5492B">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出现下列情形之一，招标人有权否决所有投标人的投标，并终止招标。</w:t>
      </w:r>
    </w:p>
    <w:p w14:paraId="061C1C9B">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1出现影响采购公正的违法、违规行为的</w:t>
      </w:r>
      <w:r>
        <w:rPr>
          <w:rFonts w:hint="eastAsia" w:hAnsi="宋体" w:eastAsia="宋体" w:cs="宋体"/>
          <w:sz w:val="21"/>
          <w:szCs w:val="21"/>
          <w:highlight w:val="none"/>
          <w:lang w:eastAsia="zh-CN"/>
        </w:rPr>
        <w:t>。</w:t>
      </w:r>
    </w:p>
    <w:p w14:paraId="6A737902">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2评标委员会经评审，认为所有投标都不符合招标文件要求的</w:t>
      </w:r>
      <w:r>
        <w:rPr>
          <w:rFonts w:hint="eastAsia" w:hAnsi="宋体" w:eastAsia="宋体" w:cs="宋体"/>
          <w:sz w:val="21"/>
          <w:szCs w:val="21"/>
          <w:highlight w:val="none"/>
          <w:lang w:eastAsia="zh-CN"/>
        </w:rPr>
        <w:t>。</w:t>
      </w:r>
    </w:p>
    <w:p w14:paraId="639F8012">
      <w:pPr>
        <w:spacing w:line="520" w:lineRule="exact"/>
        <w:ind w:right="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3因重大变故，采购任务取消的</w:t>
      </w:r>
      <w:r>
        <w:rPr>
          <w:rFonts w:hint="eastAsia" w:hAnsi="宋体" w:eastAsia="宋体" w:cs="宋体"/>
          <w:sz w:val="21"/>
          <w:szCs w:val="21"/>
          <w:highlight w:val="none"/>
          <w:lang w:eastAsia="zh-CN"/>
        </w:rPr>
        <w:t>。</w:t>
      </w:r>
    </w:p>
    <w:p w14:paraId="637F08B4">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4有效参与投标的单位不足三家以上的</w:t>
      </w:r>
      <w:r>
        <w:rPr>
          <w:rFonts w:hint="eastAsia" w:hAnsi="宋体" w:eastAsia="宋体" w:cs="宋体"/>
          <w:sz w:val="21"/>
          <w:szCs w:val="21"/>
          <w:highlight w:val="none"/>
          <w:lang w:eastAsia="zh-CN"/>
        </w:rPr>
        <w:t>。</w:t>
      </w:r>
    </w:p>
    <w:p w14:paraId="4BB3CAA6">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招标人认为其他应终止招标的情形。</w:t>
      </w:r>
    </w:p>
    <w:p w14:paraId="3918E6E9">
      <w:pPr>
        <w:pStyle w:val="2"/>
        <w:bidi w:val="0"/>
      </w:pPr>
      <w:bookmarkStart w:id="16" w:name="_Toc30016"/>
      <w:r>
        <w:rPr>
          <w:rFonts w:hint="eastAsia"/>
        </w:rPr>
        <w:t>十</w:t>
      </w:r>
      <w:r>
        <w:rPr>
          <w:rFonts w:hint="eastAsia"/>
          <w:lang w:val="en-US" w:eastAsia="zh-CN"/>
        </w:rPr>
        <w:t>二</w:t>
      </w:r>
      <w:r>
        <w:rPr>
          <w:rFonts w:hint="eastAsia"/>
        </w:rPr>
        <w:t>、中标人瑕疵滞后发现的处理原则</w:t>
      </w:r>
      <w:bookmarkEnd w:id="16"/>
    </w:p>
    <w:p w14:paraId="5CEEA3E4">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ascii="宋体" w:hAnsi="宋体" w:eastAsia="宋体" w:cs="宋体"/>
          <w:highlight w:val="none"/>
          <w:lang w:eastAsia="zh-CN"/>
        </w:rPr>
        <w:t>，</w:t>
      </w:r>
      <w:r>
        <w:rPr>
          <w:rFonts w:hint="eastAsia" w:ascii="宋体" w:hAnsi="宋体" w:eastAsia="宋体" w:cs="宋体"/>
          <w:highlight w:val="none"/>
        </w:rPr>
        <w:t>一旦中标人被拒绝或该中标人此前的评议结果被取消，相关的一切损失均由该中标人承担。</w:t>
      </w:r>
    </w:p>
    <w:p w14:paraId="25C4A1ED">
      <w:pPr>
        <w:pStyle w:val="2"/>
        <w:bidi w:val="0"/>
        <w:rPr>
          <w:rFonts w:hint="eastAsia"/>
          <w:lang w:val="en-US" w:eastAsia="zh-CN"/>
        </w:rPr>
      </w:pPr>
      <w:bookmarkStart w:id="17" w:name="_Toc22177"/>
      <w:r>
        <w:rPr>
          <w:rFonts w:hint="eastAsia"/>
          <w:lang w:val="en-US" w:eastAsia="zh-CN"/>
        </w:rPr>
        <w:t>十三、保证金不予退还情景</w:t>
      </w:r>
      <w:bookmarkEnd w:id="17"/>
    </w:p>
    <w:p w14:paraId="53F28AA9">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13.1</w:t>
      </w:r>
      <w:r>
        <w:rPr>
          <w:rFonts w:hint="eastAsia" w:ascii="宋体" w:hAnsi="宋体" w:eastAsia="宋体" w:cs="宋体"/>
          <w:szCs w:val="22"/>
          <w:highlight w:val="none"/>
        </w:rPr>
        <w:t>截至开标前3天，投标人无正当理由且未以书面形式递交说明而在投标截止日不来投标的；</w:t>
      </w:r>
    </w:p>
    <w:p w14:paraId="3A3C6852">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13.2</w:t>
      </w:r>
      <w:r>
        <w:rPr>
          <w:rFonts w:hint="eastAsia" w:ascii="宋体" w:hAnsi="宋体" w:eastAsia="宋体" w:cs="宋体"/>
          <w:szCs w:val="22"/>
          <w:highlight w:val="none"/>
        </w:rPr>
        <w:t xml:space="preserve">投标人递送投标文件后，无正当理由放弃投标的； </w:t>
      </w:r>
    </w:p>
    <w:p w14:paraId="2710E05A">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13.3</w:t>
      </w:r>
      <w:r>
        <w:rPr>
          <w:rFonts w:hint="eastAsia" w:ascii="宋体" w:hAnsi="宋体" w:eastAsia="宋体" w:cs="宋体"/>
          <w:szCs w:val="22"/>
          <w:highlight w:val="none"/>
        </w:rPr>
        <w:t>自中标（成交）通知书发出之日起30日内，中标人无正当理由不签订合同的；</w:t>
      </w:r>
    </w:p>
    <w:p w14:paraId="5FBA9620">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13.4</w:t>
      </w:r>
      <w:r>
        <w:rPr>
          <w:rFonts w:hint="eastAsia" w:ascii="宋体" w:hAnsi="宋体" w:eastAsia="宋体" w:cs="宋体"/>
          <w:szCs w:val="22"/>
          <w:highlight w:val="none"/>
        </w:rPr>
        <w:t xml:space="preserve">投标人在投标过程中被查实有串标、围标、陪标等违规违纪行为的； </w:t>
      </w:r>
    </w:p>
    <w:p w14:paraId="35C54CAF">
      <w:pPr>
        <w:spacing w:line="520" w:lineRule="exact"/>
        <w:ind w:right="2" w:firstLine="420" w:firstLineChars="200"/>
        <w:rPr>
          <w:rFonts w:hint="eastAsia"/>
        </w:rPr>
      </w:pPr>
      <w:r>
        <w:rPr>
          <w:rFonts w:hint="eastAsia" w:ascii="宋体" w:hAnsi="宋体" w:eastAsia="宋体" w:cs="宋体"/>
          <w:szCs w:val="22"/>
          <w:highlight w:val="none"/>
          <w:lang w:val="en-US" w:eastAsia="zh-CN"/>
        </w:rPr>
        <w:t>13.5</w:t>
      </w:r>
      <w:r>
        <w:rPr>
          <w:rFonts w:hint="eastAsia" w:ascii="宋体" w:hAnsi="宋体" w:eastAsia="宋体" w:cs="宋体"/>
          <w:szCs w:val="22"/>
          <w:highlight w:val="none"/>
        </w:rPr>
        <w:t>投标人有违约违规行为或被投诉、举报的，在调查处理期间，保证金暂不退还，待调查处理结束后按有关规定处理。</w:t>
      </w:r>
    </w:p>
    <w:p w14:paraId="1964FCB9">
      <w:pPr>
        <w:pStyle w:val="2"/>
        <w:bidi w:val="0"/>
        <w:rPr>
          <w:rFonts w:hint="eastAsia"/>
        </w:rPr>
      </w:pPr>
      <w:bookmarkStart w:id="18" w:name="_Toc1904"/>
      <w:r>
        <w:rPr>
          <w:rFonts w:hint="eastAsia"/>
          <w:lang w:val="en-US" w:eastAsia="zh-CN"/>
        </w:rPr>
        <w:t>十四</w:t>
      </w:r>
      <w:r>
        <w:rPr>
          <w:rFonts w:hint="eastAsia"/>
        </w:rPr>
        <w:t>、</w:t>
      </w:r>
      <w:r>
        <w:rPr>
          <w:rFonts w:hint="eastAsia"/>
          <w:lang w:val="en-US" w:eastAsia="zh-CN"/>
        </w:rPr>
        <w:t>项目基本标准及基本要求</w:t>
      </w:r>
      <w:bookmarkEnd w:id="18"/>
    </w:p>
    <w:p w14:paraId="5C974F39">
      <w:pPr>
        <w:pStyle w:val="9"/>
        <w:spacing w:line="360" w:lineRule="auto"/>
        <w:ind w:left="420" w:hanging="420" w:hangingChars="200"/>
        <w:rPr>
          <w:rFonts w:hint="eastAsia"/>
          <w:highlight w:val="none"/>
        </w:rPr>
      </w:pPr>
      <w:r>
        <w:rPr>
          <w:rFonts w:hint="eastAsia" w:ascii="宋体" w:hAnsi="宋体" w:eastAsia="宋体" w:cs="宋体"/>
          <w:sz w:val="21"/>
          <w:szCs w:val="21"/>
          <w:highlight w:val="none"/>
        </w:rPr>
        <w:t xml:space="preserve">    </w:t>
      </w:r>
      <w:r>
        <w:rPr>
          <w:rFonts w:hint="eastAsia"/>
          <w:highlight w:val="none"/>
        </w:rPr>
        <w:t>见本招标文件</w:t>
      </w:r>
      <w:r>
        <w:rPr>
          <w:rFonts w:hint="eastAsia"/>
          <w:highlight w:val="none"/>
          <w:lang w:val="en-US" w:eastAsia="zh-CN"/>
        </w:rPr>
        <w:t>附件9</w:t>
      </w:r>
      <w:r>
        <w:rPr>
          <w:rFonts w:hint="eastAsia"/>
          <w:highlight w:val="none"/>
        </w:rPr>
        <w:t>技术及质量保证协议。</w:t>
      </w:r>
    </w:p>
    <w:p w14:paraId="6E0D7439">
      <w:pPr>
        <w:pStyle w:val="2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rPr>
          <w:rFonts w:hint="eastAsia" w:ascii="Arial" w:hAnsi="Arial" w:eastAsia="黑体" w:cs="Times New Roman"/>
          <w:b/>
          <w:bCs w:val="0"/>
          <w:kern w:val="2"/>
          <w:sz w:val="32"/>
          <w:lang w:val="en-US" w:eastAsia="zh-CN" w:bidi="ar-SA"/>
        </w:rPr>
      </w:pPr>
      <w:r>
        <w:rPr>
          <w:rFonts w:hint="eastAsia" w:ascii="Arial" w:hAnsi="Arial" w:cs="Times New Roman"/>
          <w:b/>
          <w:bCs w:val="0"/>
          <w:kern w:val="2"/>
          <w:sz w:val="32"/>
          <w:lang w:val="en-US" w:eastAsia="zh-CN" w:bidi="ar-SA"/>
        </w:rPr>
        <w:t>十</w:t>
      </w:r>
      <w:r>
        <w:rPr>
          <w:rFonts w:hint="eastAsia" w:ascii="Arial" w:hAnsi="Arial" w:eastAsia="黑体" w:cs="Times New Roman"/>
          <w:b/>
          <w:bCs w:val="0"/>
          <w:kern w:val="2"/>
          <w:sz w:val="32"/>
          <w:lang w:val="en-US" w:eastAsia="zh-CN" w:bidi="ar-SA"/>
        </w:rPr>
        <w:t>五、本次招标最终解释权归中国重汽集团济南动力有限公司。</w:t>
      </w:r>
    </w:p>
    <w:p w14:paraId="6D428A93">
      <w:pPr>
        <w:pStyle w:val="9"/>
        <w:spacing w:line="360" w:lineRule="auto"/>
        <w:ind w:left="420" w:hanging="420" w:hangingChars="200"/>
        <w:rPr>
          <w:rFonts w:hint="eastAsia"/>
          <w:highlight w:val="none"/>
        </w:rPr>
      </w:pPr>
    </w:p>
    <w:p w14:paraId="672E3E36">
      <w:pPr>
        <w:pStyle w:val="3"/>
        <w:keepNext w:val="0"/>
        <w:keepLines w:val="0"/>
        <w:pageBreakBefore/>
        <w:widowControl w:val="0"/>
        <w:numPr>
          <w:ilvl w:val="0"/>
          <w:numId w:val="2"/>
        </w:numPr>
        <w:kinsoku/>
        <w:wordWrap/>
        <w:overflowPunct/>
        <w:topLinePunct w:val="0"/>
        <w:autoSpaceDE/>
        <w:autoSpaceDN/>
        <w:bidi w:val="0"/>
        <w:adjustRightInd/>
        <w:snapToGrid/>
        <w:ind w:left="0" w:leftChars="0" w:firstLine="0" w:firstLineChars="0"/>
        <w:jc w:val="center"/>
        <w:textAlignment w:val="auto"/>
        <w:rPr>
          <w:rFonts w:hint="eastAsia"/>
        </w:rPr>
      </w:pPr>
      <w:bookmarkStart w:id="19" w:name="_Toc31666"/>
      <w:r>
        <w:rPr>
          <w:rFonts w:hint="eastAsia"/>
        </w:rPr>
        <w:t xml:space="preserve"> </w:t>
      </w:r>
      <w:bookmarkStart w:id="20" w:name="_Toc25249"/>
      <w:r>
        <w:rPr>
          <w:rFonts w:hint="eastAsia"/>
        </w:rPr>
        <w:t>投标文件编制</w:t>
      </w:r>
      <w:bookmarkEnd w:id="19"/>
      <w:bookmarkEnd w:id="20"/>
    </w:p>
    <w:p w14:paraId="63373908">
      <w:pPr>
        <w:pStyle w:val="2"/>
        <w:bidi w:val="0"/>
        <w:rPr>
          <w:rFonts w:hint="default"/>
        </w:rPr>
      </w:pPr>
      <w:bookmarkStart w:id="21" w:name="_Toc736"/>
      <w:r>
        <w:rPr>
          <w:rFonts w:hint="eastAsia"/>
          <w:lang w:val="en-US" w:eastAsia="zh-CN"/>
        </w:rPr>
        <w:t>一</w:t>
      </w:r>
      <w:r>
        <w:rPr>
          <w:rFonts w:hint="default"/>
          <w:lang w:val="en-US" w:eastAsia="zh-CN"/>
        </w:rPr>
        <w:t>、投标文件格式</w:t>
      </w:r>
      <w:bookmarkEnd w:id="21"/>
    </w:p>
    <w:p w14:paraId="3D70C063">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val="0"/>
          <w:kern w:val="2"/>
          <w:sz w:val="21"/>
          <w:szCs w:val="21"/>
        </w:rPr>
      </w:pPr>
      <w:r>
        <w:rPr>
          <w:rFonts w:hint="eastAsia" w:ascii="宋体" w:hAnsi="宋体" w:eastAsia="宋体" w:cs="宋体"/>
          <w:b/>
          <w:bCs w:val="0"/>
          <w:kern w:val="2"/>
          <w:sz w:val="21"/>
          <w:szCs w:val="21"/>
          <w:lang w:val="en-US" w:eastAsia="zh-CN" w:bidi="ar"/>
        </w:rPr>
        <w:t>（注意：投标响应文件均需加盖投标单位公章，以下不再逐条款列示此项要求）</w:t>
      </w:r>
    </w:p>
    <w:p w14:paraId="169185DB">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eastAsia="宋体" w:cs="宋体"/>
          <w:b/>
          <w:kern w:val="2"/>
          <w:sz w:val="21"/>
          <w:szCs w:val="21"/>
          <w:lang w:val="en-US" w:eastAsia="zh-CN" w:bidi="ar"/>
        </w:rPr>
        <w:t>1.资质文件</w:t>
      </w:r>
    </w:p>
    <w:p w14:paraId="1F186018">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1.1企业简介</w:t>
      </w:r>
    </w:p>
    <w:p w14:paraId="18E8410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1.2投标单位情况表</w:t>
      </w:r>
    </w:p>
    <w:p w14:paraId="178A2ED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1.3营业执照（复印件）</w:t>
      </w:r>
    </w:p>
    <w:p w14:paraId="3B88DDB4">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1.4法人授权委托书（附件3，格式见“第二章 投标文件编制”）</w:t>
      </w:r>
    </w:p>
    <w:p w14:paraId="0825F0F8">
      <w:pPr>
        <w:pStyle w:val="14"/>
        <w:keepNext w:val="0"/>
        <w:keepLines w:val="0"/>
        <w:widowControl w:val="0"/>
        <w:suppressLineNumbers w:val="0"/>
        <w:spacing w:before="0" w:beforeAutospacing="0" w:after="0" w:afterAutospacing="0" w:line="360" w:lineRule="auto"/>
        <w:ind w:left="0" w:right="0" w:firstLine="420" w:firstLineChars="2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1.5</w:t>
      </w:r>
      <w:r>
        <w:rPr>
          <w:rFonts w:hint="eastAsia" w:ascii="宋体" w:hAnsi="宋体" w:cs="宋体"/>
          <w:kern w:val="2"/>
          <w:sz w:val="21"/>
          <w:szCs w:val="21"/>
          <w:lang w:val="en-US" w:eastAsia="zh-CN" w:bidi="ar"/>
        </w:rPr>
        <w:t>相关业绩证明（附件7）</w:t>
      </w:r>
    </w:p>
    <w:p w14:paraId="73CF7F16">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1.6银行开具资信等级证明（复印件）</w:t>
      </w:r>
    </w:p>
    <w:p w14:paraId="104CC9CE">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cs="宋体"/>
          <w:kern w:val="2"/>
          <w:sz w:val="21"/>
          <w:szCs w:val="21"/>
          <w:lang w:val="en-US" w:eastAsia="zh-CN" w:bidi="ar"/>
        </w:rPr>
      </w:pPr>
      <w:r>
        <w:rPr>
          <w:rFonts w:hint="eastAsia" w:ascii="宋体" w:hAnsi="宋体" w:eastAsia="宋体" w:cs="宋体"/>
          <w:b/>
          <w:bCs/>
          <w:kern w:val="2"/>
          <w:sz w:val="21"/>
          <w:szCs w:val="21"/>
          <w:lang w:val="en-US" w:eastAsia="zh-CN" w:bidi="ar"/>
        </w:rPr>
        <w:t>1.7</w:t>
      </w:r>
      <w:r>
        <w:rPr>
          <w:rFonts w:hint="eastAsia" w:ascii="宋体" w:hAnsi="宋体" w:cs="宋体"/>
          <w:b/>
          <w:bCs/>
          <w:kern w:val="2"/>
          <w:sz w:val="21"/>
          <w:szCs w:val="21"/>
          <w:lang w:val="en-US" w:eastAsia="zh-CN" w:bidi="ar"/>
        </w:rPr>
        <w:t>经审计的近3年财务报表（</w:t>
      </w:r>
      <w:r>
        <w:rPr>
          <w:rFonts w:hint="eastAsia" w:ascii="宋体" w:hAnsi="宋体" w:cs="宋体"/>
          <w:kern w:val="2"/>
          <w:sz w:val="21"/>
          <w:szCs w:val="21"/>
          <w:lang w:val="en-US" w:eastAsia="zh-CN" w:bidi="ar"/>
        </w:rPr>
        <w:t>附件6</w:t>
      </w:r>
      <w:r>
        <w:rPr>
          <w:rFonts w:hint="eastAsia" w:ascii="宋体" w:hAnsi="宋体" w:cs="宋体"/>
          <w:b/>
          <w:bCs/>
          <w:kern w:val="2"/>
          <w:sz w:val="21"/>
          <w:szCs w:val="21"/>
          <w:lang w:val="en-US" w:eastAsia="zh-CN" w:bidi="ar"/>
        </w:rPr>
        <w:t>）</w:t>
      </w:r>
    </w:p>
    <w:p w14:paraId="34FCD160">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1.8投标保证金银行转账凭证</w:t>
      </w:r>
    </w:p>
    <w:p w14:paraId="2DB3C351">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kern w:val="2"/>
          <w:sz w:val="21"/>
          <w:szCs w:val="21"/>
        </w:rPr>
      </w:pPr>
      <w:r>
        <w:rPr>
          <w:rFonts w:hint="eastAsia" w:ascii="宋体" w:hAnsi="宋体" w:eastAsia="宋体" w:cs="宋体"/>
          <w:b/>
          <w:kern w:val="2"/>
          <w:sz w:val="21"/>
          <w:szCs w:val="21"/>
          <w:lang w:val="en-US" w:eastAsia="zh-CN" w:bidi="ar"/>
        </w:rPr>
        <w:t>重要提示：</w:t>
      </w:r>
      <w:r>
        <w:rPr>
          <w:rFonts w:hint="eastAsia" w:ascii="宋体" w:hAnsi="宋体" w:eastAsia="宋体" w:cs="宋体"/>
          <w:kern w:val="2"/>
          <w:sz w:val="21"/>
          <w:szCs w:val="21"/>
          <w:lang w:val="en-US" w:eastAsia="zh-CN"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6E0C71BB">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eastAsia="宋体" w:cs="宋体"/>
          <w:b/>
          <w:kern w:val="2"/>
          <w:sz w:val="21"/>
          <w:szCs w:val="21"/>
          <w:lang w:val="en-US" w:eastAsia="zh-CN" w:bidi="ar"/>
        </w:rPr>
        <w:t>2.技术标</w:t>
      </w:r>
    </w:p>
    <w:p w14:paraId="24369DB4">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2.1投标人按本招标书“附件</w:t>
      </w:r>
      <w:r>
        <w:rPr>
          <w:rFonts w:hint="eastAsia" w:ascii="宋体" w:hAnsi="宋体" w:cs="宋体"/>
          <w:kern w:val="2"/>
          <w:sz w:val="21"/>
          <w:szCs w:val="21"/>
          <w:lang w:val="en-US" w:eastAsia="zh-CN" w:bidi="ar"/>
        </w:rPr>
        <w:t>8</w:t>
      </w:r>
      <w:r>
        <w:rPr>
          <w:rFonts w:hint="eastAsia" w:ascii="宋体" w:hAnsi="宋体" w:eastAsia="宋体" w:cs="宋体"/>
          <w:kern w:val="2"/>
          <w:sz w:val="21"/>
          <w:szCs w:val="21"/>
          <w:lang w:val="en-US" w:eastAsia="zh-CN" w:bidi="ar"/>
        </w:rPr>
        <w:t>技术质量保证协议”中所列示项目内容自行编制的技术文件；</w:t>
      </w:r>
    </w:p>
    <w:p w14:paraId="2BDF0CF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2.2相关条款偏离表（附件</w:t>
      </w:r>
      <w:r>
        <w:rPr>
          <w:rFonts w:hint="eastAsia" w:ascii="宋体" w:hAnsi="宋体" w:cs="宋体"/>
          <w:kern w:val="2"/>
          <w:sz w:val="21"/>
          <w:szCs w:val="21"/>
          <w:lang w:val="en-US" w:eastAsia="zh-CN" w:bidi="ar"/>
        </w:rPr>
        <w:t>5</w:t>
      </w:r>
      <w:r>
        <w:rPr>
          <w:rFonts w:hint="eastAsia" w:ascii="宋体" w:hAnsi="宋体" w:eastAsia="宋体" w:cs="宋体"/>
          <w:kern w:val="2"/>
          <w:sz w:val="21"/>
          <w:szCs w:val="21"/>
          <w:lang w:val="en-US" w:eastAsia="zh-CN" w:bidi="ar"/>
        </w:rPr>
        <w:t>，格式见“第二章 投标文件编制”）；</w:t>
      </w:r>
    </w:p>
    <w:p w14:paraId="73A36116">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kern w:val="2"/>
          <w:sz w:val="21"/>
          <w:szCs w:val="21"/>
        </w:rPr>
      </w:pPr>
      <w:r>
        <w:rPr>
          <w:rFonts w:hint="eastAsia" w:ascii="宋体" w:hAnsi="宋体" w:eastAsia="宋体" w:cs="宋体"/>
          <w:b/>
          <w:kern w:val="2"/>
          <w:sz w:val="21"/>
          <w:szCs w:val="21"/>
          <w:lang w:val="en-US" w:eastAsia="zh-CN" w:bidi="ar"/>
        </w:rPr>
        <w:t>注：</w:t>
      </w:r>
      <w:r>
        <w:rPr>
          <w:rFonts w:hint="eastAsia" w:ascii="宋体" w:hAnsi="宋体" w:eastAsia="宋体" w:cs="宋体"/>
          <w:kern w:val="2"/>
          <w:sz w:val="21"/>
          <w:szCs w:val="21"/>
          <w:lang w:val="en-US" w:eastAsia="zh-CN" w:bidi="ar"/>
        </w:rPr>
        <w:t>可做正偏离，但不允许有低于本招标文件相关要求的情况出现，否则视为主动放弃本项目投标。</w:t>
      </w:r>
    </w:p>
    <w:p w14:paraId="7581B80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eastAsia="zh-CN" w:bidi="ar"/>
        </w:rPr>
        <w:t>2.3</w:t>
      </w:r>
      <w:r>
        <w:rPr>
          <w:rFonts w:hint="eastAsia" w:ascii="宋体" w:hAnsi="宋体" w:cs="宋体"/>
          <w:kern w:val="2"/>
          <w:sz w:val="21"/>
          <w:szCs w:val="21"/>
          <w:lang w:val="en-US" w:eastAsia="zh-CN" w:bidi="ar"/>
        </w:rPr>
        <w:t>服务</w:t>
      </w:r>
      <w:r>
        <w:rPr>
          <w:rFonts w:hint="eastAsia" w:ascii="宋体" w:hAnsi="宋体" w:eastAsia="宋体" w:cs="宋体"/>
          <w:kern w:val="2"/>
          <w:sz w:val="21"/>
          <w:szCs w:val="21"/>
          <w:lang w:val="en-US" w:eastAsia="zh-CN" w:bidi="ar"/>
        </w:rPr>
        <w:t>承诺函</w:t>
      </w:r>
      <w:r>
        <w:rPr>
          <w:rFonts w:hint="default" w:ascii="宋体" w:hAnsi="宋体" w:eastAsia="宋体" w:cs="宋体"/>
          <w:kern w:val="2"/>
          <w:sz w:val="21"/>
          <w:szCs w:val="21"/>
          <w:lang w:eastAsia="zh-CN" w:bidi="ar"/>
        </w:rPr>
        <w:t>（</w:t>
      </w:r>
      <w:r>
        <w:rPr>
          <w:rFonts w:hint="eastAsia" w:ascii="宋体" w:hAnsi="宋体" w:eastAsia="宋体" w:cs="宋体"/>
          <w:kern w:val="2"/>
          <w:sz w:val="21"/>
          <w:szCs w:val="21"/>
          <w:lang w:val="en-US" w:eastAsia="zh-CN" w:bidi="ar"/>
        </w:rPr>
        <w:t>附件</w:t>
      </w:r>
      <w:r>
        <w:rPr>
          <w:rFonts w:hint="eastAsia" w:ascii="宋体" w:hAnsi="宋体" w:cs="宋体"/>
          <w:kern w:val="2"/>
          <w:sz w:val="21"/>
          <w:szCs w:val="21"/>
          <w:lang w:val="en-US" w:eastAsia="zh-CN" w:bidi="ar"/>
        </w:rPr>
        <w:t>4</w:t>
      </w:r>
      <w:r>
        <w:rPr>
          <w:rFonts w:hint="eastAsia" w:ascii="宋体" w:hAnsi="宋体" w:eastAsia="宋体" w:cs="宋体"/>
          <w:kern w:val="2"/>
          <w:sz w:val="21"/>
          <w:szCs w:val="21"/>
          <w:lang w:val="en-US" w:eastAsia="zh-CN" w:bidi="ar"/>
        </w:rPr>
        <w:t>，格式见“第二章 投标文件编制”）；</w:t>
      </w:r>
    </w:p>
    <w:p w14:paraId="280AB35A">
      <w:pPr>
        <w:pStyle w:val="8"/>
        <w:ind w:firstLine="420" w:firstLineChars="200"/>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2.4项目基本标准及基本要求（附件9，格式见“第二章 投标文件编制”）</w:t>
      </w:r>
    </w:p>
    <w:p w14:paraId="27F4122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2.</w:t>
      </w:r>
      <w:r>
        <w:rPr>
          <w:rFonts w:hint="eastAsia" w:ascii="宋体" w:hAnsi="宋体" w:cs="宋体"/>
          <w:kern w:val="2"/>
          <w:sz w:val="21"/>
          <w:szCs w:val="21"/>
          <w:lang w:val="en-US" w:eastAsia="zh-CN" w:bidi="ar"/>
        </w:rPr>
        <w:t>5</w:t>
      </w:r>
      <w:r>
        <w:rPr>
          <w:rFonts w:hint="eastAsia" w:ascii="宋体" w:hAnsi="宋体" w:eastAsia="宋体" w:cs="宋体"/>
          <w:kern w:val="2"/>
          <w:sz w:val="21"/>
          <w:szCs w:val="21"/>
          <w:lang w:val="en-US" w:eastAsia="zh-CN" w:bidi="ar"/>
        </w:rPr>
        <w:t>投标人认为需要提交的其它文件。</w:t>
      </w:r>
    </w:p>
    <w:p w14:paraId="104A592C">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2.6需单独密封的文件</w:t>
      </w:r>
    </w:p>
    <w:p w14:paraId="784F298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资质文件（内装1份）</w:t>
      </w:r>
    </w:p>
    <w:p w14:paraId="5AF8085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技术标书（内装1正、3副）</w:t>
      </w:r>
    </w:p>
    <w:p w14:paraId="06C8B71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2.7密封文件的封面标记</w:t>
      </w:r>
    </w:p>
    <w:p w14:paraId="6F76B4E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项目名称；</w:t>
      </w:r>
    </w:p>
    <w:p w14:paraId="512B4CD4">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投标人名称（加盖公章）、地址、邮编、电话、传真；</w:t>
      </w:r>
    </w:p>
    <w:p w14:paraId="5F8BE322">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一密封文件在封口处加盖投标人公章；</w:t>
      </w:r>
    </w:p>
    <w:p w14:paraId="027A280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资质文件、技术标书分别密封，密封文件均需在封口处注明“不准启封”字样；</w:t>
      </w:r>
    </w:p>
    <w:p w14:paraId="1AFD3B3D">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投标文件必须用A4幅面纸打印后装订成册，每份标书封面右上角注明</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正本”或</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副本”字样；</w:t>
      </w:r>
    </w:p>
    <w:p w14:paraId="04F4418B">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494C5441">
      <w:pPr>
        <w:pStyle w:val="14"/>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cs="宋体"/>
          <w:b/>
          <w:kern w:val="2"/>
          <w:sz w:val="21"/>
          <w:szCs w:val="21"/>
          <w:lang w:val="en-US" w:eastAsia="zh-CN" w:bidi="ar"/>
        </w:rPr>
        <w:t>3</w:t>
      </w:r>
      <w:r>
        <w:rPr>
          <w:rFonts w:hint="eastAsia" w:ascii="宋体" w:hAnsi="宋体" w:eastAsia="宋体" w:cs="宋体"/>
          <w:b/>
          <w:kern w:val="2"/>
          <w:sz w:val="21"/>
          <w:szCs w:val="21"/>
          <w:lang w:val="en-US" w:eastAsia="zh-CN" w:bidi="ar"/>
        </w:rPr>
        <w:t>.商务标</w:t>
      </w:r>
    </w:p>
    <w:p w14:paraId="735808C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3.1投标书（附件1，格式见“第二章 投标文件编制”）；</w:t>
      </w:r>
    </w:p>
    <w:p w14:paraId="0C4035C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3.2投标文件目录（附件2，格式见“第二章 投标文件编制”）</w:t>
      </w:r>
    </w:p>
    <w:p w14:paraId="518E884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3.3开标一览表、分项报价清单（附件</w:t>
      </w:r>
      <w:r>
        <w:rPr>
          <w:rFonts w:hint="eastAsia" w:ascii="宋体" w:hAnsi="宋体" w:cs="宋体"/>
          <w:kern w:val="2"/>
          <w:sz w:val="21"/>
          <w:szCs w:val="21"/>
          <w:lang w:val="en-US" w:eastAsia="zh-CN" w:bidi="ar"/>
        </w:rPr>
        <w:t>8</w:t>
      </w:r>
      <w:r>
        <w:rPr>
          <w:rFonts w:hint="eastAsia" w:ascii="宋体" w:hAnsi="宋体" w:eastAsia="宋体" w:cs="宋体"/>
          <w:kern w:val="2"/>
          <w:sz w:val="21"/>
          <w:szCs w:val="21"/>
          <w:lang w:val="en-US" w:eastAsia="zh-CN" w:bidi="ar"/>
        </w:rPr>
        <w:t>，格式见“第二章 投标文件编制”）；</w:t>
      </w:r>
    </w:p>
    <w:p w14:paraId="5B6D5FFA">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3.4投标人认为需要提交的其它文件。</w:t>
      </w:r>
    </w:p>
    <w:p w14:paraId="168A309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3.5需单独密封的文件</w:t>
      </w:r>
    </w:p>
    <w:p w14:paraId="5FD244E8">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商务标书（内装1正、3副）</w:t>
      </w:r>
    </w:p>
    <w:p w14:paraId="4A20C4CC">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开标一览表（内装</w:t>
      </w:r>
      <w:r>
        <w:rPr>
          <w:rFonts w:hint="default" w:ascii="宋体" w:hAnsi="宋体" w:eastAsia="宋体" w:cs="宋体"/>
          <w:kern w:val="2"/>
          <w:sz w:val="21"/>
          <w:szCs w:val="21"/>
          <w:lang w:val="en-US" w:eastAsia="zh-CN" w:bidi="ar"/>
        </w:rPr>
        <w:t>1</w:t>
      </w:r>
      <w:r>
        <w:rPr>
          <w:rFonts w:hint="eastAsia" w:ascii="宋体" w:hAnsi="宋体" w:eastAsia="宋体" w:cs="宋体"/>
          <w:kern w:val="2"/>
          <w:sz w:val="21"/>
          <w:szCs w:val="21"/>
          <w:lang w:val="en-US" w:eastAsia="zh-CN" w:bidi="ar"/>
        </w:rPr>
        <w:t>份）</w:t>
      </w:r>
    </w:p>
    <w:p w14:paraId="389C711D">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3.6密封文件的封面标记</w:t>
      </w:r>
    </w:p>
    <w:p w14:paraId="6D979EFC">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项目名称；</w:t>
      </w:r>
    </w:p>
    <w:p w14:paraId="3A6445B2">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投标人名称（加盖公章）、地址、邮编、电话、传真；</w:t>
      </w:r>
    </w:p>
    <w:p w14:paraId="0C5064C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一密封文件在封口处加盖投标人公章；</w:t>
      </w:r>
    </w:p>
    <w:p w14:paraId="35313CC6">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开标一览表、商务标书项文件分别密封，密封文件均需在封口处注明“不准启封”字样；</w:t>
      </w:r>
    </w:p>
    <w:p w14:paraId="3E3A4DA1">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投标文件必须用A4幅面纸打印后装订成册，每份标书封面右上角注明</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正本”或</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副本”字样；</w:t>
      </w:r>
    </w:p>
    <w:p w14:paraId="030F4287">
      <w:pPr>
        <w:pStyle w:val="14"/>
        <w:keepNext w:val="0"/>
        <w:keepLines w:val="0"/>
        <w:widowControl w:val="0"/>
        <w:suppressLineNumbers w:val="0"/>
        <w:spacing w:before="0" w:beforeAutospacing="0" w:after="0" w:afterAutospacing="0" w:line="360" w:lineRule="auto"/>
        <w:ind w:left="0" w:right="0" w:firstLine="420" w:firstLineChars="200"/>
        <w:jc w:val="both"/>
        <w:rPr>
          <w:rFonts w:hint="eastAsia"/>
        </w:rPr>
      </w:pPr>
      <w:r>
        <w:rPr>
          <w:rFonts w:hint="eastAsia" w:ascii="宋体" w:hAnsi="宋体" w:eastAsia="宋体" w:cs="宋体"/>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43387168">
      <w:pPr>
        <w:pStyle w:val="2"/>
        <w:bidi w:val="0"/>
        <w:rPr>
          <w:rFonts w:hint="eastAsia"/>
        </w:rPr>
      </w:pPr>
      <w:bookmarkStart w:id="22" w:name="_Toc23706"/>
      <w:r>
        <w:rPr>
          <w:rFonts w:hint="eastAsia"/>
          <w:lang w:val="en-US" w:eastAsia="zh-CN"/>
        </w:rPr>
        <w:t>二</w:t>
      </w:r>
      <w:r>
        <w:rPr>
          <w:rFonts w:hint="eastAsia"/>
        </w:rPr>
        <w:t>、投标文件签署</w:t>
      </w:r>
      <w:bookmarkEnd w:id="22"/>
    </w:p>
    <w:p w14:paraId="72AB4CA7">
      <w:pPr>
        <w:pStyle w:val="9"/>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1ED24E68">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0B924245">
      <w:pPr>
        <w:pStyle w:val="2"/>
        <w:bidi w:val="0"/>
        <w:rPr>
          <w:rFonts w:hint="eastAsia"/>
        </w:rPr>
      </w:pPr>
      <w:bookmarkStart w:id="23" w:name="_Toc28729"/>
      <w:r>
        <w:rPr>
          <w:rFonts w:hint="eastAsia"/>
          <w:lang w:val="en-US" w:eastAsia="zh-CN"/>
        </w:rPr>
        <w:t>三</w:t>
      </w:r>
      <w:r>
        <w:rPr>
          <w:rFonts w:hint="eastAsia"/>
        </w:rPr>
        <w:t>、投标文件的密封和标记</w:t>
      </w:r>
      <w:bookmarkEnd w:id="23"/>
    </w:p>
    <w:p w14:paraId="4B7497B5">
      <w:pPr>
        <w:pStyle w:val="9"/>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16C513EF">
      <w:pPr>
        <w:pStyle w:val="9"/>
        <w:spacing w:line="360" w:lineRule="auto"/>
        <w:ind w:firstLine="420" w:firstLineChars="200"/>
        <w:rPr>
          <w:rFonts w:hint="eastAsia" w:hAnsi="宋体"/>
        </w:rPr>
      </w:pPr>
      <w:r>
        <w:rPr>
          <w:rFonts w:hint="eastAsia" w:hAnsi="宋体"/>
        </w:rPr>
        <w:t>1.1项目名称</w:t>
      </w:r>
    </w:p>
    <w:p w14:paraId="684303B1">
      <w:pPr>
        <w:pStyle w:val="9"/>
        <w:spacing w:line="360" w:lineRule="auto"/>
        <w:ind w:firstLine="420" w:firstLineChars="200"/>
        <w:rPr>
          <w:rFonts w:hint="eastAsia" w:hAnsi="宋体"/>
        </w:rPr>
      </w:pPr>
      <w:r>
        <w:rPr>
          <w:rFonts w:hint="eastAsia" w:hAnsi="宋体"/>
        </w:rPr>
        <w:t>1.2投标人名称（加盖公章）、地址、邮编、电话、传真</w:t>
      </w:r>
    </w:p>
    <w:p w14:paraId="66BFFEE7">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64EDE452">
      <w:pPr>
        <w:pStyle w:val="9"/>
        <w:spacing w:line="360" w:lineRule="auto"/>
        <w:ind w:firstLine="420" w:firstLineChars="200"/>
        <w:rPr>
          <w:rFonts w:hint="default" w:hAnsi="宋体" w:eastAsia="宋体"/>
          <w:lang w:val="en-US" w:eastAsia="zh-CN"/>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75C94EC7">
      <w:pPr>
        <w:pStyle w:val="2"/>
        <w:bidi w:val="0"/>
        <w:rPr>
          <w:rFonts w:hint="eastAsia"/>
          <w:lang w:val="en-US" w:eastAsia="zh-CN"/>
        </w:rPr>
      </w:pPr>
      <w:bookmarkStart w:id="24" w:name="_Toc8806"/>
      <w:r>
        <w:rPr>
          <w:rFonts w:hint="eastAsia"/>
          <w:lang w:val="en-US" w:eastAsia="zh-CN"/>
        </w:rPr>
        <w:t>四</w:t>
      </w:r>
      <w:r>
        <w:rPr>
          <w:rFonts w:hint="eastAsia"/>
        </w:rPr>
        <w:t>、</w:t>
      </w:r>
      <w:r>
        <w:rPr>
          <w:rFonts w:hint="eastAsia"/>
          <w:lang w:val="en-US" w:eastAsia="zh-CN"/>
        </w:rPr>
        <w:t>纸质标书邮寄</w:t>
      </w:r>
      <w:bookmarkEnd w:id="24"/>
    </w:p>
    <w:p w14:paraId="403C5407">
      <w:pPr>
        <w:pStyle w:val="9"/>
        <w:spacing w:line="360" w:lineRule="auto"/>
        <w:rPr>
          <w:rFonts w:hint="eastAsia" w:hAnsi="宋体"/>
          <w:lang w:val="en-US" w:eastAsia="zh-CN"/>
        </w:rPr>
      </w:pPr>
      <w:r>
        <w:rPr>
          <w:rFonts w:hint="eastAsia" w:hAnsi="宋体"/>
          <w:lang w:val="en-US" w:eastAsia="zh-CN"/>
        </w:rPr>
        <w:t>1.邮寄地址：山东省济南市历城区世纪大道757号</w:t>
      </w:r>
      <w:r>
        <w:rPr>
          <w:rFonts w:hint="eastAsia" w:hAnsi="宋体"/>
          <w:lang w:val="en-US" w:eastAsia="zh-CN"/>
        </w:rPr>
        <w:br w:type="textWrapping"/>
      </w:r>
      <w:r>
        <w:rPr>
          <w:rFonts w:hint="eastAsia" w:hAnsi="宋体"/>
          <w:lang w:val="en-US" w:eastAsia="zh-CN"/>
        </w:rPr>
        <w:t>2.收件人：赵佳明（13066007932）</w:t>
      </w:r>
    </w:p>
    <w:p w14:paraId="1BB97877">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bookmarkStart w:id="25" w:name="_Toc5748"/>
      <w:r>
        <w:rPr>
          <w:rFonts w:hint="eastAsia"/>
        </w:rPr>
        <w:t>附件1</w:t>
      </w:r>
      <w:bookmarkEnd w:id="25"/>
    </w:p>
    <w:p w14:paraId="34708092">
      <w:pPr>
        <w:spacing w:line="360" w:lineRule="auto"/>
        <w:jc w:val="center"/>
        <w:rPr>
          <w:rFonts w:hint="eastAsia" w:eastAsia="黑体"/>
          <w:b/>
          <w:bCs/>
          <w:sz w:val="28"/>
        </w:rPr>
      </w:pPr>
      <w:r>
        <w:rPr>
          <w:rFonts w:hint="eastAsia" w:eastAsia="黑体"/>
          <w:b/>
          <w:bCs/>
          <w:sz w:val="28"/>
        </w:rPr>
        <w:t>投标书</w:t>
      </w:r>
    </w:p>
    <w:p w14:paraId="39ECD34F">
      <w:pPr>
        <w:spacing w:line="360" w:lineRule="auto"/>
        <w:rPr>
          <w:rFonts w:hint="eastAsia" w:ascii="宋体" w:hAnsi="宋体"/>
          <w:u w:val="single"/>
        </w:rPr>
      </w:pPr>
      <w:r>
        <w:rPr>
          <w:rFonts w:hint="eastAsia" w:ascii="宋体" w:hAnsi="宋体"/>
        </w:rPr>
        <w:t>致</w:t>
      </w:r>
      <w:r>
        <w:rPr>
          <w:rFonts w:hint="eastAsia" w:ascii="宋体" w:hAnsi="宋体"/>
          <w:u w:val="single"/>
          <w:lang w:val="en-US" w:eastAsia="zh-CN"/>
        </w:rPr>
        <w:t>重汽（济南）车桥有限公司：</w:t>
      </w:r>
    </w:p>
    <w:p w14:paraId="04955331">
      <w:pPr>
        <w:spacing w:line="360" w:lineRule="auto"/>
        <w:ind w:firstLine="645"/>
        <w:rPr>
          <w:rFonts w:hint="eastAsia" w:ascii="宋体" w:hAnsi="宋体"/>
        </w:rPr>
      </w:pPr>
      <w:r>
        <w:rPr>
          <w:rFonts w:hint="eastAsia" w:ascii="宋体" w:hAnsi="宋体"/>
        </w:rPr>
        <w:t>根据贵方为</w:t>
      </w:r>
      <w:r>
        <w:rPr>
          <w:rFonts w:hint="eastAsia" w:ascii="宋体" w:hAnsi="宋体"/>
          <w:b w:val="0"/>
          <w:bCs w:val="0"/>
          <w:u w:val="single"/>
          <w:lang w:val="en-US" w:eastAsia="zh-CN"/>
        </w:rPr>
        <w:t>前桥驱动桥喷漆</w:t>
      </w:r>
      <w:r>
        <w:rPr>
          <w:rFonts w:hint="eastAsia" w:ascii="宋体" w:hAnsi="宋体"/>
          <w:u w:val="none"/>
          <w:lang w:val="en-US" w:eastAsia="zh-CN"/>
        </w:rPr>
        <w:t>项目</w:t>
      </w:r>
      <w:r>
        <w:rPr>
          <w:rFonts w:hint="eastAsia" w:ascii="宋体" w:hAnsi="宋体"/>
        </w:rPr>
        <w:t>招标书，签字代表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2DEC6E17">
      <w:pPr>
        <w:pStyle w:val="9"/>
        <w:spacing w:line="360" w:lineRule="auto"/>
        <w:rPr>
          <w:rFonts w:hint="eastAsia" w:ascii="宋体" w:hAnsi="宋体"/>
        </w:rPr>
      </w:pPr>
      <w:r>
        <w:rPr>
          <w:rFonts w:hint="eastAsia" w:ascii="宋体" w:hAnsi="宋体"/>
        </w:rPr>
        <w:t>资质证明文件（1份）</w:t>
      </w:r>
    </w:p>
    <w:p w14:paraId="0332A145">
      <w:pPr>
        <w:pStyle w:val="9"/>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2756409E">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7284731F">
      <w:pPr>
        <w:spacing w:line="360" w:lineRule="auto"/>
        <w:rPr>
          <w:rFonts w:hint="eastAsia" w:ascii="宋体" w:hAnsi="宋体"/>
        </w:rPr>
      </w:pPr>
      <w:r>
        <w:rPr>
          <w:rFonts w:hint="eastAsia" w:ascii="宋体" w:hAnsi="宋体"/>
        </w:rPr>
        <w:t>技术标书（正本1份和副本3份）</w:t>
      </w:r>
    </w:p>
    <w:p w14:paraId="3599CDEE">
      <w:pPr>
        <w:spacing w:line="360" w:lineRule="auto"/>
        <w:rPr>
          <w:rFonts w:hint="eastAsia" w:ascii="宋体" w:hAnsi="宋体"/>
        </w:rPr>
      </w:pPr>
      <w:r>
        <w:rPr>
          <w:rFonts w:hint="eastAsia" w:ascii="宋体" w:hAnsi="宋体"/>
        </w:rPr>
        <w:t>据此，签字代表宣布同意如下：</w:t>
      </w:r>
    </w:p>
    <w:p w14:paraId="672CB735">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5FF64B42">
      <w:pPr>
        <w:numPr>
          <w:ilvl w:val="0"/>
          <w:numId w:val="5"/>
        </w:numPr>
        <w:spacing w:line="360" w:lineRule="auto"/>
        <w:rPr>
          <w:rFonts w:hint="eastAsia" w:ascii="宋体" w:hAnsi="宋体"/>
        </w:rPr>
      </w:pPr>
      <w:r>
        <w:rPr>
          <w:rFonts w:hint="eastAsia" w:ascii="宋体" w:hAnsi="宋体"/>
        </w:rPr>
        <w:t>投标人将按招标文件的规定履行合同责任和义务。</w:t>
      </w:r>
    </w:p>
    <w:p w14:paraId="1A16B8BD">
      <w:pPr>
        <w:numPr>
          <w:ilvl w:val="0"/>
          <w:numId w:val="5"/>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0A74A94B">
      <w:pPr>
        <w:numPr>
          <w:ilvl w:val="0"/>
          <w:numId w:val="5"/>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2B199DBB">
      <w:pPr>
        <w:numPr>
          <w:ilvl w:val="0"/>
          <w:numId w:val="5"/>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214DE4CE">
      <w:pPr>
        <w:numPr>
          <w:ilvl w:val="0"/>
          <w:numId w:val="5"/>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3E1D6716">
      <w:pPr>
        <w:numPr>
          <w:ilvl w:val="0"/>
          <w:numId w:val="5"/>
        </w:numPr>
        <w:spacing w:line="360" w:lineRule="auto"/>
        <w:rPr>
          <w:rFonts w:hint="eastAsia" w:ascii="宋体" w:hAnsi="宋体"/>
        </w:rPr>
      </w:pPr>
      <w:r>
        <w:rPr>
          <w:rFonts w:hint="eastAsia" w:ascii="宋体" w:hAnsi="宋体"/>
        </w:rPr>
        <w:t>与本投标有关的一切正式往来通讯请寄：</w:t>
      </w:r>
    </w:p>
    <w:p w14:paraId="3261B628">
      <w:pPr>
        <w:spacing w:line="360" w:lineRule="auto"/>
        <w:ind w:left="795"/>
        <w:rPr>
          <w:rFonts w:hint="eastAsia" w:ascii="宋体" w:hAnsi="宋体"/>
        </w:rPr>
      </w:pPr>
      <w:r>
        <w:rPr>
          <w:rFonts w:hint="eastAsia" w:ascii="宋体" w:hAnsi="宋体"/>
        </w:rPr>
        <w:t xml:space="preserve">地址：                                  </w:t>
      </w:r>
    </w:p>
    <w:p w14:paraId="489E1AF8">
      <w:pPr>
        <w:spacing w:line="360" w:lineRule="auto"/>
        <w:ind w:left="795"/>
        <w:rPr>
          <w:rFonts w:hint="eastAsia" w:ascii="宋体" w:hAnsi="宋体"/>
        </w:rPr>
      </w:pPr>
      <w:r>
        <w:rPr>
          <w:rFonts w:hint="eastAsia" w:ascii="宋体" w:hAnsi="宋体"/>
        </w:rPr>
        <w:t>邮编：</w:t>
      </w:r>
    </w:p>
    <w:p w14:paraId="04156088">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73490931">
      <w:pPr>
        <w:spacing w:line="360" w:lineRule="auto"/>
        <w:ind w:left="795"/>
        <w:rPr>
          <w:rFonts w:hint="eastAsia"/>
        </w:rPr>
      </w:pPr>
      <w:r>
        <w:rPr>
          <w:rFonts w:hint="eastAsia"/>
        </w:rPr>
        <w:t xml:space="preserve">投标人授权代表签字：                 职务：                 </w:t>
      </w:r>
    </w:p>
    <w:p w14:paraId="55381CAD">
      <w:pPr>
        <w:spacing w:line="360" w:lineRule="auto"/>
        <w:ind w:left="795"/>
        <w:rPr>
          <w:rFonts w:hint="eastAsia"/>
        </w:rPr>
      </w:pPr>
      <w:r>
        <w:rPr>
          <w:rFonts w:hint="eastAsia"/>
        </w:rPr>
        <w:t>投标人名称（及公章）：</w:t>
      </w:r>
    </w:p>
    <w:p w14:paraId="19C13E7D">
      <w:pPr>
        <w:spacing w:line="360" w:lineRule="auto"/>
        <w:ind w:left="795"/>
        <w:rPr>
          <w:rFonts w:hint="eastAsia" w:ascii="黑体" w:eastAsia="黑体"/>
          <w:sz w:val="30"/>
        </w:rPr>
      </w:pPr>
      <w:r>
        <w:rPr>
          <w:rFonts w:hint="eastAsia"/>
        </w:rPr>
        <w:t>日期：        年       月       日</w:t>
      </w:r>
    </w:p>
    <w:p w14:paraId="60F0BF68">
      <w:pPr>
        <w:pStyle w:val="2"/>
        <w:bidi w:val="0"/>
        <w:rPr>
          <w:rFonts w:hint="eastAsia"/>
        </w:rPr>
      </w:pPr>
      <w:bookmarkStart w:id="26" w:name="_Toc25976"/>
      <w:r>
        <w:rPr>
          <w:rFonts w:hint="eastAsia"/>
        </w:rPr>
        <w:t>附件2</w:t>
      </w:r>
      <w:bookmarkEnd w:id="26"/>
    </w:p>
    <w:p w14:paraId="3528590F">
      <w:pPr>
        <w:jc w:val="center"/>
        <w:rPr>
          <w:rFonts w:hint="eastAsia" w:ascii="黑体" w:eastAsia="黑体"/>
          <w:sz w:val="30"/>
        </w:rPr>
      </w:pPr>
      <w:r>
        <w:rPr>
          <w:rFonts w:hint="eastAsia" w:ascii="黑体" w:eastAsia="黑体"/>
          <w:sz w:val="30"/>
        </w:rPr>
        <w:t>投标文件目录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032"/>
        <w:gridCol w:w="1180"/>
      </w:tblGrid>
      <w:tr w14:paraId="3F4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28CC42C9">
            <w:pPr>
              <w:keepNext w:val="0"/>
              <w:keepLines w:val="0"/>
              <w:suppressLineNumbers w:val="0"/>
              <w:spacing w:before="0" w:beforeAutospacing="0" w:after="0" w:afterAutospacing="0"/>
              <w:ind w:left="0" w:right="0"/>
              <w:jc w:val="center"/>
              <w:rPr>
                <w:rFonts w:hint="eastAsia" w:ascii="Times New Roman" w:hAnsi="Times New Roman" w:cs="Times New Roman"/>
                <w:sz w:val="28"/>
                <w:szCs w:val="20"/>
              </w:rPr>
            </w:pPr>
            <w:r>
              <w:rPr>
                <w:rFonts w:hint="eastAsia" w:ascii="Times New Roman" w:hAnsi="Times New Roman" w:cs="Times New Roman"/>
                <w:sz w:val="28"/>
                <w:szCs w:val="20"/>
              </w:rPr>
              <w:t>序号</w:t>
            </w:r>
          </w:p>
        </w:tc>
        <w:tc>
          <w:tcPr>
            <w:tcW w:w="6032" w:type="dxa"/>
            <w:noWrap w:val="0"/>
            <w:vAlign w:val="center"/>
          </w:tcPr>
          <w:p w14:paraId="48CC11B9">
            <w:pPr>
              <w:keepNext w:val="0"/>
              <w:keepLines w:val="0"/>
              <w:suppressLineNumbers w:val="0"/>
              <w:spacing w:before="0" w:beforeAutospacing="0" w:after="0" w:afterAutospacing="0"/>
              <w:ind w:left="0" w:right="0"/>
              <w:jc w:val="center"/>
              <w:rPr>
                <w:rFonts w:hint="eastAsia" w:ascii="Times New Roman" w:hAnsi="Times New Roman" w:cs="Times New Roman"/>
                <w:sz w:val="28"/>
                <w:szCs w:val="20"/>
              </w:rPr>
            </w:pPr>
            <w:r>
              <w:rPr>
                <w:rFonts w:hint="eastAsia" w:ascii="Times New Roman" w:hAnsi="Times New Roman" w:cs="Times New Roman"/>
                <w:sz w:val="28"/>
                <w:szCs w:val="20"/>
              </w:rPr>
              <w:t>主要内容</w:t>
            </w:r>
          </w:p>
        </w:tc>
        <w:tc>
          <w:tcPr>
            <w:tcW w:w="1180" w:type="dxa"/>
            <w:noWrap w:val="0"/>
            <w:vAlign w:val="center"/>
          </w:tcPr>
          <w:p w14:paraId="65056B4E">
            <w:pPr>
              <w:keepNext w:val="0"/>
              <w:keepLines w:val="0"/>
              <w:suppressLineNumbers w:val="0"/>
              <w:spacing w:before="0" w:beforeAutospacing="0" w:after="0" w:afterAutospacing="0"/>
              <w:ind w:left="0" w:right="0"/>
              <w:jc w:val="center"/>
              <w:rPr>
                <w:rFonts w:hint="eastAsia" w:ascii="Times New Roman" w:hAnsi="Times New Roman" w:cs="Times New Roman"/>
                <w:sz w:val="28"/>
                <w:szCs w:val="20"/>
              </w:rPr>
            </w:pPr>
            <w:r>
              <w:rPr>
                <w:rFonts w:hint="eastAsia" w:ascii="Times New Roman" w:hAnsi="Times New Roman" w:cs="Times New Roman"/>
                <w:sz w:val="28"/>
                <w:szCs w:val="20"/>
              </w:rPr>
              <w:t>索引</w:t>
            </w:r>
          </w:p>
        </w:tc>
      </w:tr>
      <w:tr w14:paraId="2D37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3CA7B606">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4E8B6B4D">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362C1B46">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08C4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499457E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6A44EEA2">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07E5C55B">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374B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94FD31D">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6897C454">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386EEE7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0E8F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2D383E62">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5B7A4E86">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14ACA1DD">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054D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F8CC2D1">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16F93D99">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152F17D4">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480A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28CDF233">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3E5BF632">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767AE43A">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1DEA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7AE8FA5">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7EADF1BE">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4F9AFEDA">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3E75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18BA27F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3E047AEE">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2EC7EC37">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1F5F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750764C9">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45E7C885">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4A96B31F">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01BC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A9D65AC">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4CF9B089">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2DC60284">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r w14:paraId="7B2C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14:paraId="6080FB30">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6032" w:type="dxa"/>
            <w:noWrap w:val="0"/>
            <w:vAlign w:val="center"/>
          </w:tcPr>
          <w:p w14:paraId="1D7425B1">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c>
          <w:tcPr>
            <w:tcW w:w="1180" w:type="dxa"/>
            <w:noWrap w:val="0"/>
            <w:vAlign w:val="center"/>
          </w:tcPr>
          <w:p w14:paraId="61CC81FC">
            <w:pPr>
              <w:keepNext w:val="0"/>
              <w:keepLines w:val="0"/>
              <w:suppressLineNumbers w:val="0"/>
              <w:spacing w:before="0" w:beforeAutospacing="0" w:after="0" w:afterAutospacing="0"/>
              <w:ind w:left="0" w:right="0"/>
              <w:jc w:val="center"/>
              <w:rPr>
                <w:rFonts w:hint="eastAsia" w:ascii="Times New Roman" w:hAnsi="Times New Roman" w:cs="Times New Roman"/>
                <w:szCs w:val="20"/>
              </w:rPr>
            </w:pPr>
          </w:p>
        </w:tc>
      </w:tr>
    </w:tbl>
    <w:p w14:paraId="5E83A3AF">
      <w:pPr>
        <w:rPr>
          <w:rFonts w:hint="eastAsia" w:ascii="宋体" w:hAnsi="宋体"/>
          <w:sz w:val="24"/>
          <w:szCs w:val="24"/>
        </w:rPr>
      </w:pPr>
    </w:p>
    <w:p w14:paraId="0C263D92">
      <w:pPr>
        <w:rPr>
          <w:rFonts w:hint="eastAsia" w:ascii="宋体" w:hAnsi="宋体"/>
          <w:sz w:val="24"/>
          <w:szCs w:val="24"/>
        </w:rPr>
      </w:pPr>
      <w:r>
        <w:rPr>
          <w:rFonts w:hint="eastAsia" w:ascii="宋体" w:hAnsi="宋体"/>
          <w:sz w:val="24"/>
          <w:szCs w:val="24"/>
        </w:rPr>
        <w:t>投标人名称（盖章）：              法定代表人或授权代表签字：</w:t>
      </w:r>
    </w:p>
    <w:p w14:paraId="49240103">
      <w:pPr>
        <w:rPr>
          <w:rFonts w:hint="eastAsia" w:ascii="宋体" w:hAnsi="宋体"/>
          <w:sz w:val="24"/>
        </w:rPr>
      </w:pPr>
    </w:p>
    <w:p w14:paraId="120C766B">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7CB47C4">
      <w:pPr>
        <w:numPr>
          <w:ilvl w:val="0"/>
          <w:numId w:val="6"/>
        </w:numPr>
        <w:ind w:firstLine="480"/>
        <w:rPr>
          <w:rFonts w:hint="eastAsia" w:ascii="宋体" w:hAnsi="宋体"/>
          <w:sz w:val="24"/>
        </w:rPr>
      </w:pPr>
      <w:r>
        <w:rPr>
          <w:rFonts w:hint="eastAsia" w:ascii="宋体" w:hAnsi="宋体"/>
          <w:sz w:val="24"/>
        </w:rPr>
        <w:t>“索引”一栏填写该主要内容对应于投标文件的“条款号/页号”</w:t>
      </w:r>
    </w:p>
    <w:p w14:paraId="3D4336E1">
      <w:pPr>
        <w:widowControl w:val="0"/>
        <w:numPr>
          <w:ilvl w:val="0"/>
          <w:numId w:val="0"/>
        </w:numPr>
        <w:jc w:val="both"/>
        <w:rPr>
          <w:rFonts w:hint="eastAsia" w:ascii="宋体" w:hAnsi="宋体"/>
          <w:sz w:val="24"/>
        </w:rPr>
      </w:pPr>
    </w:p>
    <w:p w14:paraId="7E3DA368">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rPr>
      </w:pPr>
      <w:bookmarkStart w:id="27" w:name="_Toc22034"/>
      <w:r>
        <w:rPr>
          <w:rFonts w:hint="eastAsia"/>
        </w:rPr>
        <w:t>附件3</w:t>
      </w:r>
      <w:bookmarkEnd w:id="27"/>
    </w:p>
    <w:p w14:paraId="72B4AA50">
      <w:pPr>
        <w:jc w:val="center"/>
        <w:rPr>
          <w:rFonts w:hint="eastAsia" w:eastAsia="黑体"/>
          <w:b/>
          <w:bCs/>
          <w:sz w:val="28"/>
        </w:rPr>
      </w:pPr>
      <w:r>
        <w:rPr>
          <w:rFonts w:hint="eastAsia" w:eastAsia="黑体"/>
          <w:b/>
          <w:bCs/>
          <w:sz w:val="28"/>
        </w:rPr>
        <w:t>法人授权委托书</w:t>
      </w:r>
    </w:p>
    <w:p w14:paraId="243A0391">
      <w:pPr>
        <w:rPr>
          <w:rFonts w:hint="default" w:ascii="宋体" w:hAnsi="宋体"/>
          <w:u w:val="single"/>
          <w:lang w:val="en-US"/>
        </w:rPr>
      </w:pPr>
      <w:r>
        <w:rPr>
          <w:rFonts w:hint="eastAsia" w:ascii="宋体" w:hAnsi="宋体"/>
        </w:rPr>
        <w:t>致</w:t>
      </w:r>
      <w:r>
        <w:rPr>
          <w:rFonts w:hint="eastAsia" w:ascii="宋体" w:hAnsi="宋体"/>
          <w:u w:val="single"/>
          <w:lang w:val="en-US" w:eastAsia="zh-CN"/>
        </w:rPr>
        <w:t>重汽（济南）车桥有限公司：</w:t>
      </w:r>
    </w:p>
    <w:p w14:paraId="376F500F">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u w:val="single"/>
          <w:lang w:val="en-US" w:eastAsia="zh-CN"/>
        </w:rPr>
        <w:t>前桥驱动桥喷漆</w:t>
      </w:r>
      <w:r>
        <w:rPr>
          <w:rFonts w:hint="eastAsia" w:cs="宋体"/>
          <w:kern w:val="0"/>
          <w:szCs w:val="21"/>
          <w:u w:val="none"/>
          <w:lang w:val="en-US" w:eastAsia="zh-CN"/>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1867D11">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F63D804">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7DC76C97">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9D5A16C">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7EFAF409">
      <w:pPr>
        <w:spacing w:line="360" w:lineRule="auto"/>
        <w:ind w:firstLine="420" w:firstLineChars="200"/>
        <w:rPr>
          <w:rFonts w:ascii="宋体"/>
          <w:kern w:val="0"/>
          <w:szCs w:val="21"/>
        </w:rPr>
      </w:pPr>
      <w:r>
        <w:rPr>
          <w:rFonts w:hint="eastAsia" w:ascii="宋体" w:hAnsi="宋体"/>
          <w:kern w:val="0"/>
          <w:szCs w:val="21"/>
        </w:rPr>
        <w:t>投标人名称：（盖单位公章）</w:t>
      </w:r>
    </w:p>
    <w:p w14:paraId="26ADCB77">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1936519D">
      <w:pPr>
        <w:spacing w:line="360" w:lineRule="auto"/>
        <w:rPr>
          <w:rFonts w:ascii="宋体"/>
          <w:kern w:val="0"/>
          <w:szCs w:val="21"/>
        </w:rPr>
      </w:pPr>
    </w:p>
    <w:p w14:paraId="601D12D4">
      <w:pPr>
        <w:adjustRightInd w:val="0"/>
        <w:spacing w:line="480" w:lineRule="exact"/>
        <w:jc w:val="left"/>
        <w:textAlignment w:val="baseline"/>
        <w:rPr>
          <w:rFonts w:hint="eastAsia" w:ascii="宋体" w:hAnsi="宋体"/>
          <w:sz w:val="24"/>
        </w:rPr>
        <w:sectPr>
          <w:footerReference r:id="rId7" w:type="first"/>
          <w:footerReference r:id="rId6" w:type="default"/>
          <w:pgSz w:w="11906" w:h="16838"/>
          <w:pgMar w:top="1417" w:right="1587" w:bottom="1020" w:left="1587" w:header="851" w:footer="992" w:gutter="0"/>
          <w:pgNumType w:fmt="numberInDash" w:start="1"/>
          <w:cols w:space="720" w:num="1"/>
          <w:titlePg/>
          <w:docGrid w:type="lines" w:linePitch="312" w:charSpace="0"/>
        </w:sectPr>
      </w:pPr>
      <w:r>
        <w:rPr>
          <w:rFonts w:hint="eastAsia" w:ascii="宋体" w:hAnsi="宋体"/>
          <w:b/>
          <w:kern w:val="0"/>
          <w:szCs w:val="21"/>
        </w:rPr>
        <w:t>附法人代表及被授权人（授权代表）有效的身份证正反两面复印</w:t>
      </w:r>
    </w:p>
    <w:p w14:paraId="79F6065A">
      <w:pPr>
        <w:pStyle w:val="2"/>
        <w:bidi w:val="0"/>
        <w:rPr>
          <w:rFonts w:hint="eastAsia"/>
          <w:lang w:eastAsia="zh-CN"/>
        </w:rPr>
      </w:pPr>
      <w:bookmarkStart w:id="28" w:name="_Toc3523"/>
      <w:r>
        <w:rPr>
          <w:rFonts w:hint="eastAsia"/>
        </w:rPr>
        <w:t>附件</w:t>
      </w:r>
      <w:r>
        <w:rPr>
          <w:rFonts w:hint="eastAsia"/>
          <w:lang w:val="en-US" w:eastAsia="zh-CN"/>
        </w:rPr>
        <w:t>4</w:t>
      </w:r>
      <w:bookmarkEnd w:id="28"/>
    </w:p>
    <w:p w14:paraId="5BA7E585">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19C78083">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0C7FBFC3">
      <w:pPr>
        <w:spacing w:line="360" w:lineRule="auto"/>
        <w:rPr>
          <w:rFonts w:ascii="宋体"/>
          <w:bCs/>
          <w:sz w:val="24"/>
        </w:rPr>
      </w:pPr>
      <w:r>
        <w:rPr>
          <w:rFonts w:hint="eastAsia" w:ascii="宋体" w:hAnsi="宋体"/>
          <w:bCs/>
          <w:sz w:val="24"/>
        </w:rPr>
        <w:t>我单位承诺：</w:t>
      </w:r>
    </w:p>
    <w:p w14:paraId="641F11FC">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w:t>
      </w:r>
      <w:r>
        <w:rPr>
          <w:rFonts w:hint="eastAsia" w:ascii="宋体" w:hAnsi="宋体"/>
          <w:bCs/>
          <w:sz w:val="24"/>
          <w:lang w:val="en-US" w:eastAsia="zh-CN"/>
        </w:rPr>
        <w:t>项目</w:t>
      </w:r>
      <w:r>
        <w:rPr>
          <w:rFonts w:hint="eastAsia" w:ascii="宋体" w:hAnsi="宋体"/>
          <w:bCs/>
          <w:sz w:val="24"/>
        </w:rPr>
        <w:t>施工现场，上述人员未经招标人同意，我单位不得擅自调换或撤离，招标人如认为有必要，可要求对上述人员中的部分人员作出更好的调整。</w:t>
      </w:r>
    </w:p>
    <w:p w14:paraId="7DED12ED">
      <w:pPr>
        <w:spacing w:line="360" w:lineRule="auto"/>
        <w:ind w:firstLine="480" w:firstLineChars="200"/>
        <w:rPr>
          <w:rFonts w:ascii="宋体"/>
          <w:bCs/>
          <w:sz w:val="24"/>
        </w:rPr>
      </w:pPr>
      <w:r>
        <w:rPr>
          <w:rFonts w:hint="eastAsia" w:ascii="宋体" w:hAnsi="宋体"/>
          <w:bCs/>
          <w:sz w:val="24"/>
        </w:rPr>
        <w:t>②按招标文件要求完成相应工作内容。</w:t>
      </w:r>
    </w:p>
    <w:p w14:paraId="36286DE5">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08862187">
      <w:pPr>
        <w:spacing w:line="360" w:lineRule="auto"/>
        <w:ind w:firstLine="480" w:firstLineChars="200"/>
        <w:rPr>
          <w:rFonts w:ascii="宋体" w:hAnsi="宋体"/>
          <w:bCs/>
          <w:sz w:val="24"/>
        </w:rPr>
      </w:pPr>
    </w:p>
    <w:p w14:paraId="78F34AFD">
      <w:pPr>
        <w:spacing w:line="360" w:lineRule="auto"/>
        <w:ind w:firstLine="480" w:firstLineChars="200"/>
        <w:rPr>
          <w:rFonts w:ascii="宋体" w:hAnsi="宋体"/>
          <w:bCs/>
          <w:sz w:val="24"/>
        </w:rPr>
      </w:pPr>
    </w:p>
    <w:p w14:paraId="281FCC44">
      <w:pPr>
        <w:spacing w:line="360" w:lineRule="auto"/>
        <w:ind w:firstLine="480" w:firstLineChars="200"/>
        <w:rPr>
          <w:rFonts w:ascii="宋体" w:hAnsi="宋体"/>
          <w:bCs/>
          <w:sz w:val="24"/>
        </w:rPr>
      </w:pPr>
    </w:p>
    <w:p w14:paraId="59600977">
      <w:pPr>
        <w:spacing w:line="360" w:lineRule="auto"/>
        <w:ind w:firstLine="482" w:firstLineChars="200"/>
        <w:rPr>
          <w:rFonts w:ascii="宋体"/>
          <w:b/>
          <w:bCs/>
          <w:sz w:val="24"/>
        </w:rPr>
      </w:pPr>
    </w:p>
    <w:p w14:paraId="2DB11858">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48303EEB">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783F827D">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456584A9">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63B36135">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0236D308">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bookmarkStart w:id="29" w:name="_Toc8931"/>
      <w:r>
        <w:rPr>
          <w:rFonts w:hint="eastAsia"/>
        </w:rPr>
        <w:t>附件</w:t>
      </w:r>
      <w:r>
        <w:rPr>
          <w:rFonts w:hint="eastAsia"/>
          <w:lang w:val="en-US" w:eastAsia="zh-CN"/>
        </w:rPr>
        <w:t>5</w:t>
      </w:r>
      <w:bookmarkEnd w:id="29"/>
    </w:p>
    <w:p w14:paraId="335E8740">
      <w:pPr>
        <w:jc w:val="center"/>
        <w:rPr>
          <w:rFonts w:hint="eastAsia" w:eastAsia="黑体"/>
          <w:b/>
          <w:bCs/>
          <w:sz w:val="28"/>
        </w:rPr>
      </w:pPr>
      <w:r>
        <w:rPr>
          <w:rFonts w:hint="eastAsia" w:eastAsia="黑体"/>
          <w:b/>
          <w:bCs/>
          <w:sz w:val="28"/>
        </w:rPr>
        <w:t>相关条款偏离表（含商务偏离及技术偏离）</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8D2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836C532">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72A677DE">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454E5C97">
            <w:pPr>
              <w:spacing w:after="0"/>
              <w:jc w:val="center"/>
              <w:rPr>
                <w:rFonts w:hint="eastAsia" w:ascii="宋体" w:hAnsi="宋体"/>
                <w:sz w:val="24"/>
              </w:rPr>
            </w:pPr>
            <w:r>
              <w:rPr>
                <w:rFonts w:hint="eastAsia" w:ascii="宋体" w:hAnsi="宋体"/>
                <w:sz w:val="24"/>
              </w:rPr>
              <w:t>偏离内容</w:t>
            </w:r>
          </w:p>
        </w:tc>
      </w:tr>
      <w:tr w14:paraId="5620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47C1FBDF">
            <w:pPr>
              <w:spacing w:after="0"/>
              <w:rPr>
                <w:rFonts w:hint="eastAsia" w:ascii="宋体" w:hAnsi="宋体"/>
                <w:sz w:val="24"/>
              </w:rPr>
            </w:pPr>
          </w:p>
        </w:tc>
        <w:tc>
          <w:tcPr>
            <w:tcW w:w="1080" w:type="dxa"/>
            <w:noWrap w:val="0"/>
            <w:vAlign w:val="center"/>
          </w:tcPr>
          <w:p w14:paraId="16C359A4">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40A6BC5B">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33E45516">
            <w:pPr>
              <w:spacing w:after="0"/>
              <w:jc w:val="center"/>
              <w:rPr>
                <w:rFonts w:hint="eastAsia" w:ascii="宋体" w:hAnsi="宋体"/>
                <w:sz w:val="24"/>
              </w:rPr>
            </w:pPr>
          </w:p>
        </w:tc>
      </w:tr>
      <w:tr w14:paraId="191A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0399C0">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028CD200">
            <w:pPr>
              <w:spacing w:after="0"/>
              <w:rPr>
                <w:rFonts w:hint="eastAsia" w:ascii="宋体" w:hAnsi="宋体"/>
                <w:sz w:val="24"/>
              </w:rPr>
            </w:pPr>
          </w:p>
        </w:tc>
        <w:tc>
          <w:tcPr>
            <w:tcW w:w="3060" w:type="dxa"/>
            <w:noWrap w:val="0"/>
            <w:vAlign w:val="center"/>
          </w:tcPr>
          <w:p w14:paraId="1472A1CA">
            <w:pPr>
              <w:spacing w:after="0"/>
              <w:rPr>
                <w:rFonts w:hint="eastAsia" w:ascii="宋体" w:hAnsi="宋体"/>
                <w:sz w:val="24"/>
              </w:rPr>
            </w:pPr>
          </w:p>
        </w:tc>
        <w:tc>
          <w:tcPr>
            <w:tcW w:w="3554" w:type="dxa"/>
            <w:noWrap w:val="0"/>
            <w:vAlign w:val="center"/>
          </w:tcPr>
          <w:p w14:paraId="2822E37D">
            <w:pPr>
              <w:spacing w:after="0"/>
              <w:rPr>
                <w:rFonts w:hint="eastAsia" w:ascii="宋体" w:hAnsi="宋体"/>
                <w:sz w:val="24"/>
              </w:rPr>
            </w:pPr>
          </w:p>
        </w:tc>
      </w:tr>
      <w:tr w14:paraId="2F09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251A874">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1A70983B">
            <w:pPr>
              <w:spacing w:after="0"/>
              <w:rPr>
                <w:rFonts w:hint="eastAsia" w:ascii="宋体" w:hAnsi="宋体"/>
                <w:sz w:val="24"/>
              </w:rPr>
            </w:pPr>
          </w:p>
        </w:tc>
        <w:tc>
          <w:tcPr>
            <w:tcW w:w="3060" w:type="dxa"/>
            <w:noWrap w:val="0"/>
            <w:vAlign w:val="center"/>
          </w:tcPr>
          <w:p w14:paraId="45EEEE4A">
            <w:pPr>
              <w:spacing w:after="0"/>
              <w:rPr>
                <w:rFonts w:hint="eastAsia" w:ascii="宋体" w:hAnsi="宋体"/>
                <w:sz w:val="24"/>
              </w:rPr>
            </w:pPr>
          </w:p>
        </w:tc>
        <w:tc>
          <w:tcPr>
            <w:tcW w:w="3554" w:type="dxa"/>
            <w:noWrap w:val="0"/>
            <w:vAlign w:val="center"/>
          </w:tcPr>
          <w:p w14:paraId="71FADA70">
            <w:pPr>
              <w:spacing w:after="0"/>
              <w:rPr>
                <w:rFonts w:hint="eastAsia" w:ascii="宋体" w:hAnsi="宋体"/>
                <w:sz w:val="24"/>
              </w:rPr>
            </w:pPr>
          </w:p>
        </w:tc>
      </w:tr>
      <w:tr w14:paraId="5F0A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B838BA">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320E610F">
            <w:pPr>
              <w:spacing w:after="0"/>
              <w:rPr>
                <w:rFonts w:hint="eastAsia" w:ascii="宋体" w:hAnsi="宋体"/>
                <w:sz w:val="24"/>
              </w:rPr>
            </w:pPr>
          </w:p>
        </w:tc>
        <w:tc>
          <w:tcPr>
            <w:tcW w:w="3060" w:type="dxa"/>
            <w:noWrap w:val="0"/>
            <w:vAlign w:val="center"/>
          </w:tcPr>
          <w:p w14:paraId="118E47D1">
            <w:pPr>
              <w:spacing w:after="0"/>
              <w:rPr>
                <w:rFonts w:hint="eastAsia" w:ascii="宋体" w:hAnsi="宋体"/>
                <w:sz w:val="24"/>
              </w:rPr>
            </w:pPr>
          </w:p>
        </w:tc>
        <w:tc>
          <w:tcPr>
            <w:tcW w:w="3554" w:type="dxa"/>
            <w:noWrap w:val="0"/>
            <w:vAlign w:val="center"/>
          </w:tcPr>
          <w:p w14:paraId="7F96BA38">
            <w:pPr>
              <w:spacing w:after="0"/>
              <w:rPr>
                <w:rFonts w:hint="eastAsia" w:ascii="宋体" w:hAnsi="宋体"/>
                <w:sz w:val="24"/>
              </w:rPr>
            </w:pPr>
          </w:p>
        </w:tc>
      </w:tr>
      <w:tr w14:paraId="1F2B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4403A2E">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158FC996">
            <w:pPr>
              <w:spacing w:after="0"/>
              <w:rPr>
                <w:rFonts w:hint="eastAsia" w:ascii="宋体" w:hAnsi="宋体"/>
                <w:sz w:val="24"/>
              </w:rPr>
            </w:pPr>
          </w:p>
        </w:tc>
        <w:tc>
          <w:tcPr>
            <w:tcW w:w="3060" w:type="dxa"/>
            <w:noWrap w:val="0"/>
            <w:vAlign w:val="center"/>
          </w:tcPr>
          <w:p w14:paraId="51B2FF1B">
            <w:pPr>
              <w:spacing w:after="0"/>
              <w:rPr>
                <w:rFonts w:hint="eastAsia" w:ascii="宋体" w:hAnsi="宋体"/>
                <w:sz w:val="24"/>
              </w:rPr>
            </w:pPr>
          </w:p>
        </w:tc>
        <w:tc>
          <w:tcPr>
            <w:tcW w:w="3554" w:type="dxa"/>
            <w:noWrap w:val="0"/>
            <w:vAlign w:val="center"/>
          </w:tcPr>
          <w:p w14:paraId="5A86B99A">
            <w:pPr>
              <w:spacing w:after="0"/>
              <w:rPr>
                <w:rFonts w:hint="eastAsia" w:ascii="宋体" w:hAnsi="宋体"/>
                <w:sz w:val="24"/>
              </w:rPr>
            </w:pPr>
          </w:p>
        </w:tc>
      </w:tr>
      <w:tr w14:paraId="08A8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4523C34">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500DD1A4">
            <w:pPr>
              <w:spacing w:after="0"/>
              <w:rPr>
                <w:rFonts w:hint="eastAsia" w:ascii="宋体" w:hAnsi="宋体"/>
                <w:sz w:val="24"/>
              </w:rPr>
            </w:pPr>
          </w:p>
        </w:tc>
        <w:tc>
          <w:tcPr>
            <w:tcW w:w="3060" w:type="dxa"/>
            <w:noWrap w:val="0"/>
            <w:vAlign w:val="center"/>
          </w:tcPr>
          <w:p w14:paraId="28F237AA">
            <w:pPr>
              <w:spacing w:after="0"/>
              <w:rPr>
                <w:rFonts w:hint="eastAsia" w:ascii="宋体" w:hAnsi="宋体"/>
                <w:sz w:val="24"/>
              </w:rPr>
            </w:pPr>
          </w:p>
        </w:tc>
        <w:tc>
          <w:tcPr>
            <w:tcW w:w="3554" w:type="dxa"/>
            <w:noWrap w:val="0"/>
            <w:vAlign w:val="center"/>
          </w:tcPr>
          <w:p w14:paraId="49ECBCCC">
            <w:pPr>
              <w:spacing w:after="0"/>
              <w:rPr>
                <w:rFonts w:hint="eastAsia" w:ascii="宋体" w:hAnsi="宋体"/>
                <w:sz w:val="24"/>
              </w:rPr>
            </w:pPr>
          </w:p>
        </w:tc>
      </w:tr>
      <w:tr w14:paraId="276D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39F809C">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1463C107">
            <w:pPr>
              <w:spacing w:after="0"/>
              <w:rPr>
                <w:rFonts w:hint="eastAsia" w:ascii="宋体" w:hAnsi="宋体"/>
                <w:sz w:val="24"/>
              </w:rPr>
            </w:pPr>
          </w:p>
        </w:tc>
        <w:tc>
          <w:tcPr>
            <w:tcW w:w="3060" w:type="dxa"/>
            <w:noWrap w:val="0"/>
            <w:vAlign w:val="center"/>
          </w:tcPr>
          <w:p w14:paraId="5AB10C1D">
            <w:pPr>
              <w:spacing w:after="0"/>
              <w:rPr>
                <w:rFonts w:hint="eastAsia" w:ascii="宋体" w:hAnsi="宋体"/>
                <w:sz w:val="24"/>
              </w:rPr>
            </w:pPr>
          </w:p>
        </w:tc>
        <w:tc>
          <w:tcPr>
            <w:tcW w:w="3554" w:type="dxa"/>
            <w:noWrap w:val="0"/>
            <w:vAlign w:val="center"/>
          </w:tcPr>
          <w:p w14:paraId="6129EC95">
            <w:pPr>
              <w:spacing w:after="0"/>
              <w:rPr>
                <w:rFonts w:hint="eastAsia" w:ascii="宋体" w:hAnsi="宋体"/>
                <w:sz w:val="24"/>
              </w:rPr>
            </w:pPr>
          </w:p>
        </w:tc>
      </w:tr>
      <w:tr w14:paraId="29E1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1C55E2D">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7867E01F">
            <w:pPr>
              <w:spacing w:after="0"/>
              <w:rPr>
                <w:rFonts w:hint="eastAsia" w:ascii="宋体" w:hAnsi="宋体"/>
                <w:sz w:val="24"/>
              </w:rPr>
            </w:pPr>
          </w:p>
        </w:tc>
        <w:tc>
          <w:tcPr>
            <w:tcW w:w="3060" w:type="dxa"/>
            <w:noWrap w:val="0"/>
            <w:vAlign w:val="center"/>
          </w:tcPr>
          <w:p w14:paraId="1FDC2BD2">
            <w:pPr>
              <w:spacing w:after="0"/>
              <w:rPr>
                <w:rFonts w:hint="eastAsia" w:ascii="宋体" w:hAnsi="宋体"/>
                <w:sz w:val="24"/>
              </w:rPr>
            </w:pPr>
          </w:p>
        </w:tc>
        <w:tc>
          <w:tcPr>
            <w:tcW w:w="3554" w:type="dxa"/>
            <w:noWrap w:val="0"/>
            <w:vAlign w:val="center"/>
          </w:tcPr>
          <w:p w14:paraId="3AF1F241">
            <w:pPr>
              <w:spacing w:after="0"/>
              <w:rPr>
                <w:rFonts w:hint="eastAsia" w:ascii="宋体" w:hAnsi="宋体"/>
                <w:sz w:val="24"/>
              </w:rPr>
            </w:pPr>
          </w:p>
        </w:tc>
      </w:tr>
      <w:tr w14:paraId="5B64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C84FCA">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25E1F52A">
            <w:pPr>
              <w:spacing w:after="0"/>
              <w:rPr>
                <w:rFonts w:hint="eastAsia" w:ascii="宋体" w:hAnsi="宋体"/>
                <w:sz w:val="24"/>
              </w:rPr>
            </w:pPr>
          </w:p>
        </w:tc>
        <w:tc>
          <w:tcPr>
            <w:tcW w:w="3060" w:type="dxa"/>
            <w:noWrap w:val="0"/>
            <w:vAlign w:val="center"/>
          </w:tcPr>
          <w:p w14:paraId="7C9A92B1">
            <w:pPr>
              <w:spacing w:after="0"/>
              <w:rPr>
                <w:rFonts w:hint="eastAsia" w:ascii="宋体" w:hAnsi="宋体"/>
                <w:sz w:val="24"/>
              </w:rPr>
            </w:pPr>
          </w:p>
        </w:tc>
        <w:tc>
          <w:tcPr>
            <w:tcW w:w="3554" w:type="dxa"/>
            <w:noWrap w:val="0"/>
            <w:vAlign w:val="center"/>
          </w:tcPr>
          <w:p w14:paraId="720AEC89">
            <w:pPr>
              <w:spacing w:after="0"/>
              <w:rPr>
                <w:rFonts w:hint="eastAsia" w:ascii="宋体" w:hAnsi="宋体"/>
                <w:sz w:val="24"/>
              </w:rPr>
            </w:pPr>
          </w:p>
        </w:tc>
      </w:tr>
      <w:tr w14:paraId="39FC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E2E554">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4D55C3A2">
            <w:pPr>
              <w:spacing w:after="0"/>
              <w:rPr>
                <w:rFonts w:hint="eastAsia" w:ascii="宋体" w:hAnsi="宋体"/>
                <w:sz w:val="24"/>
              </w:rPr>
            </w:pPr>
          </w:p>
        </w:tc>
        <w:tc>
          <w:tcPr>
            <w:tcW w:w="3060" w:type="dxa"/>
            <w:noWrap w:val="0"/>
            <w:vAlign w:val="center"/>
          </w:tcPr>
          <w:p w14:paraId="40856B8D">
            <w:pPr>
              <w:spacing w:after="0"/>
              <w:rPr>
                <w:rFonts w:hint="eastAsia" w:ascii="宋体" w:hAnsi="宋体"/>
                <w:sz w:val="24"/>
              </w:rPr>
            </w:pPr>
          </w:p>
        </w:tc>
        <w:tc>
          <w:tcPr>
            <w:tcW w:w="3554" w:type="dxa"/>
            <w:noWrap w:val="0"/>
            <w:vAlign w:val="center"/>
          </w:tcPr>
          <w:p w14:paraId="1802DF58">
            <w:pPr>
              <w:spacing w:after="0"/>
              <w:rPr>
                <w:rFonts w:hint="eastAsia" w:ascii="宋体" w:hAnsi="宋体"/>
                <w:sz w:val="24"/>
              </w:rPr>
            </w:pPr>
          </w:p>
        </w:tc>
      </w:tr>
      <w:tr w14:paraId="0319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BD341B">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11D25D46">
            <w:pPr>
              <w:spacing w:after="0"/>
              <w:rPr>
                <w:rFonts w:hint="eastAsia" w:ascii="宋体" w:hAnsi="宋体"/>
                <w:sz w:val="24"/>
              </w:rPr>
            </w:pPr>
          </w:p>
        </w:tc>
        <w:tc>
          <w:tcPr>
            <w:tcW w:w="3060" w:type="dxa"/>
            <w:noWrap w:val="0"/>
            <w:vAlign w:val="center"/>
          </w:tcPr>
          <w:p w14:paraId="3DD7F598">
            <w:pPr>
              <w:spacing w:after="0"/>
              <w:rPr>
                <w:rFonts w:hint="eastAsia" w:ascii="宋体" w:hAnsi="宋体"/>
                <w:sz w:val="24"/>
              </w:rPr>
            </w:pPr>
          </w:p>
        </w:tc>
        <w:tc>
          <w:tcPr>
            <w:tcW w:w="3554" w:type="dxa"/>
            <w:noWrap w:val="0"/>
            <w:vAlign w:val="center"/>
          </w:tcPr>
          <w:p w14:paraId="554993CC">
            <w:pPr>
              <w:spacing w:after="0"/>
              <w:rPr>
                <w:rFonts w:hint="eastAsia" w:ascii="宋体" w:hAnsi="宋体"/>
                <w:sz w:val="24"/>
              </w:rPr>
            </w:pPr>
          </w:p>
        </w:tc>
      </w:tr>
    </w:tbl>
    <w:p w14:paraId="2E7C7CD9">
      <w:pPr>
        <w:rPr>
          <w:rFonts w:hint="eastAsia" w:ascii="宋体" w:hAnsi="宋体"/>
          <w:sz w:val="24"/>
        </w:rPr>
      </w:pPr>
    </w:p>
    <w:p w14:paraId="7578E6FC">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FB43582">
      <w:pPr>
        <w:rPr>
          <w:rFonts w:hint="eastAsia" w:ascii="宋体" w:hAnsi="宋体"/>
          <w:sz w:val="24"/>
        </w:rPr>
      </w:pPr>
    </w:p>
    <w:p w14:paraId="4A4A6030">
      <w:pPr>
        <w:rPr>
          <w:rFonts w:hint="eastAsia" w:ascii="宋体" w:hAnsi="宋体"/>
          <w:sz w:val="24"/>
        </w:rPr>
      </w:pPr>
    </w:p>
    <w:p w14:paraId="3F50F19E">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2F3D0824">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rPr>
      </w:pPr>
      <w:bookmarkStart w:id="30" w:name="_Toc25814"/>
      <w:r>
        <w:rPr>
          <w:rFonts w:hint="eastAsia"/>
          <w:lang w:val="en-US" w:eastAsia="zh-CN"/>
        </w:rPr>
        <w:t>附件6</w:t>
      </w:r>
      <w:bookmarkEnd w:id="30"/>
      <w:r>
        <w:rPr>
          <w:rFonts w:hint="eastAsia"/>
          <w:lang w:val="en-US" w:eastAsia="zh-CN"/>
        </w:rPr>
        <w:t xml:space="preserve"> </w:t>
      </w:r>
    </w:p>
    <w:p w14:paraId="56FEA629">
      <w:pPr>
        <w:keepNext w:val="0"/>
        <w:keepLines w:val="0"/>
        <w:widowControl w:val="0"/>
        <w:suppressLineNumbers w:val="0"/>
        <w:spacing w:before="0" w:beforeAutospacing="0" w:after="0" w:afterAutospacing="0" w:line="500" w:lineRule="exact"/>
        <w:ind w:left="0" w:right="0"/>
        <w:jc w:val="center"/>
        <w:rPr>
          <w:rFonts w:hint="eastAsia" w:ascii="宋体" w:hAnsi="Times New Roman" w:eastAsia="宋体" w:cs="Times New Roman"/>
          <w:b/>
          <w:bCs w:val="0"/>
          <w:kern w:val="2"/>
          <w:sz w:val="21"/>
          <w:szCs w:val="21"/>
        </w:rPr>
      </w:pPr>
      <w:r>
        <w:rPr>
          <w:rFonts w:hint="eastAsia" w:ascii="宋体" w:hAnsi="宋体" w:cs="宋体"/>
          <w:b/>
          <w:bCs w:val="0"/>
          <w:kern w:val="2"/>
          <w:sz w:val="21"/>
          <w:szCs w:val="21"/>
          <w:lang w:val="en-US" w:eastAsia="zh-CN" w:bidi="ar"/>
        </w:rPr>
        <w:t>经审计的</w:t>
      </w:r>
      <w:r>
        <w:rPr>
          <w:rFonts w:hint="eastAsia" w:ascii="宋体" w:hAnsi="宋体" w:eastAsia="宋体" w:cs="宋体"/>
          <w:b/>
          <w:bCs w:val="0"/>
          <w:kern w:val="2"/>
          <w:sz w:val="21"/>
          <w:szCs w:val="21"/>
          <w:lang w:val="en-US" w:eastAsia="zh-CN" w:bidi="ar"/>
        </w:rPr>
        <w:t>近三年的财务</w:t>
      </w:r>
      <w:r>
        <w:rPr>
          <w:rFonts w:hint="eastAsia" w:ascii="宋体" w:hAnsi="宋体" w:cs="宋体"/>
          <w:b/>
          <w:bCs w:val="0"/>
          <w:kern w:val="2"/>
          <w:sz w:val="21"/>
          <w:szCs w:val="21"/>
          <w:lang w:val="en-US" w:eastAsia="zh-CN" w:bidi="ar"/>
        </w:rPr>
        <w:t>报</w:t>
      </w:r>
      <w:r>
        <w:rPr>
          <w:rFonts w:hint="eastAsia" w:ascii="宋体" w:hAnsi="宋体" w:eastAsia="宋体" w:cs="宋体"/>
          <w:b/>
          <w:bCs w:val="0"/>
          <w:kern w:val="2"/>
          <w:sz w:val="21"/>
          <w:szCs w:val="21"/>
          <w:lang w:val="en-US" w:eastAsia="zh-CN" w:bidi="ar"/>
        </w:rPr>
        <w:t>表</w:t>
      </w:r>
    </w:p>
    <w:p w14:paraId="720E23CB">
      <w:pPr>
        <w:keepNext w:val="0"/>
        <w:keepLines w:val="0"/>
        <w:widowControl w:val="0"/>
        <w:suppressLineNumbers w:val="0"/>
        <w:spacing w:before="0" w:beforeAutospacing="0" w:after="0" w:afterAutospacing="0"/>
        <w:ind w:left="0" w:right="0"/>
        <w:jc w:val="right"/>
        <w:rPr>
          <w:rFonts w:hint="eastAsia" w:ascii="宋体" w:hAnsi="Times New Roman" w:eastAsia="宋体" w:cs="Times New Roman"/>
          <w:bCs/>
          <w:kern w:val="2"/>
          <w:sz w:val="21"/>
          <w:szCs w:val="21"/>
        </w:rPr>
      </w:pPr>
      <w:r>
        <w:rPr>
          <w:rFonts w:hint="eastAsia" w:ascii="宋体" w:hAnsi="宋体" w:eastAsia="宋体" w:cs="宋体"/>
          <w:kern w:val="2"/>
          <w:sz w:val="21"/>
          <w:szCs w:val="21"/>
          <w:lang w:val="en-US" w:eastAsia="zh-CN" w:bidi="ar"/>
        </w:rPr>
        <w:t>单位：万元</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2F2C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47FE42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序号</w:t>
            </w:r>
          </w:p>
        </w:tc>
        <w:tc>
          <w:tcPr>
            <w:tcW w:w="3346" w:type="dxa"/>
            <w:tcBorders>
              <w:top w:val="single" w:color="auto" w:sz="4" w:space="0"/>
              <w:left w:val="nil"/>
              <w:bottom w:val="single" w:color="auto" w:sz="4" w:space="0"/>
              <w:right w:val="single" w:color="auto" w:sz="4" w:space="0"/>
            </w:tcBorders>
            <w:noWrap w:val="0"/>
            <w:vAlign w:val="center"/>
          </w:tcPr>
          <w:p w14:paraId="0C5115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名称</w:t>
            </w:r>
          </w:p>
        </w:tc>
        <w:tc>
          <w:tcPr>
            <w:tcW w:w="1715" w:type="dxa"/>
            <w:tcBorders>
              <w:top w:val="single" w:color="auto" w:sz="4" w:space="0"/>
              <w:left w:val="nil"/>
              <w:bottom w:val="single" w:color="auto" w:sz="4" w:space="0"/>
              <w:right w:val="single" w:color="auto" w:sz="4" w:space="0"/>
            </w:tcBorders>
            <w:noWrap w:val="0"/>
            <w:vAlign w:val="center"/>
          </w:tcPr>
          <w:p w14:paraId="664EF07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60C3A6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F48BB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r>
      <w:tr w14:paraId="3406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F82B69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346" w:type="dxa"/>
            <w:tcBorders>
              <w:top w:val="single" w:color="auto" w:sz="4" w:space="0"/>
              <w:left w:val="nil"/>
              <w:bottom w:val="single" w:color="auto" w:sz="4" w:space="0"/>
              <w:right w:val="single" w:color="auto" w:sz="4" w:space="0"/>
            </w:tcBorders>
            <w:noWrap w:val="0"/>
            <w:vAlign w:val="center"/>
          </w:tcPr>
          <w:p w14:paraId="1853370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25262B7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D10167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B64317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3E4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11DF1D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346" w:type="dxa"/>
            <w:tcBorders>
              <w:top w:val="single" w:color="auto" w:sz="4" w:space="0"/>
              <w:left w:val="nil"/>
              <w:bottom w:val="single" w:color="auto" w:sz="4" w:space="0"/>
              <w:right w:val="single" w:color="auto" w:sz="4" w:space="0"/>
            </w:tcBorders>
            <w:noWrap w:val="0"/>
            <w:vAlign w:val="center"/>
          </w:tcPr>
          <w:p w14:paraId="562A8A2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2F45726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61E13C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97ED16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DB6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5F84FC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346" w:type="dxa"/>
            <w:tcBorders>
              <w:top w:val="single" w:color="auto" w:sz="4" w:space="0"/>
              <w:left w:val="nil"/>
              <w:bottom w:val="single" w:color="auto" w:sz="4" w:space="0"/>
              <w:right w:val="single" w:color="auto" w:sz="4" w:space="0"/>
            </w:tcBorders>
            <w:noWrap w:val="0"/>
            <w:vAlign w:val="center"/>
          </w:tcPr>
          <w:p w14:paraId="4B06006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2FE707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08D85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1155A3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2F2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BF78C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346" w:type="dxa"/>
            <w:tcBorders>
              <w:top w:val="single" w:color="auto" w:sz="4" w:space="0"/>
              <w:left w:val="nil"/>
              <w:bottom w:val="single" w:color="auto" w:sz="4" w:space="0"/>
              <w:right w:val="single" w:color="auto" w:sz="4" w:space="0"/>
            </w:tcBorders>
            <w:noWrap w:val="0"/>
            <w:vAlign w:val="center"/>
          </w:tcPr>
          <w:p w14:paraId="6ED4DC2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36C9663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FD978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F6E102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4DD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02C0BE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346" w:type="dxa"/>
            <w:tcBorders>
              <w:top w:val="single" w:color="auto" w:sz="4" w:space="0"/>
              <w:left w:val="nil"/>
              <w:bottom w:val="single" w:color="auto" w:sz="4" w:space="0"/>
              <w:right w:val="single" w:color="auto" w:sz="4" w:space="0"/>
            </w:tcBorders>
            <w:noWrap w:val="0"/>
            <w:vAlign w:val="center"/>
          </w:tcPr>
          <w:p w14:paraId="5E699BA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2B30CDD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8DADEA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EF550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F8A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A25E2A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3346" w:type="dxa"/>
            <w:tcBorders>
              <w:top w:val="single" w:color="auto" w:sz="4" w:space="0"/>
              <w:left w:val="nil"/>
              <w:bottom w:val="single" w:color="auto" w:sz="4" w:space="0"/>
              <w:right w:val="single" w:color="auto" w:sz="4" w:space="0"/>
            </w:tcBorders>
            <w:noWrap w:val="0"/>
            <w:vAlign w:val="center"/>
          </w:tcPr>
          <w:p w14:paraId="71FD37A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773623C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11896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2F80EF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FE2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749EE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p>
        </w:tc>
        <w:tc>
          <w:tcPr>
            <w:tcW w:w="3346" w:type="dxa"/>
            <w:tcBorders>
              <w:top w:val="single" w:color="auto" w:sz="4" w:space="0"/>
              <w:left w:val="nil"/>
              <w:bottom w:val="single" w:color="auto" w:sz="4" w:space="0"/>
              <w:right w:val="single" w:color="auto" w:sz="4" w:space="0"/>
            </w:tcBorders>
            <w:noWrap w:val="0"/>
            <w:vAlign w:val="center"/>
          </w:tcPr>
          <w:p w14:paraId="6436A82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1644E2F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E5C2FF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B6DD96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F44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6E615C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p>
        </w:tc>
        <w:tc>
          <w:tcPr>
            <w:tcW w:w="3346" w:type="dxa"/>
            <w:tcBorders>
              <w:top w:val="single" w:color="auto" w:sz="4" w:space="0"/>
              <w:left w:val="nil"/>
              <w:bottom w:val="single" w:color="auto" w:sz="4" w:space="0"/>
              <w:right w:val="single" w:color="auto" w:sz="4" w:space="0"/>
            </w:tcBorders>
            <w:noWrap w:val="0"/>
            <w:vAlign w:val="center"/>
          </w:tcPr>
          <w:p w14:paraId="751BCAF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4DCC8BB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0475C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85DAF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D2A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736006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w:t>
            </w:r>
          </w:p>
        </w:tc>
        <w:tc>
          <w:tcPr>
            <w:tcW w:w="3346" w:type="dxa"/>
            <w:tcBorders>
              <w:top w:val="single" w:color="auto" w:sz="4" w:space="0"/>
              <w:left w:val="nil"/>
              <w:bottom w:val="single" w:color="auto" w:sz="4" w:space="0"/>
              <w:right w:val="single" w:color="auto" w:sz="4" w:space="0"/>
            </w:tcBorders>
            <w:noWrap w:val="0"/>
            <w:vAlign w:val="center"/>
          </w:tcPr>
          <w:p w14:paraId="58C2C96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5A317D4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1375AF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CAE361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9D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3CCE9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p>
        </w:tc>
        <w:tc>
          <w:tcPr>
            <w:tcW w:w="3346" w:type="dxa"/>
            <w:tcBorders>
              <w:top w:val="single" w:color="auto" w:sz="4" w:space="0"/>
              <w:left w:val="nil"/>
              <w:bottom w:val="single" w:color="auto" w:sz="4" w:space="0"/>
              <w:right w:val="single" w:color="auto" w:sz="4" w:space="0"/>
            </w:tcBorders>
            <w:noWrap w:val="0"/>
            <w:vAlign w:val="center"/>
          </w:tcPr>
          <w:p w14:paraId="6447C1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41CD447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625973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A2FDC4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F8D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646AC0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11</w:t>
            </w:r>
          </w:p>
        </w:tc>
        <w:tc>
          <w:tcPr>
            <w:tcW w:w="3346" w:type="dxa"/>
            <w:tcBorders>
              <w:top w:val="single" w:color="auto" w:sz="4" w:space="0"/>
              <w:left w:val="nil"/>
              <w:bottom w:val="single" w:color="auto" w:sz="4" w:space="0"/>
              <w:right w:val="single" w:color="auto" w:sz="4" w:space="0"/>
            </w:tcBorders>
            <w:noWrap w:val="0"/>
            <w:vAlign w:val="center"/>
          </w:tcPr>
          <w:p w14:paraId="5C102F9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2ABB328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99339E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15EA9E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7D40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B765C7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12</w:t>
            </w:r>
          </w:p>
        </w:tc>
        <w:tc>
          <w:tcPr>
            <w:tcW w:w="3346" w:type="dxa"/>
            <w:tcBorders>
              <w:top w:val="single" w:color="auto" w:sz="4" w:space="0"/>
              <w:left w:val="nil"/>
              <w:bottom w:val="single" w:color="auto" w:sz="4" w:space="0"/>
              <w:right w:val="single" w:color="auto" w:sz="4" w:space="0"/>
            </w:tcBorders>
            <w:noWrap w:val="0"/>
            <w:vAlign w:val="center"/>
          </w:tcPr>
          <w:p w14:paraId="3B48EC1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310B0CD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6B017D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13918C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756F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0DEAB8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w:t>
            </w:r>
          </w:p>
        </w:tc>
        <w:tc>
          <w:tcPr>
            <w:tcW w:w="3346" w:type="dxa"/>
            <w:tcBorders>
              <w:top w:val="single" w:color="auto" w:sz="4" w:space="0"/>
              <w:left w:val="nil"/>
              <w:bottom w:val="single" w:color="auto" w:sz="4" w:space="0"/>
              <w:right w:val="single" w:color="auto" w:sz="4" w:space="0"/>
            </w:tcBorders>
            <w:noWrap w:val="0"/>
            <w:vAlign w:val="center"/>
          </w:tcPr>
          <w:p w14:paraId="4D7DB46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流动比率</w:t>
            </w:r>
            <w:r>
              <w:rPr>
                <w:rFonts w:hint="default" w:ascii="Times New Roman" w:hAnsi="Times New Roman" w:eastAsia="宋体" w:cs="Times New Roman"/>
                <w:kern w:val="2"/>
                <w:sz w:val="21"/>
                <w:szCs w:val="21"/>
                <w:lang w:val="en-US" w:eastAsia="zh-CN" w:bidi="ar"/>
              </w:rPr>
              <w:t>%</w:t>
            </w:r>
          </w:p>
          <w:p w14:paraId="33D5846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400212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ED2D4D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CA21A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18C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901661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w:t>
            </w:r>
          </w:p>
        </w:tc>
        <w:tc>
          <w:tcPr>
            <w:tcW w:w="3346" w:type="dxa"/>
            <w:tcBorders>
              <w:top w:val="single" w:color="auto" w:sz="4" w:space="0"/>
              <w:left w:val="nil"/>
              <w:bottom w:val="single" w:color="auto" w:sz="4" w:space="0"/>
              <w:right w:val="single" w:color="auto" w:sz="4" w:space="0"/>
            </w:tcBorders>
            <w:noWrap w:val="0"/>
            <w:vAlign w:val="center"/>
          </w:tcPr>
          <w:p w14:paraId="2B6D9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速动比率</w:t>
            </w:r>
            <w:r>
              <w:rPr>
                <w:rFonts w:hint="default" w:ascii="Times New Roman" w:hAnsi="Times New Roman" w:eastAsia="宋体" w:cs="Times New Roman"/>
                <w:kern w:val="2"/>
                <w:sz w:val="21"/>
                <w:szCs w:val="21"/>
                <w:lang w:val="en-US" w:eastAsia="zh-CN" w:bidi="ar"/>
              </w:rPr>
              <w:t>%</w:t>
            </w:r>
          </w:p>
          <w:p w14:paraId="30A89A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CE65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A0A7ED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251AE1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9B7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ED5C29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w:t>
            </w:r>
          </w:p>
        </w:tc>
        <w:tc>
          <w:tcPr>
            <w:tcW w:w="3346" w:type="dxa"/>
            <w:tcBorders>
              <w:top w:val="single" w:color="auto" w:sz="4" w:space="0"/>
              <w:left w:val="nil"/>
              <w:bottom w:val="single" w:color="auto" w:sz="4" w:space="0"/>
              <w:right w:val="single" w:color="auto" w:sz="4" w:space="0"/>
            </w:tcBorders>
            <w:noWrap w:val="0"/>
            <w:vAlign w:val="center"/>
          </w:tcPr>
          <w:p w14:paraId="73E8E6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资产负债率</w:t>
            </w:r>
            <w:r>
              <w:rPr>
                <w:rFonts w:hint="default" w:ascii="Times New Roman" w:hAnsi="Times New Roman" w:eastAsia="宋体" w:cs="Times New Roman"/>
                <w:kern w:val="2"/>
                <w:sz w:val="21"/>
                <w:szCs w:val="21"/>
                <w:lang w:val="en-US" w:eastAsia="zh-CN" w:bidi="ar"/>
              </w:rPr>
              <w:t>%</w:t>
            </w:r>
          </w:p>
          <w:p w14:paraId="65F6C83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（总负债</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4BAD1DA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99715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00ED3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172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D8FF06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w:t>
            </w:r>
          </w:p>
        </w:tc>
        <w:tc>
          <w:tcPr>
            <w:tcW w:w="3346" w:type="dxa"/>
            <w:tcBorders>
              <w:top w:val="single" w:color="auto" w:sz="4" w:space="0"/>
              <w:left w:val="nil"/>
              <w:bottom w:val="single" w:color="auto" w:sz="4" w:space="0"/>
              <w:right w:val="single" w:color="auto" w:sz="4" w:space="0"/>
            </w:tcBorders>
            <w:noWrap w:val="0"/>
            <w:vAlign w:val="center"/>
          </w:tcPr>
          <w:p w14:paraId="38889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应收账款周转率</w:t>
            </w:r>
            <w:r>
              <w:rPr>
                <w:rFonts w:hint="default" w:ascii="Times New Roman" w:hAnsi="Times New Roman" w:eastAsia="宋体" w:cs="Times New Roman"/>
                <w:kern w:val="2"/>
                <w:sz w:val="21"/>
                <w:szCs w:val="21"/>
                <w:lang w:val="en-US" w:eastAsia="zh-CN" w:bidi="ar"/>
              </w:rPr>
              <w:t>%</w:t>
            </w:r>
          </w:p>
          <w:p w14:paraId="027BE93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（收入总额</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46CE72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A3562E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43AC1B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1D2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1763B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17</w:t>
            </w:r>
          </w:p>
        </w:tc>
        <w:tc>
          <w:tcPr>
            <w:tcW w:w="3346" w:type="dxa"/>
            <w:tcBorders>
              <w:top w:val="single" w:color="auto" w:sz="4" w:space="0"/>
              <w:left w:val="nil"/>
              <w:bottom w:val="single" w:color="auto" w:sz="4" w:space="0"/>
              <w:right w:val="single" w:color="auto" w:sz="4" w:space="0"/>
            </w:tcBorders>
            <w:noWrap w:val="0"/>
            <w:vAlign w:val="center"/>
          </w:tcPr>
          <w:p w14:paraId="54534DB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存货周转率</w:t>
            </w:r>
            <w:r>
              <w:rPr>
                <w:rFonts w:hint="default" w:ascii="Times New Roman" w:hAnsi="Times New Roman" w:eastAsia="宋体" w:cs="Times New Roman"/>
                <w:kern w:val="2"/>
                <w:sz w:val="21"/>
                <w:szCs w:val="21"/>
                <w:lang w:val="en-US" w:eastAsia="zh-CN" w:bidi="ar"/>
              </w:rPr>
              <w:t>%</w:t>
            </w:r>
          </w:p>
          <w:p w14:paraId="24A052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（销售成本</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76B380C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6FF63C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F0C02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BFC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E901C7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w:t>
            </w:r>
          </w:p>
        </w:tc>
        <w:tc>
          <w:tcPr>
            <w:tcW w:w="3346" w:type="dxa"/>
            <w:tcBorders>
              <w:top w:val="single" w:color="auto" w:sz="4" w:space="0"/>
              <w:left w:val="nil"/>
              <w:bottom w:val="single" w:color="auto" w:sz="4" w:space="0"/>
              <w:right w:val="single" w:color="auto" w:sz="4" w:space="0"/>
            </w:tcBorders>
            <w:noWrap w:val="0"/>
            <w:vAlign w:val="center"/>
          </w:tcPr>
          <w:p w14:paraId="1AA6096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资产报酬率</w:t>
            </w:r>
            <w:r>
              <w:rPr>
                <w:rFonts w:hint="default" w:ascii="Times New Roman" w:hAnsi="Times New Roman" w:eastAsia="宋体" w:cs="Times New Roman"/>
                <w:kern w:val="2"/>
                <w:sz w:val="21"/>
                <w:szCs w:val="21"/>
                <w:lang w:val="en-US" w:eastAsia="zh-CN" w:bidi="ar"/>
              </w:rPr>
              <w:t>%</w:t>
            </w:r>
          </w:p>
          <w:p w14:paraId="08BA7B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资产）</w:t>
            </w:r>
          </w:p>
        </w:tc>
        <w:tc>
          <w:tcPr>
            <w:tcW w:w="1715" w:type="dxa"/>
            <w:tcBorders>
              <w:top w:val="single" w:color="auto" w:sz="4" w:space="0"/>
              <w:left w:val="nil"/>
              <w:bottom w:val="single" w:color="auto" w:sz="4" w:space="0"/>
              <w:right w:val="single" w:color="auto" w:sz="4" w:space="0"/>
            </w:tcBorders>
            <w:noWrap w:val="0"/>
            <w:vAlign w:val="center"/>
          </w:tcPr>
          <w:p w14:paraId="3E17384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09BADF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0684EC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3B0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14C4B4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19</w:t>
            </w:r>
          </w:p>
        </w:tc>
        <w:tc>
          <w:tcPr>
            <w:tcW w:w="3346" w:type="dxa"/>
            <w:tcBorders>
              <w:top w:val="single" w:color="auto" w:sz="4" w:space="0"/>
              <w:left w:val="nil"/>
              <w:bottom w:val="single" w:color="auto" w:sz="4" w:space="0"/>
              <w:right w:val="single" w:color="auto" w:sz="4" w:space="0"/>
            </w:tcBorders>
            <w:noWrap w:val="0"/>
            <w:vAlign w:val="center"/>
          </w:tcPr>
          <w:p w14:paraId="5D64DFF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净资产收益率</w:t>
            </w:r>
          </w:p>
          <w:p w14:paraId="3BEA8F7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6A355CD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F5CF0D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220B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bl>
    <w:p w14:paraId="359907EE">
      <w:pPr>
        <w:keepNext w:val="0"/>
        <w:keepLines w:val="0"/>
        <w:widowControl w:val="0"/>
        <w:suppressLineNumbers w:val="0"/>
        <w:autoSpaceDE w:val="0"/>
        <w:autoSpaceDN w:val="0"/>
        <w:spacing w:before="0" w:beforeAutospacing="0" w:after="0" w:afterAutospacing="0" w:line="500" w:lineRule="exact"/>
        <w:ind w:left="0" w:right="-5"/>
        <w:jc w:val="both"/>
        <w:textAlignment w:val="bottom"/>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注：投标人应同时提供近三年经审计的财务报表或近三年的财务资料</w:t>
      </w:r>
    </w:p>
    <w:p w14:paraId="4A182ADB">
      <w:pPr>
        <w:keepNext w:val="0"/>
        <w:keepLines w:val="0"/>
        <w:widowControl w:val="0"/>
        <w:suppressLineNumbers w:val="0"/>
        <w:autoSpaceDE w:val="0"/>
        <w:autoSpaceDN w:val="0"/>
        <w:spacing w:before="0" w:beforeAutospacing="0" w:after="0" w:afterAutospacing="0" w:line="500" w:lineRule="exact"/>
        <w:ind w:left="0" w:right="-5" w:firstLine="3990" w:firstLineChars="1900"/>
        <w:jc w:val="both"/>
        <w:textAlignment w:val="bottom"/>
        <w:rPr>
          <w:rFonts w:hint="eastAsia" w:ascii="宋体" w:hAnsi="Times New Roman" w:eastAsia="宋体" w:cs="Times New Roman"/>
          <w:kern w:val="2"/>
          <w:sz w:val="21"/>
          <w:szCs w:val="21"/>
        </w:rPr>
      </w:pPr>
      <w:r>
        <w:rPr>
          <w:rFonts w:hint="eastAsia" w:ascii="宋体" w:hAnsi="Times New Roman" w:eastAsia="宋体" w:cs="Times New Roman"/>
          <w:kern w:val="2"/>
          <w:sz w:val="21"/>
          <w:szCs w:val="21"/>
          <w:lang w:val="en-US" w:eastAsia="zh-CN" w:bidi="ar"/>
        </w:rPr>
        <w:t xml:space="preserve"> </w:t>
      </w:r>
    </w:p>
    <w:p w14:paraId="59D1CAFC">
      <w:pPr>
        <w:keepNext w:val="0"/>
        <w:keepLines w:val="0"/>
        <w:widowControl w:val="0"/>
        <w:suppressLineNumbers w:val="0"/>
        <w:spacing w:before="0" w:beforeAutospacing="0" w:after="0" w:afterAutospacing="0" w:line="500" w:lineRule="exact"/>
        <w:ind w:left="0" w:right="0" w:firstLine="3570" w:firstLineChars="1700"/>
        <w:jc w:val="both"/>
        <w:rPr>
          <w:rFonts w:hint="eastAsia" w:ascii="宋体" w:hAnsi="Times New Roman" w:eastAsia="宋体" w:cs="Times New Roman"/>
          <w:kern w:val="2"/>
          <w:sz w:val="21"/>
          <w:szCs w:val="21"/>
          <w:u w:val="single"/>
        </w:rPr>
      </w:pPr>
      <w:r>
        <w:rPr>
          <w:rFonts w:hint="eastAsia" w:ascii="宋体" w:hAnsi="宋体" w:eastAsia="宋体" w:cs="宋体"/>
          <w:kern w:val="2"/>
          <w:sz w:val="21"/>
          <w:szCs w:val="21"/>
          <w:lang w:val="en-US" w:eastAsia="zh-CN" w:bidi="ar"/>
        </w:rPr>
        <w:t>投标人代表（签字）：</w:t>
      </w:r>
      <w:r>
        <w:rPr>
          <w:rFonts w:hint="eastAsia" w:ascii="宋体" w:hAnsi="Times New Roman" w:eastAsia="宋体" w:cs="Times New Roman"/>
          <w:kern w:val="2"/>
          <w:sz w:val="21"/>
          <w:szCs w:val="21"/>
          <w:u w:val="single"/>
          <w:lang w:val="en-US" w:eastAsia="zh-CN" w:bidi="ar"/>
        </w:rPr>
        <w:t xml:space="preserve">             </w:t>
      </w:r>
    </w:p>
    <w:p w14:paraId="2C8033ED">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rPr>
      </w:pPr>
      <w:bookmarkStart w:id="31" w:name="_Toc14648"/>
      <w:r>
        <w:rPr>
          <w:rFonts w:hint="eastAsia"/>
          <w:lang w:val="en-US" w:eastAsia="zh-CN"/>
        </w:rPr>
        <w:t>附件7 业绩表</w:t>
      </w:r>
      <w:bookmarkEnd w:id="31"/>
    </w:p>
    <w:p w14:paraId="72EC9B2F">
      <w:pPr>
        <w:pStyle w:val="7"/>
        <w:widowControl/>
        <w:spacing w:before="100" w:beforeAutospacing="1"/>
        <w:ind w:left="0" w:right="0"/>
        <w:rPr>
          <w:rFonts w:hint="default" w:ascii="Times New Roman" w:hAnsi="Times New Roman" w:eastAsia="宋体" w:cs="Times New Roman"/>
          <w:kern w:val="2"/>
          <w:sz w:val="16"/>
          <w:szCs w:val="16"/>
        </w:rPr>
      </w:pPr>
      <w:r>
        <w:rPr>
          <w:rFonts w:hint="default" w:ascii="Times New Roman" w:hAnsi="Times New Roman" w:eastAsia="宋体" w:cs="Times New Roman"/>
          <w:kern w:val="2"/>
          <w:sz w:val="16"/>
          <w:szCs w:val="16"/>
        </w:rPr>
        <w:t xml:space="preserve"> </w:t>
      </w:r>
    </w:p>
    <w:p w14:paraId="3BE93ABB">
      <w:pPr>
        <w:pStyle w:val="7"/>
        <w:widowControl/>
        <w:spacing w:before="100" w:beforeAutospacing="1"/>
        <w:ind w:left="0" w:right="0"/>
        <w:rPr>
          <w:rFonts w:hint="default" w:ascii="Times New Roman" w:hAnsi="Times New Roman" w:eastAsia="宋体" w:cs="Times New Roman"/>
          <w:kern w:val="2"/>
          <w:sz w:val="24"/>
          <w:szCs w:val="24"/>
        </w:rPr>
      </w:pPr>
      <w:r>
        <w:rPr>
          <w:rFonts w:hint="eastAsia" w:ascii="宋体" w:hAnsi="宋体" w:eastAsia="宋体" w:cs="宋体"/>
          <w:kern w:val="2"/>
          <w:sz w:val="24"/>
          <w:szCs w:val="24"/>
        </w:rPr>
        <w:t>近三年承揽同类或相似项目和服务业绩，包括已收到中标通知但尚未签订合同的项目（提供相关合同的复印件）</w:t>
      </w:r>
    </w:p>
    <w:p w14:paraId="39F9FC8F">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Times New Roman"/>
          <w:kern w:val="2"/>
          <w:sz w:val="28"/>
          <w:szCs w:val="28"/>
        </w:rPr>
      </w:pPr>
      <w:r>
        <w:rPr>
          <w:rFonts w:hint="eastAsia" w:ascii="宋体" w:hAnsi="Times New Roman" w:eastAsia="宋体" w:cs="Times New Roman"/>
          <w:kern w:val="2"/>
          <w:sz w:val="28"/>
          <w:szCs w:val="28"/>
          <w:lang w:val="en-US" w:eastAsia="zh-CN" w:bidi="ar"/>
        </w:rPr>
        <w:t xml:space="preserve"> </w:t>
      </w:r>
    </w:p>
    <w:tbl>
      <w:tblPr>
        <w:tblStyle w:val="15"/>
        <w:tblW w:w="0" w:type="auto"/>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9"/>
        <w:gridCol w:w="1579"/>
        <w:gridCol w:w="1360"/>
        <w:gridCol w:w="2012"/>
        <w:gridCol w:w="1180"/>
        <w:gridCol w:w="1770"/>
      </w:tblGrid>
      <w:tr w14:paraId="2BAA2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596F2990">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85824D9">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EFE489D">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签约</w:t>
            </w:r>
          </w:p>
          <w:p w14:paraId="68C242F6">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80C95FC">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66C8603">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7CCFF6F">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地址</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电话</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传真</w:t>
            </w:r>
          </w:p>
        </w:tc>
      </w:tr>
      <w:tr w14:paraId="3F5BB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66EFD1C5">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257EF6A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3C0AFD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42B19AC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CE82DC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2D12CA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554BC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37618B3C">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263BDA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FD4A67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7A6289B">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5DFC1F0">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2BACEDF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20104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1D3729EC">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416283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41B105E">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6E199B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F2BB4C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381831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0E29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7D58770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宋体"/>
                <w:kern w:val="2"/>
                <w:sz w:val="21"/>
                <w:szCs w:val="21"/>
                <w:lang w:val="en-US" w:eastAsia="zh-CN"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321351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208BF6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BE2208E">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26717F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6D09166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bl>
    <w:p w14:paraId="05A1330D">
      <w:pPr>
        <w:pStyle w:val="2"/>
        <w:keepNext w:val="0"/>
        <w:keepLines w:val="0"/>
        <w:pageBreakBefore/>
        <w:widowControl w:val="0"/>
        <w:kinsoku/>
        <w:wordWrap/>
        <w:overflowPunct/>
        <w:topLinePunct w:val="0"/>
        <w:autoSpaceDE/>
        <w:autoSpaceDN/>
        <w:bidi w:val="0"/>
        <w:adjustRightInd/>
        <w:snapToGrid/>
        <w:spacing w:line="413" w:lineRule="auto"/>
        <w:textAlignment w:val="auto"/>
      </w:pPr>
      <w:bookmarkStart w:id="32" w:name="_Toc21201"/>
      <w:r>
        <w:rPr>
          <w:rFonts w:hint="eastAsia"/>
        </w:rPr>
        <w:t>附件</w:t>
      </w:r>
      <w:r>
        <w:rPr>
          <w:rFonts w:hint="eastAsia"/>
          <w:lang w:val="en-US" w:eastAsia="zh-CN"/>
        </w:rPr>
        <w:t>8</w:t>
      </w:r>
      <w:bookmarkEnd w:id="32"/>
      <w:r>
        <w:rPr>
          <w:rFonts w:hint="eastAsia"/>
        </w:rPr>
        <w:t xml:space="preserve">  </w:t>
      </w:r>
    </w:p>
    <w:p w14:paraId="074FA899">
      <w:pPr>
        <w:jc w:val="center"/>
        <w:rPr>
          <w:rFonts w:hint="eastAsia" w:ascii="华文新魏" w:eastAsia="华文新魏"/>
          <w:sz w:val="44"/>
        </w:rPr>
      </w:pPr>
      <w:r>
        <w:rPr>
          <w:rFonts w:hint="eastAsia" w:ascii="华文新魏" w:eastAsia="华文新魏"/>
          <w:sz w:val="44"/>
          <w:lang w:val="en-US" w:eastAsia="zh-CN"/>
        </w:rPr>
        <w:t>开标一览</w:t>
      </w:r>
      <w:r>
        <w:rPr>
          <w:rFonts w:hint="eastAsia" w:ascii="华文新魏" w:eastAsia="华文新魏"/>
          <w:sz w:val="44"/>
        </w:rPr>
        <w:t>表</w:t>
      </w:r>
    </w:p>
    <w:p w14:paraId="62C10C6A">
      <w:pPr>
        <w:pStyle w:val="8"/>
        <w:numPr>
          <w:ilvl w:val="0"/>
          <w:numId w:val="7"/>
        </w:numPr>
        <w:rPr>
          <w:rFonts w:hint="eastAsia" w:eastAsia="楷体_GB2312"/>
          <w:bCs/>
          <w:sz w:val="28"/>
        </w:rPr>
      </w:pPr>
      <w:r>
        <w:rPr>
          <w:rFonts w:hint="eastAsia" w:eastAsia="楷体_GB2312"/>
          <w:bCs/>
          <w:sz w:val="28"/>
          <w:szCs w:val="22"/>
          <w:lang w:val="en-US" w:eastAsia="zh-CN"/>
        </w:rPr>
        <w:t>报价（万元，含税）：</w:t>
      </w:r>
      <w:r>
        <w:rPr>
          <w:rFonts w:hint="eastAsia" w:eastAsia="楷体_GB2312"/>
          <w:bCs/>
          <w:sz w:val="28"/>
          <w:lang w:val="en-US" w:eastAsia="zh-CN"/>
        </w:rPr>
        <w:t>报价</w:t>
      </w:r>
      <w:r>
        <w:rPr>
          <w:rFonts w:hint="eastAsia" w:eastAsia="楷体_GB2312"/>
          <w:bCs/>
          <w:sz w:val="28"/>
        </w:rPr>
        <w:t>包含但不限于人工费、管理费、利润、税费等费用。</w:t>
      </w:r>
    </w:p>
    <w:tbl>
      <w:tblPr>
        <w:tblStyle w:val="16"/>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962"/>
        <w:gridCol w:w="1278"/>
        <w:gridCol w:w="1092"/>
        <w:gridCol w:w="1036"/>
        <w:gridCol w:w="1036"/>
        <w:gridCol w:w="1036"/>
      </w:tblGrid>
      <w:tr w14:paraId="37CE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277" w:type="dxa"/>
            <w:noWrap w:val="0"/>
            <w:vAlign w:val="center"/>
          </w:tcPr>
          <w:p w14:paraId="4A84B2BE">
            <w:pPr>
              <w:keepNext w:val="0"/>
              <w:keepLines w:val="0"/>
              <w:suppressLineNumbers w:val="0"/>
              <w:spacing w:before="0" w:beforeAutospacing="0" w:after="0" w:afterAutospacing="0" w:line="336" w:lineRule="auto"/>
              <w:ind w:left="0" w:right="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项目</w:t>
            </w:r>
          </w:p>
        </w:tc>
        <w:tc>
          <w:tcPr>
            <w:tcW w:w="962" w:type="dxa"/>
            <w:noWrap w:val="0"/>
            <w:vAlign w:val="center"/>
          </w:tcPr>
          <w:p w14:paraId="21068C78">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预计产量</w:t>
            </w:r>
          </w:p>
        </w:tc>
        <w:tc>
          <w:tcPr>
            <w:tcW w:w="1278" w:type="dxa"/>
            <w:noWrap w:val="0"/>
            <w:vAlign w:val="center"/>
          </w:tcPr>
          <w:p w14:paraId="0C219768">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不含税单价</w:t>
            </w:r>
            <w:r>
              <w:rPr>
                <w:rFonts w:hint="eastAsia" w:ascii="宋体" w:hAnsi="宋体" w:cs="宋体"/>
                <w:bCs/>
                <w:sz w:val="21"/>
                <w:szCs w:val="21"/>
                <w:highlight w:val="none"/>
                <w:vertAlign w:val="baseline"/>
                <w:lang w:val="en-US" w:eastAsia="zh-CN"/>
              </w:rPr>
              <w:t>元/根</w:t>
            </w:r>
          </w:p>
        </w:tc>
        <w:tc>
          <w:tcPr>
            <w:tcW w:w="1092" w:type="dxa"/>
            <w:noWrap w:val="0"/>
            <w:vAlign w:val="center"/>
          </w:tcPr>
          <w:p w14:paraId="6DB8F198">
            <w:pPr>
              <w:keepNext w:val="0"/>
              <w:keepLines w:val="0"/>
              <w:suppressLineNumbers w:val="0"/>
              <w:spacing w:before="0" w:beforeAutospacing="0" w:after="0" w:afterAutospacing="0" w:line="336" w:lineRule="auto"/>
              <w:ind w:left="0" w:right="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含税单价</w:t>
            </w:r>
          </w:p>
          <w:p w14:paraId="576B2075">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元/根</w:t>
            </w:r>
          </w:p>
        </w:tc>
        <w:tc>
          <w:tcPr>
            <w:tcW w:w="1036" w:type="dxa"/>
            <w:noWrap w:val="0"/>
            <w:vAlign w:val="center"/>
          </w:tcPr>
          <w:p w14:paraId="69CC65AE">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税率</w:t>
            </w:r>
          </w:p>
        </w:tc>
        <w:tc>
          <w:tcPr>
            <w:tcW w:w="1036" w:type="dxa"/>
            <w:noWrap w:val="0"/>
            <w:vAlign w:val="center"/>
          </w:tcPr>
          <w:p w14:paraId="3474558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总价</w:t>
            </w:r>
          </w:p>
        </w:tc>
        <w:tc>
          <w:tcPr>
            <w:tcW w:w="1036" w:type="dxa"/>
            <w:noWrap w:val="0"/>
            <w:vAlign w:val="center"/>
          </w:tcPr>
          <w:p w14:paraId="1517DEDA">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备注</w:t>
            </w:r>
          </w:p>
        </w:tc>
      </w:tr>
      <w:tr w14:paraId="1733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277" w:type="dxa"/>
            <w:noWrap w:val="0"/>
            <w:vAlign w:val="center"/>
          </w:tcPr>
          <w:p w14:paraId="1EE61AA4">
            <w:pPr>
              <w:keepNext w:val="0"/>
              <w:keepLines w:val="0"/>
              <w:suppressLineNumbers w:val="0"/>
              <w:spacing w:before="0" w:beforeAutospacing="0" w:after="0" w:afterAutospacing="0" w:line="336" w:lineRule="auto"/>
              <w:ind w:left="0" w:right="0"/>
              <w:jc w:val="center"/>
              <w:rPr>
                <w:rFonts w:hint="default" w:ascii="宋体" w:hAnsi="宋体" w:eastAsia="宋体" w:cs="宋体"/>
                <w:bCs/>
                <w:sz w:val="20"/>
                <w:szCs w:val="20"/>
                <w:highlight w:val="none"/>
                <w:vertAlign w:val="baseline"/>
                <w:lang w:val="en-US" w:eastAsia="zh-CN"/>
              </w:rPr>
            </w:pPr>
            <w:r>
              <w:rPr>
                <w:rFonts w:hint="eastAsia" w:ascii="宋体" w:hAnsi="宋体" w:cs="宋体"/>
                <w:bCs/>
                <w:sz w:val="20"/>
                <w:szCs w:val="20"/>
                <w:highlight w:val="none"/>
                <w:vertAlign w:val="baseline"/>
                <w:lang w:val="en-US" w:eastAsia="zh-CN"/>
              </w:rPr>
              <w:t>前桥喷漆</w:t>
            </w:r>
          </w:p>
        </w:tc>
        <w:tc>
          <w:tcPr>
            <w:tcW w:w="962" w:type="dxa"/>
            <w:noWrap w:val="0"/>
            <w:vAlign w:val="top"/>
          </w:tcPr>
          <w:p w14:paraId="5FA94CAF">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r>
              <w:rPr>
                <w:rFonts w:hint="eastAsia" w:ascii="宋体" w:hAnsi="宋体" w:cs="宋体"/>
                <w:bCs/>
                <w:sz w:val="21"/>
                <w:szCs w:val="21"/>
                <w:highlight w:val="none"/>
                <w:vertAlign w:val="baseline"/>
                <w:lang w:val="en-US" w:eastAsia="zh-CN"/>
              </w:rPr>
              <w:t>337090</w:t>
            </w:r>
          </w:p>
        </w:tc>
        <w:tc>
          <w:tcPr>
            <w:tcW w:w="1278" w:type="dxa"/>
            <w:noWrap w:val="0"/>
            <w:vAlign w:val="top"/>
          </w:tcPr>
          <w:p w14:paraId="5CDB4AE6">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top"/>
          </w:tcPr>
          <w:p w14:paraId="38ACE4F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6D1F2183">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1068EE5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5C98B47D">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4835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09B48D8B">
            <w:pPr>
              <w:keepNext w:val="0"/>
              <w:keepLines w:val="0"/>
              <w:suppressLineNumbers w:val="0"/>
              <w:spacing w:before="0" w:beforeAutospacing="0" w:after="0" w:afterAutospacing="0" w:line="336" w:lineRule="auto"/>
              <w:ind w:left="0" w:right="0"/>
              <w:jc w:val="center"/>
              <w:rPr>
                <w:rFonts w:hint="default" w:ascii="Times New Roman" w:hAnsi="Times New Roman" w:eastAsia="楷体_GB2312" w:cs="Times New Roman"/>
                <w:bCs/>
                <w:sz w:val="24"/>
                <w:szCs w:val="18"/>
                <w:highlight w:val="none"/>
                <w:lang w:val="en-US" w:eastAsia="zh-CN"/>
              </w:rPr>
            </w:pPr>
            <w:r>
              <w:rPr>
                <w:rFonts w:hint="eastAsia" w:ascii="宋体" w:hAnsi="宋体" w:cs="宋体"/>
                <w:bCs/>
                <w:sz w:val="20"/>
                <w:szCs w:val="20"/>
                <w:highlight w:val="none"/>
                <w:vertAlign w:val="baseline"/>
                <w:lang w:val="en-US" w:eastAsia="zh-CN"/>
              </w:rPr>
              <w:t>驱动桥喷漆</w:t>
            </w:r>
          </w:p>
        </w:tc>
        <w:tc>
          <w:tcPr>
            <w:tcW w:w="962" w:type="dxa"/>
            <w:noWrap w:val="0"/>
            <w:vAlign w:val="top"/>
          </w:tcPr>
          <w:p w14:paraId="6D928160">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r>
              <w:rPr>
                <w:rFonts w:hint="eastAsia" w:ascii="宋体" w:hAnsi="宋体" w:cs="宋体"/>
                <w:bCs/>
                <w:sz w:val="21"/>
                <w:szCs w:val="21"/>
                <w:highlight w:val="none"/>
                <w:vertAlign w:val="baseline"/>
                <w:lang w:val="en-US" w:eastAsia="zh-CN"/>
              </w:rPr>
              <w:t>374000</w:t>
            </w:r>
          </w:p>
        </w:tc>
        <w:tc>
          <w:tcPr>
            <w:tcW w:w="1278" w:type="dxa"/>
            <w:noWrap w:val="0"/>
            <w:vAlign w:val="top"/>
          </w:tcPr>
          <w:p w14:paraId="6581AF33">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top"/>
          </w:tcPr>
          <w:p w14:paraId="18D61469">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124645C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392E480B">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top"/>
          </w:tcPr>
          <w:p w14:paraId="7CC2D2A6">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bl>
    <w:p w14:paraId="18B5A077">
      <w:pPr>
        <w:numPr>
          <w:ilvl w:val="0"/>
          <w:numId w:val="8"/>
        </w:numPr>
        <w:spacing w:line="336" w:lineRule="auto"/>
        <w:rPr>
          <w:rFonts w:hint="eastAsia" w:eastAsia="楷体_GB2312"/>
          <w:bCs/>
          <w:sz w:val="28"/>
          <w:szCs w:val="22"/>
          <w:lang w:val="en-US" w:eastAsia="zh-CN"/>
        </w:rPr>
      </w:pPr>
      <w:r>
        <w:rPr>
          <w:rFonts w:hint="eastAsia" w:eastAsia="楷体_GB2312"/>
          <w:bCs/>
          <w:sz w:val="28"/>
          <w:lang w:val="en-US" w:eastAsia="zh-CN"/>
        </w:rPr>
        <w:t>交货期：</w:t>
      </w:r>
      <w:r>
        <w:rPr>
          <w:rFonts w:hint="eastAsia" w:eastAsia="楷体_GB2312"/>
          <w:bCs/>
          <w:sz w:val="28"/>
          <w:szCs w:val="22"/>
          <w:lang w:val="en-US" w:eastAsia="zh-CN"/>
        </w:rPr>
        <w:t>我单位承诺收到中标通知后</w:t>
      </w:r>
      <w:r>
        <w:rPr>
          <w:rFonts w:hint="eastAsia" w:eastAsia="楷体_GB2312"/>
          <w:b/>
          <w:bCs w:val="0"/>
          <w:sz w:val="28"/>
          <w:szCs w:val="22"/>
          <w:lang w:val="en-US" w:eastAsia="zh-CN"/>
        </w:rPr>
        <w:t>一周内</w:t>
      </w:r>
      <w:r>
        <w:rPr>
          <w:rFonts w:hint="eastAsia" w:eastAsia="楷体_GB2312"/>
          <w:bCs/>
          <w:sz w:val="28"/>
          <w:szCs w:val="22"/>
          <w:lang w:val="en-US" w:eastAsia="zh-CN"/>
        </w:rPr>
        <w:t>人员到齐。（一周内人员无法到齐的，承诺可满足的人员到齐时间）</w:t>
      </w:r>
    </w:p>
    <w:p w14:paraId="027F1013">
      <w:pPr>
        <w:pStyle w:val="8"/>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付款方式有无偏离</w:t>
      </w:r>
    </w:p>
    <w:p w14:paraId="3C91939E">
      <w:pPr>
        <w:pStyle w:val="8"/>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对招标文件的认同程度（是否完全认同）</w:t>
      </w:r>
    </w:p>
    <w:p w14:paraId="5AED8040">
      <w:pPr>
        <w:rPr>
          <w:rFonts w:hint="eastAsia"/>
          <w:sz w:val="28"/>
        </w:rPr>
      </w:pPr>
    </w:p>
    <w:p w14:paraId="2FB708CA">
      <w:pPr>
        <w:ind w:firstLine="3360" w:firstLineChars="1200"/>
        <w:rPr>
          <w:rFonts w:hint="eastAsia" w:eastAsia="华文新魏"/>
          <w:sz w:val="28"/>
        </w:rPr>
      </w:pPr>
      <w:r>
        <w:rPr>
          <w:rFonts w:hint="eastAsia" w:eastAsia="华文新魏"/>
          <w:sz w:val="28"/>
        </w:rPr>
        <w:t>投标授权的代表签字：</w:t>
      </w:r>
    </w:p>
    <w:p w14:paraId="48D907EC">
      <w:pPr>
        <w:ind w:firstLine="5040" w:firstLineChars="1800"/>
        <w:rPr>
          <w:rFonts w:hint="eastAsia" w:eastAsia="华文新魏"/>
          <w:sz w:val="28"/>
        </w:rPr>
      </w:pPr>
    </w:p>
    <w:p w14:paraId="6AB36956">
      <w:pPr>
        <w:ind w:firstLine="3360" w:firstLineChars="1200"/>
        <w:rPr>
          <w:rFonts w:hint="eastAsia" w:eastAsia="华文新魏"/>
          <w:sz w:val="28"/>
        </w:rPr>
      </w:pPr>
    </w:p>
    <w:p w14:paraId="0536D9CE">
      <w:pPr>
        <w:ind w:firstLine="3360" w:firstLineChars="1200"/>
        <w:rPr>
          <w:rFonts w:hint="eastAsia" w:eastAsia="华文新魏"/>
          <w:sz w:val="28"/>
        </w:rPr>
      </w:pPr>
      <w:r>
        <w:rPr>
          <w:rFonts w:hint="eastAsia" w:eastAsia="华文新魏"/>
          <w:sz w:val="28"/>
        </w:rPr>
        <w:t>单位（公章）：</w:t>
      </w:r>
    </w:p>
    <w:p w14:paraId="65AB4655">
      <w:pPr>
        <w:ind w:firstLine="5040" w:firstLineChars="1800"/>
        <w:rPr>
          <w:rFonts w:hint="eastAsia" w:eastAsia="华文新魏"/>
          <w:sz w:val="28"/>
        </w:rPr>
      </w:pPr>
    </w:p>
    <w:p w14:paraId="34A96A20">
      <w:pPr>
        <w:ind w:firstLine="3360" w:firstLineChars="1200"/>
        <w:rPr>
          <w:rFonts w:hint="eastAsia" w:eastAsia="华文新魏"/>
          <w:sz w:val="28"/>
        </w:rPr>
      </w:pPr>
    </w:p>
    <w:p w14:paraId="6C87AC18">
      <w:pPr>
        <w:ind w:firstLine="3360" w:firstLineChars="1200"/>
        <w:rPr>
          <w:rFonts w:hint="eastAsia"/>
          <w:sz w:val="32"/>
        </w:rPr>
      </w:pPr>
      <w:r>
        <w:rPr>
          <w:rFonts w:hint="eastAsia" w:eastAsia="华文新魏"/>
          <w:sz w:val="28"/>
        </w:rPr>
        <w:t>日  期：   年  月  日</w:t>
      </w:r>
    </w:p>
    <w:p w14:paraId="7B7328E1">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bookmarkStart w:id="33" w:name="_Toc20854"/>
      <w:r>
        <w:rPr>
          <w:rFonts w:hint="eastAsia"/>
        </w:rPr>
        <w:t>附件</w:t>
      </w:r>
      <w:r>
        <w:rPr>
          <w:rFonts w:hint="eastAsia"/>
          <w:lang w:val="en-US" w:eastAsia="zh-CN"/>
        </w:rPr>
        <w:t>8-1</w:t>
      </w:r>
      <w:bookmarkEnd w:id="33"/>
    </w:p>
    <w:p w14:paraId="384B4161">
      <w:pPr>
        <w:spacing w:line="360" w:lineRule="auto"/>
        <w:jc w:val="center"/>
        <w:rPr>
          <w:rFonts w:hAnsi="宋体" w:eastAsia="楷体_GB2312"/>
          <w:bCs/>
          <w:sz w:val="24"/>
        </w:rPr>
      </w:pPr>
      <w:r>
        <w:rPr>
          <w:rFonts w:hint="eastAsia" w:hAnsi="宋体" w:eastAsia="楷体_GB2312"/>
          <w:bCs/>
          <w:sz w:val="24"/>
        </w:rPr>
        <w:t>投标明细分项报价一览表</w:t>
      </w:r>
    </w:p>
    <w:p w14:paraId="3328BC35">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27B49C2F">
      <w:pPr>
        <w:spacing w:line="360" w:lineRule="auto"/>
        <w:rPr>
          <w:rFonts w:hAnsi="宋体" w:eastAsia="楷体_GB2312"/>
          <w:bCs/>
          <w:sz w:val="24"/>
        </w:rPr>
      </w:pPr>
      <w:r>
        <w:rPr>
          <w:rFonts w:hint="eastAsia" w:hAnsi="宋体" w:eastAsia="楷体_GB2312"/>
          <w:bCs/>
          <w:sz w:val="24"/>
        </w:rPr>
        <w:t>投标单位名称：</w:t>
      </w:r>
    </w:p>
    <w:p w14:paraId="7351059C">
      <w:pPr>
        <w:spacing w:line="360" w:lineRule="auto"/>
        <w:jc w:val="right"/>
        <w:rPr>
          <w:rFonts w:hAnsi="宋体" w:eastAsia="楷体_GB2312"/>
          <w:bCs/>
          <w:sz w:val="24"/>
        </w:rPr>
      </w:pPr>
      <w:r>
        <w:rPr>
          <w:rFonts w:hint="eastAsia" w:hAnsi="宋体" w:eastAsia="楷体_GB2312"/>
          <w:bCs/>
          <w:sz w:val="24"/>
        </w:rPr>
        <w:t>金额单位：元</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4C00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60B5D856">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序号</w:t>
            </w:r>
          </w:p>
        </w:tc>
        <w:tc>
          <w:tcPr>
            <w:tcW w:w="1276" w:type="dxa"/>
            <w:vMerge w:val="restart"/>
            <w:shd w:val="clear" w:color="000000" w:fill="D9D9D9"/>
            <w:noWrap w:val="0"/>
            <w:vAlign w:val="center"/>
          </w:tcPr>
          <w:p w14:paraId="6911C1DC">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费用内容</w:t>
            </w:r>
          </w:p>
        </w:tc>
        <w:tc>
          <w:tcPr>
            <w:tcW w:w="1417" w:type="dxa"/>
            <w:vMerge w:val="restart"/>
            <w:shd w:val="clear" w:color="000000" w:fill="D9D9D9"/>
            <w:noWrap w:val="0"/>
            <w:vAlign w:val="center"/>
          </w:tcPr>
          <w:p w14:paraId="6D65F5A9">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单价（元）</w:t>
            </w:r>
          </w:p>
        </w:tc>
        <w:tc>
          <w:tcPr>
            <w:tcW w:w="993" w:type="dxa"/>
            <w:vMerge w:val="restart"/>
            <w:shd w:val="clear" w:color="000000" w:fill="D9D9D9"/>
            <w:noWrap w:val="0"/>
            <w:vAlign w:val="center"/>
          </w:tcPr>
          <w:p w14:paraId="1AFD6037">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数量</w:t>
            </w:r>
          </w:p>
        </w:tc>
        <w:tc>
          <w:tcPr>
            <w:tcW w:w="992" w:type="dxa"/>
            <w:vMerge w:val="restart"/>
            <w:shd w:val="clear" w:color="000000" w:fill="D9D9D9"/>
            <w:noWrap w:val="0"/>
            <w:vAlign w:val="center"/>
          </w:tcPr>
          <w:p w14:paraId="15DD1018">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小计（元）</w:t>
            </w:r>
          </w:p>
        </w:tc>
        <w:tc>
          <w:tcPr>
            <w:tcW w:w="1559" w:type="dxa"/>
            <w:vMerge w:val="restart"/>
            <w:shd w:val="clear" w:color="000000" w:fill="D9D9D9"/>
            <w:noWrap w:val="0"/>
            <w:vAlign w:val="center"/>
          </w:tcPr>
          <w:p w14:paraId="3F551C14">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备注</w:t>
            </w:r>
          </w:p>
        </w:tc>
      </w:tr>
      <w:tr w14:paraId="42C1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13371710">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276" w:type="dxa"/>
            <w:vMerge w:val="continue"/>
            <w:noWrap w:val="0"/>
            <w:vAlign w:val="center"/>
          </w:tcPr>
          <w:p w14:paraId="1DB57353">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417" w:type="dxa"/>
            <w:vMerge w:val="continue"/>
            <w:noWrap w:val="0"/>
            <w:vAlign w:val="center"/>
          </w:tcPr>
          <w:p w14:paraId="1036FFFB">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vMerge w:val="continue"/>
            <w:noWrap w:val="0"/>
            <w:vAlign w:val="center"/>
          </w:tcPr>
          <w:p w14:paraId="54404C3D">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2" w:type="dxa"/>
            <w:vMerge w:val="continue"/>
            <w:noWrap w:val="0"/>
            <w:vAlign w:val="center"/>
          </w:tcPr>
          <w:p w14:paraId="0950161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559" w:type="dxa"/>
            <w:vMerge w:val="continue"/>
            <w:noWrap w:val="0"/>
            <w:vAlign w:val="center"/>
          </w:tcPr>
          <w:p w14:paraId="0FA09437">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r>
      <w:tr w14:paraId="768B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C88109C">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1</w:t>
            </w:r>
          </w:p>
        </w:tc>
        <w:tc>
          <w:tcPr>
            <w:tcW w:w="1276" w:type="dxa"/>
            <w:noWrap w:val="0"/>
            <w:vAlign w:val="center"/>
          </w:tcPr>
          <w:p w14:paraId="1B72CCCC">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人工费</w:t>
            </w:r>
          </w:p>
        </w:tc>
        <w:tc>
          <w:tcPr>
            <w:tcW w:w="1417" w:type="dxa"/>
            <w:noWrap w:val="0"/>
            <w:vAlign w:val="center"/>
          </w:tcPr>
          <w:p w14:paraId="6C5181C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59AAFC3A">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09B95ED2">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49D0B8EE">
            <w:pPr>
              <w:keepNext w:val="0"/>
              <w:keepLines w:val="0"/>
              <w:widowControl/>
              <w:suppressLineNumbers w:val="0"/>
              <w:spacing w:before="0" w:beforeAutospacing="0" w:after="0" w:afterAutospacing="0" w:line="360" w:lineRule="auto"/>
              <w:ind w:left="0" w:right="0"/>
              <w:jc w:val="left"/>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rPr>
              <w:t>　</w:t>
            </w:r>
            <w:r>
              <w:rPr>
                <w:rFonts w:hint="eastAsia" w:ascii="Times New Roman" w:hAnsi="宋体" w:eastAsia="楷体_GB2312" w:cs="Times New Roman"/>
                <w:bCs/>
                <w:sz w:val="24"/>
                <w:szCs w:val="20"/>
                <w:lang w:val="en-US" w:eastAsia="zh-CN"/>
              </w:rPr>
              <w:t>附细化清单</w:t>
            </w:r>
          </w:p>
        </w:tc>
      </w:tr>
      <w:tr w14:paraId="6482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247523A5">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2</w:t>
            </w:r>
          </w:p>
        </w:tc>
        <w:tc>
          <w:tcPr>
            <w:tcW w:w="1276" w:type="dxa"/>
            <w:noWrap w:val="0"/>
            <w:vAlign w:val="center"/>
          </w:tcPr>
          <w:p w14:paraId="2209CEF3">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管理费</w:t>
            </w:r>
          </w:p>
        </w:tc>
        <w:tc>
          <w:tcPr>
            <w:tcW w:w="1417" w:type="dxa"/>
            <w:noWrap w:val="0"/>
            <w:vAlign w:val="center"/>
          </w:tcPr>
          <w:p w14:paraId="1122D66E">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7CE2DC4E">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19F74A2B">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2059C9BA">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7B0E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F62888B">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3</w:t>
            </w:r>
          </w:p>
        </w:tc>
        <w:tc>
          <w:tcPr>
            <w:tcW w:w="1276" w:type="dxa"/>
            <w:noWrap w:val="0"/>
            <w:vAlign w:val="center"/>
          </w:tcPr>
          <w:p w14:paraId="0F87652D">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利润</w:t>
            </w:r>
          </w:p>
        </w:tc>
        <w:tc>
          <w:tcPr>
            <w:tcW w:w="1417" w:type="dxa"/>
            <w:noWrap w:val="0"/>
            <w:vAlign w:val="center"/>
          </w:tcPr>
          <w:p w14:paraId="012A94D2">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797B4DFF">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567C3F76">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64F16A1E">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4A05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7D481166">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4</w:t>
            </w:r>
          </w:p>
        </w:tc>
        <w:tc>
          <w:tcPr>
            <w:tcW w:w="1276" w:type="dxa"/>
            <w:noWrap w:val="0"/>
            <w:vAlign w:val="center"/>
          </w:tcPr>
          <w:p w14:paraId="0C9A638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税费</w:t>
            </w:r>
          </w:p>
        </w:tc>
        <w:tc>
          <w:tcPr>
            <w:tcW w:w="1417" w:type="dxa"/>
            <w:noWrap w:val="0"/>
            <w:vAlign w:val="center"/>
          </w:tcPr>
          <w:p w14:paraId="698CEC62">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35E66E10">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56CF27A0">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53B55FBC">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0751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F6002F2">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276" w:type="dxa"/>
            <w:noWrap w:val="0"/>
            <w:vAlign w:val="center"/>
          </w:tcPr>
          <w:p w14:paraId="48B8FBA6">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合计</w:t>
            </w:r>
          </w:p>
        </w:tc>
        <w:tc>
          <w:tcPr>
            <w:tcW w:w="1417" w:type="dxa"/>
            <w:noWrap w:val="0"/>
            <w:vAlign w:val="center"/>
          </w:tcPr>
          <w:p w14:paraId="43B420A6">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1EB0D60D">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4A2C2BFE">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642E703B">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bl>
    <w:p w14:paraId="01806585">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614310B5">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、价格中包括人工、管理费、各种应付税费等全部费用；</w:t>
      </w:r>
    </w:p>
    <w:p w14:paraId="59BBE189">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73F8E0C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1348EA66">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1959AC4E">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2A490884">
      <w:pPr>
        <w:spacing w:line="360" w:lineRule="auto"/>
        <w:jc w:val="right"/>
        <w:rPr>
          <w:rFonts w:hAnsi="宋体" w:eastAsia="楷体_GB2312"/>
          <w:bCs/>
          <w:sz w:val="24"/>
        </w:r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____</w:t>
      </w:r>
      <w:r>
        <w:rPr>
          <w:rFonts w:hint="eastAsia" w:hAnsi="宋体" w:eastAsia="楷体_GB2312"/>
          <w:bCs/>
          <w:sz w:val="24"/>
        </w:rPr>
        <w:t>日</w:t>
      </w:r>
    </w:p>
    <w:p w14:paraId="16A39235">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rPr>
      </w:pPr>
      <w:bookmarkStart w:id="34" w:name="_Toc1064"/>
      <w:r>
        <w:rPr>
          <w:rFonts w:hint="eastAsia"/>
          <w:lang w:val="en-US" w:eastAsia="zh-CN"/>
        </w:rPr>
        <w:t>附件9技术质量保证协议</w:t>
      </w:r>
      <w:bookmarkEnd w:id="34"/>
    </w:p>
    <w:p w14:paraId="3ED73406">
      <w:pPr>
        <w:spacing w:line="360" w:lineRule="exact"/>
        <w:rPr>
          <w:rFonts w:hint="eastAsia" w:ascii="宋体" w:hAnsi="宋体"/>
          <w:b/>
        </w:rPr>
      </w:pPr>
      <w:r>
        <w:rPr>
          <w:rFonts w:hint="eastAsia" w:ascii="宋体" w:hAnsi="宋体"/>
          <w:b/>
        </w:rPr>
        <w:t>第一条：总则</w:t>
      </w:r>
    </w:p>
    <w:p w14:paraId="254D9D3F">
      <w:pPr>
        <w:spacing w:line="360" w:lineRule="exact"/>
        <w:ind w:firstLine="420" w:firstLineChars="200"/>
        <w:rPr>
          <w:rFonts w:ascii="宋体" w:hAnsi="宋体"/>
        </w:rPr>
      </w:pPr>
      <w:r>
        <w:rPr>
          <w:rFonts w:hint="eastAsia" w:ascii="宋体" w:hAnsi="宋体"/>
        </w:rPr>
        <w:t>1.1甲乙</w:t>
      </w:r>
      <w:r>
        <w:rPr>
          <w:rFonts w:ascii="宋体" w:hAnsi="宋体"/>
        </w:rPr>
        <w:t>双方本着合作双赢、共同发展的经营理念，经友好协商，达成共识，特订立本协议。</w:t>
      </w:r>
    </w:p>
    <w:p w14:paraId="506DB44D">
      <w:pPr>
        <w:spacing w:line="360" w:lineRule="exact"/>
        <w:ind w:firstLine="420" w:firstLineChars="200"/>
        <w:rPr>
          <w:rFonts w:hint="eastAsia" w:ascii="宋体" w:hAnsi="宋体"/>
        </w:rPr>
      </w:pPr>
      <w:r>
        <w:rPr>
          <w:rFonts w:hint="eastAsia" w:ascii="宋体" w:hAnsi="宋体"/>
        </w:rPr>
        <w:t>1.2本协议具有法律约束力，甲、乙双方要共同遵守，在必要情况下双方可另行签订相关补充协议，作为本协议的补充。</w:t>
      </w:r>
    </w:p>
    <w:p w14:paraId="59D34B05">
      <w:pPr>
        <w:spacing w:line="360" w:lineRule="exact"/>
        <w:ind w:firstLine="420" w:firstLineChars="200"/>
        <w:rPr>
          <w:rFonts w:hint="eastAsia" w:ascii="宋体" w:hAnsi="宋体"/>
          <w:color w:val="000000"/>
        </w:rPr>
      </w:pPr>
      <w:r>
        <w:rPr>
          <w:rFonts w:hint="eastAsia" w:ascii="宋体" w:hAnsi="宋体"/>
        </w:rPr>
        <w:t>1.3</w:t>
      </w:r>
      <w:r>
        <w:rPr>
          <w:rFonts w:hint="eastAsia" w:ascii="宋体" w:hAnsi="宋体"/>
          <w:color w:val="000000"/>
        </w:rPr>
        <w:t>甲方委托乙方开展的</w:t>
      </w:r>
      <w:r>
        <w:rPr>
          <w:rFonts w:hint="eastAsia" w:ascii="宋体" w:hAnsi="宋体"/>
          <w:color w:val="000000"/>
          <w:u w:val="single"/>
        </w:rPr>
        <w:t xml:space="preserve"> </w:t>
      </w:r>
      <w:r>
        <w:rPr>
          <w:rFonts w:hint="eastAsia" w:ascii="宋体" w:hAnsi="宋体"/>
          <w:color w:val="000000"/>
          <w:u w:val="single"/>
          <w:lang w:val="en-US" w:eastAsia="zh-CN"/>
        </w:rPr>
        <w:t>前桥驱动桥喷漆</w:t>
      </w:r>
      <w:r>
        <w:rPr>
          <w:rFonts w:hint="eastAsia" w:ascii="宋体" w:hAnsi="宋体"/>
          <w:color w:val="000000"/>
        </w:rPr>
        <w:t>外包业务，必须符合甲方的质量要求，乙方保证向甲方提供符合质量要求的产品，在签订本协议前，甲方已对乙方企业服务质量等情况进行评估。</w:t>
      </w:r>
    </w:p>
    <w:p w14:paraId="688EEA86">
      <w:pPr>
        <w:spacing w:line="360" w:lineRule="exact"/>
        <w:rPr>
          <w:rFonts w:hint="eastAsia" w:ascii="宋体" w:hAnsi="宋体"/>
          <w:b/>
          <w:color w:val="000000"/>
        </w:rPr>
      </w:pPr>
      <w:r>
        <w:rPr>
          <w:rFonts w:hint="eastAsia" w:ascii="宋体" w:hAnsi="宋体"/>
          <w:b/>
          <w:color w:val="000000"/>
        </w:rPr>
        <w:t>第二条：质量保证</w:t>
      </w:r>
    </w:p>
    <w:p w14:paraId="74C61E5C">
      <w:pPr>
        <w:spacing w:line="360" w:lineRule="exact"/>
        <w:ind w:firstLine="411" w:firstLineChars="196"/>
        <w:rPr>
          <w:rFonts w:ascii="宋体" w:hAnsi="宋体"/>
          <w:color w:val="000000"/>
        </w:rPr>
      </w:pPr>
      <w:r>
        <w:rPr>
          <w:rFonts w:hint="eastAsia" w:ascii="宋体" w:hAnsi="宋体"/>
          <w:color w:val="000000"/>
        </w:rPr>
        <w:t>2</w:t>
      </w:r>
      <w:r>
        <w:rPr>
          <w:rFonts w:ascii="宋体" w:hAnsi="宋体"/>
          <w:color w:val="000000"/>
        </w:rPr>
        <w:t xml:space="preserve">.1建立质量保证体系  </w:t>
      </w:r>
    </w:p>
    <w:p w14:paraId="1B8C18A3">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.1.1乙方有义务按</w:t>
      </w:r>
      <w:r>
        <w:rPr>
          <w:rFonts w:hint="eastAsia" w:ascii="宋体" w:hAnsi="宋体"/>
          <w:color w:val="000000"/>
          <w:u w:val="single"/>
        </w:rPr>
        <w:t>IATF</w:t>
      </w:r>
      <w:r>
        <w:rPr>
          <w:rFonts w:ascii="宋体" w:hAnsi="宋体"/>
          <w:color w:val="000000"/>
          <w:u w:val="single"/>
        </w:rPr>
        <w:t xml:space="preserve"> 16949</w:t>
      </w:r>
      <w:r>
        <w:rPr>
          <w:rFonts w:hint="eastAsia" w:ascii="宋体" w:hAnsi="宋体"/>
          <w:color w:val="000000"/>
          <w:u w:val="single"/>
        </w:rPr>
        <w:t>或ISO</w:t>
      </w:r>
      <w:r>
        <w:rPr>
          <w:rFonts w:ascii="宋体" w:hAnsi="宋体"/>
          <w:color w:val="000000"/>
          <w:u w:val="single"/>
        </w:rPr>
        <w:t xml:space="preserve"> 9001</w:t>
      </w:r>
      <w:r>
        <w:rPr>
          <w:rFonts w:ascii="宋体" w:hAnsi="宋体"/>
          <w:color w:val="000000"/>
        </w:rPr>
        <w:t xml:space="preserve">的要求建立质量管理体系，并且有责任维持这个体系的零缺陷目标和不断地改进服务。 </w:t>
      </w:r>
    </w:p>
    <w:p w14:paraId="0528F72F">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w:t>
      </w:r>
      <w:r>
        <w:rPr>
          <w:rFonts w:hint="eastAsia" w:ascii="宋体" w:hAnsi="宋体"/>
          <w:color w:val="000000"/>
        </w:rPr>
        <w:t>2</w:t>
      </w:r>
      <w:r>
        <w:rPr>
          <w:rFonts w:ascii="宋体" w:hAnsi="宋体"/>
          <w:color w:val="000000"/>
        </w:rPr>
        <w:t>乙方允许甲方通过有限的审核手段，来检查其质量管理方法是否达到甲方的要求。审核</w:t>
      </w:r>
      <w:r>
        <w:rPr>
          <w:rFonts w:hint="eastAsia" w:ascii="宋体" w:hAnsi="宋体"/>
          <w:color w:val="000000"/>
        </w:rPr>
        <w:t>包括但不限于</w:t>
      </w:r>
      <w:r>
        <w:rPr>
          <w:rFonts w:ascii="宋体" w:hAnsi="宋体"/>
          <w:color w:val="000000"/>
        </w:rPr>
        <w:t xml:space="preserve">体系、过程、产品。  </w:t>
      </w:r>
    </w:p>
    <w:p w14:paraId="1F0936B3">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.1.3乙方允许甲方接近所有的操作设备、试验中心、仓库及邻近区域，并且可以检查与质量有关的文件。在此情况下，甲方须保证严格遵守乙方对商业秘密的安全性及人身财产安全等相关规定执行。</w:t>
      </w:r>
    </w:p>
    <w:p w14:paraId="71D383EB">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.1.4</w:t>
      </w:r>
      <w:r>
        <w:rPr>
          <w:rFonts w:hint="eastAsia" w:ascii="宋体" w:hAnsi="宋体"/>
          <w:color w:val="000000"/>
        </w:rPr>
        <w:t>乙方应按甲方提供的现场作业文件进行生产。</w:t>
      </w:r>
    </w:p>
    <w:p w14:paraId="4625F4EE">
      <w:pPr>
        <w:tabs>
          <w:tab w:val="left" w:pos="360"/>
        </w:tabs>
        <w:spacing w:line="360" w:lineRule="exact"/>
        <w:ind w:firstLine="420" w:firstLineChars="200"/>
        <w:rPr>
          <w:rFonts w:hint="eastAsia" w:ascii="宋体" w:hAnsi="宋体"/>
          <w:color w:val="000000"/>
        </w:rPr>
      </w:pPr>
      <w:r>
        <w:rPr>
          <w:rFonts w:hint="eastAsia" w:ascii="宋体" w:hAnsi="宋体"/>
          <w:color w:val="000000"/>
        </w:rPr>
        <w:t>2</w:t>
      </w:r>
      <w:r>
        <w:rPr>
          <w:rFonts w:ascii="宋体" w:hAnsi="宋体"/>
          <w:color w:val="000000"/>
        </w:rPr>
        <w:t>.1.5乙方指定质量保证体系管理及经营的质量负责人，根据甲方要求，向甲方书面提交质量负责人</w:t>
      </w:r>
      <w:r>
        <w:rPr>
          <w:rFonts w:hint="eastAsia" w:ascii="宋体" w:hAnsi="宋体"/>
          <w:color w:val="000000"/>
        </w:rPr>
        <w:t>信息</w:t>
      </w:r>
      <w:r>
        <w:rPr>
          <w:rFonts w:ascii="宋体" w:hAnsi="宋体"/>
          <w:color w:val="000000"/>
        </w:rPr>
        <w:t xml:space="preserve">。负责人变更时，事先要通知甲方。 </w:t>
      </w:r>
    </w:p>
    <w:p w14:paraId="74047ACC">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14:paraId="59FA027F">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2.2.1乙方保证制造产品使用的自喷漆等物资符合国家相关规定及双方约定的该产品质量要求，有相应质量保证。</w:t>
      </w:r>
    </w:p>
    <w:p w14:paraId="0EEEC591">
      <w:pPr>
        <w:tabs>
          <w:tab w:val="left" w:pos="360"/>
        </w:tabs>
        <w:spacing w:line="360" w:lineRule="exact"/>
        <w:ind w:firstLine="420" w:firstLineChars="200"/>
        <w:rPr>
          <w:rFonts w:ascii="宋体" w:hAnsi="宋体"/>
        </w:rPr>
      </w:pPr>
      <w:r>
        <w:rPr>
          <w:rFonts w:hint="eastAsia" w:ascii="宋体" w:hAnsi="宋体" w:eastAsia="宋体" w:cs="Times New Roman"/>
          <w:color w:val="000000"/>
        </w:rPr>
        <w:t>2.2.2乙方用于制造产品使用的物资，如由甲方有偿或无偿提供，或向甲方指定第三方采购，其制成产品的质量全部由实际物资生产供应商保证。</w:t>
      </w:r>
    </w:p>
    <w:p w14:paraId="24527F72">
      <w:pPr>
        <w:tabs>
          <w:tab w:val="left" w:pos="360"/>
        </w:tabs>
        <w:spacing w:line="360" w:lineRule="exact"/>
        <w:ind w:left="420" w:leftChars="200"/>
        <w:rPr>
          <w:rFonts w:hint="eastAsia" w:ascii="宋体" w:hAnsi="宋体"/>
        </w:rPr>
      </w:pPr>
      <w:r>
        <w:rPr>
          <w:rFonts w:hint="eastAsia" w:ascii="宋体" w:hAnsi="宋体"/>
        </w:rPr>
        <w:t>2.3质量要求</w:t>
      </w:r>
    </w:p>
    <w:p w14:paraId="78DE330C">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 xml:space="preserve">2.3.1 </w:t>
      </w:r>
      <w:r>
        <w:rPr>
          <w:rFonts w:hint="eastAsia" w:ascii="宋体" w:hAnsi="宋体" w:eastAsia="宋体" w:cs="Times New Roman"/>
          <w:color w:val="000000"/>
          <w:lang w:val="en-US" w:eastAsia="zh-CN"/>
        </w:rPr>
        <w:t>桥总成无锈蚀、漏底、油污、异物、积水积雪、脱漆、爆漆、橘皮、色差、可见颗粒、流淌（长度≤50mm，宽度≤5mm，数量≤5个/件）、起泡、裂漆、粉化、磕碰、漆瘤等外观质量问题</w:t>
      </w:r>
      <w:r>
        <w:rPr>
          <w:rFonts w:hint="eastAsia" w:ascii="宋体" w:hAnsi="宋体" w:eastAsia="宋体" w:cs="Times New Roman"/>
          <w:color w:val="000000"/>
        </w:rPr>
        <w:t>。</w:t>
      </w:r>
    </w:p>
    <w:p w14:paraId="1C30BBCD">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 xml:space="preserve">2.3.2 </w:t>
      </w:r>
      <w:r>
        <w:rPr>
          <w:rFonts w:hint="eastAsia" w:ascii="宋体" w:hAnsi="宋体" w:eastAsia="宋体" w:cs="Times New Roman"/>
          <w:color w:val="000000"/>
          <w:lang w:val="en-US" w:eastAsia="zh-CN"/>
        </w:rPr>
        <w:t>普通桥漆膜厚度</w:t>
      </w:r>
      <w:r>
        <w:rPr>
          <w:rFonts w:hint="default" w:ascii="宋体" w:hAnsi="宋体" w:eastAsia="宋体" w:cs="Times New Roman"/>
          <w:color w:val="000000"/>
          <w:lang w:val="en-US" w:eastAsia="zh-CN"/>
        </w:rPr>
        <w:t>≥</w:t>
      </w:r>
      <w:r>
        <w:rPr>
          <w:rFonts w:hint="eastAsia" w:ascii="宋体" w:hAnsi="宋体" w:eastAsia="宋体" w:cs="Times New Roman"/>
          <w:color w:val="000000"/>
          <w:lang w:val="en-US" w:eastAsia="zh-CN"/>
        </w:rPr>
        <w:t>50um，出口桥、军桥漆膜厚度</w:t>
      </w:r>
      <w:r>
        <w:rPr>
          <w:rFonts w:hint="default" w:ascii="宋体" w:hAnsi="宋体" w:eastAsia="宋体" w:cs="Times New Roman"/>
          <w:color w:val="000000"/>
          <w:lang w:val="en-US" w:eastAsia="zh-CN"/>
        </w:rPr>
        <w:t>≥</w:t>
      </w:r>
      <w:r>
        <w:rPr>
          <w:rFonts w:hint="eastAsia" w:ascii="宋体" w:hAnsi="宋体" w:eastAsia="宋体" w:cs="Times New Roman"/>
          <w:color w:val="000000"/>
          <w:lang w:val="en-US" w:eastAsia="zh-CN"/>
        </w:rPr>
        <w:t>75um ，漆膜附着力≤1级，其它符合ST3乙-Q/ZZ21017。</w:t>
      </w:r>
    </w:p>
    <w:p w14:paraId="2B44DBF9">
      <w:pPr>
        <w:tabs>
          <w:tab w:val="left" w:pos="360"/>
        </w:tabs>
        <w:spacing w:line="360" w:lineRule="exact"/>
        <w:ind w:firstLine="420" w:firstLineChars="200"/>
        <w:rPr>
          <w:rFonts w:hint="eastAsia" w:ascii="宋体" w:hAnsi="宋体" w:eastAsia="宋体" w:cs="Times New Roman"/>
          <w:color w:val="000000"/>
          <w:lang w:val="en-US" w:eastAsia="zh-CN"/>
        </w:rPr>
      </w:pPr>
      <w:r>
        <w:rPr>
          <w:rFonts w:hint="eastAsia" w:ascii="宋体" w:hAnsi="宋体" w:eastAsia="宋体" w:cs="Times New Roman"/>
          <w:color w:val="000000"/>
        </w:rPr>
        <w:t>2.3.</w:t>
      </w:r>
      <w:r>
        <w:rPr>
          <w:rFonts w:hint="eastAsia" w:ascii="宋体" w:hAnsi="宋体" w:eastAsia="宋体" w:cs="Times New Roman"/>
          <w:color w:val="000000"/>
          <w:lang w:val="en-US" w:eastAsia="zh-CN"/>
        </w:rPr>
        <w:t xml:space="preserve">4 </w:t>
      </w:r>
      <w:r>
        <w:rPr>
          <w:rFonts w:hint="eastAsia" w:ascii="宋体" w:hAnsi="宋体" w:eastAsia="宋体" w:cs="Times New Roman"/>
          <w:color w:val="000000"/>
        </w:rPr>
        <w:t>按照涂装产品制造过程质量控制，确保每工序质量问题得到及时修复，不得流入下一工序影响产品质量</w:t>
      </w:r>
      <w:r>
        <w:rPr>
          <w:rFonts w:hint="eastAsia" w:ascii="宋体" w:hAnsi="宋体" w:eastAsia="宋体" w:cs="Times New Roman"/>
          <w:color w:val="000000"/>
          <w:lang w:eastAsia="zh-CN"/>
        </w:rPr>
        <w:t>。</w:t>
      </w:r>
    </w:p>
    <w:p w14:paraId="6ED9A80A">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lang w:val="en-US" w:eastAsia="zh-CN"/>
        </w:rPr>
        <w:t>2.3.5</w:t>
      </w:r>
      <w:r>
        <w:rPr>
          <w:rFonts w:hint="eastAsia" w:ascii="宋体" w:hAnsi="宋体" w:eastAsia="宋体" w:cs="Times New Roman"/>
          <w:color w:val="000000"/>
        </w:rPr>
        <w:t>图纸</w:t>
      </w:r>
      <w:r>
        <w:rPr>
          <w:rFonts w:hint="eastAsia" w:ascii="宋体" w:hAnsi="宋体" w:eastAsia="宋体" w:cs="Times New Roman"/>
          <w:color w:val="000000"/>
          <w:lang w:eastAsia="zh-CN"/>
        </w:rPr>
        <w:t>、</w:t>
      </w:r>
      <w:r>
        <w:rPr>
          <w:rFonts w:hint="eastAsia" w:ascii="宋体" w:hAnsi="宋体" w:eastAsia="宋体" w:cs="Times New Roman"/>
          <w:color w:val="000000"/>
          <w:lang w:val="en-US" w:eastAsia="zh-CN"/>
        </w:rPr>
        <w:t>作业指导书</w:t>
      </w:r>
      <w:r>
        <w:rPr>
          <w:rFonts w:hint="eastAsia" w:ascii="宋体" w:hAnsi="宋体" w:eastAsia="宋体" w:cs="Times New Roman"/>
          <w:color w:val="000000"/>
          <w:lang w:eastAsia="zh-CN"/>
        </w:rPr>
        <w:t>、</w:t>
      </w:r>
      <w:r>
        <w:rPr>
          <w:rFonts w:hint="eastAsia" w:ascii="宋体" w:hAnsi="宋体" w:eastAsia="宋体" w:cs="Times New Roman"/>
          <w:color w:val="000000"/>
          <w:lang w:val="en-US" w:eastAsia="zh-CN"/>
        </w:rPr>
        <w:t>工艺</w:t>
      </w:r>
      <w:r>
        <w:rPr>
          <w:rFonts w:hint="eastAsia" w:ascii="宋体" w:hAnsi="宋体" w:eastAsia="宋体" w:cs="Times New Roman"/>
          <w:color w:val="000000"/>
        </w:rPr>
        <w:t>等技术标准中的其它要求。</w:t>
      </w:r>
    </w:p>
    <w:p w14:paraId="131A964C">
      <w:pPr>
        <w:spacing w:line="360" w:lineRule="exact"/>
        <w:rPr>
          <w:rFonts w:hint="eastAsia" w:ascii="宋体" w:hAnsi="宋体"/>
          <w:b/>
        </w:rPr>
      </w:pPr>
      <w:r>
        <w:rPr>
          <w:rFonts w:hint="eastAsia" w:ascii="宋体" w:hAnsi="宋体"/>
          <w:b/>
        </w:rPr>
        <w:t>第三条：质量责任</w:t>
      </w:r>
    </w:p>
    <w:p w14:paraId="53EB4EC9">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14:paraId="6FE5DA80">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14:paraId="365F5837">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w:t>
      </w:r>
      <w:r>
        <w:rPr>
          <w:rFonts w:hint="eastAsia" w:ascii="宋体" w:hAnsi="宋体"/>
        </w:rPr>
        <w:t>确定</w:t>
      </w:r>
    </w:p>
    <w:p w14:paraId="61C7EEC4">
      <w:pPr>
        <w:tabs>
          <w:tab w:val="left" w:pos="360"/>
        </w:tabs>
        <w:spacing w:line="360" w:lineRule="exact"/>
        <w:ind w:firstLine="42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（涂装）一次下线合格率≥95%</w:t>
      </w:r>
    </w:p>
    <w:p w14:paraId="0DA9E05A">
      <w:pPr>
        <w:tabs>
          <w:tab w:val="left" w:pos="360"/>
        </w:tabs>
        <w:spacing w:line="360" w:lineRule="exact"/>
        <w:ind w:firstLine="420" w:firstLineChars="200"/>
        <w:rPr>
          <w:rFonts w:ascii="宋体" w:hAnsi="宋体"/>
          <w:color w:val="4219D7"/>
        </w:rPr>
      </w:pPr>
      <w:r>
        <w:rPr>
          <w:rFonts w:hint="eastAsia" w:ascii="宋体" w:hAnsi="宋体" w:eastAsia="宋体" w:cs="宋体"/>
          <w:color w:val="auto"/>
          <w:sz w:val="21"/>
          <w:szCs w:val="21"/>
          <w:highlight w:val="none"/>
        </w:rPr>
        <w:t>检查问题按期关闭率</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单位期间（月度）</w:t>
      </w:r>
      <w:r>
        <w:rPr>
          <w:rFonts w:hint="eastAsia" w:ascii="宋体" w:hAnsi="宋体" w:eastAsia="宋体" w:cs="宋体"/>
          <w:color w:val="auto"/>
          <w:sz w:val="21"/>
          <w:szCs w:val="21"/>
          <w:highlight w:val="none"/>
          <w:lang w:val="en-US" w:eastAsia="zh-CN"/>
        </w:rPr>
        <w:t>检查问题关闭数量</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当月问题数量</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rPr>
        <w:t>﹪。</w:t>
      </w:r>
      <w:r>
        <w:rPr>
          <w:rFonts w:ascii="宋体" w:hAnsi="宋体"/>
          <w:color w:val="FF0000"/>
        </w:rPr>
        <w:t xml:space="preserve"> </w:t>
      </w:r>
    </w:p>
    <w:p w14:paraId="3D724798">
      <w:pPr>
        <w:spacing w:line="360" w:lineRule="exact"/>
        <w:ind w:firstLine="411" w:firstLineChars="196"/>
        <w:rPr>
          <w:rFonts w:hint="eastAsia" w:ascii="宋体" w:hAnsi="宋体"/>
        </w:rPr>
      </w:pPr>
      <w:r>
        <w:rPr>
          <w:rFonts w:hint="eastAsia" w:ascii="宋体" w:hAnsi="宋体"/>
        </w:rPr>
        <w:t>3.2质量评价</w:t>
      </w:r>
    </w:p>
    <w:p w14:paraId="033D58AC">
      <w:pPr>
        <w:spacing w:line="360" w:lineRule="exact"/>
        <w:ind w:firstLine="411" w:firstLineChars="196"/>
        <w:rPr>
          <w:rFonts w:hint="eastAsia" w:ascii="宋体" w:hAnsi="宋体"/>
          <w:color w:val="000000"/>
        </w:rPr>
      </w:pPr>
      <w:r>
        <w:rPr>
          <w:rFonts w:hint="eastAsia" w:ascii="宋体" w:hAnsi="宋体"/>
        </w:rPr>
        <w:t>为促进乙方外包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个月月评低于质量目标时，乙方经营或质量保证的负责人至甲方进行质量改善的说明；连续3个月月评低于质量目标时，甲方将采取处罚措施，同时，</w:t>
      </w:r>
      <w:r>
        <w:rPr>
          <w:rFonts w:hint="eastAsia" w:ascii="宋体" w:hAnsi="宋体"/>
          <w:color w:val="000000"/>
        </w:rPr>
        <w:t>甲方有权终止业务合作。</w:t>
      </w:r>
    </w:p>
    <w:p w14:paraId="36AB2A06">
      <w:pPr>
        <w:spacing w:line="360" w:lineRule="exact"/>
        <w:ind w:firstLine="411" w:firstLineChars="196"/>
        <w:rPr>
          <w:rFonts w:hint="eastAsia" w:ascii="宋体" w:hAnsi="宋体"/>
        </w:rPr>
      </w:pPr>
      <w:r>
        <w:rPr>
          <w:rFonts w:hint="eastAsia" w:ascii="宋体" w:hAnsi="宋体"/>
        </w:rPr>
        <w:t>3.3质量交流</w:t>
      </w:r>
    </w:p>
    <w:p w14:paraId="453D5877">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14:paraId="50CC7EA8">
      <w:pPr>
        <w:spacing w:line="360" w:lineRule="exact"/>
        <w:rPr>
          <w:rFonts w:hint="eastAsia" w:ascii="宋体" w:hAnsi="宋体"/>
          <w:b/>
        </w:rPr>
      </w:pPr>
      <w:r>
        <w:rPr>
          <w:rFonts w:hint="eastAsia" w:ascii="宋体" w:hAnsi="宋体"/>
          <w:b/>
        </w:rPr>
        <w:t>第四条：产品防护</w:t>
      </w:r>
    </w:p>
    <w:p w14:paraId="69C70D29">
      <w:pPr>
        <w:tabs>
          <w:tab w:val="left" w:pos="360"/>
        </w:tabs>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4.1乙方在存放过程中必须确保使用的工位器具、吊带等物品质量状态的完好性，减少磕碰划伤的产生。</w:t>
      </w:r>
    </w:p>
    <w:p w14:paraId="531DF9BD">
      <w:pPr>
        <w:tabs>
          <w:tab w:val="left" w:pos="360"/>
        </w:tabs>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4.2乙方在生产过程中必须按相关技术要求摆放</w:t>
      </w:r>
      <w:r>
        <w:rPr>
          <w:rFonts w:hint="eastAsia" w:ascii="宋体" w:hAnsi="宋体" w:eastAsia="宋体" w:cs="Times New Roman"/>
          <w:color w:val="auto"/>
          <w:highlight w:val="none"/>
          <w:lang w:val="en-US" w:eastAsia="zh-CN"/>
        </w:rPr>
        <w:t>涂</w:t>
      </w:r>
      <w:r>
        <w:rPr>
          <w:rFonts w:hint="eastAsia" w:ascii="宋体" w:hAnsi="宋体" w:eastAsia="宋体" w:cs="Times New Roman"/>
          <w:color w:val="auto"/>
          <w:highlight w:val="none"/>
        </w:rPr>
        <w:t>装后的产品，确保不出现因产品摆放不规范造成的产品变形。</w:t>
      </w:r>
    </w:p>
    <w:p w14:paraId="0CBD2AFE">
      <w:pPr>
        <w:spacing w:line="360" w:lineRule="exact"/>
        <w:rPr>
          <w:rFonts w:hint="eastAsia" w:ascii="宋体" w:hAnsi="宋体"/>
          <w:b/>
        </w:rPr>
      </w:pPr>
      <w:r>
        <w:rPr>
          <w:rFonts w:hint="eastAsia" w:ascii="宋体" w:hAnsi="宋体"/>
          <w:b/>
        </w:rPr>
        <w:t>第五条：产品标识及不合格品（待处理品）的处理</w:t>
      </w:r>
    </w:p>
    <w:p w14:paraId="07E7D83F">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14:paraId="65041E37">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乙方在仓库设立有标识的不合格品（待处理品）存放区域，用于存放不合格及待处理产品，并及时清退，严禁积压闲置。乙方不得将不合格品以次充好交付甲方或</w:t>
      </w:r>
      <w:r>
        <w:rPr>
          <w:rFonts w:ascii="宋体" w:hAnsi="宋体"/>
        </w:rPr>
        <w:t>向任何第三方销售不合格品</w:t>
      </w:r>
      <w:r>
        <w:rPr>
          <w:rFonts w:hint="eastAsia" w:ascii="宋体" w:hAnsi="宋体"/>
        </w:rPr>
        <w:t>，不得以任何方式将不合格品流入社会</w:t>
      </w:r>
      <w:r>
        <w:rPr>
          <w:rFonts w:ascii="宋体" w:hAnsi="宋体"/>
        </w:rPr>
        <w:t>。</w:t>
      </w:r>
    </w:p>
    <w:p w14:paraId="1AACC3D7">
      <w:pPr>
        <w:spacing w:line="360" w:lineRule="exact"/>
        <w:ind w:firstLine="420" w:firstLineChars="200"/>
        <w:rPr>
          <w:rFonts w:hint="eastAsia" w:ascii="宋体" w:hAnsi="宋体"/>
        </w:rPr>
      </w:pPr>
      <w:r>
        <w:rPr>
          <w:rFonts w:hint="eastAsia" w:ascii="宋体" w:hAnsi="宋体"/>
        </w:rPr>
        <w:t>5.</w:t>
      </w:r>
      <w:r>
        <w:rPr>
          <w:rFonts w:ascii="宋体" w:hAnsi="宋体"/>
        </w:rPr>
        <w:t>3</w:t>
      </w:r>
      <w:r>
        <w:rPr>
          <w:rFonts w:hint="eastAsia" w:ascii="宋体" w:hAnsi="宋体"/>
        </w:rPr>
        <w:t>乙方在接到甲方的不合格产品（待处理品）通知后，承诺在2小时内将不合格品（待处理品）转运到不合格品（待处理品）存放区域，并粘贴明显的标识。</w:t>
      </w:r>
    </w:p>
    <w:p w14:paraId="279308BE">
      <w:pPr>
        <w:spacing w:line="360" w:lineRule="exact"/>
        <w:ind w:firstLine="420" w:firstLineChars="200"/>
        <w:rPr>
          <w:rFonts w:hint="eastAsia" w:ascii="宋体" w:hAnsi="宋体"/>
          <w:highlight w:val="yellow"/>
        </w:rPr>
      </w:pPr>
      <w:r>
        <w:rPr>
          <w:rFonts w:ascii="宋体" w:hAnsi="宋体"/>
        </w:rPr>
        <w:t>5.</w:t>
      </w:r>
      <w:r>
        <w:rPr>
          <w:rFonts w:hint="eastAsia" w:ascii="宋体" w:hAnsi="宋体"/>
        </w:rPr>
        <w:t>4</w:t>
      </w:r>
      <w:r>
        <w:rPr>
          <w:rFonts w:ascii="宋体" w:hAnsi="宋体"/>
        </w:rPr>
        <w:t>甲方有权对乙方不合格品进行封存、隔离、报废、销毁或作永久性标识。</w:t>
      </w:r>
    </w:p>
    <w:p w14:paraId="2F985484">
      <w:pPr>
        <w:spacing w:line="360" w:lineRule="exact"/>
        <w:rPr>
          <w:rFonts w:ascii="宋体" w:hAnsi="宋体"/>
          <w:b/>
        </w:rPr>
      </w:pPr>
      <w:r>
        <w:rPr>
          <w:rFonts w:hint="eastAsia" w:ascii="宋体" w:hAnsi="宋体"/>
          <w:b/>
        </w:rPr>
        <w:t>第六条：技术要求</w:t>
      </w:r>
    </w:p>
    <w:p w14:paraId="58875BA1">
      <w:pPr>
        <w:spacing w:line="360" w:lineRule="exact"/>
        <w:ind w:firstLine="420" w:firstLineChars="200"/>
        <w:rPr>
          <w:rFonts w:hint="eastAsia"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6.1前桥总成工艺要求：</w:t>
      </w:r>
    </w:p>
    <w:p w14:paraId="21F45E7C">
      <w:pPr>
        <w:spacing w:line="360" w:lineRule="exact"/>
        <w:ind w:firstLine="420" w:firstLineChars="200"/>
        <w:rPr>
          <w:rFonts w:hint="eastAsia" w:ascii="宋体" w:hAnsi="宋体" w:eastAsia="宋体" w:cs="Times New Roman"/>
          <w:b w:val="0"/>
          <w:bCs w:val="0"/>
          <w:strike w:val="0"/>
          <w:dstrike w:val="0"/>
          <w:color w:val="auto"/>
          <w:highlight w:val="none"/>
        </w:rPr>
      </w:pPr>
      <w:r>
        <w:rPr>
          <w:rFonts w:hint="eastAsia" w:ascii="宋体" w:hAnsi="宋体" w:eastAsia="宋体" w:cs="Times New Roman"/>
          <w:b w:val="0"/>
          <w:bCs w:val="0"/>
          <w:strike w:val="0"/>
          <w:dstrike w:val="0"/>
          <w:color w:val="auto"/>
          <w:highlight w:val="none"/>
          <w:lang w:val="en-US" w:eastAsia="zh-CN"/>
        </w:rPr>
        <w:t>6.1.1</w:t>
      </w:r>
      <w:r>
        <w:rPr>
          <w:rFonts w:hint="eastAsia" w:ascii="宋体" w:hAnsi="宋体" w:eastAsia="宋体" w:cs="Times New Roman"/>
          <w:b w:val="0"/>
          <w:bCs w:val="0"/>
          <w:strike w:val="0"/>
          <w:dstrike w:val="0"/>
          <w:color w:val="auto"/>
          <w:highlight w:val="none"/>
        </w:rPr>
        <w:t>涂装线工艺链速</w:t>
      </w:r>
      <w:r>
        <w:rPr>
          <w:rFonts w:hint="eastAsia" w:ascii="宋体" w:hAnsi="宋体" w:eastAsia="宋体" w:cs="Times New Roman"/>
          <w:b w:val="0"/>
          <w:bCs w:val="0"/>
          <w:strike w:val="0"/>
          <w:dstrike w:val="0"/>
          <w:color w:val="auto"/>
          <w:highlight w:val="none"/>
          <w:lang w:val="en-US" w:eastAsia="zh-CN"/>
        </w:rPr>
        <w:t>符合文件要求</w:t>
      </w:r>
      <w:r>
        <w:rPr>
          <w:rFonts w:hint="eastAsia" w:ascii="宋体" w:hAnsi="宋体" w:eastAsia="宋体" w:cs="Times New Roman"/>
          <w:b w:val="0"/>
          <w:bCs w:val="0"/>
          <w:strike w:val="0"/>
          <w:dstrike w:val="0"/>
          <w:color w:val="auto"/>
          <w:highlight w:val="none"/>
        </w:rPr>
        <w:t>。</w:t>
      </w:r>
    </w:p>
    <w:p w14:paraId="35CC5961">
      <w:pPr>
        <w:spacing w:line="360" w:lineRule="exact"/>
        <w:ind w:firstLine="420" w:firstLineChars="200"/>
        <w:rPr>
          <w:rFonts w:hint="eastAsia"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6.1.2</w:t>
      </w:r>
      <w:r>
        <w:rPr>
          <w:rFonts w:hint="eastAsia" w:ascii="宋体" w:hAnsi="宋体" w:eastAsia="宋体" w:cs="Times New Roman"/>
          <w:b w:val="0"/>
          <w:bCs w:val="0"/>
          <w:strike w:val="0"/>
          <w:dstrike w:val="0"/>
          <w:color w:val="auto"/>
          <w:highlight w:val="none"/>
        </w:rPr>
        <w:t>脱脂室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槽液温度、槽液游离碱度、槽液维护及更换频次、喷淋压力等符合文件要求。</w:t>
      </w:r>
    </w:p>
    <w:p w14:paraId="490698D1">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6.1.3</w:t>
      </w:r>
      <w:r>
        <w:rPr>
          <w:rFonts w:hint="eastAsia" w:ascii="宋体" w:hAnsi="宋体" w:eastAsia="宋体" w:cs="Times New Roman"/>
          <w:b w:val="0"/>
          <w:bCs w:val="0"/>
          <w:strike w:val="0"/>
          <w:dstrike w:val="0"/>
          <w:color w:val="auto"/>
          <w:highlight w:val="none"/>
        </w:rPr>
        <w:t>水洗室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槽液温度、槽液维护及更换频次、喷淋压力等符合文件要求。</w:t>
      </w:r>
    </w:p>
    <w:p w14:paraId="1882005F">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6.1.4</w:t>
      </w:r>
      <w:r>
        <w:rPr>
          <w:rFonts w:hint="eastAsia" w:ascii="宋体" w:hAnsi="宋体" w:eastAsia="宋体" w:cs="Times New Roman"/>
          <w:b w:val="0"/>
          <w:bCs w:val="0"/>
          <w:strike w:val="0"/>
          <w:dstrike w:val="0"/>
          <w:color w:val="auto"/>
          <w:highlight w:val="none"/>
        </w:rPr>
        <w:t>、防锈水洗室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槽液温度、槽液游离碱度、槽液维护及更换频次、喷淋压力等符合文件要求。</w:t>
      </w:r>
    </w:p>
    <w:p w14:paraId="23C95B9D">
      <w:pPr>
        <w:spacing w:line="360" w:lineRule="exact"/>
        <w:ind w:firstLine="420" w:firstLineChars="200"/>
        <w:rPr>
          <w:rFonts w:hint="default"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6.1.5</w:t>
      </w:r>
      <w:r>
        <w:rPr>
          <w:rFonts w:hint="eastAsia" w:ascii="宋体" w:hAnsi="宋体" w:eastAsia="宋体" w:cs="Times New Roman"/>
          <w:b w:val="0"/>
          <w:bCs w:val="0"/>
          <w:strike w:val="0"/>
          <w:dstrike w:val="0"/>
          <w:color w:val="auto"/>
          <w:highlight w:val="none"/>
        </w:rPr>
        <w:t>、吹积水室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风压等符合文件要求；桥总成表面无水分残留。</w:t>
      </w:r>
    </w:p>
    <w:p w14:paraId="4A4B3514">
      <w:pPr>
        <w:spacing w:line="360" w:lineRule="exact"/>
        <w:ind w:firstLine="420" w:firstLineChars="200"/>
        <w:rPr>
          <w:rFonts w:hint="default"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6.1.6</w:t>
      </w:r>
      <w:r>
        <w:rPr>
          <w:rFonts w:hint="eastAsia" w:ascii="宋体" w:hAnsi="宋体" w:eastAsia="宋体" w:cs="Times New Roman"/>
          <w:b w:val="0"/>
          <w:bCs w:val="0"/>
          <w:strike w:val="0"/>
          <w:dstrike w:val="0"/>
          <w:color w:val="auto"/>
          <w:highlight w:val="none"/>
        </w:rPr>
        <w:t>、水分烘干室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烘干温度、烘干时间等符合文件要求；</w:t>
      </w:r>
      <w:r>
        <w:rPr>
          <w:rFonts w:hint="eastAsia" w:ascii="宋体" w:hAnsi="宋体" w:eastAsia="宋体" w:cs="Times New Roman"/>
          <w:b w:val="0"/>
          <w:bCs w:val="0"/>
          <w:strike w:val="0"/>
          <w:dstrike w:val="0"/>
          <w:color w:val="auto"/>
          <w:highlight w:val="none"/>
        </w:rPr>
        <w:t>桥总成表面干燥无水分残留</w:t>
      </w:r>
      <w:r>
        <w:rPr>
          <w:rFonts w:hint="eastAsia" w:ascii="宋体" w:hAnsi="宋体" w:eastAsia="宋体" w:cs="Times New Roman"/>
          <w:b w:val="0"/>
          <w:bCs w:val="0"/>
          <w:strike w:val="0"/>
          <w:dstrike w:val="0"/>
          <w:color w:val="auto"/>
          <w:highlight w:val="none"/>
          <w:lang w:val="en-US" w:eastAsia="zh-CN"/>
        </w:rPr>
        <w:t>。</w:t>
      </w:r>
    </w:p>
    <w:p w14:paraId="03F164C2">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6.1.7</w:t>
      </w:r>
      <w:r>
        <w:rPr>
          <w:rFonts w:hint="eastAsia" w:ascii="宋体" w:hAnsi="宋体" w:eastAsia="宋体" w:cs="Times New Roman"/>
          <w:b w:val="0"/>
          <w:bCs w:val="0"/>
          <w:strike w:val="0"/>
          <w:dstrike w:val="0"/>
          <w:color w:val="auto"/>
          <w:highlight w:val="none"/>
        </w:rPr>
        <w:t>、</w:t>
      </w:r>
      <w:r>
        <w:rPr>
          <w:rFonts w:hint="eastAsia" w:ascii="宋体" w:hAnsi="宋体" w:eastAsia="宋体" w:cs="Times New Roman"/>
          <w:b w:val="0"/>
          <w:bCs w:val="0"/>
          <w:strike w:val="0"/>
          <w:dstrike w:val="0"/>
          <w:color w:val="auto"/>
          <w:highlight w:val="none"/>
          <w:lang w:val="en-US" w:eastAsia="zh-CN"/>
        </w:rPr>
        <w:t>喷漆</w:t>
      </w:r>
      <w:r>
        <w:rPr>
          <w:rFonts w:hint="eastAsia" w:ascii="宋体" w:hAnsi="宋体" w:eastAsia="宋体" w:cs="Times New Roman"/>
          <w:b w:val="0"/>
          <w:bCs w:val="0"/>
          <w:strike w:val="0"/>
          <w:dstrike w:val="0"/>
          <w:color w:val="auto"/>
          <w:highlight w:val="none"/>
        </w:rPr>
        <w:t>防护</w:t>
      </w:r>
      <w:r>
        <w:rPr>
          <w:rFonts w:hint="eastAsia" w:ascii="宋体" w:hAnsi="宋体" w:eastAsia="宋体" w:cs="Times New Roman"/>
          <w:b w:val="0"/>
          <w:bCs w:val="0"/>
          <w:strike w:val="0"/>
          <w:dstrike w:val="0"/>
          <w:color w:val="auto"/>
          <w:highlight w:val="none"/>
          <w:lang w:eastAsia="zh-CN"/>
        </w:rPr>
        <w:t>：</w:t>
      </w:r>
    </w:p>
    <w:p w14:paraId="7E06EB45">
      <w:pPr>
        <w:spacing w:line="360" w:lineRule="exact"/>
        <w:ind w:firstLine="420" w:firstLineChars="200"/>
        <w:rPr>
          <w:rFonts w:hint="eastAsia" w:ascii="宋体" w:hAnsi="宋体" w:eastAsia="宋体" w:cs="Times New Roman"/>
          <w:b w:val="0"/>
          <w:bCs w:val="0"/>
          <w:strike w:val="0"/>
          <w:dstrike w:val="0"/>
          <w:color w:val="auto"/>
          <w:highlight w:val="none"/>
        </w:rPr>
      </w:pPr>
      <w:r>
        <w:rPr>
          <w:rFonts w:hint="eastAsia" w:ascii="宋体" w:hAnsi="宋体" w:eastAsia="宋体" w:cs="Times New Roman"/>
          <w:b w:val="0"/>
          <w:bCs w:val="0"/>
          <w:strike w:val="0"/>
          <w:dstrike w:val="0"/>
          <w:color w:val="auto"/>
          <w:highlight w:val="none"/>
        </w:rPr>
        <w:t>使用护具对前梁减震器螺纹孔、制动盘、转向节臂锥孔、车轮螺栓、ABS传感器接头、气室安装面、气室螺母支撑面、骑马螺栓支撑面、轮辋贴合面进行防护，保证防护到位，无缺失。所有油脂嘴密封帽手动按入油脂头；清理特殊桥型局部残留积液；螺栓护帽不能与轮辋贴合面贴合。</w:t>
      </w:r>
    </w:p>
    <w:p w14:paraId="3E6D9160">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6.1.8</w:t>
      </w:r>
      <w:r>
        <w:rPr>
          <w:rFonts w:hint="eastAsia" w:ascii="宋体" w:hAnsi="宋体" w:eastAsia="宋体" w:cs="Times New Roman"/>
          <w:strike w:val="0"/>
          <w:dstrike w:val="0"/>
          <w:color w:val="auto"/>
          <w:highlight w:val="none"/>
        </w:rPr>
        <w:t>预涂漆</w:t>
      </w:r>
    </w:p>
    <w:p w14:paraId="6DF28BF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按照《预涂漆作业指导书》对桥总成进行预涂漆，保证刷涂均匀，无露底、无流淌、无其它残留物，覆盖所有需预涂的表面。</w:t>
      </w:r>
    </w:p>
    <w:p w14:paraId="26A6E31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6.1.9</w:t>
      </w:r>
      <w:r>
        <w:rPr>
          <w:rFonts w:hint="eastAsia" w:ascii="宋体" w:hAnsi="宋体" w:eastAsia="宋体" w:cs="Times New Roman"/>
          <w:strike w:val="0"/>
          <w:dstrike w:val="0"/>
          <w:color w:val="auto"/>
          <w:highlight w:val="none"/>
        </w:rPr>
        <w:t>清理润滑脂</w:t>
      </w:r>
    </w:p>
    <w:p w14:paraId="542BD658">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将溢出的及桥总成表面沾染的润滑脂清理干净，并使用毛刷蘸黄油清洗剂将沾染润滑脂的表面清洗干净，然后将清洗后的残余溶液清理干净，保证无润滑脂残留。</w:t>
      </w:r>
    </w:p>
    <w:p w14:paraId="66E21FE6">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6.1.10</w:t>
      </w:r>
      <w:r>
        <w:rPr>
          <w:rFonts w:hint="eastAsia" w:ascii="宋体" w:hAnsi="宋体" w:eastAsia="宋体" w:cs="Times New Roman"/>
          <w:strike w:val="0"/>
          <w:dstrike w:val="0"/>
          <w:color w:val="auto"/>
          <w:highlight w:val="none"/>
        </w:rPr>
        <w:t>喷底漆</w:t>
      </w:r>
      <w:r>
        <w:rPr>
          <w:rFonts w:hint="eastAsia" w:ascii="宋体" w:hAnsi="宋体" w:eastAsia="宋体" w:cs="Times New Roman"/>
          <w:strike w:val="0"/>
          <w:dstrike w:val="0"/>
          <w:color w:val="auto"/>
          <w:highlight w:val="none"/>
          <w:lang w:eastAsia="zh-CN"/>
        </w:rPr>
        <w:t>：</w:t>
      </w:r>
    </w:p>
    <w:p w14:paraId="1280EC3C">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7191823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w:t>
      </w:r>
      <w:r>
        <w:rPr>
          <w:rFonts w:hint="eastAsia" w:ascii="宋体" w:hAnsi="宋体" w:eastAsia="宋体" w:cs="Times New Roman"/>
          <w:strike w:val="0"/>
          <w:dstrike w:val="0"/>
          <w:color w:val="auto"/>
          <w:highlight w:val="none"/>
        </w:rPr>
        <w:t>参照《重点喷涂作业指导书》对易锈蚀部位进行重点喷涂；</w:t>
      </w:r>
    </w:p>
    <w:p w14:paraId="7070954E">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喷枪和输调漆系统按频次和工艺要求进行清理，保证设备正常使用，并满足出漆量</w:t>
      </w:r>
      <w:r>
        <w:rPr>
          <w:rFonts w:hint="eastAsia" w:ascii="宋体" w:hAnsi="宋体" w:eastAsia="宋体" w:cs="Times New Roman"/>
          <w:strike w:val="0"/>
          <w:dstrike w:val="0"/>
          <w:color w:val="auto"/>
          <w:highlight w:val="none"/>
          <w:lang w:val="en-US" w:eastAsia="zh-CN"/>
        </w:rPr>
        <w:t>文件要求</w:t>
      </w:r>
      <w:r>
        <w:rPr>
          <w:rFonts w:hint="eastAsia" w:ascii="宋体" w:hAnsi="宋体" w:eastAsia="宋体" w:cs="Times New Roman"/>
          <w:strike w:val="0"/>
          <w:dstrike w:val="0"/>
          <w:color w:val="auto"/>
          <w:highlight w:val="none"/>
        </w:rPr>
        <w:t>；</w:t>
      </w:r>
    </w:p>
    <w:p w14:paraId="3E6D2F82">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④按文件</w:t>
      </w:r>
      <w:r>
        <w:rPr>
          <w:rFonts w:hint="eastAsia" w:ascii="宋体" w:hAnsi="宋体" w:eastAsia="宋体" w:cs="Times New Roman"/>
          <w:strike w:val="0"/>
          <w:dstrike w:val="0"/>
          <w:color w:val="auto"/>
          <w:highlight w:val="none"/>
        </w:rPr>
        <w:t>配制漆雾凝聚剂，调整PH值，保证落漆效果。</w:t>
      </w:r>
    </w:p>
    <w:p w14:paraId="6A5C374D">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6.1.11</w:t>
      </w:r>
      <w:r>
        <w:rPr>
          <w:rFonts w:hint="eastAsia" w:ascii="宋体" w:hAnsi="宋体" w:eastAsia="宋体" w:cs="Times New Roman"/>
          <w:strike w:val="0"/>
          <w:dstrike w:val="0"/>
          <w:color w:val="auto"/>
          <w:highlight w:val="none"/>
        </w:rPr>
        <w:t>、底漆流平闪干</w:t>
      </w:r>
      <w:r>
        <w:rPr>
          <w:rFonts w:hint="eastAsia" w:ascii="宋体" w:hAnsi="宋体" w:eastAsia="宋体" w:cs="Times New Roman"/>
          <w:strike w:val="0"/>
          <w:dstrike w:val="0"/>
          <w:color w:val="auto"/>
          <w:highlight w:val="none"/>
          <w:lang w:val="en-US" w:eastAsia="zh-CN"/>
        </w:rPr>
        <w:t>温度符合文件要求</w:t>
      </w:r>
    </w:p>
    <w:p w14:paraId="6A6CEA89">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6.1.12</w:t>
      </w:r>
      <w:r>
        <w:rPr>
          <w:rFonts w:hint="eastAsia" w:ascii="宋体" w:hAnsi="宋体" w:eastAsia="宋体" w:cs="Times New Roman"/>
          <w:strike w:val="0"/>
          <w:dstrike w:val="0"/>
          <w:color w:val="auto"/>
          <w:highlight w:val="none"/>
        </w:rPr>
        <w:t>、喷面漆</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油漆粘度</w:t>
      </w:r>
    </w:p>
    <w:p w14:paraId="0D062100">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01B4B59A">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w:t>
      </w:r>
      <w:r>
        <w:rPr>
          <w:rFonts w:hint="eastAsia" w:ascii="宋体" w:hAnsi="宋体" w:eastAsia="宋体" w:cs="Times New Roman"/>
          <w:strike w:val="0"/>
          <w:dstrike w:val="0"/>
          <w:color w:val="auto"/>
          <w:highlight w:val="none"/>
        </w:rPr>
        <w:t>参照《重点喷涂作业指导书》对易锈蚀部位进行重点喷涂；</w:t>
      </w:r>
    </w:p>
    <w:p w14:paraId="4CBB52EC">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喷枪和输调漆系统按频次和工艺要求进行清理，保证设备正常使用，并满足出漆量</w:t>
      </w:r>
      <w:r>
        <w:rPr>
          <w:rFonts w:hint="eastAsia" w:ascii="宋体" w:hAnsi="宋体" w:eastAsia="宋体" w:cs="Times New Roman"/>
          <w:strike w:val="0"/>
          <w:dstrike w:val="0"/>
          <w:color w:val="auto"/>
          <w:highlight w:val="none"/>
          <w:lang w:val="en-US" w:eastAsia="zh-CN"/>
        </w:rPr>
        <w:t>文件要求</w:t>
      </w:r>
      <w:r>
        <w:rPr>
          <w:rFonts w:hint="eastAsia" w:ascii="宋体" w:hAnsi="宋体" w:eastAsia="宋体" w:cs="Times New Roman"/>
          <w:strike w:val="0"/>
          <w:dstrike w:val="0"/>
          <w:color w:val="auto"/>
          <w:highlight w:val="none"/>
        </w:rPr>
        <w:t>；</w:t>
      </w:r>
    </w:p>
    <w:p w14:paraId="781A510A">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④按文件</w:t>
      </w:r>
      <w:r>
        <w:rPr>
          <w:rFonts w:hint="eastAsia" w:ascii="宋体" w:hAnsi="宋体" w:eastAsia="宋体" w:cs="Times New Roman"/>
          <w:strike w:val="0"/>
          <w:dstrike w:val="0"/>
          <w:color w:val="auto"/>
          <w:highlight w:val="none"/>
        </w:rPr>
        <w:t>配制漆雾凝聚剂，调整PH值，保证落漆效果。</w:t>
      </w:r>
    </w:p>
    <w:p w14:paraId="3700E7A1">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3</w:t>
      </w:r>
      <w:r>
        <w:rPr>
          <w:rFonts w:hint="eastAsia" w:ascii="宋体" w:hAnsi="宋体" w:eastAsia="宋体" w:cs="Times New Roman"/>
          <w:strike w:val="0"/>
          <w:dstrike w:val="0"/>
          <w:color w:val="auto"/>
          <w:highlight w:val="none"/>
        </w:rPr>
        <w:t>、面漆流平、闪干</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闪干温度</w:t>
      </w:r>
      <w:r>
        <w:rPr>
          <w:rFonts w:hint="eastAsia" w:ascii="宋体" w:hAnsi="宋体" w:eastAsia="宋体" w:cs="Times New Roman"/>
          <w:strike w:val="0"/>
          <w:dstrike w:val="0"/>
          <w:color w:val="auto"/>
          <w:highlight w:val="none"/>
          <w:lang w:val="en-US" w:eastAsia="zh-CN"/>
        </w:rPr>
        <w:t>符合文件要求</w:t>
      </w:r>
      <w:r>
        <w:rPr>
          <w:rFonts w:hint="eastAsia" w:ascii="宋体" w:hAnsi="宋体" w:eastAsia="宋体" w:cs="Times New Roman"/>
          <w:strike w:val="0"/>
          <w:dstrike w:val="0"/>
          <w:color w:val="auto"/>
          <w:highlight w:val="none"/>
        </w:rPr>
        <w:t>。</w:t>
      </w:r>
    </w:p>
    <w:p w14:paraId="0426DCF7">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4</w:t>
      </w:r>
      <w:r>
        <w:rPr>
          <w:rFonts w:hint="eastAsia" w:ascii="宋体" w:hAnsi="宋体" w:eastAsia="宋体" w:cs="Times New Roman"/>
          <w:strike w:val="0"/>
          <w:dstrike w:val="0"/>
          <w:color w:val="auto"/>
          <w:highlight w:val="none"/>
        </w:rPr>
        <w:t>、漆膜烘干室</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烘干温度</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烘干时间</w:t>
      </w:r>
      <w:r>
        <w:rPr>
          <w:rFonts w:hint="eastAsia" w:ascii="宋体" w:hAnsi="宋体" w:eastAsia="宋体" w:cs="Times New Roman"/>
          <w:strike w:val="0"/>
          <w:dstrike w:val="0"/>
          <w:color w:val="auto"/>
          <w:highlight w:val="none"/>
          <w:lang w:val="en-US" w:eastAsia="zh-CN"/>
        </w:rPr>
        <w:t>满足文件要求；保证</w:t>
      </w:r>
      <w:r>
        <w:rPr>
          <w:rFonts w:hint="eastAsia" w:ascii="宋体" w:hAnsi="宋体" w:eastAsia="宋体" w:cs="Times New Roman"/>
          <w:strike w:val="0"/>
          <w:dstrike w:val="0"/>
          <w:color w:val="auto"/>
          <w:highlight w:val="none"/>
        </w:rPr>
        <w:t>烘干效果：桥总成表面漆膜干燥</w:t>
      </w:r>
      <w:r>
        <w:rPr>
          <w:rFonts w:hint="eastAsia" w:ascii="宋体" w:hAnsi="宋体" w:eastAsia="宋体" w:cs="Times New Roman"/>
          <w:strike w:val="0"/>
          <w:dstrike w:val="0"/>
          <w:color w:val="auto"/>
          <w:highlight w:val="none"/>
          <w:lang w:eastAsia="zh-CN"/>
        </w:rPr>
        <w:t>。</w:t>
      </w:r>
    </w:p>
    <w:p w14:paraId="24D86928">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5</w:t>
      </w:r>
      <w:r>
        <w:rPr>
          <w:rFonts w:hint="eastAsia" w:ascii="宋体" w:hAnsi="宋体" w:eastAsia="宋体" w:cs="Times New Roman"/>
          <w:strike w:val="0"/>
          <w:dstrike w:val="0"/>
          <w:color w:val="auto"/>
          <w:highlight w:val="none"/>
        </w:rPr>
        <w:t>、标识</w:t>
      </w:r>
      <w:r>
        <w:rPr>
          <w:rFonts w:hint="eastAsia" w:ascii="宋体" w:hAnsi="宋体" w:eastAsia="宋体" w:cs="Times New Roman"/>
          <w:strike w:val="0"/>
          <w:dstrike w:val="0"/>
          <w:color w:val="auto"/>
          <w:highlight w:val="none"/>
          <w:lang w:eastAsia="zh-CN"/>
        </w:rPr>
        <w:t>：</w:t>
      </w:r>
    </w:p>
    <w:p w14:paraId="09AB02AF">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根据工艺文件于前梁上表面书写相应的桥型号及轴距标识，要求字迹清晰,检查防尘罩堵塞有无缺失，螺栓有无漏紧,ABS线安装是否到位，对于检查合格后用绿油漆对合格部位标识，不良品桥挂产品状态标识卡。</w:t>
      </w:r>
    </w:p>
    <w:p w14:paraId="4687FE4D">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6</w:t>
      </w:r>
      <w:r>
        <w:rPr>
          <w:rFonts w:hint="eastAsia" w:ascii="宋体" w:hAnsi="宋体" w:eastAsia="宋体" w:cs="Times New Roman"/>
          <w:strike w:val="0"/>
          <w:dstrike w:val="0"/>
          <w:color w:val="auto"/>
          <w:highlight w:val="none"/>
        </w:rPr>
        <w:t>、喷蜡</w:t>
      </w:r>
    </w:p>
    <w:p w14:paraId="0CB2107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①、配比：蜡溶液与蜡溶剂按照</w:t>
      </w:r>
      <w:r>
        <w:rPr>
          <w:rFonts w:hint="eastAsia" w:ascii="宋体" w:hAnsi="宋体" w:eastAsia="宋体" w:cs="Times New Roman"/>
          <w:strike w:val="0"/>
          <w:dstrike w:val="0"/>
          <w:color w:val="auto"/>
          <w:highlight w:val="none"/>
          <w:lang w:val="en-US" w:eastAsia="zh-CN"/>
        </w:rPr>
        <w:t>文件要求</w:t>
      </w:r>
      <w:r>
        <w:rPr>
          <w:rFonts w:hint="eastAsia" w:ascii="宋体" w:hAnsi="宋体" w:eastAsia="宋体" w:cs="Times New Roman"/>
          <w:strike w:val="0"/>
          <w:dstrike w:val="0"/>
          <w:color w:val="auto"/>
          <w:highlight w:val="none"/>
        </w:rPr>
        <w:t>进行配制；</w:t>
      </w:r>
    </w:p>
    <w:p w14:paraId="3687F634">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②、按照标准文件要求进行喷蜡，保证覆盖所有需喷涂的面；</w:t>
      </w:r>
    </w:p>
    <w:p w14:paraId="68AC1392">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7</w:t>
      </w:r>
      <w:r>
        <w:rPr>
          <w:rFonts w:hint="eastAsia" w:ascii="宋体" w:hAnsi="宋体" w:eastAsia="宋体" w:cs="Times New Roman"/>
          <w:strike w:val="0"/>
          <w:dstrike w:val="0"/>
          <w:color w:val="auto"/>
          <w:highlight w:val="none"/>
        </w:rPr>
        <w:t>、去防护、刷防锈油</w:t>
      </w:r>
    </w:p>
    <w:p w14:paraId="243934EF">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将制动盘护具、ABS传感器接头护具、H653K轮毂端盖护具、轮辋贴合面护具取下循环使用，并摘除铭牌贴膜、安装螺栓保护套。</w:t>
      </w:r>
    </w:p>
    <w:p w14:paraId="1B0BE5C3">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8</w:t>
      </w:r>
      <w:r>
        <w:rPr>
          <w:rFonts w:hint="eastAsia" w:ascii="宋体" w:hAnsi="宋体" w:eastAsia="宋体" w:cs="Times New Roman"/>
          <w:strike w:val="0"/>
          <w:dstrike w:val="0"/>
          <w:color w:val="auto"/>
          <w:highlight w:val="none"/>
        </w:rPr>
        <w:t>、下桥</w:t>
      </w:r>
    </w:p>
    <w:p w14:paraId="01BB5044">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操作行车将前桥总成从吊具上取下，对吊钩遮挡位置补漆，按照桥型号放置到对应的工位器具中，不得混放，保证桥总成放置平稳，无磕碰，详情参照《桥总成下线作业指导书》。</w:t>
      </w:r>
    </w:p>
    <w:p w14:paraId="174F54DC">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6.1.</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9</w:t>
      </w:r>
      <w:r>
        <w:rPr>
          <w:rFonts w:hint="eastAsia" w:ascii="宋体" w:hAnsi="宋体" w:eastAsia="宋体" w:cs="Times New Roman"/>
          <w:strike w:val="0"/>
          <w:dstrike w:val="0"/>
          <w:color w:val="auto"/>
          <w:highlight w:val="none"/>
        </w:rPr>
        <w:t>、整修</w:t>
      </w:r>
    </w:p>
    <w:p w14:paraId="4F1DDCBA">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检查桥总成表面外观，对露底及漆膜不足的部位进行补漆。对流淌、起泡、起皱、咬漆、开裂、桔皮等缺陷的部位，先打磨干净后再补漆，保证补漆后漆面平整。</w:t>
      </w:r>
    </w:p>
    <w:p w14:paraId="7EF17A31">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6.1.20</w:t>
      </w:r>
      <w:r>
        <w:rPr>
          <w:rFonts w:hint="eastAsia" w:ascii="宋体" w:hAnsi="宋体" w:eastAsia="宋体" w:cs="Times New Roman"/>
          <w:color w:val="auto"/>
          <w:highlight w:val="none"/>
        </w:rPr>
        <w:t>、其它</w:t>
      </w:r>
    </w:p>
    <w:p w14:paraId="7B400FFE">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①、本技术协议中的所列技术参数为阶段性参数，最终以甲方技术文件或技术标准为准。</w:t>
      </w:r>
    </w:p>
    <w:p w14:paraId="18382687">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②、合同期内因过程控制提升或喷漆线改造带来的技术方案的变化或增加，乙方应完全接受相关变化或增加带来的管控要求并严格遵守执行。</w:t>
      </w:r>
    </w:p>
    <w:p w14:paraId="617D8CBA">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③、每班开线前使用强光手电检查出水效果，每半月清理、更换全部喷淋嘴，保证出水顺畅。</w:t>
      </w:r>
    </w:p>
    <w:p w14:paraId="08527C15">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④、每两个月循环清理吊钩、吊具，确保吊钩无漆渣堆积、无安全隐患。</w:t>
      </w:r>
    </w:p>
    <w:p w14:paraId="4D94CBB0">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⑤、每月循环清理护具表面漆渣，确保护具表面无漆渣堆积。</w:t>
      </w:r>
    </w:p>
    <w:p w14:paraId="2AD5AB10">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⑥、根据甲方要求及时更换过滤棉、过滤袋、过滤板等过滤装置，每日清理喷漆房玻璃、格栅、墙面，每周清理烘干室墙面、地面、悬挂链线体。</w:t>
      </w:r>
    </w:p>
    <w:p w14:paraId="73BDD913">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⑦、根据甲方要求打捞、清理漆渣池、并按照安全环保要求转运至甲方危废仓库。</w:t>
      </w:r>
    </w:p>
    <w:p w14:paraId="25322ED1">
      <w:pPr>
        <w:spacing w:line="360" w:lineRule="exact"/>
        <w:ind w:firstLine="420" w:firstLineChars="200"/>
        <w:rPr>
          <w:rFonts w:hint="eastAsia"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6.2驱动桥总成工艺要求：</w:t>
      </w:r>
    </w:p>
    <w:p w14:paraId="062D3A50">
      <w:pPr>
        <w:spacing w:line="360" w:lineRule="exact"/>
        <w:ind w:firstLine="420" w:firstLineChars="200"/>
        <w:rPr>
          <w:rFonts w:hint="eastAsia" w:ascii="宋体" w:hAnsi="宋体" w:eastAsia="宋体" w:cs="Times New Roman"/>
          <w:b w:val="0"/>
          <w:bCs w:val="0"/>
          <w:strike w:val="0"/>
          <w:dstrike w:val="0"/>
          <w:color w:val="auto"/>
          <w:highlight w:val="none"/>
        </w:rPr>
      </w:pPr>
      <w:r>
        <w:rPr>
          <w:rFonts w:hint="eastAsia" w:ascii="宋体" w:hAnsi="宋体" w:eastAsia="宋体" w:cs="Times New Roman"/>
          <w:b w:val="0"/>
          <w:bCs w:val="0"/>
          <w:strike w:val="0"/>
          <w:dstrike w:val="0"/>
          <w:color w:val="auto"/>
          <w:highlight w:val="none"/>
          <w:lang w:val="en-US" w:eastAsia="zh-CN"/>
        </w:rPr>
        <w:t>6.2.1工件上线</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按《上线作业指导书》检查有无漏装零件，若存在漏装件需及时反馈；</w:t>
      </w:r>
      <w:r>
        <w:rPr>
          <w:rFonts w:hint="eastAsia" w:ascii="宋体" w:hAnsi="宋体" w:eastAsia="宋体" w:cs="Times New Roman"/>
          <w:b w:val="0"/>
          <w:bCs w:val="0"/>
          <w:strike w:val="0"/>
          <w:dstrike w:val="0"/>
          <w:color w:val="auto"/>
          <w:highlight w:val="none"/>
        </w:rPr>
        <w:t>涂装线工艺链速</w:t>
      </w:r>
      <w:r>
        <w:rPr>
          <w:rFonts w:hint="eastAsia" w:ascii="宋体" w:hAnsi="宋体" w:eastAsia="宋体" w:cs="Times New Roman"/>
          <w:b w:val="0"/>
          <w:bCs w:val="0"/>
          <w:strike w:val="0"/>
          <w:dstrike w:val="0"/>
          <w:color w:val="auto"/>
          <w:highlight w:val="none"/>
          <w:lang w:val="en-US" w:eastAsia="zh-CN"/>
        </w:rPr>
        <w:t>符合文件要求</w:t>
      </w:r>
      <w:r>
        <w:rPr>
          <w:rFonts w:hint="eastAsia" w:ascii="宋体" w:hAnsi="宋体" w:eastAsia="宋体" w:cs="Times New Roman"/>
          <w:b w:val="0"/>
          <w:bCs w:val="0"/>
          <w:strike w:val="0"/>
          <w:dstrike w:val="0"/>
          <w:color w:val="auto"/>
          <w:highlight w:val="none"/>
        </w:rPr>
        <w:t>。</w:t>
      </w:r>
    </w:p>
    <w:p w14:paraId="14299D59">
      <w:pPr>
        <w:spacing w:line="360" w:lineRule="exact"/>
        <w:ind w:firstLine="420" w:firstLineChars="200"/>
        <w:rPr>
          <w:rFonts w:hint="eastAsia"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6.2.2预脱脂/</w:t>
      </w:r>
      <w:r>
        <w:rPr>
          <w:rFonts w:hint="eastAsia" w:ascii="宋体" w:hAnsi="宋体" w:eastAsia="宋体" w:cs="Times New Roman"/>
          <w:b w:val="0"/>
          <w:bCs w:val="0"/>
          <w:strike w:val="0"/>
          <w:dstrike w:val="0"/>
          <w:color w:val="auto"/>
          <w:highlight w:val="none"/>
        </w:rPr>
        <w:t>脱脂</w:t>
      </w:r>
      <w:r>
        <w:rPr>
          <w:rFonts w:hint="eastAsia" w:ascii="宋体" w:hAnsi="宋体" w:eastAsia="宋体" w:cs="Times New Roman"/>
          <w:b w:val="0"/>
          <w:bCs w:val="0"/>
          <w:strike w:val="0"/>
          <w:dstrike w:val="0"/>
          <w:color w:val="auto"/>
          <w:highlight w:val="none"/>
          <w:lang w:val="en-US" w:eastAsia="zh-CN"/>
        </w:rPr>
        <w:t>Ⅰ/</w:t>
      </w:r>
      <w:r>
        <w:rPr>
          <w:rFonts w:hint="eastAsia" w:ascii="宋体" w:hAnsi="宋体" w:eastAsia="宋体" w:cs="Times New Roman"/>
          <w:b w:val="0"/>
          <w:bCs w:val="0"/>
          <w:strike w:val="0"/>
          <w:dstrike w:val="0"/>
          <w:color w:val="auto"/>
          <w:highlight w:val="none"/>
        </w:rPr>
        <w:t>脱脂</w:t>
      </w:r>
      <w:r>
        <w:rPr>
          <w:rFonts w:hint="eastAsia" w:ascii="宋体" w:hAnsi="宋体" w:eastAsia="宋体" w:cs="Times New Roman"/>
          <w:b w:val="0"/>
          <w:bCs w:val="0"/>
          <w:strike w:val="0"/>
          <w:dstrike w:val="0"/>
          <w:color w:val="auto"/>
          <w:highlight w:val="none"/>
          <w:lang w:val="en-US" w:eastAsia="zh-CN"/>
        </w:rPr>
        <w:t>Ⅱ</w:t>
      </w:r>
      <w:r>
        <w:rPr>
          <w:rFonts w:hint="eastAsia" w:ascii="宋体" w:hAnsi="宋体" w:eastAsia="宋体" w:cs="Times New Roman"/>
          <w:b w:val="0"/>
          <w:bCs w:val="0"/>
          <w:strike w:val="0"/>
          <w:dstrike w:val="0"/>
          <w:color w:val="auto"/>
          <w:highlight w:val="none"/>
        </w:rPr>
        <w:t>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槽液温度、槽液游离碱度、槽液维护及更换频次、喷淋压力等符合文件要求。</w:t>
      </w:r>
    </w:p>
    <w:p w14:paraId="5E455895">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6.2.3</w:t>
      </w:r>
      <w:r>
        <w:rPr>
          <w:rFonts w:hint="eastAsia" w:ascii="宋体" w:hAnsi="宋体" w:eastAsia="宋体" w:cs="Times New Roman"/>
          <w:b w:val="0"/>
          <w:bCs w:val="0"/>
          <w:strike w:val="0"/>
          <w:dstrike w:val="0"/>
          <w:color w:val="auto"/>
          <w:highlight w:val="none"/>
        </w:rPr>
        <w:t>水洗室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槽液温度、槽液维护及更换频次、喷淋压力等符合文件要求。</w:t>
      </w:r>
    </w:p>
    <w:p w14:paraId="320D9004">
      <w:pPr>
        <w:spacing w:line="360" w:lineRule="exact"/>
        <w:ind w:firstLine="420" w:firstLineChars="200"/>
        <w:rPr>
          <w:rFonts w:hint="eastAsia" w:ascii="宋体" w:hAnsi="宋体" w:eastAsia="宋体" w:cs="Times New Roman"/>
          <w:b w:val="0"/>
          <w:bCs w:val="0"/>
          <w:strike w:val="0"/>
          <w:dstrike w:val="0"/>
          <w:color w:val="auto"/>
          <w:highlight w:val="none"/>
          <w:lang w:eastAsia="zh-CN"/>
        </w:rPr>
      </w:pPr>
      <w:r>
        <w:rPr>
          <w:rFonts w:hint="eastAsia" w:ascii="宋体" w:hAnsi="宋体" w:eastAsia="宋体" w:cs="Times New Roman"/>
          <w:b w:val="0"/>
          <w:bCs w:val="0"/>
          <w:strike w:val="0"/>
          <w:dstrike w:val="0"/>
          <w:color w:val="auto"/>
          <w:highlight w:val="none"/>
          <w:lang w:val="en-US" w:eastAsia="zh-CN"/>
        </w:rPr>
        <w:t>6.2.4</w:t>
      </w:r>
      <w:r>
        <w:rPr>
          <w:rFonts w:hint="eastAsia" w:ascii="宋体" w:hAnsi="宋体" w:eastAsia="宋体" w:cs="Times New Roman"/>
          <w:b w:val="0"/>
          <w:bCs w:val="0"/>
          <w:strike w:val="0"/>
          <w:dstrike w:val="0"/>
          <w:color w:val="auto"/>
          <w:highlight w:val="none"/>
        </w:rPr>
        <w:t>防锈室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槽液温度、槽液游离碱度、槽液维护及更换频次、喷淋压力等符合文件要求。</w:t>
      </w:r>
    </w:p>
    <w:p w14:paraId="324F69C4">
      <w:pPr>
        <w:spacing w:line="360" w:lineRule="exact"/>
        <w:ind w:firstLine="420" w:firstLineChars="200"/>
        <w:rPr>
          <w:rFonts w:hint="default"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6.2.5</w:t>
      </w:r>
      <w:r>
        <w:rPr>
          <w:rFonts w:hint="eastAsia" w:ascii="宋体" w:hAnsi="宋体" w:eastAsia="宋体" w:cs="Times New Roman"/>
          <w:b w:val="0"/>
          <w:bCs w:val="0"/>
          <w:strike w:val="0"/>
          <w:dstrike w:val="0"/>
          <w:color w:val="auto"/>
          <w:highlight w:val="none"/>
        </w:rPr>
        <w:t>吹积水室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风压等符合文件要求；桥总成表面无水分残留。</w:t>
      </w:r>
    </w:p>
    <w:p w14:paraId="5083064C">
      <w:pPr>
        <w:spacing w:line="360" w:lineRule="exact"/>
        <w:ind w:firstLine="420" w:firstLineChars="200"/>
        <w:rPr>
          <w:rFonts w:hint="default" w:ascii="宋体" w:hAnsi="宋体" w:eastAsia="宋体" w:cs="Times New Roman"/>
          <w:b w:val="0"/>
          <w:bCs w:val="0"/>
          <w:strike w:val="0"/>
          <w:dstrike w:val="0"/>
          <w:color w:val="auto"/>
          <w:highlight w:val="none"/>
          <w:lang w:val="en-US" w:eastAsia="zh-CN"/>
        </w:rPr>
      </w:pPr>
      <w:r>
        <w:rPr>
          <w:rFonts w:hint="eastAsia" w:ascii="宋体" w:hAnsi="宋体" w:eastAsia="宋体" w:cs="Times New Roman"/>
          <w:b w:val="0"/>
          <w:bCs w:val="0"/>
          <w:strike w:val="0"/>
          <w:dstrike w:val="0"/>
          <w:color w:val="auto"/>
          <w:highlight w:val="none"/>
          <w:lang w:val="en-US" w:eastAsia="zh-CN"/>
        </w:rPr>
        <w:t>6.2.6</w:t>
      </w:r>
      <w:r>
        <w:rPr>
          <w:rFonts w:hint="eastAsia" w:ascii="宋体" w:hAnsi="宋体" w:eastAsia="宋体" w:cs="Times New Roman"/>
          <w:b w:val="0"/>
          <w:bCs w:val="0"/>
          <w:strike w:val="0"/>
          <w:dstrike w:val="0"/>
          <w:color w:val="auto"/>
          <w:highlight w:val="none"/>
        </w:rPr>
        <w:t>水分烘干室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lang w:val="en-US" w:eastAsia="zh-CN"/>
        </w:rPr>
        <w:t>烘干温度、烘干时间等符合文件要求；</w:t>
      </w:r>
      <w:r>
        <w:rPr>
          <w:rFonts w:hint="eastAsia" w:ascii="宋体" w:hAnsi="宋体" w:eastAsia="宋体" w:cs="Times New Roman"/>
          <w:b w:val="0"/>
          <w:bCs w:val="0"/>
          <w:strike w:val="0"/>
          <w:dstrike w:val="0"/>
          <w:color w:val="auto"/>
          <w:highlight w:val="none"/>
        </w:rPr>
        <w:t>桥总成表面干燥无水分残留</w:t>
      </w:r>
      <w:r>
        <w:rPr>
          <w:rFonts w:hint="eastAsia" w:ascii="宋体" w:hAnsi="宋体" w:eastAsia="宋体" w:cs="Times New Roman"/>
          <w:b w:val="0"/>
          <w:bCs w:val="0"/>
          <w:strike w:val="0"/>
          <w:dstrike w:val="0"/>
          <w:color w:val="auto"/>
          <w:highlight w:val="none"/>
          <w:lang w:val="en-US" w:eastAsia="zh-CN"/>
        </w:rPr>
        <w:t>。</w:t>
      </w:r>
    </w:p>
    <w:p w14:paraId="6F6A2020">
      <w:pPr>
        <w:spacing w:line="360" w:lineRule="exact"/>
        <w:ind w:firstLine="420" w:firstLineChars="200"/>
        <w:rPr>
          <w:rFonts w:hint="eastAsia" w:ascii="宋体" w:hAnsi="宋体" w:eastAsia="宋体" w:cs="Times New Roman"/>
          <w:b w:val="0"/>
          <w:bCs w:val="0"/>
          <w:strike w:val="0"/>
          <w:dstrike w:val="0"/>
          <w:color w:val="auto"/>
          <w:highlight w:val="none"/>
        </w:rPr>
      </w:pPr>
      <w:r>
        <w:rPr>
          <w:rFonts w:hint="eastAsia" w:ascii="宋体" w:hAnsi="宋体" w:eastAsia="宋体" w:cs="Times New Roman"/>
          <w:b w:val="0"/>
          <w:bCs w:val="0"/>
          <w:strike w:val="0"/>
          <w:dstrike w:val="0"/>
          <w:color w:val="auto"/>
          <w:highlight w:val="none"/>
          <w:lang w:val="en-US" w:eastAsia="zh-CN"/>
        </w:rPr>
        <w:t>6.2.7检查</w:t>
      </w:r>
      <w:r>
        <w:rPr>
          <w:rFonts w:hint="eastAsia" w:ascii="宋体" w:hAnsi="宋体" w:eastAsia="宋体" w:cs="Times New Roman"/>
          <w:b w:val="0"/>
          <w:bCs w:val="0"/>
          <w:strike w:val="0"/>
          <w:dstrike w:val="0"/>
          <w:color w:val="auto"/>
          <w:highlight w:val="none"/>
        </w:rPr>
        <w:t>防护</w:t>
      </w:r>
      <w:r>
        <w:rPr>
          <w:rFonts w:hint="eastAsia" w:ascii="宋体" w:hAnsi="宋体" w:eastAsia="宋体" w:cs="Times New Roman"/>
          <w:b w:val="0"/>
          <w:bCs w:val="0"/>
          <w:strike w:val="0"/>
          <w:dstrike w:val="0"/>
          <w:color w:val="auto"/>
          <w:highlight w:val="none"/>
          <w:lang w:eastAsia="zh-CN"/>
        </w:rPr>
        <w:t>：</w:t>
      </w:r>
      <w:r>
        <w:rPr>
          <w:rFonts w:hint="eastAsia" w:ascii="宋体" w:hAnsi="宋体" w:eastAsia="宋体" w:cs="Times New Roman"/>
          <w:b w:val="0"/>
          <w:bCs w:val="0"/>
          <w:strike w:val="0"/>
          <w:dstrike w:val="0"/>
          <w:color w:val="auto"/>
          <w:highlight w:val="none"/>
        </w:rPr>
        <w:t>按照《检查、防护作业指导书》</w:t>
      </w:r>
      <w:r>
        <w:rPr>
          <w:rFonts w:hint="eastAsia" w:ascii="宋体" w:hAnsi="宋体" w:eastAsia="宋体" w:cs="Times New Roman"/>
          <w:b w:val="0"/>
          <w:bCs w:val="0"/>
          <w:strike w:val="0"/>
          <w:dstrike w:val="0"/>
          <w:color w:val="auto"/>
          <w:highlight w:val="none"/>
          <w:lang w:val="en-US" w:eastAsia="zh-CN"/>
        </w:rPr>
        <w:t>补吹积水以及检查防护，产品表面无浮锈、润滑脂或积水</w:t>
      </w:r>
      <w:r>
        <w:rPr>
          <w:rFonts w:hint="eastAsia" w:ascii="宋体" w:hAnsi="宋体" w:eastAsia="宋体" w:cs="Times New Roman"/>
          <w:b w:val="0"/>
          <w:bCs w:val="0"/>
          <w:strike w:val="0"/>
          <w:dstrike w:val="0"/>
          <w:color w:val="auto"/>
          <w:highlight w:val="none"/>
        </w:rPr>
        <w:t>。</w:t>
      </w:r>
    </w:p>
    <w:p w14:paraId="00689E53">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6.2.8重点</w:t>
      </w:r>
      <w:r>
        <w:rPr>
          <w:rFonts w:hint="eastAsia" w:ascii="宋体" w:hAnsi="宋体" w:eastAsia="宋体" w:cs="Times New Roman"/>
          <w:strike w:val="0"/>
          <w:dstrike w:val="0"/>
          <w:color w:val="auto"/>
          <w:highlight w:val="none"/>
        </w:rPr>
        <w:t>涂</w:t>
      </w:r>
      <w:r>
        <w:rPr>
          <w:rFonts w:hint="eastAsia" w:ascii="宋体" w:hAnsi="宋体" w:eastAsia="宋体" w:cs="Times New Roman"/>
          <w:strike w:val="0"/>
          <w:dstrike w:val="0"/>
          <w:color w:val="auto"/>
          <w:highlight w:val="none"/>
          <w:lang w:val="en-US" w:eastAsia="zh-CN"/>
        </w:rPr>
        <w:t>底</w:t>
      </w:r>
      <w:r>
        <w:rPr>
          <w:rFonts w:hint="eastAsia" w:ascii="宋体" w:hAnsi="宋体" w:eastAsia="宋体" w:cs="Times New Roman"/>
          <w:strike w:val="0"/>
          <w:dstrike w:val="0"/>
          <w:color w:val="auto"/>
          <w:highlight w:val="none"/>
        </w:rPr>
        <w:t>漆</w:t>
      </w:r>
      <w:r>
        <w:rPr>
          <w:rFonts w:hint="eastAsia" w:ascii="宋体" w:hAnsi="宋体" w:eastAsia="宋体" w:cs="Times New Roman"/>
          <w:b w:val="0"/>
          <w:bCs w:val="0"/>
          <w:strike w:val="0"/>
          <w:dstrike w:val="0"/>
          <w:color w:val="auto"/>
          <w:highlight w:val="none"/>
          <w:lang w:eastAsia="zh-CN"/>
        </w:rPr>
        <w:t>：</w:t>
      </w:r>
    </w:p>
    <w:p w14:paraId="067B4F8B">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①</w:t>
      </w:r>
      <w:r>
        <w:rPr>
          <w:rFonts w:hint="eastAsia" w:ascii="宋体" w:hAnsi="宋体" w:eastAsia="宋体" w:cs="Times New Roman"/>
          <w:strike w:val="0"/>
          <w:dstrike w:val="0"/>
          <w:color w:val="auto"/>
          <w:highlight w:val="none"/>
        </w:rPr>
        <w:t>按照《桥总成刷底漆作业指导书》对桥总成进行预涂漆，保证刷涂均匀，无露底、无流淌、无其它残留物，覆盖所有需预涂的表面</w:t>
      </w:r>
      <w:r>
        <w:rPr>
          <w:rFonts w:hint="eastAsia" w:ascii="宋体" w:hAnsi="宋体" w:eastAsia="宋体" w:cs="Times New Roman"/>
          <w:strike w:val="0"/>
          <w:dstrike w:val="0"/>
          <w:color w:val="auto"/>
          <w:highlight w:val="none"/>
          <w:lang w:val="en-US" w:eastAsia="zh-CN"/>
        </w:rPr>
        <w:t>；</w:t>
      </w:r>
    </w:p>
    <w:p w14:paraId="6833AA3C">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②油漆粘度、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682342B1">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w:t>
      </w:r>
      <w:r>
        <w:rPr>
          <w:rFonts w:hint="eastAsia" w:ascii="宋体" w:hAnsi="宋体" w:eastAsia="宋体" w:cs="Times New Roman"/>
          <w:strike w:val="0"/>
          <w:dstrike w:val="0"/>
          <w:color w:val="auto"/>
          <w:highlight w:val="none"/>
        </w:rPr>
        <w:t>参照《桥总成重点喷漆部位指导书》对易锈蚀部位进行重点喷涂；</w:t>
      </w:r>
    </w:p>
    <w:p w14:paraId="4B277C71">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w:t>
      </w:r>
      <w:r>
        <w:rPr>
          <w:rFonts w:hint="eastAsia" w:ascii="宋体" w:hAnsi="宋体" w:eastAsia="宋体" w:cs="Times New Roman"/>
          <w:strike w:val="0"/>
          <w:dstrike w:val="0"/>
          <w:color w:val="auto"/>
          <w:highlight w:val="none"/>
        </w:rPr>
        <w:t>喷枪按频次和工艺要求进行清理，保证设备正常使用。</w:t>
      </w:r>
    </w:p>
    <w:p w14:paraId="1D32F416">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6.2.9</w:t>
      </w:r>
      <w:r>
        <w:rPr>
          <w:rFonts w:hint="eastAsia" w:ascii="宋体" w:hAnsi="宋体" w:eastAsia="宋体" w:cs="Times New Roman"/>
          <w:strike w:val="0"/>
          <w:dstrike w:val="0"/>
          <w:color w:val="auto"/>
          <w:highlight w:val="none"/>
        </w:rPr>
        <w:t>喷底漆</w:t>
      </w:r>
      <w:r>
        <w:rPr>
          <w:rFonts w:hint="eastAsia" w:ascii="宋体" w:hAnsi="宋体" w:eastAsia="宋体" w:cs="Times New Roman"/>
          <w:strike w:val="0"/>
          <w:dstrike w:val="0"/>
          <w:color w:val="auto"/>
          <w:highlight w:val="none"/>
          <w:lang w:eastAsia="zh-CN"/>
        </w:rPr>
        <w:t>：</w:t>
      </w:r>
    </w:p>
    <w:p w14:paraId="439CA291">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5C2839B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等符合文件要求等</w:t>
      </w:r>
      <w:r>
        <w:rPr>
          <w:rFonts w:hint="eastAsia" w:ascii="宋体" w:hAnsi="宋体" w:eastAsia="宋体" w:cs="Times New Roman"/>
          <w:strike w:val="0"/>
          <w:dstrike w:val="0"/>
          <w:color w:val="auto"/>
          <w:highlight w:val="none"/>
        </w:rPr>
        <w:t>；</w:t>
      </w:r>
    </w:p>
    <w:p w14:paraId="2B5A030D">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w:t>
      </w:r>
    </w:p>
    <w:p w14:paraId="3D556805">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val="en-US" w:eastAsia="zh-CN"/>
        </w:rPr>
        <w:t>漆雾凝聚剂使用作业指导书</w:t>
      </w:r>
      <w:r>
        <w:rPr>
          <w:rFonts w:hint="eastAsia" w:ascii="宋体" w:hAnsi="宋体" w:eastAsia="宋体" w:cs="Times New Roman"/>
          <w:strike w:val="0"/>
          <w:dstrike w:val="0"/>
          <w:color w:val="auto"/>
          <w:highlight w:val="none"/>
        </w:rPr>
        <w:t>》配制漆雾凝聚剂，调整PH值，保证落漆效果。</w:t>
      </w:r>
    </w:p>
    <w:p w14:paraId="3462CE8B">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6.2.10</w:t>
      </w:r>
      <w:r>
        <w:rPr>
          <w:rFonts w:hint="eastAsia" w:ascii="宋体" w:hAnsi="宋体" w:eastAsia="宋体" w:cs="Times New Roman"/>
          <w:strike w:val="0"/>
          <w:dstrike w:val="0"/>
          <w:color w:val="auto"/>
          <w:highlight w:val="none"/>
        </w:rPr>
        <w:t>底漆闪干</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闪干温度符合文件要求。</w:t>
      </w:r>
    </w:p>
    <w:p w14:paraId="7126E3C9">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6.2.11</w:t>
      </w:r>
      <w:r>
        <w:rPr>
          <w:rFonts w:hint="eastAsia" w:ascii="宋体" w:hAnsi="宋体" w:eastAsia="宋体" w:cs="Times New Roman"/>
          <w:strike w:val="0"/>
          <w:dstrike w:val="0"/>
          <w:color w:val="auto"/>
          <w:highlight w:val="none"/>
        </w:rPr>
        <w:t>喷面漆</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油漆粘度</w:t>
      </w:r>
    </w:p>
    <w:p w14:paraId="26D7FEE9">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73D6A9F4">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等符合文件要求等</w:t>
      </w:r>
      <w:r>
        <w:rPr>
          <w:rFonts w:hint="eastAsia" w:ascii="宋体" w:hAnsi="宋体" w:eastAsia="宋体" w:cs="Times New Roman"/>
          <w:strike w:val="0"/>
          <w:dstrike w:val="0"/>
          <w:color w:val="auto"/>
          <w:highlight w:val="none"/>
        </w:rPr>
        <w:t>；</w:t>
      </w:r>
    </w:p>
    <w:p w14:paraId="404BABBA">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w:t>
      </w:r>
    </w:p>
    <w:p w14:paraId="498531C7">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val="en-US" w:eastAsia="zh-CN"/>
        </w:rPr>
        <w:t>漆雾凝聚剂使用作业指导书</w:t>
      </w:r>
      <w:r>
        <w:rPr>
          <w:rFonts w:hint="eastAsia" w:ascii="宋体" w:hAnsi="宋体" w:eastAsia="宋体" w:cs="Times New Roman"/>
          <w:strike w:val="0"/>
          <w:dstrike w:val="0"/>
          <w:color w:val="auto"/>
          <w:highlight w:val="none"/>
        </w:rPr>
        <w:t>》配制漆雾凝聚剂，调整PH值，保证落漆效果。</w:t>
      </w:r>
    </w:p>
    <w:p w14:paraId="177463A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2</w:t>
      </w:r>
      <w:r>
        <w:rPr>
          <w:rFonts w:hint="eastAsia" w:ascii="宋体" w:hAnsi="宋体" w:eastAsia="宋体" w:cs="Times New Roman"/>
          <w:strike w:val="0"/>
          <w:dstrike w:val="0"/>
          <w:color w:val="auto"/>
          <w:highlight w:val="none"/>
        </w:rPr>
        <w:t>面漆流平</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开启循环风</w:t>
      </w:r>
      <w:r>
        <w:rPr>
          <w:rFonts w:hint="eastAsia" w:ascii="宋体" w:hAnsi="宋体" w:eastAsia="宋体" w:cs="Times New Roman"/>
          <w:strike w:val="0"/>
          <w:dstrike w:val="0"/>
          <w:color w:val="auto"/>
          <w:highlight w:val="none"/>
        </w:rPr>
        <w:t>。</w:t>
      </w:r>
    </w:p>
    <w:p w14:paraId="2B86BE54">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6.2.13面漆补漆</w:t>
      </w:r>
      <w:r>
        <w:rPr>
          <w:rFonts w:hint="eastAsia" w:ascii="宋体" w:hAnsi="宋体" w:eastAsia="宋体" w:cs="Times New Roman"/>
          <w:strike w:val="0"/>
          <w:dstrike w:val="0"/>
          <w:color w:val="auto"/>
          <w:highlight w:val="none"/>
          <w:lang w:eastAsia="zh-CN"/>
        </w:rPr>
        <w:t>：</w:t>
      </w:r>
    </w:p>
    <w:p w14:paraId="4F1D7EEA">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①油漆粘度、</w:t>
      </w:r>
      <w:r>
        <w:rPr>
          <w:rFonts w:hint="eastAsia" w:ascii="宋体" w:hAnsi="宋体" w:eastAsia="宋体" w:cs="Times New Roman"/>
          <w:strike w:val="0"/>
          <w:dstrike w:val="0"/>
          <w:color w:val="auto"/>
          <w:highlight w:val="none"/>
        </w:rPr>
        <w:t>喷枪出漆压力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辅助空气压力</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底漆温度</w:t>
      </w:r>
      <w:r>
        <w:rPr>
          <w:rFonts w:hint="eastAsia" w:ascii="宋体" w:hAnsi="宋体" w:eastAsia="宋体" w:cs="Times New Roman"/>
          <w:strike w:val="0"/>
          <w:dstrike w:val="0"/>
          <w:color w:val="auto"/>
          <w:highlight w:val="none"/>
          <w:lang w:val="en-US" w:eastAsia="zh-CN"/>
        </w:rPr>
        <w:t>等符合文件要求；</w:t>
      </w:r>
    </w:p>
    <w:p w14:paraId="2A37DE6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喷涂过程中喷枪与总成距离</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走枪速度</w:t>
      </w:r>
      <w:r>
        <w:rPr>
          <w:rFonts w:hint="eastAsia" w:ascii="宋体" w:hAnsi="宋体" w:eastAsia="宋体" w:cs="Times New Roman"/>
          <w:strike w:val="0"/>
          <w:dstrike w:val="0"/>
          <w:color w:val="auto"/>
          <w:highlight w:val="none"/>
          <w:lang w:val="en-US" w:eastAsia="zh-CN"/>
        </w:rPr>
        <w:t>等符合文件要求等</w:t>
      </w:r>
      <w:r>
        <w:rPr>
          <w:rFonts w:hint="eastAsia" w:ascii="宋体" w:hAnsi="宋体" w:eastAsia="宋体" w:cs="Times New Roman"/>
          <w:strike w:val="0"/>
          <w:dstrike w:val="0"/>
          <w:color w:val="auto"/>
          <w:highlight w:val="none"/>
        </w:rPr>
        <w:t>；</w:t>
      </w:r>
    </w:p>
    <w:p w14:paraId="164D068C">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喷枪和输调漆系统按频次和工艺要求进行清理，保证设备正常使用；</w:t>
      </w:r>
    </w:p>
    <w:p w14:paraId="138662BE">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④按</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val="en-US" w:eastAsia="zh-CN"/>
        </w:rPr>
        <w:t>漆雾凝聚剂使用作业指导书</w:t>
      </w:r>
      <w:r>
        <w:rPr>
          <w:rFonts w:hint="eastAsia" w:ascii="宋体" w:hAnsi="宋体" w:eastAsia="宋体" w:cs="Times New Roman"/>
          <w:strike w:val="0"/>
          <w:dstrike w:val="0"/>
          <w:color w:val="auto"/>
          <w:highlight w:val="none"/>
        </w:rPr>
        <w:t>》配制漆雾凝聚剂，调整PH值，保证落漆效果。</w:t>
      </w:r>
    </w:p>
    <w:p w14:paraId="5304F2BE">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6.2.14面漆闪干</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闪干温度符合文件要求。</w:t>
      </w:r>
    </w:p>
    <w:p w14:paraId="55824CD4">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5</w:t>
      </w:r>
      <w:r>
        <w:rPr>
          <w:rFonts w:hint="eastAsia" w:ascii="宋体" w:hAnsi="宋体" w:eastAsia="宋体" w:cs="Times New Roman"/>
          <w:strike w:val="0"/>
          <w:dstrike w:val="0"/>
          <w:color w:val="auto"/>
          <w:highlight w:val="none"/>
        </w:rPr>
        <w:t>漆膜烘干室</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烘干温度</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rPr>
        <w:t>烘干时间</w:t>
      </w:r>
      <w:r>
        <w:rPr>
          <w:rFonts w:hint="eastAsia" w:ascii="宋体" w:hAnsi="宋体" w:eastAsia="宋体" w:cs="Times New Roman"/>
          <w:strike w:val="0"/>
          <w:dstrike w:val="0"/>
          <w:color w:val="auto"/>
          <w:highlight w:val="none"/>
          <w:lang w:val="en-US" w:eastAsia="zh-CN"/>
        </w:rPr>
        <w:t>满足文件要求；保证</w:t>
      </w:r>
      <w:r>
        <w:rPr>
          <w:rFonts w:hint="eastAsia" w:ascii="宋体" w:hAnsi="宋体" w:eastAsia="宋体" w:cs="Times New Roman"/>
          <w:strike w:val="0"/>
          <w:dstrike w:val="0"/>
          <w:color w:val="auto"/>
          <w:highlight w:val="none"/>
        </w:rPr>
        <w:t>烘干效果：桥总成表面漆膜干燥</w:t>
      </w:r>
      <w:r>
        <w:rPr>
          <w:rFonts w:hint="eastAsia" w:ascii="宋体" w:hAnsi="宋体" w:eastAsia="宋体" w:cs="Times New Roman"/>
          <w:strike w:val="0"/>
          <w:dstrike w:val="0"/>
          <w:color w:val="auto"/>
          <w:highlight w:val="none"/>
          <w:lang w:eastAsia="zh-CN"/>
        </w:rPr>
        <w:t>。</w:t>
      </w:r>
    </w:p>
    <w:p w14:paraId="73851316">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6.2.16去防护和强冷</w:t>
      </w:r>
      <w:r>
        <w:rPr>
          <w:rFonts w:hint="eastAsia" w:ascii="宋体" w:hAnsi="宋体" w:eastAsia="宋体" w:cs="Times New Roman"/>
          <w:strike w:val="0"/>
          <w:dstrike w:val="0"/>
          <w:color w:val="auto"/>
          <w:highlight w:val="none"/>
          <w:lang w:eastAsia="zh-CN"/>
        </w:rPr>
        <w:t>：</w:t>
      </w:r>
    </w:p>
    <w:p w14:paraId="2B2D4600">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①摘除桥总成输入输出法兰护具、通气塞处防护套、桥总成及主减速器总成铭牌上贴膜、盘式桥气室上朝向桥总成下方的排气孔堵塞，护具周转正常。</w:t>
      </w:r>
    </w:p>
    <w:p w14:paraId="7899D23F">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②6月1日至8月31日开启强冷室对工件进行强冷。</w:t>
      </w:r>
    </w:p>
    <w:p w14:paraId="01794994">
      <w:pPr>
        <w:spacing w:line="360" w:lineRule="exact"/>
        <w:ind w:firstLine="420" w:firstLineChars="200"/>
        <w:rPr>
          <w:rFonts w:hint="eastAsia" w:ascii="宋体" w:hAnsi="宋体" w:eastAsia="宋体" w:cs="Times New Roman"/>
          <w:strike w:val="0"/>
          <w:dstrike w:val="0"/>
          <w:color w:val="auto"/>
          <w:highlight w:val="none"/>
          <w:lang w:eastAsia="zh-CN"/>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7</w:t>
      </w:r>
      <w:r>
        <w:rPr>
          <w:rFonts w:hint="eastAsia" w:ascii="宋体" w:hAnsi="宋体" w:eastAsia="宋体" w:cs="Times New Roman"/>
          <w:strike w:val="0"/>
          <w:dstrike w:val="0"/>
          <w:color w:val="auto"/>
          <w:highlight w:val="none"/>
        </w:rPr>
        <w:t>涂防护蜡和作标识</w:t>
      </w:r>
      <w:r>
        <w:rPr>
          <w:rFonts w:hint="eastAsia" w:ascii="宋体" w:hAnsi="宋体" w:eastAsia="宋体" w:cs="Times New Roman"/>
          <w:strike w:val="0"/>
          <w:dstrike w:val="0"/>
          <w:color w:val="auto"/>
          <w:highlight w:val="none"/>
          <w:lang w:eastAsia="zh-CN"/>
        </w:rPr>
        <w:t>：</w:t>
      </w:r>
    </w:p>
    <w:p w14:paraId="78ADBD86">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①</w:t>
      </w:r>
      <w:r>
        <w:rPr>
          <w:rFonts w:hint="eastAsia" w:ascii="宋体" w:hAnsi="宋体" w:eastAsia="宋体" w:cs="Times New Roman"/>
          <w:strike w:val="0"/>
          <w:dstrike w:val="0"/>
          <w:color w:val="auto"/>
          <w:highlight w:val="none"/>
        </w:rPr>
        <w:t>蜡溶液与蜡溶剂按照</w:t>
      </w:r>
      <w:r>
        <w:rPr>
          <w:rFonts w:hint="eastAsia" w:ascii="宋体" w:hAnsi="宋体" w:eastAsia="宋体" w:cs="Times New Roman"/>
          <w:strike w:val="0"/>
          <w:dstrike w:val="0"/>
          <w:color w:val="auto"/>
          <w:highlight w:val="none"/>
          <w:lang w:val="en-US" w:eastAsia="zh-CN"/>
        </w:rPr>
        <w:t>文件要求</w:t>
      </w:r>
      <w:r>
        <w:rPr>
          <w:rFonts w:hint="eastAsia" w:ascii="宋体" w:hAnsi="宋体" w:eastAsia="宋体" w:cs="Times New Roman"/>
          <w:strike w:val="0"/>
          <w:dstrike w:val="0"/>
          <w:color w:val="auto"/>
          <w:highlight w:val="none"/>
        </w:rPr>
        <w:t>进行配制</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按照</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eastAsia="zh-CN"/>
        </w:rPr>
        <w:t>涂保护蜡作业指导书</w:t>
      </w:r>
      <w:r>
        <w:rPr>
          <w:rFonts w:hint="eastAsia" w:ascii="宋体" w:hAnsi="宋体" w:eastAsia="宋体" w:cs="Times New Roman"/>
          <w:strike w:val="0"/>
          <w:dstrike w:val="0"/>
          <w:color w:val="auto"/>
          <w:highlight w:val="none"/>
        </w:rPr>
        <w:t>》</w:t>
      </w:r>
      <w:r>
        <w:rPr>
          <w:rFonts w:hint="eastAsia" w:ascii="宋体" w:hAnsi="宋体" w:eastAsia="宋体" w:cs="Times New Roman"/>
          <w:strike w:val="0"/>
          <w:dstrike w:val="0"/>
          <w:color w:val="auto"/>
          <w:highlight w:val="none"/>
          <w:lang w:val="en-US" w:eastAsia="zh-CN"/>
        </w:rPr>
        <w:t>对产品进行喷蜡，对双级桥气室支架以及后推力杆座结合位置喷蜡</w:t>
      </w:r>
      <w:r>
        <w:rPr>
          <w:rFonts w:hint="eastAsia" w:ascii="宋体" w:hAnsi="宋体" w:eastAsia="宋体" w:cs="Times New Roman"/>
          <w:strike w:val="0"/>
          <w:dstrike w:val="0"/>
          <w:color w:val="auto"/>
          <w:highlight w:val="none"/>
        </w:rPr>
        <w:t>；</w:t>
      </w:r>
    </w:p>
    <w:p w14:paraId="59233ACB">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②按照《喷标识操作指导书》要求对产品喷涂长效油标识。</w:t>
      </w:r>
    </w:p>
    <w:p w14:paraId="1C2663EB">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8</w:t>
      </w:r>
      <w:r>
        <w:rPr>
          <w:rFonts w:hint="eastAsia" w:ascii="宋体" w:hAnsi="宋体" w:eastAsia="宋体" w:cs="Times New Roman"/>
          <w:strike w:val="0"/>
          <w:dstrike w:val="0"/>
          <w:color w:val="auto"/>
          <w:highlight w:val="none"/>
        </w:rPr>
        <w:t>装车轮螺母和通气软管</w:t>
      </w:r>
      <w:r>
        <w:rPr>
          <w:rFonts w:hint="eastAsia" w:ascii="宋体" w:hAnsi="宋体" w:eastAsia="宋体" w:cs="Times New Roman"/>
          <w:strike w:val="0"/>
          <w:dstrike w:val="0"/>
          <w:color w:val="auto"/>
          <w:highlight w:val="none"/>
          <w:lang w:eastAsia="zh-CN"/>
        </w:rPr>
        <w:t>：</w:t>
      </w:r>
    </w:p>
    <w:p w14:paraId="4F24A912">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①按照工艺文件加</w:t>
      </w:r>
      <w:r>
        <w:rPr>
          <w:rFonts w:hint="eastAsia" w:ascii="宋体" w:hAnsi="宋体" w:eastAsia="宋体" w:cs="Times New Roman"/>
          <w:strike w:val="0"/>
          <w:dstrike w:val="0"/>
          <w:color w:val="auto"/>
          <w:highlight w:val="none"/>
        </w:rPr>
        <w:t>装车轮螺母和通气软管；</w:t>
      </w:r>
    </w:p>
    <w:p w14:paraId="39CC4B61">
      <w:pPr>
        <w:spacing w:line="360" w:lineRule="exact"/>
        <w:ind w:firstLine="420" w:firstLineChars="200"/>
        <w:rPr>
          <w:rFonts w:hint="default" w:ascii="宋体" w:hAnsi="宋体" w:eastAsia="宋体" w:cs="Times New Roman"/>
          <w:strike w:val="0"/>
          <w:dstrike w:val="0"/>
          <w:color w:val="auto"/>
          <w:highlight w:val="none"/>
          <w:lang w:val="en-US"/>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lang w:eastAsia="zh-CN"/>
        </w:rPr>
        <w:t>将车轮螺栓护套摘除</w:t>
      </w:r>
      <w:r>
        <w:rPr>
          <w:rFonts w:hint="eastAsia" w:ascii="宋体" w:hAnsi="宋体" w:eastAsia="宋体" w:cs="Times New Roman"/>
          <w:strike w:val="0"/>
          <w:dstrike w:val="0"/>
          <w:color w:val="auto"/>
          <w:highlight w:val="none"/>
          <w:lang w:val="en-US" w:eastAsia="zh-CN"/>
        </w:rPr>
        <w:t>。</w:t>
      </w:r>
    </w:p>
    <w:p w14:paraId="5C055C5F">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6.2.</w:t>
      </w:r>
      <w:r>
        <w:rPr>
          <w:rFonts w:hint="eastAsia" w:ascii="宋体" w:hAnsi="宋体" w:eastAsia="宋体" w:cs="Times New Roman"/>
          <w:strike w:val="0"/>
          <w:dstrike w:val="0"/>
          <w:color w:val="auto"/>
          <w:highlight w:val="none"/>
        </w:rPr>
        <w:t>1</w:t>
      </w:r>
      <w:r>
        <w:rPr>
          <w:rFonts w:hint="eastAsia" w:ascii="宋体" w:hAnsi="宋体" w:eastAsia="宋体" w:cs="Times New Roman"/>
          <w:strike w:val="0"/>
          <w:dstrike w:val="0"/>
          <w:color w:val="auto"/>
          <w:highlight w:val="none"/>
          <w:lang w:val="en-US" w:eastAsia="zh-CN"/>
        </w:rPr>
        <w:t>9</w:t>
      </w:r>
      <w:r>
        <w:rPr>
          <w:rFonts w:hint="eastAsia" w:ascii="宋体" w:hAnsi="宋体" w:eastAsia="宋体" w:cs="Times New Roman"/>
          <w:strike w:val="0"/>
          <w:dstrike w:val="0"/>
          <w:color w:val="auto"/>
          <w:highlight w:val="none"/>
        </w:rPr>
        <w:t>注脂及桥总成下线</w:t>
      </w:r>
    </w:p>
    <w:p w14:paraId="601A4B7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①</w:t>
      </w:r>
      <w:r>
        <w:rPr>
          <w:rFonts w:hint="eastAsia" w:ascii="宋体" w:hAnsi="宋体" w:eastAsia="宋体" w:cs="Times New Roman"/>
          <w:strike w:val="0"/>
          <w:dstrike w:val="0"/>
          <w:color w:val="auto"/>
          <w:highlight w:val="none"/>
        </w:rPr>
        <w:t>按照《涂装注脂作业指导书》要求将润滑脂注入至桥总成需注脂部位；</w:t>
      </w:r>
    </w:p>
    <w:p w14:paraId="78ACE057">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②</w:t>
      </w:r>
      <w:r>
        <w:rPr>
          <w:rFonts w:hint="eastAsia" w:ascii="宋体" w:hAnsi="宋体" w:eastAsia="宋体" w:cs="Times New Roman"/>
          <w:strike w:val="0"/>
          <w:dstrike w:val="0"/>
          <w:color w:val="auto"/>
          <w:highlight w:val="none"/>
        </w:rPr>
        <w:t>操作行车将前桥总成从吊具上取下，对吊钩遮挡位置补漆，按照桥型号放置到对应的工位器具中，不得混放，保证桥总成放置平稳，无磕碰，详情参照</w:t>
      </w:r>
      <w:r>
        <w:rPr>
          <w:rFonts w:hint="eastAsia" w:ascii="宋体" w:hAnsi="宋体" w:eastAsia="宋体" w:cs="Times New Roman"/>
          <w:strike w:val="0"/>
          <w:dstrike w:val="0"/>
          <w:color w:val="auto"/>
          <w:highlight w:val="none"/>
          <w:lang w:val="en-US" w:eastAsia="zh-CN"/>
        </w:rPr>
        <w:t>《下线作业指导书》</w:t>
      </w:r>
      <w:r>
        <w:rPr>
          <w:rFonts w:hint="eastAsia" w:ascii="宋体" w:hAnsi="宋体" w:eastAsia="宋体" w:cs="Times New Roman"/>
          <w:strike w:val="0"/>
          <w:dstrike w:val="0"/>
          <w:color w:val="auto"/>
          <w:highlight w:val="none"/>
        </w:rPr>
        <w:t>；</w:t>
      </w:r>
    </w:p>
    <w:p w14:paraId="4CE135CB">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③</w:t>
      </w:r>
      <w:r>
        <w:rPr>
          <w:rFonts w:hint="eastAsia" w:ascii="宋体" w:hAnsi="宋体" w:eastAsia="宋体" w:cs="Times New Roman"/>
          <w:strike w:val="0"/>
          <w:dstrike w:val="0"/>
          <w:color w:val="auto"/>
          <w:highlight w:val="none"/>
        </w:rPr>
        <w:t>检查桥总成表面外观，对露底及漆膜不足的部位进行补漆。对流淌、起泡、起皱、咬漆、开裂、桔皮等缺陷的部位，先打磨干净后再按《驱动桥总成下线补漆作业指导书》对缺陷部位进行修整、补漆处理，保证补漆后漆面平整；</w:t>
      </w:r>
    </w:p>
    <w:p w14:paraId="0216D833">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④对于前驱动桥，修整补漆后将两侧变径接头体上橡胶软管去除</w:t>
      </w:r>
      <w:r>
        <w:rPr>
          <w:rFonts w:hint="eastAsia" w:ascii="宋体" w:hAnsi="宋体" w:eastAsia="宋体" w:cs="Times New Roman"/>
          <w:strike w:val="0"/>
          <w:dstrike w:val="0"/>
          <w:color w:val="auto"/>
          <w:highlight w:val="none"/>
        </w:rPr>
        <w:t>；</w:t>
      </w:r>
    </w:p>
    <w:p w14:paraId="53162A69">
      <w:pPr>
        <w:spacing w:line="360" w:lineRule="exact"/>
        <w:ind w:firstLine="420" w:firstLineChars="200"/>
        <w:rPr>
          <w:rFonts w:hint="eastAsia"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⑤将油润滑桥轮毂上轮边轴承油润滑标识贴膜揭除干净</w:t>
      </w:r>
      <w:r>
        <w:rPr>
          <w:rFonts w:hint="eastAsia" w:ascii="宋体" w:hAnsi="宋体" w:eastAsia="宋体" w:cs="Times New Roman"/>
          <w:strike w:val="0"/>
          <w:dstrike w:val="0"/>
          <w:color w:val="auto"/>
          <w:highlight w:val="none"/>
        </w:rPr>
        <w:t>；</w:t>
      </w:r>
    </w:p>
    <w:p w14:paraId="33FD63E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lang w:val="en-US" w:eastAsia="zh-CN"/>
        </w:rPr>
        <w:t>⑥将制动鼓护具摘下，安装车轮螺栓护套</w:t>
      </w:r>
      <w:r>
        <w:rPr>
          <w:rFonts w:hint="eastAsia" w:ascii="宋体" w:hAnsi="宋体" w:eastAsia="宋体" w:cs="Times New Roman"/>
          <w:strike w:val="0"/>
          <w:dstrike w:val="0"/>
          <w:color w:val="auto"/>
          <w:highlight w:val="none"/>
        </w:rPr>
        <w:t>；</w:t>
      </w:r>
    </w:p>
    <w:p w14:paraId="232B3873">
      <w:pPr>
        <w:spacing w:line="360" w:lineRule="exact"/>
        <w:ind w:firstLine="420" w:firstLineChars="200"/>
        <w:rPr>
          <w:rFonts w:hint="default" w:ascii="宋体" w:hAnsi="宋体" w:eastAsia="宋体" w:cs="Times New Roman"/>
          <w:strike w:val="0"/>
          <w:dstrike w:val="0"/>
          <w:color w:val="auto"/>
          <w:highlight w:val="none"/>
          <w:lang w:val="en-US" w:eastAsia="zh-CN"/>
        </w:rPr>
      </w:pPr>
      <w:r>
        <w:rPr>
          <w:rFonts w:hint="eastAsia" w:ascii="宋体" w:hAnsi="宋体" w:eastAsia="宋体" w:cs="Times New Roman"/>
          <w:strike w:val="0"/>
          <w:dstrike w:val="0"/>
          <w:color w:val="auto"/>
          <w:highlight w:val="none"/>
          <w:lang w:val="en-US" w:eastAsia="zh-CN"/>
        </w:rPr>
        <w:t>⑦对输入输出法兰进行检查，法兰盘表面无漆瘤、法兰盘盘齿无着漆、锈蚀、异物等，如有，需整改后喷蜡套法兰防护袋处理。</w:t>
      </w:r>
    </w:p>
    <w:p w14:paraId="754B2B45">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6.2.20</w:t>
      </w:r>
      <w:r>
        <w:rPr>
          <w:rFonts w:hint="eastAsia" w:ascii="宋体" w:hAnsi="宋体" w:eastAsia="宋体" w:cs="Times New Roman"/>
          <w:color w:val="auto"/>
          <w:highlight w:val="none"/>
        </w:rPr>
        <w:t>、其它</w:t>
      </w:r>
    </w:p>
    <w:p w14:paraId="27BCB9CD">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①本技术协议中的所列技术参数为阶段性参数，最终以甲方技术文件或技术标准为准。</w:t>
      </w:r>
    </w:p>
    <w:p w14:paraId="0FA8AC74">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②合同期内因过程控制提升或喷漆线改造带来的技术方案的变化或增加，乙方应完全接受相关变化或增加带来的管控要求并严格遵守执行。</w:t>
      </w:r>
    </w:p>
    <w:p w14:paraId="4082C00E">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③每班开线前使用强光手电检查出水效果，每半月清理、更换全部喷淋嘴，保证出水顺畅。</w:t>
      </w:r>
    </w:p>
    <w:p w14:paraId="46242D44">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④每两个月循环清理吊钩、吊具，确保吊钩无漆渣堆积、无安全隐患。</w:t>
      </w:r>
    </w:p>
    <w:p w14:paraId="5786F942">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⑤每月循环清理护具表面漆渣，确保护具表面无漆渣堆积。</w:t>
      </w:r>
    </w:p>
    <w:p w14:paraId="36DB93FD">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⑥根据甲方要求及时更换过滤棉、过滤袋、过滤板等过滤装置，每日清理喷漆房玻璃、格栅、墙面，每周清理烘干室墙面、地面、悬挂链线体。</w:t>
      </w:r>
    </w:p>
    <w:p w14:paraId="4381BF78">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⑦根据甲方要求打捞、清理漆渣池、并按照安全环保要求转运至甲方危废仓库。</w:t>
      </w:r>
    </w:p>
    <w:p w14:paraId="6708F091">
      <w:pPr>
        <w:spacing w:line="360" w:lineRule="exact"/>
        <w:ind w:firstLine="420" w:firstLineChars="200"/>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⑧根据甲方要求周转产品，保证产品正常发交</w:t>
      </w:r>
      <w:r>
        <w:rPr>
          <w:rFonts w:hint="eastAsia" w:ascii="宋体" w:hAnsi="宋体" w:eastAsia="宋体" w:cs="Times New Roman"/>
          <w:color w:val="auto"/>
          <w:highlight w:val="none"/>
        </w:rPr>
        <w:t>。</w:t>
      </w:r>
    </w:p>
    <w:p w14:paraId="4F1BDB0D">
      <w:pPr>
        <w:spacing w:line="360" w:lineRule="exact"/>
        <w:ind w:firstLine="420" w:firstLineChars="200"/>
        <w:rPr>
          <w:rFonts w:hint="eastAsia" w:ascii="宋体" w:hAnsi="宋体" w:eastAsia="宋体" w:cs="Times New Roman"/>
          <w:b/>
          <w:bCs/>
          <w:color w:val="auto"/>
          <w:highlight w:val="none"/>
          <w:lang w:val="en-US" w:eastAsia="zh-CN"/>
        </w:rPr>
      </w:pPr>
      <w:r>
        <w:rPr>
          <w:rFonts w:hint="eastAsia" w:ascii="宋体" w:hAnsi="宋体" w:eastAsia="宋体" w:cs="Times New Roman"/>
          <w:color w:val="auto"/>
          <w:highlight w:val="none"/>
          <w:lang w:val="en-US" w:eastAsia="zh-CN"/>
        </w:rPr>
        <w:t>6.3质量要求：</w:t>
      </w:r>
    </w:p>
    <w:p w14:paraId="43CEF7C5">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①漆膜厚度：桥总成漆膜厚度≥</w:t>
      </w:r>
      <w:r>
        <w:rPr>
          <w:rFonts w:hint="eastAsia" w:ascii="宋体" w:hAnsi="宋体" w:eastAsia="宋体" w:cs="Times New Roman"/>
          <w:color w:val="auto"/>
          <w:highlight w:val="none"/>
          <w:lang w:val="en-US" w:eastAsia="zh-CN"/>
        </w:rPr>
        <w:t>5</w:t>
      </w:r>
      <w:r>
        <w:rPr>
          <w:rFonts w:hint="eastAsia" w:ascii="宋体" w:hAnsi="宋体" w:eastAsia="宋体" w:cs="Times New Roman"/>
          <w:color w:val="auto"/>
          <w:highlight w:val="none"/>
        </w:rPr>
        <w:t>0μm，军品及出口桥总成漆膜厚度≥75μm；板簧面漆膜厚度为20-35μm；轮毂端面漆膜厚度20-30μm。</w:t>
      </w:r>
    </w:p>
    <w:p w14:paraId="262B94CD">
      <w:pPr>
        <w:spacing w:line="360" w:lineRule="exact"/>
        <w:ind w:firstLine="420" w:firstLineChars="200"/>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②漆膜附着力：桥总成漆膜附着力≤1级；漆膜硬度：≥H</w:t>
      </w:r>
      <w:r>
        <w:rPr>
          <w:rFonts w:hint="eastAsia" w:ascii="宋体" w:hAnsi="宋体" w:eastAsia="宋体" w:cs="Times New Roman"/>
          <w:color w:val="auto"/>
          <w:highlight w:val="none"/>
          <w:lang w:eastAsia="zh-CN"/>
        </w:rPr>
        <w:t>。</w:t>
      </w:r>
    </w:p>
    <w:p w14:paraId="3CA006FE">
      <w:pPr>
        <w:spacing w:line="360" w:lineRule="exact"/>
        <w:ind w:firstLine="420" w:firstLineChars="20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rPr>
        <w:t>③</w:t>
      </w:r>
      <w:r>
        <w:rPr>
          <w:rFonts w:hint="eastAsia" w:ascii="宋体" w:hAnsi="宋体" w:eastAsia="宋体" w:cs="Times New Roman"/>
          <w:color w:val="auto"/>
          <w:highlight w:val="none"/>
          <w:lang w:val="en-US" w:eastAsia="zh-CN"/>
        </w:rPr>
        <w:t>漆膜其它技术要求符合ST3乙-Q/ZZ21017。</w:t>
      </w:r>
    </w:p>
    <w:p w14:paraId="0ADFD310">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④颜色：桥总成表面漆膜无色差。</w:t>
      </w:r>
    </w:p>
    <w:p w14:paraId="2DF13A2F">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⑤外观：桥总成表面各区域不允许有漏底、流淌、起泡、起皱、咬漆、开裂、桔皮、杂质等缺陷；</w:t>
      </w:r>
    </w:p>
    <w:p w14:paraId="43384E49">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⑥制动盘表面、转向节臂锥孔及小端面、</w:t>
      </w:r>
      <w:r>
        <w:rPr>
          <w:rFonts w:hint="eastAsia" w:ascii="宋体" w:hAnsi="宋体" w:eastAsia="宋体" w:cs="Times New Roman"/>
          <w:strike w:val="0"/>
          <w:dstrike w:val="0"/>
          <w:color w:val="auto"/>
          <w:highlight w:val="none"/>
          <w:lang w:val="en-US" w:eastAsia="zh-CN"/>
        </w:rPr>
        <w:t>一体化桥上下推支座表面、</w:t>
      </w:r>
      <w:r>
        <w:rPr>
          <w:rFonts w:hint="eastAsia" w:ascii="宋体" w:hAnsi="宋体" w:eastAsia="宋体" w:cs="Times New Roman"/>
          <w:strike w:val="0"/>
          <w:dstrike w:val="0"/>
          <w:color w:val="auto"/>
          <w:highlight w:val="none"/>
        </w:rPr>
        <w:t>车轮螺栓等部位严禁着漆；</w:t>
      </w:r>
    </w:p>
    <w:p w14:paraId="71434EF2">
      <w:pPr>
        <w:spacing w:line="360" w:lineRule="exact"/>
        <w:ind w:firstLine="420" w:firstLineChars="200"/>
        <w:rPr>
          <w:rFonts w:hint="eastAsia" w:ascii="宋体" w:hAnsi="宋体" w:eastAsia="宋体" w:cs="Times New Roman"/>
          <w:strike w:val="0"/>
          <w:dstrike w:val="0"/>
          <w:color w:val="auto"/>
          <w:highlight w:val="none"/>
        </w:rPr>
      </w:pPr>
      <w:r>
        <w:rPr>
          <w:rFonts w:hint="eastAsia" w:ascii="宋体" w:hAnsi="宋体" w:eastAsia="宋体" w:cs="Times New Roman"/>
          <w:strike w:val="0"/>
          <w:dstrike w:val="0"/>
          <w:color w:val="auto"/>
          <w:highlight w:val="none"/>
        </w:rPr>
        <w:t>⑦</w:t>
      </w:r>
      <w:r>
        <w:rPr>
          <w:rFonts w:hint="eastAsia" w:ascii="宋体" w:hAnsi="宋体" w:eastAsia="宋体" w:cs="Times New Roman"/>
          <w:strike w:val="0"/>
          <w:dstrike w:val="0"/>
          <w:color w:val="auto"/>
          <w:highlight w:val="none"/>
          <w:lang w:val="en-US" w:eastAsia="zh-CN"/>
        </w:rPr>
        <w:t>涂</w:t>
      </w:r>
      <w:r>
        <w:rPr>
          <w:rFonts w:hint="eastAsia" w:ascii="宋体" w:hAnsi="宋体" w:eastAsia="宋体" w:cs="Times New Roman"/>
          <w:strike w:val="0"/>
          <w:dstrike w:val="0"/>
          <w:color w:val="auto"/>
          <w:highlight w:val="none"/>
        </w:rPr>
        <w:t>转向节主销孔</w:t>
      </w:r>
      <w:r>
        <w:rPr>
          <w:rFonts w:hint="eastAsia" w:ascii="宋体" w:hAnsi="宋体" w:eastAsia="宋体" w:cs="Times New Roman"/>
          <w:strike w:val="0"/>
          <w:dstrike w:val="0"/>
          <w:color w:val="auto"/>
          <w:highlight w:val="none"/>
          <w:lang w:eastAsia="zh-CN"/>
        </w:rPr>
        <w:t>、</w:t>
      </w:r>
      <w:r>
        <w:rPr>
          <w:rFonts w:hint="eastAsia" w:ascii="宋体" w:hAnsi="宋体" w:eastAsia="宋体" w:cs="Times New Roman"/>
          <w:strike w:val="0"/>
          <w:dstrike w:val="0"/>
          <w:color w:val="auto"/>
          <w:highlight w:val="none"/>
          <w:lang w:val="en-US" w:eastAsia="zh-CN"/>
        </w:rPr>
        <w:t>双级驱动桥凸轮轴支座、单级驱动桥凸轮轴套管、MVP桥上下主销、前驱桥上下主销、前驱桥凸轮轴衬套</w:t>
      </w:r>
      <w:r>
        <w:rPr>
          <w:rFonts w:hint="eastAsia" w:ascii="宋体" w:hAnsi="宋体" w:eastAsia="宋体" w:cs="Times New Roman"/>
          <w:strike w:val="0"/>
          <w:dstrike w:val="0"/>
          <w:color w:val="auto"/>
          <w:highlight w:val="none"/>
        </w:rPr>
        <w:t>充满润滑脂，严禁有漏注或注油量不足的情况。</w:t>
      </w:r>
    </w:p>
    <w:p w14:paraId="192E798E">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⑧总成发交前应再次检查并整修外观质量，标准执行质量要求条款④⑤⑥。</w:t>
      </w:r>
    </w:p>
    <w:p w14:paraId="07D122A4">
      <w:pPr>
        <w:spacing w:line="36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⑨下游工序出现的任何与涂装相关的质量问题，乙方必须派遣相对应工作量和工作难度的人员到问题点发生地进行及时处理。</w:t>
      </w:r>
    </w:p>
    <w:p w14:paraId="301EE031">
      <w:pPr>
        <w:spacing w:line="360" w:lineRule="exact"/>
        <w:rPr>
          <w:rFonts w:ascii="宋体" w:hAnsi="宋体"/>
          <w:b/>
          <w:szCs w:val="21"/>
        </w:rPr>
      </w:pPr>
      <w:r>
        <w:rPr>
          <w:rFonts w:hint="eastAsia" w:ascii="宋体" w:hAnsi="宋体"/>
          <w:b/>
          <w:szCs w:val="21"/>
        </w:rPr>
        <w:t>第七条：工艺操作及其他</w:t>
      </w:r>
    </w:p>
    <w:p w14:paraId="7E76F9E9">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7.1</w:t>
      </w:r>
      <w:r>
        <w:rPr>
          <w:rFonts w:hint="eastAsia" w:ascii="宋体" w:hAnsi="宋体" w:eastAsia="宋体" w:cs="Times New Roman"/>
          <w:color w:val="auto"/>
          <w:szCs w:val="21"/>
          <w:highlight w:val="none"/>
        </w:rPr>
        <w:t>乙方必须按照甲方提供的工艺文件</w:t>
      </w:r>
      <w:r>
        <w:rPr>
          <w:rFonts w:hint="eastAsia" w:ascii="宋体" w:hAnsi="宋体" w:eastAsia="宋体" w:cs="Times New Roman"/>
          <w:color w:val="auto"/>
          <w:szCs w:val="21"/>
          <w:highlight w:val="none"/>
          <w:lang w:val="en-US" w:eastAsia="zh-CN"/>
        </w:rPr>
        <w:t>及作业指导书</w:t>
      </w:r>
      <w:r>
        <w:rPr>
          <w:rFonts w:hint="eastAsia" w:ascii="宋体" w:hAnsi="宋体" w:eastAsia="宋体" w:cs="Times New Roman"/>
          <w:color w:val="auto"/>
          <w:szCs w:val="21"/>
          <w:highlight w:val="none"/>
        </w:rPr>
        <w:t>进行操作。如甲方工艺</w:t>
      </w:r>
      <w:r>
        <w:rPr>
          <w:rFonts w:hint="eastAsia" w:ascii="宋体" w:hAnsi="宋体" w:eastAsia="宋体" w:cs="Times New Roman"/>
          <w:color w:val="auto"/>
          <w:szCs w:val="21"/>
          <w:highlight w:val="none"/>
          <w:lang w:val="en-US" w:eastAsia="zh-CN"/>
        </w:rPr>
        <w:t>文件及作业指导书</w:t>
      </w:r>
      <w:r>
        <w:rPr>
          <w:rFonts w:hint="eastAsia" w:ascii="宋体" w:hAnsi="宋体" w:eastAsia="宋体" w:cs="Times New Roman"/>
          <w:color w:val="auto"/>
          <w:szCs w:val="21"/>
          <w:highlight w:val="none"/>
        </w:rPr>
        <w:t>进行更改，乙方必须配合甲方执行新</w:t>
      </w:r>
      <w:r>
        <w:rPr>
          <w:rFonts w:hint="eastAsia" w:ascii="宋体" w:hAnsi="宋体" w:eastAsia="宋体" w:cs="Times New Roman"/>
          <w:color w:val="auto"/>
          <w:szCs w:val="21"/>
          <w:highlight w:val="none"/>
          <w:lang w:eastAsia="zh-CN"/>
        </w:rPr>
        <w:t>的</w:t>
      </w:r>
      <w:r>
        <w:rPr>
          <w:rFonts w:hint="eastAsia" w:ascii="宋体" w:hAnsi="宋体" w:eastAsia="宋体" w:cs="Times New Roman"/>
          <w:color w:val="auto"/>
          <w:szCs w:val="21"/>
          <w:highlight w:val="none"/>
          <w:lang w:val="en-US" w:eastAsia="zh-CN"/>
        </w:rPr>
        <w:t>技术文件</w:t>
      </w:r>
      <w:r>
        <w:rPr>
          <w:rFonts w:hint="eastAsia" w:ascii="宋体" w:hAnsi="宋体" w:eastAsia="宋体" w:cs="Times New Roman"/>
          <w:color w:val="auto"/>
          <w:szCs w:val="21"/>
          <w:highlight w:val="none"/>
        </w:rPr>
        <w:t>。</w:t>
      </w:r>
    </w:p>
    <w:p w14:paraId="01F6E786">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7.2</w:t>
      </w:r>
      <w:r>
        <w:rPr>
          <w:rFonts w:hint="eastAsia" w:ascii="宋体" w:hAnsi="宋体" w:eastAsia="宋体" w:cs="Times New Roman"/>
          <w:color w:val="auto"/>
          <w:szCs w:val="21"/>
          <w:highlight w:val="none"/>
        </w:rPr>
        <w:t>乙方负责按照甲方质量控制标准，实施甲方所有</w:t>
      </w:r>
      <w:r>
        <w:rPr>
          <w:rFonts w:hint="eastAsia" w:ascii="宋体" w:hAnsi="宋体" w:eastAsia="宋体" w:cs="Times New Roman"/>
          <w:color w:val="auto"/>
          <w:szCs w:val="21"/>
          <w:highlight w:val="none"/>
          <w:lang w:val="en-US" w:eastAsia="zh-CN"/>
        </w:rPr>
        <w:t>涂</w:t>
      </w:r>
      <w:r>
        <w:rPr>
          <w:rFonts w:hint="eastAsia" w:ascii="宋体" w:hAnsi="宋体" w:eastAsia="宋体" w:cs="Times New Roman"/>
          <w:color w:val="auto"/>
          <w:szCs w:val="21"/>
          <w:highlight w:val="none"/>
        </w:rPr>
        <w:t>装产品制造过程质量控制，确保每工序质量问题得 到及时修复， 不得流入下一工序影响产品质量。</w:t>
      </w:r>
    </w:p>
    <w:p w14:paraId="178F5184">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7.3</w:t>
      </w:r>
      <w:r>
        <w:rPr>
          <w:rFonts w:hint="eastAsia" w:ascii="宋体" w:hAnsi="宋体" w:eastAsia="宋体" w:cs="Times New Roman"/>
          <w:color w:val="auto"/>
          <w:szCs w:val="21"/>
          <w:highlight w:val="none"/>
        </w:rPr>
        <w:t>乙方进行</w:t>
      </w:r>
      <w:r>
        <w:rPr>
          <w:rFonts w:hint="eastAsia" w:ascii="宋体" w:hAnsi="宋体" w:eastAsia="宋体" w:cs="Times New Roman"/>
          <w:color w:val="auto"/>
          <w:szCs w:val="21"/>
          <w:highlight w:val="none"/>
          <w:lang w:val="en-US" w:eastAsia="zh-CN"/>
        </w:rPr>
        <w:t>涂</w:t>
      </w:r>
      <w:r>
        <w:rPr>
          <w:rFonts w:hint="eastAsia" w:ascii="宋体" w:hAnsi="宋体" w:eastAsia="宋体" w:cs="Times New Roman"/>
          <w:color w:val="auto"/>
          <w:szCs w:val="21"/>
          <w:highlight w:val="none"/>
        </w:rPr>
        <w:t>装的产品下线后发现有质量问题， 由乙方承担返修工作。</w:t>
      </w:r>
    </w:p>
    <w:p w14:paraId="182D7A82">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7.4</w:t>
      </w:r>
      <w:r>
        <w:rPr>
          <w:rFonts w:hint="eastAsia" w:ascii="宋体" w:hAnsi="宋体" w:eastAsia="宋体" w:cs="Times New Roman"/>
          <w:color w:val="auto"/>
          <w:szCs w:val="21"/>
          <w:highlight w:val="none"/>
        </w:rPr>
        <w:t>由于乙方原因导致的产品质量返修费用由乙方自行承担。</w:t>
      </w:r>
    </w:p>
    <w:p w14:paraId="0C271ACD">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7.5</w:t>
      </w:r>
      <w:r>
        <w:rPr>
          <w:rFonts w:hint="eastAsia" w:ascii="宋体" w:hAnsi="宋体" w:eastAsia="宋体" w:cs="Times New Roman"/>
          <w:color w:val="auto"/>
          <w:szCs w:val="21"/>
          <w:highlight w:val="none"/>
        </w:rPr>
        <w:t>乙方遵守甲方各项管理制度，遵守甲方工艺纪律，如出现违反甲方工艺要求的操作，乙方负责解决质 量问题并承担相应的质量考核。</w:t>
      </w:r>
    </w:p>
    <w:p w14:paraId="0AE886FE">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7.6</w:t>
      </w:r>
      <w:r>
        <w:rPr>
          <w:rFonts w:hint="eastAsia" w:ascii="宋体" w:hAnsi="宋体" w:eastAsia="宋体" w:cs="Times New Roman"/>
          <w:color w:val="auto"/>
          <w:szCs w:val="21"/>
          <w:highlight w:val="none"/>
        </w:rPr>
        <w:t>乙方负责对不合格品原因及数量进行统计、并办理退库， 经分析判定为</w:t>
      </w:r>
      <w:r>
        <w:rPr>
          <w:rFonts w:hint="eastAsia" w:ascii="宋体" w:hAnsi="宋体" w:eastAsia="宋体" w:cs="Times New Roman"/>
          <w:color w:val="auto"/>
          <w:szCs w:val="21"/>
          <w:highlight w:val="none"/>
          <w:lang w:val="en-US" w:eastAsia="zh-CN"/>
        </w:rPr>
        <w:t>涂装</w:t>
      </w:r>
      <w:r>
        <w:rPr>
          <w:rFonts w:hint="eastAsia" w:ascii="宋体" w:hAnsi="宋体" w:eastAsia="宋体" w:cs="Times New Roman"/>
          <w:color w:val="auto"/>
          <w:szCs w:val="21"/>
          <w:highlight w:val="none"/>
        </w:rPr>
        <w:t>原因造成的不合格品， 由 乙方承担相应的零件、物资损耗费用。</w:t>
      </w:r>
    </w:p>
    <w:p w14:paraId="316046E9">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7.7涂</w:t>
      </w:r>
      <w:r>
        <w:rPr>
          <w:rFonts w:hint="eastAsia" w:ascii="宋体" w:hAnsi="宋体" w:eastAsia="宋体" w:cs="Times New Roman"/>
          <w:color w:val="auto"/>
          <w:szCs w:val="21"/>
          <w:highlight w:val="none"/>
        </w:rPr>
        <w:t>装过程中产品件存在的质量问题，乙方反馈甲方协调相关产品件供方或甲方质量监督部门处理。</w:t>
      </w:r>
    </w:p>
    <w:p w14:paraId="3379690E">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7.8</w:t>
      </w:r>
      <w:r>
        <w:rPr>
          <w:rFonts w:hint="eastAsia" w:ascii="宋体" w:hAnsi="宋体" w:eastAsia="宋体" w:cs="Times New Roman"/>
          <w:color w:val="auto"/>
          <w:szCs w:val="21"/>
          <w:highlight w:val="none"/>
        </w:rPr>
        <w:t>乙方接收后的产品件、分装总成件因乙方在</w:t>
      </w:r>
      <w:r>
        <w:rPr>
          <w:rFonts w:hint="eastAsia" w:ascii="宋体" w:hAnsi="宋体" w:eastAsia="宋体" w:cs="Times New Roman"/>
          <w:color w:val="auto"/>
          <w:szCs w:val="21"/>
          <w:highlight w:val="none"/>
          <w:lang w:val="en-US" w:eastAsia="zh-CN"/>
        </w:rPr>
        <w:t>涂</w:t>
      </w:r>
      <w:r>
        <w:rPr>
          <w:rFonts w:hint="eastAsia" w:ascii="宋体" w:hAnsi="宋体" w:eastAsia="宋体" w:cs="Times New Roman"/>
          <w:color w:val="auto"/>
          <w:szCs w:val="21"/>
          <w:highlight w:val="none"/>
        </w:rPr>
        <w:t>装和仓储过程中造成的磕、碰、划伤等质量问题由乙方 负责， 乙方应承担相应责任。</w:t>
      </w:r>
    </w:p>
    <w:p w14:paraId="4E7289A0">
      <w:pPr>
        <w:spacing w:line="36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7.9</w:t>
      </w:r>
      <w:r>
        <w:rPr>
          <w:rFonts w:hint="eastAsia" w:ascii="宋体" w:hAnsi="宋体" w:eastAsia="宋体" w:cs="Times New Roman"/>
          <w:color w:val="auto"/>
          <w:szCs w:val="21"/>
          <w:highlight w:val="none"/>
        </w:rPr>
        <w:t>乙方承包范围内的总成零件在甲方整</w:t>
      </w:r>
      <w:r>
        <w:rPr>
          <w:rFonts w:hint="eastAsia" w:ascii="宋体" w:hAnsi="宋体" w:eastAsia="宋体" w:cs="Times New Roman"/>
          <w:color w:val="auto"/>
          <w:szCs w:val="21"/>
          <w:highlight w:val="none"/>
          <w:lang w:val="en-US" w:eastAsia="zh-CN"/>
        </w:rPr>
        <w:t>桥</w:t>
      </w:r>
      <w:r>
        <w:rPr>
          <w:rFonts w:hint="eastAsia" w:ascii="宋体" w:hAnsi="宋体" w:eastAsia="宋体" w:cs="Times New Roman"/>
          <w:color w:val="auto"/>
          <w:szCs w:val="21"/>
          <w:highlight w:val="none"/>
        </w:rPr>
        <w:t>发交前，如出现质量问题，甲方按照规定零公里索赔乙方；整</w:t>
      </w:r>
      <w:r>
        <w:rPr>
          <w:rFonts w:hint="eastAsia" w:ascii="宋体" w:hAnsi="宋体" w:eastAsia="宋体" w:cs="Times New Roman"/>
          <w:color w:val="auto"/>
          <w:szCs w:val="21"/>
          <w:highlight w:val="none"/>
          <w:lang w:val="en-US" w:eastAsia="zh-CN"/>
        </w:rPr>
        <w:t>桥</w:t>
      </w:r>
      <w:r>
        <w:rPr>
          <w:rFonts w:hint="eastAsia" w:ascii="宋体" w:hAnsi="宋体" w:eastAsia="宋体" w:cs="Times New Roman"/>
          <w:color w:val="auto"/>
          <w:szCs w:val="21"/>
          <w:highlight w:val="none"/>
        </w:rPr>
        <w:t>发交后出现质量问题，视具体质量问题类别划分责任方。</w:t>
      </w:r>
    </w:p>
    <w:p w14:paraId="01880404">
      <w:pPr>
        <w:spacing w:line="360" w:lineRule="exact"/>
        <w:rPr>
          <w:rFonts w:hint="eastAsia" w:ascii="宋体" w:hAnsi="宋体"/>
          <w:b/>
          <w:szCs w:val="21"/>
        </w:rPr>
      </w:pPr>
      <w:r>
        <w:rPr>
          <w:rFonts w:hint="eastAsia" w:ascii="宋体" w:hAnsi="宋体"/>
          <w:b/>
          <w:szCs w:val="21"/>
        </w:rPr>
        <w:t>第八条:双方职责及权利</w:t>
      </w:r>
    </w:p>
    <w:p w14:paraId="206C6F05">
      <w:pPr>
        <w:spacing w:line="360" w:lineRule="exact"/>
        <w:ind w:firstLine="420" w:firstLineChars="200"/>
        <w:rPr>
          <w:rFonts w:hint="eastAsia" w:ascii="宋体" w:hAnsi="宋体"/>
          <w:szCs w:val="21"/>
        </w:rPr>
      </w:pPr>
      <w:r>
        <w:rPr>
          <w:rFonts w:ascii="宋体" w:hAnsi="宋体"/>
          <w:szCs w:val="21"/>
        </w:rPr>
        <w:t>8.1</w:t>
      </w:r>
      <w:r>
        <w:rPr>
          <w:rFonts w:hint="eastAsia" w:ascii="宋体" w:hAnsi="宋体"/>
          <w:szCs w:val="21"/>
        </w:rPr>
        <w:t>甲方的责任</w:t>
      </w:r>
    </w:p>
    <w:p w14:paraId="59528E11">
      <w:pPr>
        <w:spacing w:line="360" w:lineRule="exact"/>
        <w:ind w:firstLine="420" w:firstLineChars="200"/>
        <w:rPr>
          <w:rFonts w:hint="eastAsia" w:ascii="宋体" w:hAnsi="宋体"/>
          <w:b/>
          <w:color w:val="4219D7"/>
          <w:szCs w:val="21"/>
        </w:rPr>
      </w:pPr>
      <w:r>
        <w:rPr>
          <w:rFonts w:ascii="宋体" w:hAnsi="宋体"/>
          <w:szCs w:val="21"/>
        </w:rPr>
        <w:t>8.1.1</w:t>
      </w:r>
      <w:r>
        <w:rPr>
          <w:rFonts w:hint="eastAsia" w:ascii="宋体" w:hAnsi="宋体"/>
          <w:szCs w:val="21"/>
        </w:rPr>
        <w:t>提供相应的技术要求与质量检验标准，确保乙方按标准生产。</w:t>
      </w:r>
    </w:p>
    <w:p w14:paraId="36E8E9F7">
      <w:pPr>
        <w:spacing w:line="360" w:lineRule="exact"/>
        <w:ind w:firstLine="420" w:firstLineChars="200"/>
        <w:rPr>
          <w:rFonts w:hint="eastAsia" w:ascii="宋体" w:hAnsi="宋体"/>
          <w:szCs w:val="21"/>
        </w:rPr>
      </w:pPr>
      <w:r>
        <w:rPr>
          <w:rFonts w:ascii="宋体" w:hAnsi="宋体"/>
          <w:szCs w:val="21"/>
        </w:rPr>
        <w:t>8.1.2</w:t>
      </w:r>
      <w:r>
        <w:rPr>
          <w:rFonts w:hint="eastAsia" w:ascii="宋体" w:hAnsi="宋体"/>
          <w:szCs w:val="21"/>
        </w:rPr>
        <w:t>提供相应的技术支持，及时解决加工生产中的问题。</w:t>
      </w:r>
    </w:p>
    <w:p w14:paraId="46D1BB5F">
      <w:pPr>
        <w:spacing w:line="360" w:lineRule="exact"/>
        <w:ind w:firstLine="420" w:firstLineChars="200"/>
        <w:rPr>
          <w:rFonts w:hint="eastAsia" w:ascii="宋体" w:hAnsi="宋体"/>
          <w:szCs w:val="21"/>
        </w:rPr>
      </w:pPr>
      <w:r>
        <w:rPr>
          <w:rFonts w:ascii="宋体" w:hAnsi="宋体"/>
          <w:szCs w:val="21"/>
        </w:rPr>
        <w:t>8.2</w:t>
      </w:r>
      <w:r>
        <w:rPr>
          <w:rFonts w:hint="eastAsia" w:ascii="宋体" w:hAnsi="宋体"/>
          <w:szCs w:val="21"/>
        </w:rPr>
        <w:t>甲方的权利</w:t>
      </w:r>
    </w:p>
    <w:p w14:paraId="2EF39287">
      <w:pPr>
        <w:spacing w:line="360" w:lineRule="exact"/>
        <w:ind w:firstLine="420" w:firstLineChars="200"/>
        <w:rPr>
          <w:rFonts w:hint="eastAsia" w:ascii="宋体" w:hAnsi="宋体"/>
          <w:szCs w:val="21"/>
        </w:rPr>
      </w:pPr>
      <w:r>
        <w:rPr>
          <w:rFonts w:ascii="宋体" w:hAnsi="宋体"/>
          <w:szCs w:val="21"/>
        </w:rPr>
        <w:t>8.2.1</w:t>
      </w:r>
      <w:r>
        <w:rPr>
          <w:rFonts w:hint="eastAsia" w:ascii="宋体" w:hAnsi="宋体"/>
          <w:szCs w:val="21"/>
        </w:rPr>
        <w:t>对生产过程进行确认以及审核。</w:t>
      </w:r>
    </w:p>
    <w:p w14:paraId="621B3CC0">
      <w:pPr>
        <w:spacing w:line="360" w:lineRule="exact"/>
        <w:ind w:firstLine="420" w:firstLineChars="200"/>
        <w:rPr>
          <w:rFonts w:hint="eastAsia" w:ascii="宋体" w:hAnsi="宋体"/>
          <w:szCs w:val="21"/>
        </w:rPr>
      </w:pPr>
      <w:r>
        <w:rPr>
          <w:rFonts w:ascii="宋体" w:hAnsi="宋体"/>
          <w:szCs w:val="21"/>
        </w:rPr>
        <w:t>8.2.2</w:t>
      </w:r>
      <w:r>
        <w:rPr>
          <w:rFonts w:hint="eastAsia" w:ascii="宋体" w:hAnsi="宋体"/>
          <w:szCs w:val="21"/>
        </w:rPr>
        <w:t>按技术要求对产品进行验收。</w:t>
      </w:r>
    </w:p>
    <w:p w14:paraId="6BE75EB8">
      <w:pPr>
        <w:spacing w:line="360" w:lineRule="exact"/>
        <w:ind w:firstLine="420" w:firstLineChars="200"/>
        <w:rPr>
          <w:rFonts w:hint="eastAsia" w:ascii="宋体" w:hAnsi="宋体"/>
          <w:szCs w:val="21"/>
        </w:rPr>
      </w:pPr>
      <w:r>
        <w:rPr>
          <w:rFonts w:ascii="宋体" w:hAnsi="宋体"/>
          <w:szCs w:val="21"/>
        </w:rPr>
        <w:t>8.2.3</w:t>
      </w:r>
      <w:r>
        <w:rPr>
          <w:rFonts w:hint="eastAsia" w:ascii="宋体" w:hAnsi="宋体"/>
          <w:szCs w:val="21"/>
        </w:rPr>
        <w:t>对不符合技术要求与操作规程予以制止、纠正与追责。</w:t>
      </w:r>
    </w:p>
    <w:p w14:paraId="4EAA3A40">
      <w:pPr>
        <w:spacing w:line="360" w:lineRule="exact"/>
        <w:ind w:firstLine="420" w:firstLineChars="200"/>
        <w:rPr>
          <w:rFonts w:hint="eastAsia" w:ascii="宋体" w:hAnsi="宋体"/>
          <w:szCs w:val="21"/>
        </w:rPr>
      </w:pPr>
      <w:r>
        <w:rPr>
          <w:rFonts w:ascii="宋体" w:hAnsi="宋体"/>
          <w:szCs w:val="21"/>
        </w:rPr>
        <w:t>8.3</w:t>
      </w:r>
      <w:r>
        <w:rPr>
          <w:rFonts w:hint="eastAsia" w:ascii="宋体" w:hAnsi="宋体"/>
          <w:szCs w:val="21"/>
        </w:rPr>
        <w:t>乙方的责任</w:t>
      </w:r>
    </w:p>
    <w:p w14:paraId="643ACA59">
      <w:pPr>
        <w:spacing w:line="360" w:lineRule="exact"/>
        <w:ind w:firstLine="420" w:firstLineChars="200"/>
        <w:rPr>
          <w:rFonts w:hint="eastAsia" w:ascii="宋体" w:hAnsi="宋体"/>
          <w:color w:val="000000"/>
          <w:szCs w:val="21"/>
        </w:rPr>
      </w:pPr>
      <w:r>
        <w:rPr>
          <w:rFonts w:ascii="宋体" w:hAnsi="宋体"/>
          <w:szCs w:val="21"/>
        </w:rPr>
        <w:t>8.3.1</w:t>
      </w:r>
      <w:r>
        <w:rPr>
          <w:rFonts w:hint="eastAsia" w:ascii="宋体" w:hAnsi="宋体"/>
          <w:szCs w:val="21"/>
        </w:rPr>
        <w:t>按甲方提供</w:t>
      </w:r>
      <w:r>
        <w:rPr>
          <w:rFonts w:hint="eastAsia" w:ascii="宋体" w:hAnsi="宋体"/>
          <w:color w:val="000000"/>
          <w:szCs w:val="21"/>
        </w:rPr>
        <w:t>的技术要求，保质保量按时完成加工生产。</w:t>
      </w:r>
    </w:p>
    <w:p w14:paraId="7E2AF896">
      <w:pPr>
        <w:spacing w:line="360" w:lineRule="exact"/>
        <w:ind w:firstLine="420" w:firstLineChars="200"/>
        <w:rPr>
          <w:rFonts w:hint="eastAsia" w:ascii="宋体" w:hAnsi="宋体"/>
          <w:color w:val="000000"/>
          <w:szCs w:val="21"/>
        </w:rPr>
      </w:pPr>
      <w:r>
        <w:rPr>
          <w:rFonts w:ascii="宋体" w:hAnsi="宋体"/>
          <w:color w:val="000000"/>
          <w:szCs w:val="21"/>
        </w:rPr>
        <w:t>8.3.2</w:t>
      </w:r>
      <w:r>
        <w:rPr>
          <w:rFonts w:hint="eastAsia" w:ascii="宋体" w:hAnsi="宋体"/>
          <w:color w:val="000000"/>
          <w:szCs w:val="21"/>
        </w:rPr>
        <w:t>对不合格品，无条件返工。</w:t>
      </w:r>
    </w:p>
    <w:p w14:paraId="511CB1F2">
      <w:pPr>
        <w:spacing w:line="360" w:lineRule="exact"/>
        <w:ind w:firstLine="420" w:firstLineChars="200"/>
        <w:rPr>
          <w:rFonts w:hint="eastAsia" w:ascii="宋体" w:hAnsi="宋体"/>
          <w:szCs w:val="21"/>
        </w:rPr>
      </w:pPr>
      <w:r>
        <w:rPr>
          <w:rFonts w:ascii="宋体" w:hAnsi="宋体"/>
          <w:szCs w:val="21"/>
        </w:rPr>
        <w:t>8.3.3</w:t>
      </w:r>
      <w:r>
        <w:rPr>
          <w:rFonts w:hint="eastAsia" w:ascii="宋体" w:hAnsi="宋体"/>
          <w:szCs w:val="21"/>
        </w:rPr>
        <w:t>乙方要做到对甲方的生产的产品、图纸、专有技术做好保密工作，不得涉露给第三方。</w:t>
      </w:r>
    </w:p>
    <w:p w14:paraId="0670BF31">
      <w:pPr>
        <w:spacing w:line="360" w:lineRule="exact"/>
        <w:ind w:firstLine="420" w:firstLineChars="200"/>
        <w:rPr>
          <w:rFonts w:hint="eastAsia" w:ascii="宋体" w:hAnsi="宋体"/>
          <w:szCs w:val="21"/>
        </w:rPr>
      </w:pPr>
      <w:r>
        <w:rPr>
          <w:rFonts w:ascii="宋体" w:hAnsi="宋体"/>
          <w:szCs w:val="21"/>
        </w:rPr>
        <w:t>8.4</w:t>
      </w:r>
      <w:r>
        <w:rPr>
          <w:rFonts w:hint="eastAsia" w:ascii="宋体" w:hAnsi="宋体"/>
          <w:szCs w:val="21"/>
        </w:rPr>
        <w:t>乙方权利</w:t>
      </w:r>
    </w:p>
    <w:p w14:paraId="7FF698C9">
      <w:pPr>
        <w:spacing w:line="360" w:lineRule="exact"/>
        <w:ind w:firstLine="420" w:firstLineChars="200"/>
        <w:rPr>
          <w:rFonts w:hint="eastAsia" w:ascii="宋体" w:hAnsi="宋体"/>
          <w:szCs w:val="21"/>
        </w:rPr>
      </w:pPr>
      <w:r>
        <w:rPr>
          <w:rFonts w:ascii="宋体" w:hAnsi="宋体"/>
          <w:szCs w:val="21"/>
        </w:rPr>
        <w:t>8.4.1</w:t>
      </w:r>
      <w:r>
        <w:rPr>
          <w:rFonts w:hint="eastAsia" w:ascii="宋体" w:hAnsi="宋体"/>
          <w:szCs w:val="21"/>
        </w:rPr>
        <w:t>要求甲方提供相应的技术支持，及时解决加工生产中的问题。</w:t>
      </w:r>
    </w:p>
    <w:p w14:paraId="49741001">
      <w:pPr>
        <w:spacing w:line="360" w:lineRule="exact"/>
        <w:ind w:firstLine="420" w:firstLineChars="200"/>
        <w:rPr>
          <w:rFonts w:hint="eastAsia" w:ascii="宋体" w:hAnsi="宋体"/>
          <w:szCs w:val="21"/>
        </w:rPr>
      </w:pPr>
      <w:r>
        <w:rPr>
          <w:rFonts w:ascii="宋体" w:hAnsi="宋体"/>
          <w:szCs w:val="21"/>
        </w:rPr>
        <w:t>8.4.2</w:t>
      </w:r>
      <w:r>
        <w:rPr>
          <w:rFonts w:hint="eastAsia" w:ascii="宋体" w:hAnsi="宋体"/>
          <w:szCs w:val="21"/>
        </w:rPr>
        <w:t>要求对新产品提供相应的作业指导与质量认可标准。</w:t>
      </w:r>
    </w:p>
    <w:p w14:paraId="38221061">
      <w:pPr>
        <w:spacing w:line="360" w:lineRule="exact"/>
        <w:rPr>
          <w:rFonts w:hint="eastAsia" w:ascii="宋体" w:hAnsi="宋体"/>
          <w:b/>
          <w:szCs w:val="21"/>
        </w:rPr>
      </w:pPr>
      <w:r>
        <w:rPr>
          <w:rFonts w:hint="eastAsia" w:ascii="宋体" w:hAnsi="宋体"/>
          <w:b/>
          <w:szCs w:val="21"/>
        </w:rPr>
        <w:t>第九条：质量监督要求</w:t>
      </w:r>
    </w:p>
    <w:p w14:paraId="285238E6">
      <w:pPr>
        <w:spacing w:line="360" w:lineRule="exact"/>
        <w:ind w:firstLine="420" w:firstLineChars="200"/>
        <w:rPr>
          <w:rFonts w:hint="eastAsia" w:ascii="宋体" w:hAnsi="宋体"/>
          <w:szCs w:val="21"/>
        </w:rPr>
      </w:pPr>
      <w:r>
        <w:rPr>
          <w:rFonts w:ascii="宋体" w:hAnsi="宋体"/>
          <w:szCs w:val="21"/>
        </w:rPr>
        <w:t>9.1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14:paraId="12F62980">
      <w:pPr>
        <w:spacing w:line="360" w:lineRule="exact"/>
        <w:ind w:firstLine="420" w:firstLineChars="200"/>
        <w:rPr>
          <w:rFonts w:hint="eastAsia" w:ascii="宋体" w:hAnsi="宋体"/>
          <w:szCs w:val="21"/>
        </w:rPr>
      </w:pPr>
      <w:r>
        <w:rPr>
          <w:rFonts w:ascii="宋体" w:hAnsi="宋体"/>
          <w:szCs w:val="21"/>
        </w:rPr>
        <w:t>9.2</w:t>
      </w:r>
      <w:r>
        <w:rPr>
          <w:rFonts w:hint="eastAsia" w:ascii="宋体" w:hAnsi="宋体"/>
          <w:szCs w:val="21"/>
        </w:rPr>
        <w:t>抽样原则</w:t>
      </w:r>
    </w:p>
    <w:p w14:paraId="0337F542">
      <w:pPr>
        <w:spacing w:line="360" w:lineRule="exact"/>
        <w:ind w:firstLine="420" w:firstLineChars="200"/>
        <w:rPr>
          <w:rFonts w:hint="eastAsia" w:ascii="宋体" w:hAnsi="宋体"/>
          <w:szCs w:val="21"/>
        </w:rPr>
      </w:pPr>
      <w:r>
        <w:rPr>
          <w:rFonts w:ascii="宋体" w:hAnsi="宋体"/>
          <w:szCs w:val="21"/>
        </w:rPr>
        <w:t>9.2.1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14:paraId="13E1582A">
      <w:pPr>
        <w:spacing w:line="360" w:lineRule="exact"/>
        <w:ind w:firstLine="420" w:firstLineChars="200"/>
        <w:rPr>
          <w:rFonts w:hint="eastAsia" w:ascii="宋体" w:hAnsi="宋体"/>
          <w:szCs w:val="21"/>
        </w:rPr>
      </w:pPr>
      <w:r>
        <w:rPr>
          <w:rFonts w:ascii="宋体" w:hAnsi="宋体"/>
          <w:szCs w:val="21"/>
        </w:rPr>
        <w:t>9.3</w:t>
      </w:r>
      <w:r>
        <w:rPr>
          <w:rFonts w:hint="eastAsia" w:ascii="宋体" w:hAnsi="宋体"/>
          <w:szCs w:val="21"/>
        </w:rPr>
        <w:t>动态规则</w:t>
      </w:r>
    </w:p>
    <w:p w14:paraId="42B21D45">
      <w:pPr>
        <w:spacing w:line="360" w:lineRule="exact"/>
        <w:ind w:firstLine="420" w:firstLineChars="200"/>
        <w:rPr>
          <w:rFonts w:hint="eastAsia" w:ascii="宋体" w:hAnsi="宋体"/>
          <w:szCs w:val="21"/>
        </w:rPr>
      </w:pPr>
      <w:r>
        <w:rPr>
          <w:rFonts w:ascii="宋体" w:hAnsi="宋体"/>
          <w:szCs w:val="21"/>
        </w:rPr>
        <w:t>9.3.1</w:t>
      </w:r>
      <w:r>
        <w:rPr>
          <w:rFonts w:hint="eastAsia" w:ascii="宋体" w:hAnsi="宋体"/>
          <w:szCs w:val="21"/>
        </w:rPr>
        <w:t>根据产品质量稳定情况，结合乙方制造过程能力，执行抽样策略的动态管理。</w:t>
      </w:r>
    </w:p>
    <w:p w14:paraId="7EE7C889">
      <w:pPr>
        <w:spacing w:line="360" w:lineRule="exact"/>
        <w:ind w:firstLine="420" w:firstLineChars="200"/>
        <w:rPr>
          <w:rFonts w:hint="eastAsia" w:ascii="宋体" w:hAnsi="宋体"/>
          <w:szCs w:val="21"/>
        </w:rPr>
      </w:pPr>
      <w:r>
        <w:rPr>
          <w:rFonts w:ascii="宋体" w:hAnsi="宋体"/>
          <w:szCs w:val="21"/>
        </w:rPr>
        <w:t>9.3.1.1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14:paraId="1902C848">
      <w:pPr>
        <w:spacing w:line="360" w:lineRule="exact"/>
        <w:ind w:firstLine="420" w:firstLineChars="200"/>
        <w:rPr>
          <w:rFonts w:hint="eastAsia" w:ascii="宋体" w:hAnsi="宋体"/>
          <w:szCs w:val="21"/>
        </w:rPr>
      </w:pPr>
      <w:r>
        <w:rPr>
          <w:rFonts w:ascii="宋体" w:hAnsi="宋体"/>
          <w:szCs w:val="21"/>
        </w:rPr>
        <w:t>9.3.1.2</w:t>
      </w:r>
      <w:r>
        <w:rPr>
          <w:rFonts w:hint="eastAsia" w:ascii="宋体" w:hAnsi="宋体"/>
          <w:szCs w:val="21"/>
        </w:rPr>
        <w:t>加严转正常：不合格问题已纠正并已得到验证，加严检验连续五次检验合格，可转为正常检验。</w:t>
      </w:r>
    </w:p>
    <w:p w14:paraId="5A5BEEEA">
      <w:pPr>
        <w:spacing w:line="360" w:lineRule="exact"/>
        <w:ind w:firstLine="420" w:firstLineChars="200"/>
        <w:rPr>
          <w:rFonts w:hint="eastAsia" w:ascii="宋体" w:hAnsi="宋体"/>
          <w:szCs w:val="21"/>
        </w:rPr>
      </w:pPr>
      <w:r>
        <w:rPr>
          <w:rFonts w:ascii="宋体" w:hAnsi="宋体"/>
          <w:szCs w:val="21"/>
        </w:rPr>
        <w:t>9.4</w:t>
      </w:r>
      <w:r>
        <w:rPr>
          <w:rFonts w:hint="eastAsia" w:ascii="宋体" w:hAnsi="宋体"/>
          <w:szCs w:val="21"/>
        </w:rPr>
        <w:t>抽样与取样</w:t>
      </w:r>
    </w:p>
    <w:p w14:paraId="5ED44D9C">
      <w:pPr>
        <w:spacing w:line="360" w:lineRule="exact"/>
        <w:ind w:firstLine="420" w:firstLineChars="200"/>
        <w:rPr>
          <w:rFonts w:hint="eastAsia" w:ascii="宋体" w:hAnsi="宋体"/>
          <w:szCs w:val="21"/>
        </w:rPr>
      </w:pPr>
      <w:r>
        <w:rPr>
          <w:rFonts w:ascii="宋体" w:hAnsi="宋体"/>
          <w:szCs w:val="21"/>
        </w:rPr>
        <w:t>9.4.1</w:t>
      </w:r>
      <w:r>
        <w:rPr>
          <w:rFonts w:hint="eastAsia" w:ascii="宋体" w:hAnsi="宋体"/>
          <w:szCs w:val="21"/>
        </w:rPr>
        <w:t>抽样方法：检验样本由检验人员按比例抽样，采取随机抽样与连续抽样方式相结合的抽样方式，避免抽样僵化。</w:t>
      </w:r>
    </w:p>
    <w:p w14:paraId="2F6F9639">
      <w:pPr>
        <w:spacing w:line="360" w:lineRule="exact"/>
        <w:ind w:firstLine="420" w:firstLineChars="200"/>
        <w:rPr>
          <w:rFonts w:hint="eastAsia" w:ascii="宋体" w:hAnsi="宋体"/>
          <w:szCs w:val="21"/>
        </w:rPr>
      </w:pPr>
      <w:r>
        <w:rPr>
          <w:rFonts w:ascii="宋体" w:hAnsi="宋体"/>
          <w:szCs w:val="21"/>
        </w:rPr>
        <w:t>9.4.2</w:t>
      </w:r>
      <w:r>
        <w:rPr>
          <w:rFonts w:hint="eastAsia" w:ascii="宋体" w:hAnsi="宋体"/>
          <w:szCs w:val="21"/>
        </w:rPr>
        <w:t>根据现场检验项目所属类别，按表中抽样数量执行，正常检验均采用一次抽样方案，抽取的样本容量n见表1。</w:t>
      </w:r>
    </w:p>
    <w:p w14:paraId="3510DF0C">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15"/>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14:paraId="51A0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14:paraId="21374C34">
            <w:pPr>
              <w:spacing w:line="460" w:lineRule="exact"/>
              <w:jc w:val="center"/>
              <w:rPr>
                <w:rFonts w:ascii="宋体" w:hAnsi="宋体" w:cs="宋体"/>
                <w:szCs w:val="21"/>
              </w:rPr>
            </w:pPr>
            <w:r>
              <w:rPr>
                <w:rFonts w:hint="eastAsia" w:ascii="宋体" w:hAnsi="宋体" w:cs="宋体"/>
                <w:szCs w:val="21"/>
              </w:rPr>
              <w:t>序号</w:t>
            </w:r>
          </w:p>
        </w:tc>
        <w:tc>
          <w:tcPr>
            <w:tcW w:w="2874" w:type="dxa"/>
            <w:noWrap w:val="0"/>
            <w:vAlign w:val="center"/>
          </w:tcPr>
          <w:p w14:paraId="5C7FE297">
            <w:pPr>
              <w:jc w:val="center"/>
              <w:rPr>
                <w:rFonts w:ascii="宋体" w:hAnsi="宋体" w:cs="宋体"/>
                <w:szCs w:val="21"/>
              </w:rPr>
            </w:pPr>
            <w:r>
              <w:rPr>
                <w:rFonts w:hint="eastAsia" w:ascii="宋体" w:hAnsi="宋体" w:cs="宋体"/>
                <w:szCs w:val="21"/>
              </w:rPr>
              <w:t>当期数量</w:t>
            </w:r>
          </w:p>
          <w:p w14:paraId="118FB01E">
            <w:pPr>
              <w:jc w:val="center"/>
              <w:rPr>
                <w:rFonts w:ascii="宋体" w:hAnsi="宋体" w:cs="宋体"/>
                <w:szCs w:val="21"/>
              </w:rPr>
            </w:pPr>
            <w:r>
              <w:rPr>
                <w:rFonts w:hint="eastAsia" w:ascii="宋体" w:hAnsi="宋体" w:cs="宋体"/>
                <w:szCs w:val="21"/>
              </w:rPr>
              <w:t>（样本容量n）</w:t>
            </w:r>
          </w:p>
        </w:tc>
        <w:tc>
          <w:tcPr>
            <w:tcW w:w="2371" w:type="dxa"/>
            <w:noWrap w:val="0"/>
            <w:vAlign w:val="center"/>
          </w:tcPr>
          <w:p w14:paraId="5A21F9FA">
            <w:pPr>
              <w:jc w:val="center"/>
              <w:rPr>
                <w:rFonts w:ascii="宋体" w:hAnsi="宋体" w:cs="宋体"/>
                <w:szCs w:val="21"/>
              </w:rPr>
            </w:pPr>
            <w:r>
              <w:rPr>
                <w:rFonts w:hint="eastAsia" w:ascii="宋体" w:hAnsi="宋体" w:cs="宋体"/>
                <w:szCs w:val="21"/>
              </w:rPr>
              <w:t>正常检验</w:t>
            </w:r>
          </w:p>
          <w:p w14:paraId="2D3C04D7">
            <w:pPr>
              <w:jc w:val="center"/>
              <w:rPr>
                <w:rFonts w:ascii="宋体" w:hAnsi="宋体" w:cs="宋体"/>
                <w:szCs w:val="21"/>
              </w:rPr>
            </w:pPr>
            <w:r>
              <w:rPr>
                <w:rFonts w:hint="eastAsia" w:ascii="宋体" w:hAnsi="宋体" w:cs="宋体"/>
                <w:szCs w:val="21"/>
              </w:rPr>
              <w:t>抽样数量</w:t>
            </w:r>
          </w:p>
        </w:tc>
        <w:tc>
          <w:tcPr>
            <w:tcW w:w="2494" w:type="dxa"/>
            <w:noWrap w:val="0"/>
            <w:vAlign w:val="center"/>
          </w:tcPr>
          <w:p w14:paraId="265AE58D">
            <w:pPr>
              <w:jc w:val="center"/>
              <w:rPr>
                <w:rFonts w:ascii="宋体" w:hAnsi="宋体" w:cs="宋体"/>
                <w:szCs w:val="21"/>
              </w:rPr>
            </w:pPr>
            <w:r>
              <w:rPr>
                <w:rFonts w:hint="eastAsia" w:ascii="宋体" w:hAnsi="宋体" w:cs="宋体"/>
                <w:szCs w:val="21"/>
              </w:rPr>
              <w:t>加严检验</w:t>
            </w:r>
          </w:p>
          <w:p w14:paraId="2EDE3A9D">
            <w:pPr>
              <w:jc w:val="center"/>
              <w:rPr>
                <w:rFonts w:ascii="宋体" w:hAnsi="宋体" w:cs="宋体"/>
                <w:szCs w:val="21"/>
              </w:rPr>
            </w:pPr>
            <w:r>
              <w:rPr>
                <w:rFonts w:hint="eastAsia" w:ascii="宋体" w:hAnsi="宋体" w:cs="宋体"/>
                <w:szCs w:val="21"/>
              </w:rPr>
              <w:t>抽样数量</w:t>
            </w:r>
          </w:p>
        </w:tc>
      </w:tr>
      <w:tr w14:paraId="75C7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44365E90">
            <w:pPr>
              <w:spacing w:line="460" w:lineRule="exact"/>
              <w:jc w:val="center"/>
              <w:rPr>
                <w:rFonts w:ascii="宋体" w:hAnsi="宋体" w:cs="宋体"/>
                <w:szCs w:val="21"/>
              </w:rPr>
            </w:pPr>
            <w:r>
              <w:rPr>
                <w:rFonts w:hint="eastAsia" w:ascii="宋体" w:hAnsi="宋体" w:cs="宋体"/>
                <w:szCs w:val="21"/>
              </w:rPr>
              <w:t>1</w:t>
            </w:r>
          </w:p>
        </w:tc>
        <w:tc>
          <w:tcPr>
            <w:tcW w:w="2874" w:type="dxa"/>
            <w:noWrap/>
            <w:vAlign w:val="center"/>
          </w:tcPr>
          <w:p w14:paraId="7BF12179">
            <w:pPr>
              <w:spacing w:line="460" w:lineRule="exact"/>
              <w:jc w:val="center"/>
              <w:rPr>
                <w:rFonts w:ascii="宋体" w:hAnsi="宋体" w:cs="宋体"/>
                <w:szCs w:val="21"/>
              </w:rPr>
            </w:pPr>
            <w:r>
              <w:rPr>
                <w:rFonts w:hint="eastAsia" w:ascii="宋体" w:hAnsi="宋体" w:cs="宋体"/>
                <w:szCs w:val="21"/>
              </w:rPr>
              <w:t>≤1000</w:t>
            </w:r>
          </w:p>
        </w:tc>
        <w:tc>
          <w:tcPr>
            <w:tcW w:w="2371" w:type="dxa"/>
            <w:noWrap w:val="0"/>
            <w:vAlign w:val="center"/>
          </w:tcPr>
          <w:p w14:paraId="68219D04">
            <w:pPr>
              <w:spacing w:line="460" w:lineRule="exact"/>
              <w:jc w:val="center"/>
              <w:rPr>
                <w:rFonts w:ascii="宋体" w:hAnsi="宋体" w:cs="宋体"/>
                <w:szCs w:val="21"/>
              </w:rPr>
            </w:pPr>
            <w:r>
              <w:rPr>
                <w:rFonts w:hint="eastAsia" w:ascii="宋体" w:hAnsi="宋体" w:cs="宋体"/>
                <w:szCs w:val="21"/>
              </w:rPr>
              <w:t>3</w:t>
            </w:r>
          </w:p>
        </w:tc>
        <w:tc>
          <w:tcPr>
            <w:tcW w:w="2494" w:type="dxa"/>
            <w:noWrap w:val="0"/>
            <w:vAlign w:val="top"/>
          </w:tcPr>
          <w:p w14:paraId="7D0A3FDE">
            <w:pPr>
              <w:spacing w:line="460" w:lineRule="exact"/>
              <w:jc w:val="center"/>
              <w:rPr>
                <w:rFonts w:ascii="宋体" w:hAnsi="宋体" w:cs="宋体"/>
                <w:szCs w:val="21"/>
              </w:rPr>
            </w:pPr>
            <w:r>
              <w:rPr>
                <w:rFonts w:hint="eastAsia" w:ascii="宋体" w:hAnsi="宋体" w:cs="宋体"/>
                <w:szCs w:val="21"/>
              </w:rPr>
              <w:t>10</w:t>
            </w:r>
          </w:p>
        </w:tc>
      </w:tr>
      <w:tr w14:paraId="3385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39E000AC">
            <w:pPr>
              <w:spacing w:line="460" w:lineRule="exact"/>
              <w:jc w:val="center"/>
              <w:rPr>
                <w:rFonts w:ascii="宋体" w:hAnsi="宋体" w:cs="宋体"/>
                <w:szCs w:val="21"/>
              </w:rPr>
            </w:pPr>
            <w:r>
              <w:rPr>
                <w:rFonts w:hint="eastAsia" w:ascii="宋体" w:hAnsi="宋体" w:cs="宋体"/>
                <w:szCs w:val="21"/>
              </w:rPr>
              <w:t>2</w:t>
            </w:r>
          </w:p>
        </w:tc>
        <w:tc>
          <w:tcPr>
            <w:tcW w:w="2874" w:type="dxa"/>
            <w:noWrap/>
            <w:vAlign w:val="center"/>
          </w:tcPr>
          <w:p w14:paraId="52536F3C">
            <w:pPr>
              <w:spacing w:line="460" w:lineRule="exact"/>
              <w:jc w:val="center"/>
              <w:rPr>
                <w:rFonts w:ascii="宋体" w:hAnsi="宋体" w:cs="宋体"/>
                <w:szCs w:val="21"/>
              </w:rPr>
            </w:pPr>
            <w:r>
              <w:rPr>
                <w:rFonts w:hint="eastAsia" w:ascii="宋体" w:hAnsi="宋体" w:cs="宋体"/>
                <w:szCs w:val="21"/>
              </w:rPr>
              <w:t>1000～3000</w:t>
            </w:r>
          </w:p>
        </w:tc>
        <w:tc>
          <w:tcPr>
            <w:tcW w:w="2371" w:type="dxa"/>
            <w:noWrap w:val="0"/>
            <w:vAlign w:val="center"/>
          </w:tcPr>
          <w:p w14:paraId="5B95095B">
            <w:pPr>
              <w:spacing w:line="460" w:lineRule="exact"/>
              <w:jc w:val="center"/>
              <w:rPr>
                <w:rFonts w:ascii="宋体" w:hAnsi="宋体" w:cs="宋体"/>
                <w:szCs w:val="21"/>
              </w:rPr>
            </w:pPr>
            <w:r>
              <w:rPr>
                <w:rFonts w:hint="eastAsia" w:ascii="宋体" w:hAnsi="宋体" w:cs="宋体"/>
                <w:szCs w:val="21"/>
              </w:rPr>
              <w:t>5</w:t>
            </w:r>
          </w:p>
        </w:tc>
        <w:tc>
          <w:tcPr>
            <w:tcW w:w="2494" w:type="dxa"/>
            <w:noWrap w:val="0"/>
            <w:vAlign w:val="top"/>
          </w:tcPr>
          <w:p w14:paraId="74EBE4F2">
            <w:pPr>
              <w:spacing w:line="460" w:lineRule="exact"/>
              <w:jc w:val="center"/>
              <w:rPr>
                <w:rFonts w:ascii="宋体" w:hAnsi="宋体" w:cs="宋体"/>
                <w:szCs w:val="21"/>
              </w:rPr>
            </w:pPr>
            <w:r>
              <w:rPr>
                <w:rFonts w:hint="eastAsia" w:ascii="宋体" w:hAnsi="宋体" w:cs="宋体"/>
                <w:szCs w:val="21"/>
              </w:rPr>
              <w:t>20</w:t>
            </w:r>
          </w:p>
        </w:tc>
      </w:tr>
      <w:tr w14:paraId="3F3D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0AE48A00">
            <w:pPr>
              <w:spacing w:line="460" w:lineRule="exact"/>
              <w:jc w:val="center"/>
              <w:rPr>
                <w:rFonts w:ascii="宋体" w:hAnsi="宋体" w:cs="宋体"/>
                <w:szCs w:val="21"/>
              </w:rPr>
            </w:pPr>
            <w:r>
              <w:rPr>
                <w:rFonts w:hint="eastAsia" w:ascii="宋体" w:hAnsi="宋体" w:cs="宋体"/>
                <w:szCs w:val="21"/>
              </w:rPr>
              <w:t>3</w:t>
            </w:r>
          </w:p>
        </w:tc>
        <w:tc>
          <w:tcPr>
            <w:tcW w:w="2874" w:type="dxa"/>
            <w:noWrap/>
            <w:vAlign w:val="center"/>
          </w:tcPr>
          <w:p w14:paraId="7D85A5E2">
            <w:pPr>
              <w:spacing w:line="460" w:lineRule="exact"/>
              <w:jc w:val="center"/>
              <w:rPr>
                <w:rFonts w:ascii="宋体" w:hAnsi="宋体" w:cs="宋体"/>
                <w:szCs w:val="21"/>
              </w:rPr>
            </w:pPr>
            <w:r>
              <w:rPr>
                <w:rFonts w:hint="eastAsia" w:ascii="宋体" w:hAnsi="宋体" w:cs="宋体"/>
                <w:szCs w:val="21"/>
              </w:rPr>
              <w:t>＞3000</w:t>
            </w:r>
          </w:p>
        </w:tc>
        <w:tc>
          <w:tcPr>
            <w:tcW w:w="2371" w:type="dxa"/>
            <w:noWrap w:val="0"/>
            <w:vAlign w:val="center"/>
          </w:tcPr>
          <w:p w14:paraId="50CE593F">
            <w:pPr>
              <w:spacing w:line="460" w:lineRule="exact"/>
              <w:jc w:val="center"/>
              <w:rPr>
                <w:rFonts w:ascii="宋体" w:hAnsi="宋体" w:cs="宋体"/>
                <w:szCs w:val="21"/>
              </w:rPr>
            </w:pPr>
            <w:r>
              <w:rPr>
                <w:rFonts w:hint="eastAsia" w:ascii="宋体" w:hAnsi="宋体" w:cs="宋体"/>
                <w:szCs w:val="21"/>
              </w:rPr>
              <w:t>10</w:t>
            </w:r>
          </w:p>
        </w:tc>
        <w:tc>
          <w:tcPr>
            <w:tcW w:w="2494" w:type="dxa"/>
            <w:noWrap w:val="0"/>
            <w:vAlign w:val="top"/>
          </w:tcPr>
          <w:p w14:paraId="646775D6">
            <w:pPr>
              <w:spacing w:line="460" w:lineRule="exact"/>
              <w:jc w:val="center"/>
              <w:rPr>
                <w:rFonts w:ascii="宋体" w:hAnsi="宋体" w:cs="宋体"/>
                <w:szCs w:val="21"/>
              </w:rPr>
            </w:pPr>
            <w:r>
              <w:rPr>
                <w:rFonts w:hint="eastAsia" w:ascii="宋体" w:hAnsi="宋体" w:cs="宋体"/>
                <w:szCs w:val="21"/>
              </w:rPr>
              <w:t>30</w:t>
            </w:r>
          </w:p>
        </w:tc>
      </w:tr>
    </w:tbl>
    <w:p w14:paraId="2B3CC6FA">
      <w:pPr>
        <w:spacing w:line="360" w:lineRule="exact"/>
        <w:ind w:firstLine="420" w:firstLineChars="200"/>
        <w:rPr>
          <w:rFonts w:ascii="宋体" w:hAnsi="宋体"/>
          <w:szCs w:val="21"/>
        </w:rPr>
      </w:pPr>
      <w:r>
        <w:rPr>
          <w:rFonts w:hint="eastAsia" w:ascii="宋体" w:hAnsi="宋体"/>
          <w:szCs w:val="21"/>
        </w:rPr>
        <w:t>备注：表中规定的抽样数量仅为抽样要求的最低标准，可根据现场检验资源增加抽样数量。</w:t>
      </w:r>
    </w:p>
    <w:p w14:paraId="05AA05E0">
      <w:pPr>
        <w:spacing w:line="360" w:lineRule="exact"/>
        <w:rPr>
          <w:rFonts w:hint="eastAsia" w:ascii="宋体" w:hAnsi="宋体"/>
          <w:b/>
          <w:szCs w:val="21"/>
        </w:rPr>
      </w:pPr>
      <w:r>
        <w:rPr>
          <w:rFonts w:hint="eastAsia" w:ascii="宋体" w:hAnsi="宋体"/>
          <w:b/>
          <w:szCs w:val="21"/>
        </w:rPr>
        <w:t>第十条：验收标准</w:t>
      </w:r>
    </w:p>
    <w:p w14:paraId="5ECD483B">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14:paraId="5932C452">
      <w:pPr>
        <w:spacing w:line="360" w:lineRule="exact"/>
        <w:rPr>
          <w:rFonts w:hint="eastAsia" w:ascii="宋体" w:hAnsi="宋体"/>
          <w:b/>
        </w:rPr>
      </w:pPr>
      <w:r>
        <w:rPr>
          <w:rFonts w:ascii="宋体" w:hAnsi="宋体"/>
          <w:b/>
        </w:rPr>
        <w:t>第</w:t>
      </w:r>
      <w:r>
        <w:rPr>
          <w:rFonts w:hint="eastAsia" w:ascii="宋体" w:hAnsi="宋体"/>
          <w:b/>
        </w:rPr>
        <w:t>十一</w:t>
      </w:r>
      <w:r>
        <w:rPr>
          <w:rFonts w:ascii="宋体" w:hAnsi="宋体"/>
          <w:b/>
        </w:rPr>
        <w:t>条：评审标准</w:t>
      </w:r>
      <w:r>
        <w:rPr>
          <w:rFonts w:hint="eastAsia" w:ascii="宋体" w:hAnsi="宋体"/>
          <w:b/>
        </w:rPr>
        <w:t>与违约追责</w:t>
      </w:r>
    </w:p>
    <w:p w14:paraId="46FAA5C0">
      <w:pPr>
        <w:widowControl/>
        <w:kinsoku w:val="0"/>
        <w:autoSpaceDE w:val="0"/>
        <w:autoSpaceDN w:val="0"/>
        <w:adjustRightInd w:val="0"/>
        <w:snapToGrid w:val="0"/>
        <w:spacing w:before="82" w:line="229" w:lineRule="exact"/>
        <w:ind w:firstLine="412" w:firstLineChars="200"/>
        <w:jc w:val="left"/>
        <w:textAlignment w:val="baseline"/>
        <w:rPr>
          <w:rFonts w:hint="eastAsia" w:ascii="宋体" w:hAnsi="宋体" w:eastAsia="宋体" w:cs="微软雅黑"/>
          <w:b/>
          <w:i/>
          <w:iCs/>
          <w:snapToGrid w:val="0"/>
          <w:color w:val="FF0000"/>
          <w:kern w:val="0"/>
          <w:sz w:val="21"/>
          <w:szCs w:val="21"/>
          <w:highlight w:val="none"/>
          <w:lang w:val="en-US" w:eastAsia="zh-CN" w:bidi="ar-SA"/>
        </w:rPr>
      </w:pPr>
      <w:r>
        <w:rPr>
          <w:rFonts w:ascii="宋体" w:hAnsi="宋体" w:eastAsia="宋体" w:cs="微软雅黑"/>
          <w:snapToGrid w:val="0"/>
          <w:color w:val="000000"/>
          <w:spacing w:val="-2"/>
          <w:kern w:val="0"/>
          <w:sz w:val="21"/>
          <w:szCs w:val="21"/>
          <w:lang w:val="en-US" w:eastAsia="zh-CN" w:bidi="ar-SA"/>
        </w:rPr>
        <w:t>11.1对于存在的质量问题，</w:t>
      </w:r>
      <w:r>
        <w:rPr>
          <w:rFonts w:hint="eastAsia" w:ascii="宋体" w:hAnsi="宋体" w:eastAsia="宋体" w:cs="微软雅黑"/>
          <w:snapToGrid w:val="0"/>
          <w:color w:val="000000"/>
          <w:spacing w:val="-2"/>
          <w:kern w:val="0"/>
          <w:sz w:val="21"/>
          <w:szCs w:val="21"/>
          <w:lang w:val="en-US" w:eastAsia="zh-CN" w:bidi="ar-SA"/>
        </w:rPr>
        <w:t>甲方有权利依据下列标准进行违约追责。</w:t>
      </w:r>
    </w:p>
    <w:p w14:paraId="51D110F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 进货检验</w:t>
      </w:r>
    </w:p>
    <w:p w14:paraId="6226BDF0">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.2.1 发现不合格，并根据问题质量特性严重等级对供方实施追责，追责分为两种方式（按照该批次货款金额比例支付违约金或一次性追责），实际实施选用追责金额高的方式，标准如下：</w:t>
      </w:r>
    </w:p>
    <w:p w14:paraId="7B1EC75A">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Y级(一般级)-不影响零部件的适用性，影响产品竞争性的质量特性:</w:t>
      </w:r>
    </w:p>
    <w:p w14:paraId="0EAD04F7">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①当批次结算价格的20%支付违约金;</w:t>
      </w:r>
    </w:p>
    <w:p w14:paraId="4C3AACC9">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 5000元/批次;</w:t>
      </w:r>
    </w:p>
    <w:p w14:paraId="561242BD">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Z级(重要级)-直接影响产品的适用性，易造成故障的质量特性:</w:t>
      </w:r>
    </w:p>
    <w:p w14:paraId="076A68CA">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①当批次结算价格的30%支付违约金;</w:t>
      </w:r>
    </w:p>
    <w:p w14:paraId="23F93B9E">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②考核5万元/批次;</w:t>
      </w:r>
    </w:p>
    <w:p w14:paraId="34A457F2">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G级(关键级)-直接影响产品的功能性，易造成恶行故障的质量特性:</w:t>
      </w:r>
    </w:p>
    <w:p w14:paraId="1E980A07">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①当批次结算价格的50%支付违约金;</w:t>
      </w:r>
    </w:p>
    <w:p w14:paraId="49B849BC">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②考核10万元/批次;</w:t>
      </w:r>
    </w:p>
    <w:p w14:paraId="40801772">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S级(安全法规级)-威胁人身安全，违反法规的质量特性:</w:t>
      </w:r>
    </w:p>
    <w:p w14:paraId="07C61268">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①当批次结算价格的100%支付违约金;</w:t>
      </w:r>
    </w:p>
    <w:p w14:paraId="27FEAA21">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②考核20万元/批次。</w:t>
      </w:r>
    </w:p>
    <w:p w14:paraId="66F2789C">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.2.2 </w:t>
      </w:r>
      <w:r>
        <w:rPr>
          <w:rFonts w:ascii="宋体" w:hAnsi="宋体" w:eastAsia="宋体" w:cs="Times New Roman"/>
          <w:szCs w:val="21"/>
        </w:rPr>
        <w:t>以半年为周期，同一供方同一产品重复出现三次不合格问题的，S/</w:t>
      </w:r>
      <w:r>
        <w:rPr>
          <w:rFonts w:hint="eastAsia" w:ascii="宋体" w:hAnsi="宋体" w:eastAsia="宋体" w:cs="Times New Roman"/>
          <w:szCs w:val="21"/>
        </w:rPr>
        <w:t>G</w:t>
      </w:r>
      <w:r>
        <w:rPr>
          <w:rFonts w:ascii="宋体" w:hAnsi="宋体" w:eastAsia="宋体" w:cs="Times New Roman"/>
          <w:szCs w:val="21"/>
        </w:rPr>
        <w:t>类产品质量特性问题将供方拉入“黑名单”，其他质量特性问题实施“负面供应商挂牌”</w:t>
      </w:r>
      <w:r>
        <w:rPr>
          <w:rFonts w:hint="eastAsia" w:ascii="宋体" w:hAnsi="宋体" w:eastAsia="宋体" w:cs="Times New Roman"/>
          <w:szCs w:val="21"/>
        </w:rPr>
        <w:t>。</w:t>
      </w:r>
    </w:p>
    <w:p w14:paraId="50D23EB2">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.2.3 型式试验抽检发现存在欺骗行为造成产品不合格的，取消供方的供应商资格。</w:t>
      </w:r>
    </w:p>
    <w:p w14:paraId="5130A776">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.2.4 </w:t>
      </w:r>
      <w:r>
        <w:rPr>
          <w:rFonts w:ascii="宋体" w:hAnsi="宋体" w:eastAsia="宋体" w:cs="Times New Roman"/>
          <w:szCs w:val="21"/>
        </w:rPr>
        <w:t>样试件发现不合格（装配尺寸、关键加工面、性能、外观、标识等），原则上追责供方3000元/批次；</w:t>
      </w:r>
    </w:p>
    <w:p w14:paraId="00DB746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.2.5 自检报告抽检样件单独做标识，自检报告内容与重汽对该样件进货检验抽检（装配尺寸、关键加工面、性能、外观、标识等）不符，判定供方自检报告造假，该批次判定为不合格，予以拒收，原则上追究供方违约责任不低于10万元。若供方规模较小，无法承担此违约金，直接将供方拉入“黑名单”；若供方规模较大，业务往来较多，一事一议。</w:t>
      </w:r>
    </w:p>
    <w:p w14:paraId="1D010CD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.2.6 判为不合格后，未按要求对产品进行整改即重新供货，一经发现实施“负面供应商摘挂牌”.</w:t>
      </w:r>
    </w:p>
    <w:p w14:paraId="573D22E7">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.2.7 批量质量问题和问题项重复发生在原有考核基础上加倍考核，特殊情况上不封顶。</w:t>
      </w:r>
    </w:p>
    <w:p w14:paraId="06DDA8F8">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.3 零公里过程</w:t>
      </w:r>
    </w:p>
    <w:p w14:paraId="4AF3AED0">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.3.1 因不合格造成停线的（损失额=工时单价 (90元/小时)×工序影响工时×受影响工序总人数；因产品不合格造成返修、返工的，按照发生的损失额实施考核。考核金额=损失工时×工时单价(270 元/小时）＋材料损耗费(包括相关工具损失、材料损耗等)＋相关零(部)件损失费(包括连带报废)）。</w:t>
      </w:r>
    </w:p>
    <w:p w14:paraId="7F84F01E">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 售后过程</w:t>
      </w:r>
    </w:p>
    <w:p w14:paraId="67BD089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.4.1 在售后过程中发生产品不合格时，按照《中国重汽汽车产品保修服务费用结算标准》对供方进行质量索赔追偿。对于质量责任事故，按照索赔金额的50%追责品牌损失费；对于零部件批量质量问题，按照索赔金额的30%追责品牌损失费。</w:t>
      </w:r>
    </w:p>
    <w:p w14:paraId="1643C857">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.4.2 供方还应承担因质量问题造成的退车、用户提出的如误工、罚款等赔偿费用。</w:t>
      </w:r>
    </w:p>
    <w:p w14:paraId="384404FD">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.4.3 发生批量质量问题、重大质量责任问题、质量责任事故的，可采取对供方实施负面供应商挂牌，产品实施停用，纳入“黑名单”管理，取消合格供方资格等措施。</w:t>
      </w:r>
    </w:p>
    <w:p w14:paraId="059EF604">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 供方行为</w:t>
      </w:r>
    </w:p>
    <w:p w14:paraId="6713B19E">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.5.1 对重大质量问题有意隐瞒不报，造成较大影响时，对供方按照10万元实施追责；对一般批量质量问题有意隐瞒不报，对正常生产造成一定影响的，对供方按照1万元实施追责。</w:t>
      </w:r>
    </w:p>
    <w:p w14:paraId="6DA86DC4">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.5.2 对无正当理由未按要求提供“4M1E报告”、公司相关变更信息等，给产品带来质量隐患或对正常生产造成影响的，视影响程度、损失大小，对供方按照1万元-5万元实施追责，情节较严重或年周期内重复发生的，有权降低供货比例、暂停供货，直至取消合格供方资格。</w:t>
      </w:r>
    </w:p>
    <w:p w14:paraId="2E6B1720">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.5.3 对于供方未按要求更改工艺或技术图纸的，或供方发生符合PPAP中规定的应通知变更而未及时通知的，按照该批货物价值(含税)的10%实施追责（单次追责未达到2000元时，按照2000元实施追责），对造成严重后果的，可予以加倍追责或取消其供货资格；</w:t>
      </w:r>
    </w:p>
    <w:p w14:paraId="17EC57E4">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.5.4 对于要求提交的资料或信息，如供方提供与事实情况不符，对供方按照1万元-5万元实施追责，情节严重的，有权取消供方供货资格。如果违约金不足以弥补损失，有权要求供方赔偿全部直接损失。</w:t>
      </w:r>
    </w:p>
    <w:p w14:paraId="505D5AA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.5.5 对供货零件的尺寸类、性能类要求，供方应制定检验规范并按要求或国家、行业标准要求进行周期性检测控制，未按要求执行的，对供方按照1万元-5万元实施追责。如性能类项目未按要求执行周期性检验，经查实且发现性能不符合要求的，对供方按照5万元-10万元实施追责；</w:t>
      </w:r>
    </w:p>
    <w:p w14:paraId="33BA2D0F">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.5.6 若供方发生返回旧件再次进入售后服务市场的，将对供方做出不良记录。如出现一次不良记录，将对供方按发现当月其所供货值(含税)的10％进行追责，年度内累计出现二次的，在对供方按其供货值（含税）10%扣款的基础上，调减供方供货份额；年度内累计出现三次以上不良记录（含三次）的，除对供方按其供货值（含税）10%扣款。（单次追责金额未达到5000元时，按照5000元实施追责）。</w:t>
      </w:r>
    </w:p>
    <w:p w14:paraId="7BFE8E46">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.5.7 供方在市场上销售的配件不得使用重汽的商标、企业名称等侵犯重汽利益和品牌形象的行为，否则一经发现，视对重汽造成的损害程度大小，以应付货款承担5-100万元违约金。</w:t>
      </w:r>
    </w:p>
    <w:p w14:paraId="6DDB95F8">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.5.8 </w:t>
      </w:r>
      <w:r>
        <w:rPr>
          <w:rFonts w:ascii="宋体" w:hAnsi="宋体" w:eastAsia="宋体" w:cs="Times New Roman"/>
          <w:szCs w:val="21"/>
        </w:rPr>
        <w:t>若供方发生以下变更，未提交变更申请或未经批准擅自变更的情况，对供方按照5万元实施追责；视严重程度，可采取对供方实施负面供应商挂牌；</w:t>
      </w:r>
    </w:p>
    <w:p w14:paraId="71905A06">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变更包括：设计、规范、材料更改；使用代用材料或进行设计偏离等事项；启用因质量问题停用的产品；生产工艺和关重设备变更；生产设备停用12个月以上后恢复生产；生产地变迁，或生产线重新布局；工装、模具、设备大修或重新装备</w:t>
      </w:r>
      <w:r>
        <w:rPr>
          <w:rFonts w:hint="eastAsia" w:ascii="宋体" w:hAnsi="宋体" w:eastAsia="宋体" w:cs="Times New Roman"/>
          <w:szCs w:val="21"/>
        </w:rPr>
        <w:t>。</w:t>
      </w:r>
    </w:p>
    <w:p w14:paraId="5D8C59DC">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.6 废品处理</w:t>
      </w:r>
    </w:p>
    <w:p w14:paraId="57C1DC91">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.6.1 因毛坯等原材料供方原因造成工序外协产品报废，产品不再退还供方，依照废旧物资处理流程处理实物，同时按照采购价格及外协工时损失对供方实施追责。</w:t>
      </w:r>
    </w:p>
    <w:p w14:paraId="29C13BD5">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 态度/沟通</w:t>
      </w:r>
    </w:p>
    <w:p w14:paraId="05D35FEF">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.7.1 对发生的质量问题及审核发现问题未按时反馈、未制定整改措施或制定了整改措施但未实施的，首次发生的追责供方1000-5000元，一年内重复发生加倍追责。</w:t>
      </w:r>
    </w:p>
    <w:p w14:paraId="4C204BEC">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.7.2 无正当理由未按要求及时提供相关有效证书、报告、信息的，首次发生的追责2000元，一年内重复发生加倍追责。</w:t>
      </w:r>
    </w:p>
    <w:p w14:paraId="3F7C91B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.7.3 当出现认证证书失效、被暂停及变更时，供方未按要求未书面告知的，追责供方1万元-5万元，如果追责金额不足以弥补损失，按照造成的全部直接损失实施追责。</w:t>
      </w:r>
    </w:p>
    <w:p w14:paraId="78D7F765">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7.4供方所供应产品在进货检验、生产过程、整车售后发生的质量问题开展整改对接会、约谈等活动，对供方参会人员职位、资格等提出具体要求时，供方应积极配合，对于无故不参与或参会人员身份、职位等不符的每次追责1000-5000元。</w:t>
      </w:r>
    </w:p>
    <w:p w14:paraId="08C1D7D4">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.8 其余追责情况，按照甲方要求执行。</w:t>
      </w:r>
    </w:p>
    <w:p w14:paraId="6CD91E14">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 xml:space="preserve">11.8 </w:t>
      </w:r>
      <w:r>
        <w:rPr>
          <w:rFonts w:hint="eastAsia" w:ascii="宋体" w:hAnsi="宋体" w:eastAsia="宋体" w:cs="Times New Roman"/>
          <w:szCs w:val="21"/>
        </w:rPr>
        <w:t>其余追责情况，按照乙方知晓并认可的《配套产品质量管理》办法要求执行。</w:t>
      </w:r>
    </w:p>
    <w:p w14:paraId="2180EF5E">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9</w:t>
      </w:r>
      <w:r>
        <w:rPr>
          <w:rFonts w:ascii="宋体" w:hAnsi="宋体" w:eastAsia="宋体" w:cs="Times New Roman"/>
          <w:szCs w:val="21"/>
        </w:rPr>
        <w:t>上述</w:t>
      </w:r>
      <w:r>
        <w:rPr>
          <w:rFonts w:hint="eastAsia" w:ascii="宋体" w:hAnsi="宋体" w:eastAsia="宋体" w:cs="Times New Roman"/>
          <w:szCs w:val="21"/>
        </w:rPr>
        <w:t>评审标准</w:t>
      </w:r>
      <w:r>
        <w:rPr>
          <w:rFonts w:ascii="宋体" w:hAnsi="宋体" w:eastAsia="宋体" w:cs="Times New Roman"/>
          <w:szCs w:val="21"/>
        </w:rPr>
        <w:t>最终解释权归甲方所有。</w:t>
      </w:r>
    </w:p>
    <w:p w14:paraId="737DBE57">
      <w:pPr>
        <w:pStyle w:val="14"/>
        <w:keepNext w:val="0"/>
        <w:keepLines w:val="0"/>
        <w:widowControl w:val="0"/>
        <w:suppressLineNumbers w:val="0"/>
        <w:spacing w:before="0" w:beforeAutospacing="0" w:after="0" w:afterAutospacing="0" w:line="360" w:lineRule="auto"/>
        <w:ind w:right="0"/>
        <w:jc w:val="both"/>
      </w:pPr>
    </w:p>
    <w:p w14:paraId="724823BB">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val="en-US" w:eastAsia="zh-CN"/>
        </w:rPr>
      </w:pPr>
      <w:bookmarkStart w:id="35" w:name="_Toc27998"/>
      <w:r>
        <w:rPr>
          <w:rFonts w:hint="eastAsia"/>
          <w:lang w:val="en-US" w:eastAsia="zh-CN"/>
        </w:rPr>
        <w:t>附件10重汽E采通非生产供应商注册操作手册</w:t>
      </w:r>
      <w:bookmarkEnd w:id="35"/>
    </w:p>
    <w:p w14:paraId="3C937B49">
      <w:pPr>
        <w:pStyle w:val="9"/>
        <w:rPr>
          <w:rFonts w:hint="eastAsia" w:eastAsia="宋体"/>
          <w:lang w:val="en-US" w:eastAsia="zh-CN"/>
        </w:rPr>
      </w:pPr>
    </w:p>
    <w:p w14:paraId="6B29067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2051790A">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280C6D5B">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1645BE05">
      <w:pPr>
        <w:snapToGrid w:val="0"/>
        <w:spacing w:line="312" w:lineRule="auto"/>
      </w:pPr>
      <w:r>
        <w:drawing>
          <wp:inline distT="0" distB="0" distL="114300" distR="114300">
            <wp:extent cx="5760085" cy="2933065"/>
            <wp:effectExtent l="0" t="0" r="12065"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11"/>
                    <a:stretch>
                      <a:fillRect/>
                    </a:stretch>
                  </pic:blipFill>
                  <pic:spPr>
                    <a:xfrm>
                      <a:off x="0" y="0"/>
                      <a:ext cx="5760085" cy="2933065"/>
                    </a:xfrm>
                    <a:prstGeom prst="rect">
                      <a:avLst/>
                    </a:prstGeom>
                    <a:noFill/>
                    <a:ln>
                      <a:noFill/>
                    </a:ln>
                  </pic:spPr>
                </pic:pic>
              </a:graphicData>
            </a:graphic>
          </wp:inline>
        </w:drawing>
      </w:r>
    </w:p>
    <w:p w14:paraId="0D6D4BB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7477A2E">
      <w:pPr>
        <w:snapToGrid w:val="0"/>
        <w:spacing w:line="312" w:lineRule="auto"/>
      </w:pPr>
      <w:r>
        <w:drawing>
          <wp:inline distT="0" distB="0" distL="114300" distR="114300">
            <wp:extent cx="5760085" cy="2766695"/>
            <wp:effectExtent l="0" t="0" r="12065" b="14605"/>
            <wp:docPr id="6" name="图片 2" descr="descript"/>
            <wp:cNvGraphicFramePr/>
            <a:graphic xmlns:a="http://schemas.openxmlformats.org/drawingml/2006/main">
              <a:graphicData uri="http://schemas.openxmlformats.org/drawingml/2006/picture">
                <pic:pic xmlns:pic="http://schemas.openxmlformats.org/drawingml/2006/picture">
                  <pic:nvPicPr>
                    <pic:cNvPr id="6" name="图片 2" descr="descript"/>
                    <pic:cNvPicPr/>
                  </pic:nvPicPr>
                  <pic:blipFill>
                    <a:blip r:embed="rId12"/>
                    <a:stretch>
                      <a:fillRect/>
                    </a:stretch>
                  </pic:blipFill>
                  <pic:spPr>
                    <a:xfrm>
                      <a:off x="0" y="0"/>
                      <a:ext cx="5760085" cy="2766695"/>
                    </a:xfrm>
                    <a:prstGeom prst="rect">
                      <a:avLst/>
                    </a:prstGeom>
                    <a:noFill/>
                    <a:ln>
                      <a:noFill/>
                    </a:ln>
                  </pic:spPr>
                </pic:pic>
              </a:graphicData>
            </a:graphic>
          </wp:inline>
        </w:drawing>
      </w:r>
    </w:p>
    <w:p w14:paraId="3EEA1BE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83EDB18">
      <w:pPr>
        <w:snapToGrid w:val="0"/>
        <w:spacing w:line="312" w:lineRule="auto"/>
      </w:pPr>
      <w:r>
        <w:drawing>
          <wp:inline distT="0" distB="0" distL="114300" distR="114300">
            <wp:extent cx="5760085" cy="2869565"/>
            <wp:effectExtent l="0" t="0" r="12065" b="698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13"/>
                    <a:stretch>
                      <a:fillRect/>
                    </a:stretch>
                  </pic:blipFill>
                  <pic:spPr>
                    <a:xfrm>
                      <a:off x="0" y="0"/>
                      <a:ext cx="5760085" cy="2869565"/>
                    </a:xfrm>
                    <a:prstGeom prst="rect">
                      <a:avLst/>
                    </a:prstGeom>
                    <a:noFill/>
                    <a:ln>
                      <a:noFill/>
                    </a:ln>
                  </pic:spPr>
                </pic:pic>
              </a:graphicData>
            </a:graphic>
          </wp:inline>
        </w:drawing>
      </w:r>
    </w:p>
    <w:p w14:paraId="63BEABAC">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CBE688E">
      <w:pPr>
        <w:snapToGrid w:val="0"/>
        <w:spacing w:line="312" w:lineRule="auto"/>
      </w:pPr>
      <w:r>
        <w:drawing>
          <wp:inline distT="0" distB="0" distL="114300" distR="114300">
            <wp:extent cx="5760085" cy="2853055"/>
            <wp:effectExtent l="0" t="0" r="12065" b="4445"/>
            <wp:docPr id="15" name="图片 4" descr="descript"/>
            <wp:cNvGraphicFramePr/>
            <a:graphic xmlns:a="http://schemas.openxmlformats.org/drawingml/2006/main">
              <a:graphicData uri="http://schemas.openxmlformats.org/drawingml/2006/picture">
                <pic:pic xmlns:pic="http://schemas.openxmlformats.org/drawingml/2006/picture">
                  <pic:nvPicPr>
                    <pic:cNvPr id="15" name="图片 4" descr="descript"/>
                    <pic:cNvPicPr/>
                  </pic:nvPicPr>
                  <pic:blipFill>
                    <a:blip r:embed="rId14"/>
                    <a:stretch>
                      <a:fillRect/>
                    </a:stretch>
                  </pic:blipFill>
                  <pic:spPr>
                    <a:xfrm>
                      <a:off x="0" y="0"/>
                      <a:ext cx="5760085" cy="2853055"/>
                    </a:xfrm>
                    <a:prstGeom prst="rect">
                      <a:avLst/>
                    </a:prstGeom>
                    <a:noFill/>
                    <a:ln>
                      <a:noFill/>
                    </a:ln>
                  </pic:spPr>
                </pic:pic>
              </a:graphicData>
            </a:graphic>
          </wp:inline>
        </w:drawing>
      </w:r>
    </w:p>
    <w:p w14:paraId="15E8E41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F37B0A9">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0702D5C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841EFF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70159F7C">
      <w:pPr>
        <w:pStyle w:val="9"/>
        <w:rPr>
          <w:rFonts w:hint="default"/>
          <w:lang w:val="en-US" w:eastAsia="zh-CN"/>
        </w:rPr>
      </w:pPr>
    </w:p>
    <w:p w14:paraId="2C0D220D">
      <w:pPr>
        <w:snapToGrid/>
        <w:spacing w:before="0" w:after="0" w:line="240" w:lineRule="auto"/>
        <w:ind w:left="0" w:right="0" w:firstLine="0"/>
        <w:jc w:val="both"/>
      </w:pPr>
      <w:r>
        <w:drawing>
          <wp:inline distT="0" distB="0" distL="114300" distR="114300">
            <wp:extent cx="5760085" cy="2809875"/>
            <wp:effectExtent l="0" t="0" r="12065" b="9525"/>
            <wp:docPr id="17" name="图片 5" descr="descript"/>
            <wp:cNvGraphicFramePr/>
            <a:graphic xmlns:a="http://schemas.openxmlformats.org/drawingml/2006/main">
              <a:graphicData uri="http://schemas.openxmlformats.org/drawingml/2006/picture">
                <pic:pic xmlns:pic="http://schemas.openxmlformats.org/drawingml/2006/picture">
                  <pic:nvPicPr>
                    <pic:cNvPr id="17" name="图片 5" descr="descript"/>
                    <pic:cNvPicPr/>
                  </pic:nvPicPr>
                  <pic:blipFill>
                    <a:blip r:embed="rId15"/>
                    <a:stretch>
                      <a:fillRect/>
                    </a:stretch>
                  </pic:blipFill>
                  <pic:spPr>
                    <a:xfrm>
                      <a:off x="0" y="0"/>
                      <a:ext cx="5760085" cy="2809875"/>
                    </a:xfrm>
                    <a:prstGeom prst="rect">
                      <a:avLst/>
                    </a:prstGeom>
                    <a:noFill/>
                    <a:ln>
                      <a:noFill/>
                    </a:ln>
                  </pic:spPr>
                </pic:pic>
              </a:graphicData>
            </a:graphic>
          </wp:inline>
        </w:drawing>
      </w:r>
    </w:p>
    <w:p w14:paraId="7DF9685B">
      <w:pPr>
        <w:pStyle w:val="9"/>
      </w:pPr>
      <w:r>
        <w:drawing>
          <wp:inline distT="0" distB="0" distL="114300" distR="114300">
            <wp:extent cx="5760085" cy="2820035"/>
            <wp:effectExtent l="0" t="0" r="12065" b="18415"/>
            <wp:docPr id="9" name="图片 6" descr="descript"/>
            <wp:cNvGraphicFramePr/>
            <a:graphic xmlns:a="http://schemas.openxmlformats.org/drawingml/2006/main">
              <a:graphicData uri="http://schemas.openxmlformats.org/drawingml/2006/picture">
                <pic:pic xmlns:pic="http://schemas.openxmlformats.org/drawingml/2006/picture">
                  <pic:nvPicPr>
                    <pic:cNvPr id="9" name="图片 6" descr="descript"/>
                    <pic:cNvPicPr/>
                  </pic:nvPicPr>
                  <pic:blipFill>
                    <a:blip r:embed="rId16"/>
                    <a:stretch>
                      <a:fillRect/>
                    </a:stretch>
                  </pic:blipFill>
                  <pic:spPr>
                    <a:xfrm>
                      <a:off x="0" y="0"/>
                      <a:ext cx="5760085" cy="2820035"/>
                    </a:xfrm>
                    <a:prstGeom prst="rect">
                      <a:avLst/>
                    </a:prstGeom>
                    <a:noFill/>
                    <a:ln>
                      <a:noFill/>
                    </a:ln>
                  </pic:spPr>
                </pic:pic>
              </a:graphicData>
            </a:graphic>
          </wp:inline>
        </w:drawing>
      </w:r>
    </w:p>
    <w:p w14:paraId="45FB59AE">
      <w:pPr>
        <w:pStyle w:val="9"/>
      </w:pPr>
    </w:p>
    <w:p w14:paraId="2DD067C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C9C495E">
      <w:pPr>
        <w:pStyle w:val="9"/>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5E4F1AAE">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val="en-US" w:eastAsia="zh-CN"/>
        </w:rPr>
      </w:pPr>
      <w:bookmarkStart w:id="36" w:name="_Toc17994"/>
      <w:r>
        <w:rPr>
          <w:rFonts w:hint="eastAsia"/>
          <w:lang w:val="en-US" w:eastAsia="zh-CN"/>
        </w:rPr>
        <w:t>附件11重汽E采通系统供应商用户手册</w:t>
      </w:r>
      <w:bookmarkEnd w:id="36"/>
    </w:p>
    <w:p w14:paraId="3F4D25E9">
      <w:pPr>
        <w:snapToGrid/>
        <w:spacing w:before="0" w:after="0" w:line="360" w:lineRule="auto"/>
        <w:ind w:left="0" w:right="0" w:firstLine="0"/>
        <w:jc w:val="both"/>
        <w:rPr>
          <w:rStyle w:val="19"/>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9"/>
          <w:rFonts w:hint="eastAsia" w:ascii="宋体" w:hAnsi="宋体" w:eastAsia="宋体" w:cs="宋体"/>
          <w:sz w:val="24"/>
          <w:szCs w:val="24"/>
        </w:rPr>
        <w:fldChar w:fldCharType="begin"/>
      </w:r>
      <w:r>
        <w:rPr>
          <w:rStyle w:val="1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9"/>
          <w:rFonts w:hint="eastAsia" w:ascii="宋体" w:hAnsi="宋体" w:eastAsia="宋体" w:cs="宋体"/>
          <w:sz w:val="24"/>
          <w:szCs w:val="24"/>
        </w:rPr>
        <w:fldChar w:fldCharType="separate"/>
      </w:r>
      <w:r>
        <w:rPr>
          <w:rStyle w:val="19"/>
          <w:rFonts w:hint="eastAsia" w:ascii="宋体" w:hAnsi="宋体" w:eastAsia="宋体" w:cs="宋体"/>
          <w:sz w:val="24"/>
          <w:szCs w:val="24"/>
        </w:rPr>
        <w:t>http://ecaitong.sinotruk.com:8012/</w:t>
      </w:r>
      <w:r>
        <w:rPr>
          <w:rStyle w:val="19"/>
          <w:rFonts w:hint="eastAsia" w:ascii="宋体" w:hAnsi="宋体" w:eastAsia="宋体" w:cs="宋体"/>
          <w:sz w:val="24"/>
          <w:szCs w:val="24"/>
        </w:rPr>
        <w:fldChar w:fldCharType="end"/>
      </w:r>
      <w:r>
        <w:rPr>
          <w:rStyle w:val="19"/>
          <w:rFonts w:hint="eastAsia" w:ascii="宋体" w:hAnsi="宋体" w:eastAsia="宋体" w:cs="宋体"/>
          <w:sz w:val="24"/>
          <w:szCs w:val="24"/>
          <w:lang w:eastAsia="zh-CN"/>
        </w:rPr>
        <w:t>（</w:t>
      </w:r>
      <w:r>
        <w:rPr>
          <w:rStyle w:val="19"/>
          <w:rFonts w:hint="eastAsia" w:ascii="宋体" w:hAnsi="宋体" w:eastAsia="宋体" w:cs="宋体"/>
          <w:sz w:val="24"/>
          <w:szCs w:val="24"/>
          <w:lang w:val="en-US" w:eastAsia="zh-CN"/>
        </w:rPr>
        <w:t>以下内容可能非最新版本，仅供参考，请登录系统网址后，点检查看最新版供应商手册</w:t>
      </w:r>
      <w:r>
        <w:rPr>
          <w:rStyle w:val="19"/>
          <w:rFonts w:hint="eastAsia" w:ascii="宋体" w:hAnsi="宋体" w:eastAsia="宋体" w:cs="宋体"/>
          <w:sz w:val="24"/>
          <w:szCs w:val="24"/>
          <w:lang w:eastAsia="zh-CN"/>
        </w:rPr>
        <w:t>）</w:t>
      </w:r>
    </w:p>
    <w:p w14:paraId="38C1CB46">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DSNSegqw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JPmlfaAAAACwEAAA8AAAAAAAAAAQAgAAAAIgAAAGRycy9k&#10;b3ducmV2LnhtbFBLAQIUABQAAAAIAIdO4kDSNSegqwIAAFIFAAAOAAAAAAAAAAEAIAAAACkBAABk&#10;cnMvZTJvRG9jLnhtbFBLBQYAAAAABgAGAFkBAABGBg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4067175" cy="4876800"/>
                    </a:xfrm>
                    <a:prstGeom prst="rect">
                      <a:avLst/>
                    </a:prstGeom>
                    <a:noFill/>
                    <a:ln>
                      <a:noFill/>
                    </a:ln>
                  </pic:spPr>
                </pic:pic>
              </a:graphicData>
            </a:graphic>
          </wp:inline>
        </w:drawing>
      </w:r>
    </w:p>
    <w:p w14:paraId="724DF0F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518671C7">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36DD995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A4DDF5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2EE06F66">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1AD97D0E">
      <w:pPr>
        <w:snapToGrid/>
        <w:spacing w:before="0" w:after="0" w:line="240" w:lineRule="auto"/>
        <w:ind w:left="0" w:right="0"/>
        <w:jc w:val="both"/>
      </w:pPr>
      <w:r>
        <w:drawing>
          <wp:inline distT="0" distB="0" distL="114300" distR="114300">
            <wp:extent cx="5760085" cy="2269490"/>
            <wp:effectExtent l="0" t="0" r="12065" b="16510"/>
            <wp:docPr id="7" name="图片 8" descr="descript"/>
            <wp:cNvGraphicFramePr/>
            <a:graphic xmlns:a="http://schemas.openxmlformats.org/drawingml/2006/main">
              <a:graphicData uri="http://schemas.openxmlformats.org/drawingml/2006/picture">
                <pic:pic xmlns:pic="http://schemas.openxmlformats.org/drawingml/2006/picture">
                  <pic:nvPicPr>
                    <pic:cNvPr id="7" name="图片 8" descr="descript"/>
                    <pic:cNvPicPr/>
                  </pic:nvPicPr>
                  <pic:blipFill>
                    <a:blip r:embed="rId18"/>
                    <a:stretch>
                      <a:fillRect/>
                    </a:stretch>
                  </pic:blipFill>
                  <pic:spPr>
                    <a:xfrm>
                      <a:off x="0" y="0"/>
                      <a:ext cx="5760085" cy="2269490"/>
                    </a:xfrm>
                    <a:prstGeom prst="rect">
                      <a:avLst/>
                    </a:prstGeom>
                    <a:noFill/>
                    <a:ln>
                      <a:noFill/>
                    </a:ln>
                  </pic:spPr>
                </pic:pic>
              </a:graphicData>
            </a:graphic>
          </wp:inline>
        </w:drawing>
      </w:r>
    </w:p>
    <w:p w14:paraId="296785AB">
      <w:pPr>
        <w:snapToGrid/>
        <w:spacing w:before="0" w:after="0" w:line="240" w:lineRule="auto"/>
        <w:ind w:left="0" w:right="0"/>
        <w:jc w:val="both"/>
      </w:pPr>
    </w:p>
    <w:p w14:paraId="3EC37B5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10557CE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364D2BA">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13" name="图片 9" descr="descript"/>
            <wp:cNvGraphicFramePr/>
            <a:graphic xmlns:a="http://schemas.openxmlformats.org/drawingml/2006/main">
              <a:graphicData uri="http://schemas.openxmlformats.org/drawingml/2006/picture">
                <pic:pic xmlns:pic="http://schemas.openxmlformats.org/drawingml/2006/picture">
                  <pic:nvPicPr>
                    <pic:cNvPr id="13" name="图片 9" descr="descript"/>
                    <pic:cNvPicPr/>
                  </pic:nvPicPr>
                  <pic:blipFill>
                    <a:blip r:embed="rId19"/>
                    <a:stretch>
                      <a:fillRect/>
                    </a:stretch>
                  </pic:blipFill>
                  <pic:spPr>
                    <a:xfrm>
                      <a:off x="0" y="0"/>
                      <a:ext cx="5760085" cy="2125345"/>
                    </a:xfrm>
                    <a:prstGeom prst="rect">
                      <a:avLst/>
                    </a:prstGeom>
                    <a:noFill/>
                    <a:ln>
                      <a:noFill/>
                    </a:ln>
                  </pic:spPr>
                </pic:pic>
              </a:graphicData>
            </a:graphic>
          </wp:inline>
        </w:drawing>
      </w:r>
    </w:p>
    <w:p w14:paraId="70E4163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13E142E">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0CF5C5A1">
      <w:pPr>
        <w:pStyle w:val="9"/>
      </w:pPr>
    </w:p>
    <w:p w14:paraId="571748D5">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5240" b="17145"/>
            <wp:docPr id="19" name="图片 10" descr="descript"/>
            <wp:cNvGraphicFramePr/>
            <a:graphic xmlns:a="http://schemas.openxmlformats.org/drawingml/2006/main">
              <a:graphicData uri="http://schemas.openxmlformats.org/drawingml/2006/picture">
                <pic:pic xmlns:pic="http://schemas.openxmlformats.org/drawingml/2006/picture">
                  <pic:nvPicPr>
                    <pic:cNvPr id="19" name="图片 10" descr="descript"/>
                    <pic:cNvPicPr/>
                  </pic:nvPicPr>
                  <pic:blipFill>
                    <a:blip r:embed="rId20"/>
                    <a:stretch>
                      <a:fillRect/>
                    </a:stretch>
                  </pic:blipFill>
                  <pic:spPr>
                    <a:xfrm>
                      <a:off x="0" y="0"/>
                      <a:ext cx="5490210" cy="2668905"/>
                    </a:xfrm>
                    <a:prstGeom prst="rect">
                      <a:avLst/>
                    </a:prstGeom>
                    <a:noFill/>
                    <a:ln>
                      <a:noFill/>
                    </a:ln>
                  </pic:spPr>
                </pic:pic>
              </a:graphicData>
            </a:graphic>
          </wp:inline>
        </w:drawing>
      </w:r>
    </w:p>
    <w:p w14:paraId="715E8FB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9138BB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7DB50EF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68594D49">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5240" b="7620"/>
            <wp:docPr id="16" name="图片 11" descr="descript"/>
            <wp:cNvGraphicFramePr/>
            <a:graphic xmlns:a="http://schemas.openxmlformats.org/drawingml/2006/main">
              <a:graphicData uri="http://schemas.openxmlformats.org/drawingml/2006/picture">
                <pic:pic xmlns:pic="http://schemas.openxmlformats.org/drawingml/2006/picture">
                  <pic:nvPicPr>
                    <pic:cNvPr id="16" name="图片 11" descr="descript"/>
                    <pic:cNvPicPr/>
                  </pic:nvPicPr>
                  <pic:blipFill>
                    <a:blip r:embed="rId21"/>
                    <a:stretch>
                      <a:fillRect/>
                    </a:stretch>
                  </pic:blipFill>
                  <pic:spPr>
                    <a:xfrm>
                      <a:off x="0" y="0"/>
                      <a:ext cx="5490210" cy="1992630"/>
                    </a:xfrm>
                    <a:prstGeom prst="rect">
                      <a:avLst/>
                    </a:prstGeom>
                    <a:noFill/>
                    <a:ln>
                      <a:noFill/>
                    </a:ln>
                  </pic:spPr>
                </pic:pic>
              </a:graphicData>
            </a:graphic>
          </wp:inline>
        </w:drawing>
      </w:r>
    </w:p>
    <w:p w14:paraId="3B01A9B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1FCAAA1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673F7D9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D1CD46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2A97926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3761060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31C93048">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5240" b="8255"/>
            <wp:docPr id="10" name="图片 12" descr="descript"/>
            <wp:cNvGraphicFramePr/>
            <a:graphic xmlns:a="http://schemas.openxmlformats.org/drawingml/2006/main">
              <a:graphicData uri="http://schemas.openxmlformats.org/drawingml/2006/picture">
                <pic:pic xmlns:pic="http://schemas.openxmlformats.org/drawingml/2006/picture">
                  <pic:nvPicPr>
                    <pic:cNvPr id="10" name="图片 12" descr="descript"/>
                    <pic:cNvPicPr/>
                  </pic:nvPicPr>
                  <pic:blipFill>
                    <a:blip r:embed="rId22"/>
                    <a:stretch>
                      <a:fillRect/>
                    </a:stretch>
                  </pic:blipFill>
                  <pic:spPr>
                    <a:xfrm>
                      <a:off x="0" y="0"/>
                      <a:ext cx="5490210" cy="2544445"/>
                    </a:xfrm>
                    <a:prstGeom prst="rect">
                      <a:avLst/>
                    </a:prstGeom>
                    <a:noFill/>
                    <a:ln>
                      <a:noFill/>
                    </a:ln>
                  </pic:spPr>
                </pic:pic>
              </a:graphicData>
            </a:graphic>
          </wp:inline>
        </w:drawing>
      </w:r>
    </w:p>
    <w:p w14:paraId="295183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D06D05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DDD4C6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797DF4D4">
      <w:pPr>
        <w:pStyle w:val="9"/>
        <w:spacing w:line="360" w:lineRule="auto"/>
        <w:rPr>
          <w:rFonts w:hint="default" w:hAnsi="宋体"/>
          <w:lang w:val="en-US" w:eastAsia="zh-CN"/>
        </w:rPr>
      </w:pPr>
      <w:r>
        <w:drawing>
          <wp:inline distT="0" distB="0" distL="114300" distR="114300">
            <wp:extent cx="5760085" cy="1956435"/>
            <wp:effectExtent l="0" t="0" r="12065" b="5715"/>
            <wp:docPr id="18" name="图片 13" descr="descript"/>
            <wp:cNvGraphicFramePr/>
            <a:graphic xmlns:a="http://schemas.openxmlformats.org/drawingml/2006/main">
              <a:graphicData uri="http://schemas.openxmlformats.org/drawingml/2006/picture">
                <pic:pic xmlns:pic="http://schemas.openxmlformats.org/drawingml/2006/picture">
                  <pic:nvPicPr>
                    <pic:cNvPr id="18" name="图片 13" descr="descript"/>
                    <pic:cNvPicPr/>
                  </pic:nvPicPr>
                  <pic:blipFill>
                    <a:blip r:embed="rId23"/>
                    <a:stretch>
                      <a:fillRect/>
                    </a:stretch>
                  </pic:blipFill>
                  <pic:spPr>
                    <a:xfrm>
                      <a:off x="0" y="0"/>
                      <a:ext cx="5760085" cy="1956435"/>
                    </a:xfrm>
                    <a:prstGeom prst="rect">
                      <a:avLst/>
                    </a:prstGeom>
                    <a:noFill/>
                    <a:ln>
                      <a:noFill/>
                    </a:ln>
                  </pic:spPr>
                </pic:pic>
              </a:graphicData>
            </a:graphic>
          </wp:inline>
        </w:drawing>
      </w:r>
    </w:p>
    <w:sectPr>
      <w:headerReference r:id="rId8" w:type="default"/>
      <w:footerReference r:id="rId9"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D063EDE-D68F-463E-8F72-0521EE450C7C}"/>
  </w:font>
  <w:font w:name="黑体">
    <w:panose1 w:val="02010609060101010101"/>
    <w:charset w:val="86"/>
    <w:family w:val="auto"/>
    <w:pitch w:val="default"/>
    <w:sig w:usb0="800002BF" w:usb1="38CF7CFA" w:usb2="00000016" w:usb3="00000000" w:csb0="00040001" w:csb1="00000000"/>
    <w:embedRegular r:id="rId2" w:fontKey="{09BF4A5C-D39E-4B9B-B71B-EDEF03763811}"/>
  </w:font>
  <w:font w:name="Courier New">
    <w:panose1 w:val="02070309020205020404"/>
    <w:charset w:val="01"/>
    <w:family w:val="modern"/>
    <w:pitch w:val="default"/>
    <w:sig w:usb0="E0002EFF" w:usb1="C0007843" w:usb2="00000009" w:usb3="00000000" w:csb0="400001FF" w:csb1="FFFF0000"/>
    <w:embedRegular r:id="rId3" w:fontKey="{D31D3F70-5929-49B3-8AE7-F82C3DA53F6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BABA773D-4CE7-4E35-9464-F0ADE499DA2D}"/>
  </w:font>
  <w:font w:name="微软雅黑">
    <w:panose1 w:val="020B0503020204020204"/>
    <w:charset w:val="86"/>
    <w:family w:val="swiss"/>
    <w:pitch w:val="default"/>
    <w:sig w:usb0="80000287" w:usb1="2ACF3C50" w:usb2="00000016" w:usb3="00000000" w:csb0="0004001F" w:csb1="00000000"/>
    <w:embedRegular r:id="rId5" w:fontKey="{83767882-8F7A-4CB0-94BD-A7BC63F9F9D5}"/>
  </w:font>
  <w:font w:name="楷体_GB2312">
    <w:altName w:val="楷体"/>
    <w:panose1 w:val="02010609030101010101"/>
    <w:charset w:val="86"/>
    <w:family w:val="modern"/>
    <w:pitch w:val="default"/>
    <w:sig w:usb0="00000000" w:usb1="00000000" w:usb2="00000000" w:usb3="00000000" w:csb0="00040000" w:csb1="00000000"/>
    <w:embedRegular r:id="rId6" w:fontKey="{ED18C2DB-94DB-4CD8-B1C9-5C7532C9D1F3}"/>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7" w:fontKey="{9BEA1047-82C1-4A4B-A068-21B4C1F68D35}"/>
  </w:font>
  <w:font w:name="华文新魏">
    <w:panose1 w:val="02010800040101010101"/>
    <w:charset w:val="86"/>
    <w:family w:val="auto"/>
    <w:pitch w:val="default"/>
    <w:sig w:usb0="00000001" w:usb1="080F0000" w:usb2="00000000" w:usb3="00000000" w:csb0="00040000" w:csb1="00000000"/>
    <w:embedRegular r:id="rId8" w:fontKey="{C6616CBA-B1B7-4E03-A7FF-E8B3687FF3D9}"/>
  </w:font>
  <w:font w:name="TimesNewRomanPSMT">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embedRegular r:id="rId9" w:fontKey="{31EB4E94-F1BB-4A70-ADE4-A88AA1AD5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72BC8">
    <w:pPr>
      <w:pStyle w:val="10"/>
      <w:framePr w:wrap="around" w:vAnchor="text" w:hAnchor="margin" w:xAlign="center" w:y="1"/>
      <w:rPr>
        <w:rStyle w:val="18"/>
      </w:rPr>
    </w:pPr>
    <w:r>
      <w:fldChar w:fldCharType="begin"/>
    </w:r>
    <w:r>
      <w:rPr>
        <w:rStyle w:val="18"/>
      </w:rPr>
      <w:instrText xml:space="preserve">PAGE  </w:instrText>
    </w:r>
    <w:r>
      <w:fldChar w:fldCharType="end"/>
    </w:r>
  </w:p>
  <w:p w14:paraId="5D73E27A">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70969">
    <w:pPr>
      <w:pStyle w:val="10"/>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13F9D73">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C48F774"/>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cVc0BAACo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qyUllhl88fPPH+dff86/v5Mq&#10;6dN7qLHs0WNhHD64AbdmjgMGE+1BBpO+SIhgHtU9XdQVQyQ8XVpVq1WJKY652UH84um6DxA/CmdI&#10;Mhoa8Pmyqux4D3EsnUtSN+vulNb5CbX9J4CYY0TkHZhuJybjxMmKw26Y6O1ce0J2Pe5BQy2uPSX6&#10;k0WZ08rMRpiN3WwcfFD7Lu9U6g7+9hBxpDxp6jDCIsPk4ANmrtOypQ157ueqpx9s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7Q/cVc0BAACoAwAADgAAAAAAAAABACAAAAAeAQAAZHJzL2Uy&#10;b0RvYy54bWxQSwUGAAAAAAYABgBZAQAAXQUAAAAA&#10;">
              <v:fill on="f" focussize="0,0"/>
              <v:stroke on="f"/>
              <v:imagedata o:title=""/>
              <o:lock v:ext="edit" aspectratio="f"/>
              <v:textbox inset="0mm,0mm,0mm,0mm" style="mso-fit-shape-to-text:t;">
                <w:txbxContent>
                  <w:p w14:paraId="013F9D73">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C48F774"/>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88F3B">
    <w:pPr>
      <w:pStyle w:val="1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518677">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HCt1skBAACa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VlFhmcOLnnz/Ov/6cf38n&#10;VepP76HGtEePiXH44AbcmtkP6EyyBxlM+qIggnHs7unSXTFEwtOjVbValRjiGJsviF88PfcB4kfh&#10;DElGQwOOL3eVHe8hjqlzSqpm3Z3SOo9Q238ciJk8ReI+ckxWHHbDJGjn2hPq6XHyDbW46JToTxYb&#10;m5ZkNsJs7Gbj4IPad0htmXmBvz1EJJG5pQoj7FQYR5bVTeuVduL5PWc9/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cK3WyQEAAJoDAAAOAAAAAAAAAAEAIAAAAB4BAABkcnMvZTJvRG9j&#10;LnhtbFBLBQYAAAAABgAGAFkBAABZBQAAAAA=&#10;">
              <v:fill on="f" focussize="0,0"/>
              <v:stroke on="f"/>
              <v:imagedata o:title=""/>
              <o:lock v:ext="edit" aspectratio="f"/>
              <v:textbox inset="0mm,0mm,0mm,0mm" style="mso-fit-shape-to-text:t;">
                <w:txbxContent>
                  <w:p w14:paraId="2A518677">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C3CDA">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1F8FA4">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552CED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14:paraId="121F8FA4">
                    <w:pPr>
                      <w:pStyle w:val="10"/>
                      <w:rPr>
                        <w:rStyle w:val="18"/>
                      </w:rPr>
                    </w:pPr>
                    <w:r>
                      <w:fldChar w:fldCharType="begin"/>
                    </w:r>
                    <w:r>
                      <w:rPr>
                        <w:rStyle w:val="18"/>
                      </w:rPr>
                      <w:instrText xml:space="preserve">PAGE  </w:instrText>
                    </w:r>
                    <w:r>
                      <w:fldChar w:fldCharType="separate"/>
                    </w:r>
                    <w:r>
                      <w:rPr>
                        <w:rStyle w:val="18"/>
                      </w:rPr>
                      <w:t>- 3 -</w:t>
                    </w:r>
                    <w:r>
                      <w:fldChar w:fldCharType="end"/>
                    </w:r>
                  </w:p>
                  <w:p w14:paraId="7552CED8"/>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80B4F">
    <w:pPr>
      <w:pStyle w:val="11"/>
      <w:rPr>
        <w:rFonts w:hint="eastAsia"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2DDD">
    <w:pPr>
      <w:pStyle w:val="11"/>
    </w:pPr>
  </w:p>
  <w:p w14:paraId="0D8662BB">
    <w:pPr>
      <w:pStyle w:val="11"/>
    </w:pPr>
    <w:r>
      <w:drawing>
        <wp:anchor distT="0" distB="0" distL="114300" distR="114300" simplePos="0" relativeHeight="251662336" behindDoc="0" locked="0" layoutInCell="1" allowOverlap="1">
          <wp:simplePos x="0" y="0"/>
          <wp:positionH relativeFrom="column">
            <wp:posOffset>-525145</wp:posOffset>
          </wp:positionH>
          <wp:positionV relativeFrom="paragraph">
            <wp:posOffset>-256540</wp:posOffset>
          </wp:positionV>
          <wp:extent cx="1257300" cy="398145"/>
          <wp:effectExtent l="0" t="0" r="7620" b="13335"/>
          <wp:wrapSquare wrapText="bothSides"/>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A378">
    <w:pPr>
      <w:pStyle w:val="11"/>
      <w:rPr>
        <w:rFonts w:hint="eastAsia" w:ascii="楷体_GB2312" w:eastAsia="楷体_GB2312"/>
        <w:sz w:val="28"/>
        <w:szCs w:val="28"/>
      </w:rPr>
    </w:pPr>
    <w:r>
      <w:drawing>
        <wp:anchor distT="0" distB="0" distL="114300" distR="114300" simplePos="0" relativeHeight="251661312"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E09D4"/>
    <w:multiLevelType w:val="singleLevel"/>
    <w:tmpl w:val="9A9E09D4"/>
    <w:lvl w:ilvl="0" w:tentative="0">
      <w:start w:val="1"/>
      <w:numFmt w:val="decimal"/>
      <w:suff w:val="nothing"/>
      <w:lvlText w:val="%1、"/>
      <w:lvlJc w:val="left"/>
    </w:lvl>
  </w:abstractNum>
  <w:abstractNum w:abstractNumId="1">
    <w:nsid w:val="BABFF03B"/>
    <w:multiLevelType w:val="singleLevel"/>
    <w:tmpl w:val="BABFF03B"/>
    <w:lvl w:ilvl="0" w:tentative="0">
      <w:start w:val="6"/>
      <w:numFmt w:val="chineseCounting"/>
      <w:suff w:val="nothing"/>
      <w:lvlText w:val="%1、"/>
      <w:lvlJc w:val="left"/>
      <w:rPr>
        <w:rFonts w:hint="eastAsia"/>
      </w:rPr>
    </w:lvl>
  </w:abstractNum>
  <w:abstractNum w:abstractNumId="2">
    <w:nsid w:val="D8D37D3D"/>
    <w:multiLevelType w:val="singleLevel"/>
    <w:tmpl w:val="D8D37D3D"/>
    <w:lvl w:ilvl="0" w:tentative="0">
      <w:start w:val="1"/>
      <w:numFmt w:val="chineseCounting"/>
      <w:suff w:val="space"/>
      <w:lvlText w:val="第%1章"/>
      <w:lvlJc w:val="left"/>
      <w:rPr>
        <w:rFonts w:hint="eastAsia"/>
      </w:rPr>
    </w:lvl>
  </w:abstractNum>
  <w:abstractNum w:abstractNumId="3">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043371D8"/>
    <w:multiLevelType w:val="singleLevel"/>
    <w:tmpl w:val="043371D8"/>
    <w:lvl w:ilvl="0" w:tentative="0">
      <w:start w:val="2"/>
      <w:numFmt w:val="decimal"/>
      <w:suff w:val="nothing"/>
      <w:lvlText w:val="%1．"/>
      <w:lvlJc w:val="left"/>
    </w:lvl>
  </w:abstractNum>
  <w:abstractNum w:abstractNumId="5">
    <w:nsid w:val="15AD181D"/>
    <w:multiLevelType w:val="singleLevel"/>
    <w:tmpl w:val="15AD181D"/>
    <w:lvl w:ilvl="0" w:tentative="0">
      <w:start w:val="2"/>
      <w:numFmt w:val="decimal"/>
      <w:suff w:val="nothing"/>
      <w:lvlText w:val="%1、"/>
      <w:lvlJc w:val="left"/>
    </w:lvl>
  </w:abstractNum>
  <w:abstractNum w:abstractNumId="6">
    <w:nsid w:val="1D65D9AD"/>
    <w:multiLevelType w:val="singleLevel"/>
    <w:tmpl w:val="1D65D9AD"/>
    <w:lvl w:ilvl="0" w:tentative="0">
      <w:start w:val="1"/>
      <w:numFmt w:val="decimal"/>
      <w:suff w:val="nothing"/>
      <w:lvlText w:val="%1、"/>
      <w:lvlJc w:val="left"/>
    </w:lvl>
  </w:abstractNum>
  <w:abstractNum w:abstractNumId="7">
    <w:nsid w:val="656A6EAE"/>
    <w:multiLevelType w:val="multilevel"/>
    <w:tmpl w:val="656A6EAE"/>
    <w:lvl w:ilvl="0" w:tentative="0">
      <w:start w:val="1"/>
      <w:numFmt w:val="chineseCountingThousand"/>
      <w:pStyle w:val="2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2"/>
  </w:num>
  <w:num w:numId="3">
    <w:abstractNumId w:val="0"/>
  </w:num>
  <w:num w:numId="4">
    <w:abstractNumId w:val="1"/>
  </w:num>
  <w:num w:numId="5">
    <w:abstractNumId w:val="3"/>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363C01"/>
    <w:rsid w:val="00307A95"/>
    <w:rsid w:val="018A1427"/>
    <w:rsid w:val="02251150"/>
    <w:rsid w:val="02671768"/>
    <w:rsid w:val="02B524D4"/>
    <w:rsid w:val="030671D3"/>
    <w:rsid w:val="032B6C3A"/>
    <w:rsid w:val="03897016"/>
    <w:rsid w:val="03C055D4"/>
    <w:rsid w:val="04134860"/>
    <w:rsid w:val="041F054D"/>
    <w:rsid w:val="043D6C25"/>
    <w:rsid w:val="047B14FB"/>
    <w:rsid w:val="04874344"/>
    <w:rsid w:val="04DF7CDC"/>
    <w:rsid w:val="05036D54"/>
    <w:rsid w:val="050A4C6D"/>
    <w:rsid w:val="05281683"/>
    <w:rsid w:val="0532605E"/>
    <w:rsid w:val="05940AC6"/>
    <w:rsid w:val="059E7B97"/>
    <w:rsid w:val="05F96B7B"/>
    <w:rsid w:val="06021ED4"/>
    <w:rsid w:val="0607422C"/>
    <w:rsid w:val="06764670"/>
    <w:rsid w:val="06B31420"/>
    <w:rsid w:val="07901276"/>
    <w:rsid w:val="08687FE8"/>
    <w:rsid w:val="09104908"/>
    <w:rsid w:val="097035F9"/>
    <w:rsid w:val="09B07E99"/>
    <w:rsid w:val="0A6F1264"/>
    <w:rsid w:val="0AA96DC2"/>
    <w:rsid w:val="0B70168E"/>
    <w:rsid w:val="0B85745E"/>
    <w:rsid w:val="0B966410"/>
    <w:rsid w:val="0BDE0CED"/>
    <w:rsid w:val="0BFC1173"/>
    <w:rsid w:val="0C234952"/>
    <w:rsid w:val="0C6D3E1F"/>
    <w:rsid w:val="0D0E115E"/>
    <w:rsid w:val="0D474670"/>
    <w:rsid w:val="0D605732"/>
    <w:rsid w:val="0D676AC1"/>
    <w:rsid w:val="0D815DD4"/>
    <w:rsid w:val="0E323572"/>
    <w:rsid w:val="0EFF16A6"/>
    <w:rsid w:val="0F0D5446"/>
    <w:rsid w:val="0F29227F"/>
    <w:rsid w:val="0F386966"/>
    <w:rsid w:val="0F3A26DF"/>
    <w:rsid w:val="0FBD0C1A"/>
    <w:rsid w:val="0FF3288D"/>
    <w:rsid w:val="10233173"/>
    <w:rsid w:val="104A4BA3"/>
    <w:rsid w:val="10523A58"/>
    <w:rsid w:val="10F13271"/>
    <w:rsid w:val="11376EDB"/>
    <w:rsid w:val="11457119"/>
    <w:rsid w:val="114E421F"/>
    <w:rsid w:val="11537A88"/>
    <w:rsid w:val="1191235E"/>
    <w:rsid w:val="11966404"/>
    <w:rsid w:val="120622C2"/>
    <w:rsid w:val="121A2353"/>
    <w:rsid w:val="12363C01"/>
    <w:rsid w:val="12413D84"/>
    <w:rsid w:val="12527D3F"/>
    <w:rsid w:val="126C28B6"/>
    <w:rsid w:val="12922832"/>
    <w:rsid w:val="12B427A8"/>
    <w:rsid w:val="12E148DA"/>
    <w:rsid w:val="134C29E0"/>
    <w:rsid w:val="14445DAD"/>
    <w:rsid w:val="14BA7E1E"/>
    <w:rsid w:val="14F41582"/>
    <w:rsid w:val="15284D87"/>
    <w:rsid w:val="15323E58"/>
    <w:rsid w:val="1659029E"/>
    <w:rsid w:val="16895CFA"/>
    <w:rsid w:val="16E3365C"/>
    <w:rsid w:val="176D1177"/>
    <w:rsid w:val="17AC1CA0"/>
    <w:rsid w:val="180513B0"/>
    <w:rsid w:val="183028D1"/>
    <w:rsid w:val="18414ADE"/>
    <w:rsid w:val="18860743"/>
    <w:rsid w:val="192F4936"/>
    <w:rsid w:val="19340696"/>
    <w:rsid w:val="19CF1C75"/>
    <w:rsid w:val="19EB584A"/>
    <w:rsid w:val="19EB608A"/>
    <w:rsid w:val="1A085187"/>
    <w:rsid w:val="1A0A0CAA"/>
    <w:rsid w:val="1A0F29BA"/>
    <w:rsid w:val="1A3A17E5"/>
    <w:rsid w:val="1A4A57A0"/>
    <w:rsid w:val="1B7C7BDB"/>
    <w:rsid w:val="1C7F5BD5"/>
    <w:rsid w:val="1CF60386"/>
    <w:rsid w:val="1D28001A"/>
    <w:rsid w:val="1D532BBD"/>
    <w:rsid w:val="1D5C3938"/>
    <w:rsid w:val="1D862F93"/>
    <w:rsid w:val="1E34479D"/>
    <w:rsid w:val="1E537319"/>
    <w:rsid w:val="1EAC07D7"/>
    <w:rsid w:val="1EB37DB8"/>
    <w:rsid w:val="1F460C2C"/>
    <w:rsid w:val="1FBA5176"/>
    <w:rsid w:val="200B777F"/>
    <w:rsid w:val="2020322B"/>
    <w:rsid w:val="20F6042F"/>
    <w:rsid w:val="217F21D3"/>
    <w:rsid w:val="21F52495"/>
    <w:rsid w:val="22963C78"/>
    <w:rsid w:val="22A15F6F"/>
    <w:rsid w:val="22BD4007"/>
    <w:rsid w:val="239314AB"/>
    <w:rsid w:val="23953F30"/>
    <w:rsid w:val="23A216ED"/>
    <w:rsid w:val="24AF1021"/>
    <w:rsid w:val="25050C41"/>
    <w:rsid w:val="253B4663"/>
    <w:rsid w:val="255D282B"/>
    <w:rsid w:val="25E1520A"/>
    <w:rsid w:val="261455E0"/>
    <w:rsid w:val="263A491A"/>
    <w:rsid w:val="263B2C70"/>
    <w:rsid w:val="26C32B62"/>
    <w:rsid w:val="26D1527F"/>
    <w:rsid w:val="26D94133"/>
    <w:rsid w:val="26DB60FD"/>
    <w:rsid w:val="27182EAE"/>
    <w:rsid w:val="273852FE"/>
    <w:rsid w:val="27991E26"/>
    <w:rsid w:val="27FC43E7"/>
    <w:rsid w:val="28B704A4"/>
    <w:rsid w:val="28DE1ED5"/>
    <w:rsid w:val="290B6720"/>
    <w:rsid w:val="294F692F"/>
    <w:rsid w:val="298E7457"/>
    <w:rsid w:val="2A092F82"/>
    <w:rsid w:val="2B8B4429"/>
    <w:rsid w:val="2BE9306B"/>
    <w:rsid w:val="2BEA0B91"/>
    <w:rsid w:val="2BEE0681"/>
    <w:rsid w:val="2C2C2F57"/>
    <w:rsid w:val="2CFF066C"/>
    <w:rsid w:val="2D404F0C"/>
    <w:rsid w:val="2D940EA8"/>
    <w:rsid w:val="2DED6716"/>
    <w:rsid w:val="2E4B5422"/>
    <w:rsid w:val="2EFB0548"/>
    <w:rsid w:val="2FF81ACE"/>
    <w:rsid w:val="300761B5"/>
    <w:rsid w:val="30640F12"/>
    <w:rsid w:val="307C26FF"/>
    <w:rsid w:val="323B2146"/>
    <w:rsid w:val="326351F9"/>
    <w:rsid w:val="336631F3"/>
    <w:rsid w:val="33D3159C"/>
    <w:rsid w:val="33E10ACB"/>
    <w:rsid w:val="34727975"/>
    <w:rsid w:val="347D25A2"/>
    <w:rsid w:val="34F5482E"/>
    <w:rsid w:val="35CD1307"/>
    <w:rsid w:val="37E1109A"/>
    <w:rsid w:val="381551D6"/>
    <w:rsid w:val="38376F0C"/>
    <w:rsid w:val="38402264"/>
    <w:rsid w:val="38571D22"/>
    <w:rsid w:val="385C4BC4"/>
    <w:rsid w:val="38664899"/>
    <w:rsid w:val="38D1110E"/>
    <w:rsid w:val="3991089E"/>
    <w:rsid w:val="39AD3929"/>
    <w:rsid w:val="3A086DB2"/>
    <w:rsid w:val="3B1B0D67"/>
    <w:rsid w:val="3BA50630"/>
    <w:rsid w:val="3BAE3989"/>
    <w:rsid w:val="3C834E15"/>
    <w:rsid w:val="3CAB143F"/>
    <w:rsid w:val="3CE37662"/>
    <w:rsid w:val="3D624A2B"/>
    <w:rsid w:val="3D817072"/>
    <w:rsid w:val="3DD65D2E"/>
    <w:rsid w:val="3E012496"/>
    <w:rsid w:val="3E330175"/>
    <w:rsid w:val="3E3F05E1"/>
    <w:rsid w:val="3E7F33BB"/>
    <w:rsid w:val="3E970704"/>
    <w:rsid w:val="3F134431"/>
    <w:rsid w:val="3F4C7741"/>
    <w:rsid w:val="3F626F64"/>
    <w:rsid w:val="3F8C5D8F"/>
    <w:rsid w:val="3F93711E"/>
    <w:rsid w:val="3FCC0881"/>
    <w:rsid w:val="3FFA53EF"/>
    <w:rsid w:val="407E7DCE"/>
    <w:rsid w:val="4090365D"/>
    <w:rsid w:val="40F409AC"/>
    <w:rsid w:val="420E33D3"/>
    <w:rsid w:val="42144B18"/>
    <w:rsid w:val="42B60B65"/>
    <w:rsid w:val="42E67FA1"/>
    <w:rsid w:val="441445A5"/>
    <w:rsid w:val="44AE6655"/>
    <w:rsid w:val="44F248E6"/>
    <w:rsid w:val="45760E21"/>
    <w:rsid w:val="45E33B18"/>
    <w:rsid w:val="465A12E5"/>
    <w:rsid w:val="469043B7"/>
    <w:rsid w:val="47D604EF"/>
    <w:rsid w:val="481B4154"/>
    <w:rsid w:val="485D651B"/>
    <w:rsid w:val="48BD520B"/>
    <w:rsid w:val="49025314"/>
    <w:rsid w:val="49247038"/>
    <w:rsid w:val="493556E9"/>
    <w:rsid w:val="4A965D14"/>
    <w:rsid w:val="4A995804"/>
    <w:rsid w:val="4AB97C54"/>
    <w:rsid w:val="4AE253FD"/>
    <w:rsid w:val="4B094738"/>
    <w:rsid w:val="4B0A7451"/>
    <w:rsid w:val="4B7818BD"/>
    <w:rsid w:val="4BDE5BC4"/>
    <w:rsid w:val="4C0373D9"/>
    <w:rsid w:val="4C123AC0"/>
    <w:rsid w:val="4C3E48B5"/>
    <w:rsid w:val="4CC669AF"/>
    <w:rsid w:val="4D021D86"/>
    <w:rsid w:val="4D3B0DF4"/>
    <w:rsid w:val="4D9329DF"/>
    <w:rsid w:val="4DA30E74"/>
    <w:rsid w:val="4E2D698F"/>
    <w:rsid w:val="4E964534"/>
    <w:rsid w:val="4E9B7D9D"/>
    <w:rsid w:val="4ED43D8A"/>
    <w:rsid w:val="4EED611E"/>
    <w:rsid w:val="4FE87012"/>
    <w:rsid w:val="5006393C"/>
    <w:rsid w:val="502B6EFE"/>
    <w:rsid w:val="502D0EC8"/>
    <w:rsid w:val="50AB003F"/>
    <w:rsid w:val="50FC442C"/>
    <w:rsid w:val="51705511"/>
    <w:rsid w:val="517B5C63"/>
    <w:rsid w:val="51A0391C"/>
    <w:rsid w:val="51D35A9F"/>
    <w:rsid w:val="52493BA6"/>
    <w:rsid w:val="52911BE2"/>
    <w:rsid w:val="52A770BC"/>
    <w:rsid w:val="53656BCB"/>
    <w:rsid w:val="53A414A2"/>
    <w:rsid w:val="53BD6A07"/>
    <w:rsid w:val="5474356A"/>
    <w:rsid w:val="548B440F"/>
    <w:rsid w:val="54D45DB6"/>
    <w:rsid w:val="54DC2EBD"/>
    <w:rsid w:val="54EB0FDD"/>
    <w:rsid w:val="557B4484"/>
    <w:rsid w:val="56156687"/>
    <w:rsid w:val="56BA722E"/>
    <w:rsid w:val="56D54068"/>
    <w:rsid w:val="57521214"/>
    <w:rsid w:val="57F846F4"/>
    <w:rsid w:val="58DF1A4B"/>
    <w:rsid w:val="59012EF2"/>
    <w:rsid w:val="59260BAB"/>
    <w:rsid w:val="59594ADC"/>
    <w:rsid w:val="596B480F"/>
    <w:rsid w:val="5979517E"/>
    <w:rsid w:val="59BE0216"/>
    <w:rsid w:val="5A1D0200"/>
    <w:rsid w:val="5A33357F"/>
    <w:rsid w:val="5ADD173D"/>
    <w:rsid w:val="5ADF1011"/>
    <w:rsid w:val="5BA069F2"/>
    <w:rsid w:val="5C294C3A"/>
    <w:rsid w:val="5CED3EB9"/>
    <w:rsid w:val="5D4810F0"/>
    <w:rsid w:val="5D7540F4"/>
    <w:rsid w:val="5D9562FF"/>
    <w:rsid w:val="5D9A6084"/>
    <w:rsid w:val="5DD72473"/>
    <w:rsid w:val="5E2733FB"/>
    <w:rsid w:val="5E3E0745"/>
    <w:rsid w:val="5F1A6ABC"/>
    <w:rsid w:val="5F465B03"/>
    <w:rsid w:val="5F5521EA"/>
    <w:rsid w:val="5FF13CC0"/>
    <w:rsid w:val="601C6864"/>
    <w:rsid w:val="60F01468"/>
    <w:rsid w:val="61047A23"/>
    <w:rsid w:val="61AC3667"/>
    <w:rsid w:val="631D6B7A"/>
    <w:rsid w:val="63926B24"/>
    <w:rsid w:val="639826A5"/>
    <w:rsid w:val="63B75221"/>
    <w:rsid w:val="63DC4C88"/>
    <w:rsid w:val="63FA510E"/>
    <w:rsid w:val="642D7291"/>
    <w:rsid w:val="64EC2CA8"/>
    <w:rsid w:val="65053D6A"/>
    <w:rsid w:val="652E506F"/>
    <w:rsid w:val="65BC08CD"/>
    <w:rsid w:val="6750233B"/>
    <w:rsid w:val="67672ABA"/>
    <w:rsid w:val="68064081"/>
    <w:rsid w:val="6850354E"/>
    <w:rsid w:val="68D93CAA"/>
    <w:rsid w:val="690E4711"/>
    <w:rsid w:val="695928D6"/>
    <w:rsid w:val="699B4C9D"/>
    <w:rsid w:val="69A43B52"/>
    <w:rsid w:val="69FF522C"/>
    <w:rsid w:val="6A3D5D54"/>
    <w:rsid w:val="6A6652AB"/>
    <w:rsid w:val="6AD466B8"/>
    <w:rsid w:val="6ADC3625"/>
    <w:rsid w:val="6AE52674"/>
    <w:rsid w:val="6AF503DD"/>
    <w:rsid w:val="6B480E55"/>
    <w:rsid w:val="6B5415A7"/>
    <w:rsid w:val="6C060AF4"/>
    <w:rsid w:val="6C164AAF"/>
    <w:rsid w:val="6C2E783A"/>
    <w:rsid w:val="6C88775B"/>
    <w:rsid w:val="6CD26C28"/>
    <w:rsid w:val="6D7F4976"/>
    <w:rsid w:val="6DC04CD2"/>
    <w:rsid w:val="6E153270"/>
    <w:rsid w:val="6E7D0E15"/>
    <w:rsid w:val="6E91666F"/>
    <w:rsid w:val="6F241291"/>
    <w:rsid w:val="6FC22F83"/>
    <w:rsid w:val="6FD44A65"/>
    <w:rsid w:val="707A385E"/>
    <w:rsid w:val="708C3591"/>
    <w:rsid w:val="70A97C9F"/>
    <w:rsid w:val="70B0008D"/>
    <w:rsid w:val="70B07280"/>
    <w:rsid w:val="70BB0F08"/>
    <w:rsid w:val="711710AD"/>
    <w:rsid w:val="71451CD7"/>
    <w:rsid w:val="71D90A58"/>
    <w:rsid w:val="726E73F3"/>
    <w:rsid w:val="728156D5"/>
    <w:rsid w:val="7298621E"/>
    <w:rsid w:val="73465C7A"/>
    <w:rsid w:val="73591E51"/>
    <w:rsid w:val="738D5656"/>
    <w:rsid w:val="73C372CA"/>
    <w:rsid w:val="73CF5C6F"/>
    <w:rsid w:val="742B59BE"/>
    <w:rsid w:val="747E1443"/>
    <w:rsid w:val="74DB0643"/>
    <w:rsid w:val="75A31161"/>
    <w:rsid w:val="75B3511C"/>
    <w:rsid w:val="75D25EEA"/>
    <w:rsid w:val="76037E52"/>
    <w:rsid w:val="7671300D"/>
    <w:rsid w:val="76937428"/>
    <w:rsid w:val="76D776D9"/>
    <w:rsid w:val="772C5186"/>
    <w:rsid w:val="779571D0"/>
    <w:rsid w:val="77A57835"/>
    <w:rsid w:val="77C35AEB"/>
    <w:rsid w:val="780954C8"/>
    <w:rsid w:val="785C7CED"/>
    <w:rsid w:val="78AD22F7"/>
    <w:rsid w:val="78DB5FB3"/>
    <w:rsid w:val="79A13C0A"/>
    <w:rsid w:val="79BF22E2"/>
    <w:rsid w:val="79C21DD2"/>
    <w:rsid w:val="7A140880"/>
    <w:rsid w:val="7A6510DB"/>
    <w:rsid w:val="7A903C7E"/>
    <w:rsid w:val="7AF67F85"/>
    <w:rsid w:val="7B62386D"/>
    <w:rsid w:val="7B6A2721"/>
    <w:rsid w:val="7B767318"/>
    <w:rsid w:val="7BB10350"/>
    <w:rsid w:val="7C4A2635"/>
    <w:rsid w:val="7C8415C1"/>
    <w:rsid w:val="7CA67789"/>
    <w:rsid w:val="7CD95DB0"/>
    <w:rsid w:val="7CF404F4"/>
    <w:rsid w:val="7D8201F6"/>
    <w:rsid w:val="7DDC7906"/>
    <w:rsid w:val="7E3314F0"/>
    <w:rsid w:val="7F0013D2"/>
    <w:rsid w:val="7FAF4BA7"/>
    <w:rsid w:val="7FCC7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index 6"/>
    <w:basedOn w:val="1"/>
    <w:next w:val="1"/>
    <w:qFormat/>
    <w:uiPriority w:val="0"/>
    <w:pPr>
      <w:ind w:left="1000" w:leftChars="1000"/>
    </w:pPr>
  </w:style>
  <w:style w:type="paragraph" w:styleId="7">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8">
    <w:name w:val="Body Text"/>
    <w:basedOn w:val="1"/>
    <w:qFormat/>
    <w:uiPriority w:val="0"/>
    <w:rPr>
      <w:rFonts w:ascii="仿宋_GB2312" w:eastAsia="仿宋_GB2312"/>
      <w:sz w:val="32"/>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semiHidden/>
    <w:qFormat/>
    <w:uiPriority w:val="99"/>
    <w:rPr>
      <w:rFonts w:cs="Times New Roman"/>
      <w:color w:val="1F4F88"/>
      <w:u w:val="none"/>
    </w:rPr>
  </w:style>
  <w:style w:type="paragraph" w:customStyle="1" w:styleId="20">
    <w:name w:val="标书三级标题"/>
    <w:basedOn w:val="4"/>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paragraph" w:customStyle="1" w:styleId="21">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paragraph" w:customStyle="1" w:styleId="22">
    <w:name w:val="标书正文"/>
    <w:basedOn w:val="9"/>
    <w:qFormat/>
    <w:uiPriority w:val="9"/>
    <w:pPr>
      <w:spacing w:line="360" w:lineRule="auto"/>
      <w:jc w:val="left"/>
    </w:pPr>
  </w:style>
  <w:style w:type="paragraph" w:customStyle="1" w:styleId="23">
    <w:name w:val="一级标题"/>
    <w:basedOn w:val="9"/>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12369</Words>
  <Characters>13678</Characters>
  <Lines>0</Lines>
  <Paragraphs>0</Paragraphs>
  <TotalTime>0</TotalTime>
  <ScaleCrop>false</ScaleCrop>
  <LinksUpToDate>false</LinksUpToDate>
  <CharactersWithSpaces>13920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2025-11-07T02:31:00Z</dcterms:created>
  <dc:creator>　                      </dc:creator>
  <cp:lastModifiedBy>㎡</cp:lastModifiedBy>
  <dcterms:modified xsi:type="dcterms:W3CDTF">2025-12-11T00:29:07Z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3A088741E4BC4268B2A79D41D7F54207_13</vt:lpwstr>
  </property>
  <property fmtid="{D5CDD505-2E9C-101B-9397-08002B2CF9AE}" pid="4" name="KSOTemplateDocerSaveRecord">
    <vt:lpwstr>eyJoZGlkIjoiZWQxZjNmOWI4MjYxMjE3YWYxMWY4NzIzOWZkNTY1ZGEiLCJ1c2VySWQiOiI4MjkwNzMwMzkifQ==</vt:lpwstr>
  </property>
</Properties>
</file>