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32E79028">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bookmarkStart w:id="0" w:name="_Toc15310"/>
      <w:bookmarkStart w:id="1" w:name="_Toc10987"/>
    </w:p>
    <w:p w14:paraId="1C507B11">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p>
    <w:p w14:paraId="009EA4D6">
      <w:pPr>
        <w:autoSpaceDE w:val="0"/>
        <w:autoSpaceDN w:val="0"/>
        <w:adjustRightInd w:val="0"/>
        <w:snapToGrid w:val="0"/>
        <w:spacing w:line="360" w:lineRule="auto"/>
        <w:ind w:firstLine="256" w:firstLineChars="49"/>
        <w:jc w:val="center"/>
        <w:rPr>
          <w:rFonts w:hint="default" w:asciiTheme="minorEastAsia" w:hAnsiTheme="minorEastAsia" w:eastAsiaTheme="minorEastAsia" w:cstheme="minorEastAsia"/>
          <w:b/>
          <w:sz w:val="52"/>
          <w:szCs w:val="52"/>
          <w:highlight w:val="yellow"/>
          <w:lang w:val="en-US"/>
        </w:rPr>
      </w:pPr>
      <w:r>
        <w:rPr>
          <w:rFonts w:hint="eastAsia" w:asciiTheme="minorEastAsia" w:hAnsiTheme="minorEastAsia" w:eastAsiaTheme="minorEastAsia" w:cstheme="minorEastAsia"/>
          <w:b/>
          <w:sz w:val="52"/>
          <w:szCs w:val="52"/>
          <w:lang w:val="en-US" w:eastAsia="zh-CN"/>
        </w:rPr>
        <w:t>中国重汽集团豪沃客车园区消防泵房维修项目</w:t>
      </w:r>
    </w:p>
    <w:p w14:paraId="1511E7B3">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14:paraId="2DE21900">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14:paraId="6CB511C3">
      <w:pPr>
        <w:autoSpaceDE w:val="0"/>
        <w:autoSpaceDN w:val="0"/>
        <w:adjustRightInd w:val="0"/>
        <w:snapToGrid w:val="0"/>
        <w:spacing w:line="360" w:lineRule="auto"/>
        <w:ind w:firstLine="354" w:firstLineChars="49"/>
        <w:jc w:val="center"/>
        <w:rPr>
          <w:rFonts w:hint="eastAsia" w:asciiTheme="minorEastAsia" w:hAnsiTheme="minorEastAsia" w:eastAsiaTheme="minorEastAsia" w:cstheme="minorEastAsia"/>
          <w:b/>
          <w:w w:val="99"/>
          <w:sz w:val="30"/>
          <w:szCs w:val="30"/>
        </w:rPr>
      </w:pPr>
      <w:r>
        <w:rPr>
          <w:rFonts w:hint="eastAsia" w:asciiTheme="minorEastAsia" w:hAnsiTheme="minorEastAsia" w:eastAsiaTheme="minorEastAsia" w:cstheme="minorEastAsia"/>
          <w:b/>
          <w:sz w:val="72"/>
          <w:szCs w:val="72"/>
        </w:rPr>
        <w:t>招　标　文　件</w:t>
      </w:r>
      <w:r>
        <w:rPr>
          <w:rFonts w:hint="eastAsia" w:asciiTheme="minorEastAsia" w:hAnsiTheme="minorEastAsia" w:eastAsiaTheme="minorEastAsia" w:cstheme="minorEastAsia"/>
          <w:b/>
          <w:spacing w:val="-20"/>
          <w:sz w:val="28"/>
          <w:szCs w:val="28"/>
        </w:rPr>
        <w:t xml:space="preserve">                                       </w:t>
      </w:r>
    </w:p>
    <w:p w14:paraId="212D1AF2">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382C130E">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77C84754">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39E42F38">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2A0CDB6">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2B28BDA">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E6047A0">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4EB620A8">
      <w:pPr>
        <w:tabs>
          <w:tab w:val="left" w:pos="3885"/>
          <w:tab w:val="left" w:pos="6219"/>
        </w:tabs>
        <w:autoSpaceDE w:val="0"/>
        <w:autoSpaceDN w:val="0"/>
        <w:adjustRightInd w:val="0"/>
        <w:snapToGrid w:val="0"/>
        <w:spacing w:line="360" w:lineRule="auto"/>
        <w:ind w:firstLine="292" w:firstLineChars="98"/>
        <w:jc w:val="center"/>
        <w:rPr>
          <w:rFonts w:hint="default" w:asciiTheme="minorEastAsia" w:hAnsiTheme="minorEastAsia" w:eastAsiaTheme="minorEastAsia" w:cstheme="minorEastAsia"/>
          <w:b/>
          <w:sz w:val="30"/>
          <w:szCs w:val="30"/>
          <w:u w:val="single"/>
          <w:lang w:val="en-US" w:eastAsia="zh-CN"/>
        </w:rPr>
      </w:pPr>
      <w:r>
        <w:rPr>
          <w:rFonts w:hint="eastAsia" w:asciiTheme="minorEastAsia" w:hAnsiTheme="minorEastAsia" w:eastAsiaTheme="minorEastAsia" w:cstheme="minorEastAsia"/>
          <w:b/>
          <w:w w:val="99"/>
          <w:sz w:val="30"/>
          <w:szCs w:val="30"/>
        </w:rPr>
        <w:t>招   标  人：</w:t>
      </w:r>
      <w:r>
        <w:rPr>
          <w:rFonts w:hint="eastAsia" w:asciiTheme="minorEastAsia" w:hAnsiTheme="minorEastAsia" w:eastAsiaTheme="minorEastAsia" w:cstheme="minorEastAsia"/>
          <w:b/>
          <w:w w:val="99"/>
          <w:sz w:val="30"/>
          <w:szCs w:val="30"/>
          <w:lang w:val="en-US" w:eastAsia="zh-CN"/>
        </w:rPr>
        <w:t>中国重汽集团济南动力有限公司</w:t>
      </w:r>
    </w:p>
    <w:p w14:paraId="35DC8281">
      <w:pPr>
        <w:pStyle w:val="33"/>
        <w:tabs>
          <w:tab w:val="left" w:pos="900"/>
          <w:tab w:val="right" w:leader="dot" w:pos="9100"/>
        </w:tabs>
        <w:spacing w:line="360" w:lineRule="auto"/>
        <w:ind w:firstLine="600"/>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lang w:val="en-US" w:eastAsia="zh-CN"/>
        </w:rPr>
        <w:t>2025</w:t>
      </w:r>
      <w:r>
        <w:rPr>
          <w:rFonts w:hint="eastAsia" w:asciiTheme="minorEastAsia" w:hAnsiTheme="minorEastAsia" w:eastAsiaTheme="minorEastAsia" w:cstheme="minorEastAsia"/>
          <w:sz w:val="30"/>
          <w:szCs w:val="30"/>
        </w:rPr>
        <w:t>年</w:t>
      </w:r>
      <w:r>
        <w:rPr>
          <w:rFonts w:hint="eastAsia" w:asciiTheme="minorEastAsia" w:hAnsiTheme="minorEastAsia" w:eastAsiaTheme="minorEastAsia" w:cstheme="minorEastAsia"/>
          <w:sz w:val="30"/>
          <w:szCs w:val="30"/>
          <w:lang w:val="en-US" w:eastAsia="zh-CN"/>
        </w:rPr>
        <w:t>12</w:t>
      </w:r>
      <w:r>
        <w:rPr>
          <w:rFonts w:hint="eastAsia" w:asciiTheme="minorEastAsia" w:hAnsiTheme="minorEastAsia" w:eastAsiaTheme="minorEastAsia" w:cstheme="minorEastAsia"/>
          <w:sz w:val="30"/>
          <w:szCs w:val="30"/>
        </w:rPr>
        <w:t>月</w:t>
      </w:r>
    </w:p>
    <w:p w14:paraId="16E34025">
      <w:pPr>
        <w:ind w:firstLine="420"/>
        <w:rPr>
          <w:rFonts w:hint="eastAsia" w:asciiTheme="minorEastAsia" w:hAnsiTheme="minorEastAsia" w:eastAsiaTheme="minorEastAsia" w:cstheme="minorEastAsia"/>
        </w:rPr>
      </w:pPr>
    </w:p>
    <w:p w14:paraId="2B32D2B8">
      <w:pPr>
        <w:ind w:firstLine="420"/>
        <w:rPr>
          <w:rFonts w:hint="eastAsia" w:asciiTheme="minorEastAsia" w:hAnsiTheme="minorEastAsia" w:eastAsiaTheme="minorEastAsia" w:cstheme="minorEastAsia"/>
        </w:rPr>
      </w:pPr>
    </w:p>
    <w:bookmarkEnd w:id="0"/>
    <w:bookmarkEnd w:id="1"/>
    <w:p w14:paraId="029D6304">
      <w:pPr>
        <w:widowControl/>
        <w:ind w:firstLine="420"/>
        <w:jc w:val="left"/>
        <w:rPr>
          <w:rFonts w:hint="eastAsia" w:asciiTheme="minorEastAsia" w:hAnsiTheme="minorEastAsia" w:eastAsiaTheme="minorEastAsia" w:cstheme="minorEastAsia"/>
          <w:b/>
          <w:kern w:val="0"/>
          <w:sz w:val="32"/>
          <w:szCs w:val="32"/>
          <w:lang w:val="zh-CN"/>
        </w:rPr>
      </w:pPr>
      <w:bookmarkStart w:id="2" w:name="_Toc131406235"/>
      <w:bookmarkStart w:id="3" w:name="_Toc23462"/>
      <w:bookmarkStart w:id="4" w:name="_Toc16518"/>
      <w:r>
        <w:rPr>
          <w:rFonts w:hint="eastAsia" w:asciiTheme="minorEastAsia" w:hAnsiTheme="minorEastAsia" w:eastAsiaTheme="minorEastAsia" w:cstheme="minorEastAsia"/>
          <w:szCs w:val="32"/>
        </w:rPr>
        <w:br w:type="page"/>
      </w:r>
    </w:p>
    <w:p w14:paraId="16B17986">
      <w:pPr>
        <w:pStyle w:val="5"/>
        <w:snapToGrid w:val="0"/>
        <w:spacing w:before="0" w:after="0" w:line="360" w:lineRule="auto"/>
        <w:ind w:firstLine="64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szCs w:val="32"/>
        </w:rPr>
        <w:t>招标公告</w:t>
      </w:r>
      <w:bookmarkEnd w:id="2"/>
      <w:bookmarkEnd w:id="3"/>
      <w:bookmarkEnd w:id="4"/>
    </w:p>
    <w:p w14:paraId="04B3D246">
      <w:pPr>
        <w:widowControl/>
        <w:snapToGrid w:val="0"/>
        <w:spacing w:line="360" w:lineRule="auto"/>
        <w:jc w:val="left"/>
        <w:rPr>
          <w:rFonts w:hint="eastAsia" w:asciiTheme="minorEastAsia" w:hAnsiTheme="minorEastAsia" w:eastAsiaTheme="minorEastAsia" w:cstheme="minorEastAsia"/>
          <w:b/>
          <w:kern w:val="0"/>
          <w:sz w:val="24"/>
          <w:szCs w:val="24"/>
          <w:lang w:bidi="en-US"/>
        </w:rPr>
      </w:pPr>
      <w:r>
        <w:rPr>
          <w:rFonts w:hint="eastAsia" w:asciiTheme="minorEastAsia" w:hAnsiTheme="minorEastAsia" w:eastAsiaTheme="minorEastAsia" w:cstheme="minorEastAsia"/>
          <w:b/>
          <w:kern w:val="0"/>
          <w:sz w:val="24"/>
          <w:szCs w:val="24"/>
          <w:lang w:bidi="en-US"/>
        </w:rPr>
        <w:t>一、招标条件</w:t>
      </w:r>
    </w:p>
    <w:p w14:paraId="7826D7EA">
      <w:pPr>
        <w:widowControl/>
        <w:snapToGrid w:val="0"/>
        <w:spacing w:line="360" w:lineRule="auto"/>
        <w:ind w:firstLine="480" w:firstLineChars="200"/>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sz w:val="24"/>
          <w:szCs w:val="24"/>
          <w:highlight w:val="none"/>
          <w:u w:val="single"/>
          <w:lang w:val="en-US" w:eastAsia="zh-CN"/>
        </w:rPr>
        <w:t>中国重汽集团豪沃客车园区消防泵房维修项目</w:t>
      </w:r>
      <w:r>
        <w:rPr>
          <w:rFonts w:hint="eastAsia" w:asciiTheme="minorEastAsia" w:hAnsiTheme="minorEastAsia" w:eastAsiaTheme="minorEastAsia" w:cstheme="minorEastAsia"/>
          <w:kern w:val="0"/>
          <w:sz w:val="24"/>
          <w:szCs w:val="24"/>
          <w:highlight w:val="none"/>
          <w:lang w:bidi="en-US"/>
        </w:rPr>
        <w:t>，以公开招标的方式进行采购。本项目业主为</w:t>
      </w:r>
      <w:r>
        <w:rPr>
          <w:rFonts w:hint="eastAsia" w:asciiTheme="minorEastAsia" w:hAnsiTheme="minorEastAsia" w:eastAsiaTheme="minorEastAsia" w:cstheme="minorEastAsia"/>
          <w:sz w:val="24"/>
          <w:szCs w:val="24"/>
          <w:highlight w:val="none"/>
          <w:u w:val="single"/>
          <w:lang w:val="en-US" w:eastAsia="zh-CN"/>
        </w:rPr>
        <w:t>中国重汽集团济南动力有限公司</w:t>
      </w:r>
      <w:r>
        <w:rPr>
          <w:rFonts w:hint="eastAsia" w:asciiTheme="minorEastAsia" w:hAnsiTheme="minorEastAsia" w:eastAsiaTheme="minorEastAsia" w:cstheme="minorEastAsia"/>
          <w:kern w:val="0"/>
          <w:sz w:val="24"/>
          <w:szCs w:val="24"/>
          <w:highlight w:val="none"/>
          <w:lang w:bidi="en-US"/>
        </w:rPr>
        <w:t>，项目资金来自</w:t>
      </w:r>
      <w:r>
        <w:rPr>
          <w:rFonts w:hint="eastAsia" w:asciiTheme="minorEastAsia" w:hAnsiTheme="minorEastAsia" w:eastAsiaTheme="minorEastAsia" w:cstheme="minorEastAsia"/>
          <w:kern w:val="0"/>
          <w:sz w:val="24"/>
          <w:szCs w:val="24"/>
          <w:highlight w:val="none"/>
          <w:u w:val="single"/>
          <w:lang w:bidi="en-US"/>
        </w:rPr>
        <w:t xml:space="preserve"> 企业自筹 </w:t>
      </w:r>
      <w:r>
        <w:rPr>
          <w:rFonts w:hint="eastAsia" w:asciiTheme="minorEastAsia" w:hAnsiTheme="minorEastAsia" w:eastAsiaTheme="minorEastAsia" w:cstheme="minorEastAsia"/>
          <w:kern w:val="0"/>
          <w:sz w:val="24"/>
          <w:szCs w:val="24"/>
          <w:highlight w:val="none"/>
          <w:lang w:bidi="en-US"/>
        </w:rPr>
        <w:t>，出资比例为</w:t>
      </w:r>
      <w:r>
        <w:rPr>
          <w:rFonts w:hint="eastAsia" w:asciiTheme="minorEastAsia" w:hAnsiTheme="minorEastAsia" w:eastAsiaTheme="minorEastAsia" w:cstheme="minorEastAsia"/>
          <w:kern w:val="0"/>
          <w:sz w:val="24"/>
          <w:szCs w:val="24"/>
          <w:highlight w:val="none"/>
          <w:u w:val="single"/>
          <w:lang w:bidi="en-US"/>
        </w:rPr>
        <w:t xml:space="preserve"> 100% </w:t>
      </w:r>
      <w:r>
        <w:rPr>
          <w:rFonts w:hint="eastAsia" w:asciiTheme="minorEastAsia" w:hAnsiTheme="minorEastAsia" w:eastAsiaTheme="minorEastAsia" w:cstheme="minorEastAsia"/>
          <w:kern w:val="0"/>
          <w:sz w:val="24"/>
          <w:szCs w:val="24"/>
          <w:highlight w:val="none"/>
          <w:lang w:bidi="en-US"/>
        </w:rPr>
        <w:t>。该项目现已具备招标条件，欢迎具备条件的潜在投标人参加投标。</w:t>
      </w:r>
    </w:p>
    <w:p w14:paraId="5E0E4D1D">
      <w:pPr>
        <w:widowControl/>
        <w:snapToGrid w:val="0"/>
        <w:spacing w:line="360" w:lineRule="auto"/>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b/>
          <w:bCs/>
          <w:kern w:val="0"/>
          <w:sz w:val="24"/>
          <w:szCs w:val="24"/>
          <w:highlight w:val="none"/>
          <w:lang w:bidi="en-US"/>
        </w:rPr>
        <w:t>二、项目概况与招标范围</w:t>
      </w:r>
    </w:p>
    <w:p w14:paraId="2ABEF8C0">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bidi="en-US"/>
        </w:rPr>
      </w:pPr>
      <w:bookmarkStart w:id="5" w:name="_Toc179632530"/>
      <w:bookmarkEnd w:id="5"/>
      <w:bookmarkStart w:id="6" w:name="_Toc144974482"/>
      <w:bookmarkEnd w:id="6"/>
      <w:bookmarkStart w:id="7" w:name="_Toc285809451"/>
      <w:bookmarkEnd w:id="7"/>
      <w:bookmarkStart w:id="8" w:name="_Toc152042290"/>
      <w:bookmarkEnd w:id="8"/>
      <w:bookmarkStart w:id="9" w:name="_Toc152045514"/>
      <w:bookmarkEnd w:id="9"/>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名称：</w:t>
      </w:r>
      <w:r>
        <w:rPr>
          <w:rFonts w:hint="eastAsia" w:asciiTheme="minorEastAsia" w:hAnsiTheme="minorEastAsia" w:eastAsiaTheme="minorEastAsia" w:cstheme="minorEastAsia"/>
          <w:kern w:val="0"/>
          <w:sz w:val="24"/>
          <w:szCs w:val="24"/>
          <w:highlight w:val="none"/>
          <w:u w:val="single"/>
          <w:lang w:val="en-US" w:eastAsia="zh-CN" w:bidi="en-US"/>
        </w:rPr>
        <w:t xml:space="preserve"> 豪沃客车园区消防泵房维修项目  </w:t>
      </w:r>
    </w:p>
    <w:p w14:paraId="50F0AEDD">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lang w:bidi="en-US"/>
        </w:rPr>
        <w:t>采购形式编号：</w:t>
      </w:r>
      <w:r>
        <w:rPr>
          <w:rFonts w:hint="eastAsia" w:asciiTheme="minorEastAsia" w:hAnsiTheme="minorEastAsia" w:eastAsiaTheme="minorEastAsia" w:cstheme="minorEastAsia"/>
          <w:kern w:val="0"/>
          <w:sz w:val="24"/>
          <w:szCs w:val="24"/>
          <w:highlight w:val="none"/>
          <w:u w:val="single"/>
          <w:lang w:val="en-US" w:eastAsia="zh-CN" w:bidi="en-US"/>
        </w:rPr>
        <w:t>FSCZB2025120011</w:t>
      </w:r>
      <w:r>
        <w:rPr>
          <w:rFonts w:hint="eastAsia" w:asciiTheme="minorEastAsia" w:hAnsiTheme="minorEastAsia" w:eastAsiaTheme="minorEastAsia" w:cstheme="minorEastAsia"/>
          <w:kern w:val="0"/>
          <w:sz w:val="24"/>
          <w:szCs w:val="24"/>
          <w:highlight w:val="none"/>
          <w:lang w:bidi="en-US"/>
        </w:rPr>
        <w:t>；</w:t>
      </w:r>
    </w:p>
    <w:p w14:paraId="53F2CDA6">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imes New Roman" w:hAnsi="Times New Roman"/>
          <w:color w:val="000000"/>
        </w:rPr>
      </w:pP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地点：</w:t>
      </w:r>
      <w:r>
        <w:rPr>
          <w:rFonts w:hint="eastAsia" w:asciiTheme="minorEastAsia" w:hAnsiTheme="minorEastAsia" w:eastAsiaTheme="minorEastAsia" w:cstheme="minorEastAsia"/>
          <w:kern w:val="0"/>
          <w:sz w:val="24"/>
          <w:szCs w:val="24"/>
          <w:highlight w:val="green"/>
          <w:u w:val="single"/>
          <w:lang w:val="en-US" w:eastAsia="zh-CN" w:bidi="en-US"/>
        </w:rPr>
        <w:t>中国重汽集团</w:t>
      </w:r>
      <w:r>
        <w:rPr>
          <w:rFonts w:hint="eastAsia" w:asciiTheme="minorEastAsia" w:hAnsiTheme="minorEastAsia" w:eastAsiaTheme="minorEastAsia" w:cstheme="minorEastAsia"/>
          <w:sz w:val="24"/>
          <w:szCs w:val="24"/>
          <w:highlight w:val="green"/>
          <w:u w:val="single"/>
          <w:lang w:val="en-US" w:eastAsia="zh-CN"/>
        </w:rPr>
        <w:t>动力有限公司</w:t>
      </w:r>
      <w:r>
        <w:rPr>
          <w:rFonts w:hint="eastAsia" w:asciiTheme="minorEastAsia" w:hAnsiTheme="minorEastAsia" w:eastAsiaTheme="minorEastAsia" w:cstheme="minorEastAsia"/>
          <w:kern w:val="0"/>
          <w:sz w:val="24"/>
          <w:szCs w:val="24"/>
          <w:highlight w:val="green"/>
          <w:u w:val="single"/>
          <w:lang w:bidi="en-US"/>
        </w:rPr>
        <w:t>，济南市章丘区圣井唐王山路北潘王路西</w:t>
      </w:r>
      <w:r>
        <w:rPr>
          <w:rFonts w:hint="eastAsia" w:asciiTheme="minorEastAsia" w:hAnsiTheme="minorEastAsia" w:eastAsiaTheme="minorEastAsia" w:cstheme="minorEastAsia"/>
          <w:kern w:val="0"/>
          <w:sz w:val="24"/>
          <w:szCs w:val="24"/>
          <w:highlight w:val="green"/>
          <w:u w:val="single"/>
          <w:lang w:val="en-US" w:eastAsia="zh-CN" w:bidi="en-US"/>
        </w:rPr>
        <w:t>发动机厂</w:t>
      </w:r>
      <w:r>
        <w:rPr>
          <w:rFonts w:hint="eastAsia" w:asciiTheme="minorEastAsia" w:hAnsiTheme="minorEastAsia" w:eastAsiaTheme="minorEastAsia" w:cstheme="minorEastAsia"/>
          <w:kern w:val="0"/>
          <w:sz w:val="24"/>
          <w:szCs w:val="24"/>
          <w:highlight w:val="none"/>
          <w:u w:val="single"/>
          <w:lang w:bidi="en-US"/>
        </w:rPr>
        <w:t>；</w:t>
      </w:r>
    </w:p>
    <w:p w14:paraId="57EEC458">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b w:val="0"/>
          <w:bCs w:val="0"/>
          <w:color w:val="000000"/>
          <w:sz w:val="24"/>
          <w:szCs w:val="24"/>
          <w:lang w:val="en-US" w:eastAsia="zh-CN" w:bidi="zh-CN"/>
        </w:rPr>
      </w:pPr>
      <w:r>
        <w:rPr>
          <w:rFonts w:hint="eastAsia" w:asciiTheme="minorEastAsia" w:hAnsiTheme="minorEastAsia" w:eastAsiaTheme="minorEastAsia" w:cstheme="minorEastAsia"/>
          <w:kern w:val="0"/>
          <w:sz w:val="24"/>
          <w:szCs w:val="24"/>
          <w:highlight w:val="none"/>
          <w:lang w:bidi="en-US"/>
        </w:rPr>
        <w:t>项目概况</w:t>
      </w:r>
      <w:r>
        <w:rPr>
          <w:rFonts w:hint="eastAsia" w:asciiTheme="minorEastAsia" w:hAnsiTheme="minorEastAsia" w:eastAsiaTheme="minorEastAsia" w:cstheme="minorEastAsia"/>
          <w:kern w:val="0"/>
          <w:sz w:val="24"/>
          <w:szCs w:val="24"/>
          <w:highlight w:val="none"/>
          <w:lang w:eastAsia="zh-CN" w:bidi="en-US"/>
        </w:rPr>
        <w:t>：</w:t>
      </w:r>
      <w:r>
        <w:rPr>
          <w:rFonts w:hint="eastAsia" w:asciiTheme="minorEastAsia" w:hAnsiTheme="minorEastAsia" w:eastAsiaTheme="minorEastAsia" w:cstheme="minorEastAsia"/>
          <w:kern w:val="0"/>
          <w:sz w:val="24"/>
          <w:szCs w:val="24"/>
          <w:highlight w:val="none"/>
          <w:lang w:val="en-US" w:eastAsia="zh-CN" w:bidi="en-US"/>
        </w:rPr>
        <w:t>为保障豪沃园区建筑消防设施正常运行，通过对园区消防泵房、消防管网、火灾自动报警系统的维修，确保消火栓、消防泵、火灾报警系统恢复正常，满足消防设施法规的要求。</w:t>
      </w:r>
      <w:r>
        <w:rPr>
          <w:rFonts w:hint="eastAsia" w:ascii="宋体" w:hAnsi="宋体"/>
          <w:b w:val="0"/>
          <w:bCs w:val="0"/>
          <w:color w:val="000000"/>
          <w:sz w:val="24"/>
          <w:szCs w:val="24"/>
          <w:lang w:val="en-US" w:eastAsia="zh-CN" w:bidi="zh-CN"/>
        </w:rPr>
        <w:t>技术要求详见“招标文件”</w:t>
      </w:r>
    </w:p>
    <w:p w14:paraId="1AEA1A1F">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u w:val="single"/>
          <w:lang w:bidi="en-US"/>
        </w:rPr>
      </w:pPr>
      <w:r>
        <w:rPr>
          <w:rFonts w:hint="eastAsia" w:asciiTheme="minorEastAsia" w:hAnsiTheme="minorEastAsia" w:eastAsiaTheme="minorEastAsia" w:cstheme="minorEastAsia"/>
          <w:kern w:val="0"/>
          <w:sz w:val="24"/>
          <w:szCs w:val="24"/>
          <w:lang w:bidi="en-US"/>
        </w:rPr>
        <w:t>资金来源：</w:t>
      </w:r>
      <w:r>
        <w:rPr>
          <w:rFonts w:hint="eastAsia" w:asciiTheme="minorEastAsia" w:hAnsiTheme="minorEastAsia" w:eastAsiaTheme="minorEastAsia" w:cstheme="minorEastAsia"/>
          <w:kern w:val="0"/>
          <w:sz w:val="24"/>
          <w:szCs w:val="24"/>
          <w:u w:val="single"/>
          <w:lang w:bidi="en-US"/>
        </w:rPr>
        <w:t>企业自筹，已落实</w:t>
      </w:r>
      <w:r>
        <w:rPr>
          <w:rFonts w:hint="eastAsia" w:asciiTheme="minorEastAsia" w:hAnsiTheme="minorEastAsia" w:eastAsiaTheme="minorEastAsia" w:cstheme="minorEastAsia"/>
          <w:kern w:val="0"/>
          <w:sz w:val="24"/>
          <w:szCs w:val="24"/>
          <w:lang w:bidi="en-US"/>
        </w:rPr>
        <w:t>；</w:t>
      </w:r>
    </w:p>
    <w:p w14:paraId="3FB5C2CC">
      <w:pPr>
        <w:widowControl/>
        <w:snapToGrid w:val="0"/>
        <w:spacing w:line="360" w:lineRule="auto"/>
        <w:jc w:val="left"/>
        <w:rPr>
          <w:rFonts w:hint="default" w:asciiTheme="minorEastAsia" w:hAnsiTheme="minorEastAsia" w:eastAsiaTheme="minorEastAsia" w:cstheme="minorEastAsia"/>
          <w:b/>
          <w:bCs/>
          <w:kern w:val="0"/>
          <w:sz w:val="24"/>
          <w:szCs w:val="24"/>
          <w:highlight w:val="none"/>
          <w:lang w:val="en-US" w:eastAsia="zh-CN" w:bidi="en-US"/>
        </w:rPr>
      </w:pPr>
      <w:r>
        <w:rPr>
          <w:rFonts w:hint="eastAsia" w:asciiTheme="minorEastAsia" w:hAnsiTheme="minorEastAsia" w:eastAsiaTheme="minorEastAsia" w:cstheme="minorEastAsia"/>
          <w:b/>
          <w:bCs/>
          <w:kern w:val="0"/>
          <w:sz w:val="24"/>
          <w:szCs w:val="24"/>
          <w:highlight w:val="none"/>
          <w:lang w:bidi="en-US"/>
        </w:rPr>
        <w:t>三、投标人资格要求</w:t>
      </w:r>
    </w:p>
    <w:p w14:paraId="4943B7AD">
      <w:pPr>
        <w:pStyle w:val="25"/>
        <w:spacing w:line="360" w:lineRule="auto"/>
        <w:ind w:firstLine="480" w:firstLineChars="200"/>
        <w:rPr>
          <w:rFonts w:hint="eastAsia" w:ascii="宋体" w:hAnsi="宋体" w:eastAsia="宋体" w:cs="宋体"/>
          <w:highlight w:val="none"/>
          <w:lang w:eastAsia="zh-CN"/>
        </w:rPr>
      </w:pPr>
      <w:r>
        <w:rPr>
          <w:rFonts w:hint="eastAsia" w:ascii="宋体" w:hAnsi="宋体" w:eastAsia="宋体" w:cs="宋体"/>
          <w:highlight w:val="none"/>
        </w:rPr>
        <w:t>1、参加投标的单位，必须是在中华人民共和国合法注册，具有独立法人资格的公司，且成立三年以上（含三年，以注册日期开始计算，至开标之日不少于三年），具有有效的营业执照，具有安全生产许可证</w:t>
      </w:r>
      <w:r>
        <w:rPr>
          <w:rFonts w:hint="eastAsia" w:hAnsi="宋体" w:eastAsia="宋体" w:cs="宋体"/>
          <w:highlight w:val="none"/>
          <w:lang w:eastAsia="zh-CN"/>
        </w:rPr>
        <w:t>；</w:t>
      </w:r>
    </w:p>
    <w:p w14:paraId="7698279B">
      <w:pPr>
        <w:pStyle w:val="25"/>
        <w:spacing w:line="360" w:lineRule="auto"/>
        <w:ind w:firstLine="480" w:firstLineChars="200"/>
        <w:rPr>
          <w:rFonts w:hint="eastAsia" w:ascii="宋体" w:hAnsi="宋体" w:eastAsia="宋体" w:cs="宋体"/>
          <w:highlight w:val="none"/>
          <w:lang w:eastAsia="zh-CN"/>
        </w:rPr>
      </w:pPr>
      <w:r>
        <w:rPr>
          <w:rFonts w:hint="eastAsia" w:ascii="宋体" w:hAnsi="宋体" w:eastAsia="宋体" w:cs="宋体"/>
          <w:highlight w:val="none"/>
        </w:rPr>
        <w:t>2、注册资金2000万元及以上</w:t>
      </w:r>
      <w:r>
        <w:rPr>
          <w:rFonts w:hint="eastAsia" w:hAnsi="宋体" w:eastAsia="宋体" w:cs="宋体"/>
          <w:highlight w:val="none"/>
          <w:lang w:eastAsia="zh-CN"/>
        </w:rPr>
        <w:t>；</w:t>
      </w:r>
    </w:p>
    <w:p w14:paraId="780512F3">
      <w:pPr>
        <w:pStyle w:val="25"/>
        <w:spacing w:line="360" w:lineRule="auto"/>
        <w:ind w:firstLine="480" w:firstLineChars="200"/>
        <w:rPr>
          <w:rFonts w:hint="eastAsia" w:ascii="宋体" w:hAnsi="宋体" w:eastAsia="宋体" w:cs="宋体"/>
          <w:highlight w:val="none"/>
          <w:lang w:eastAsia="zh-CN"/>
        </w:rPr>
      </w:pPr>
      <w:r>
        <w:rPr>
          <w:rFonts w:hint="eastAsia" w:ascii="宋体" w:hAnsi="宋体" w:eastAsia="宋体" w:cs="宋体"/>
          <w:highlight w:val="none"/>
        </w:rPr>
        <w:t>3、投标人须具有履行合同所必需的设备、财务、技术、服务等方面的资质和能力</w:t>
      </w:r>
      <w:r>
        <w:rPr>
          <w:rFonts w:hint="eastAsia" w:hAnsi="宋体" w:eastAsia="宋体" w:cs="宋体"/>
          <w:highlight w:val="none"/>
          <w:lang w:eastAsia="zh-CN"/>
        </w:rPr>
        <w:t>；</w:t>
      </w:r>
    </w:p>
    <w:p w14:paraId="22B9A642">
      <w:pPr>
        <w:pStyle w:val="25"/>
        <w:spacing w:line="360" w:lineRule="auto"/>
        <w:ind w:firstLine="480" w:firstLineChars="200"/>
        <w:rPr>
          <w:rFonts w:hint="eastAsia" w:ascii="宋体" w:hAnsi="宋体" w:eastAsia="宋体" w:cs="宋体"/>
          <w:highlight w:val="none"/>
          <w:lang w:eastAsia="zh-CN"/>
        </w:rPr>
      </w:pPr>
      <w:r>
        <w:rPr>
          <w:rFonts w:hint="eastAsia" w:ascii="宋体" w:hAnsi="宋体" w:eastAsia="宋体" w:cs="宋体"/>
          <w:highlight w:val="none"/>
        </w:rPr>
        <w:t>4、消防设施工程专项承包壹级</w:t>
      </w:r>
      <w:r>
        <w:rPr>
          <w:rFonts w:hint="eastAsia" w:hAnsi="宋体" w:eastAsia="宋体" w:cs="宋体"/>
          <w:highlight w:val="none"/>
          <w:lang w:eastAsia="zh-CN"/>
        </w:rPr>
        <w:t>；</w:t>
      </w:r>
    </w:p>
    <w:p w14:paraId="51BAC500">
      <w:pPr>
        <w:pStyle w:val="25"/>
        <w:spacing w:line="360" w:lineRule="auto"/>
        <w:ind w:firstLine="480" w:firstLineChars="200"/>
        <w:rPr>
          <w:rFonts w:hint="eastAsia" w:ascii="宋体" w:hAnsi="宋体" w:eastAsia="宋体" w:cs="宋体"/>
          <w:highlight w:val="none"/>
          <w:lang w:eastAsia="zh-CN"/>
        </w:rPr>
      </w:pPr>
      <w:r>
        <w:rPr>
          <w:rFonts w:hint="eastAsia" w:ascii="宋体" w:hAnsi="宋体" w:eastAsia="宋体" w:cs="宋体"/>
          <w:highlight w:val="none"/>
        </w:rPr>
        <w:t>5、建筑工程施工总承包二级</w:t>
      </w:r>
      <w:r>
        <w:rPr>
          <w:rFonts w:hint="eastAsia" w:hAnsi="宋体" w:eastAsia="宋体" w:cs="宋体"/>
          <w:highlight w:val="none"/>
          <w:lang w:eastAsia="zh-CN"/>
        </w:rPr>
        <w:t>；</w:t>
      </w:r>
    </w:p>
    <w:p w14:paraId="4B56DB54">
      <w:pPr>
        <w:pStyle w:val="25"/>
        <w:spacing w:line="360" w:lineRule="auto"/>
        <w:ind w:firstLine="480" w:firstLineChars="200"/>
        <w:rPr>
          <w:rFonts w:hint="eastAsia" w:ascii="宋体" w:hAnsi="宋体" w:eastAsia="宋体" w:cs="宋体"/>
          <w:highlight w:val="none"/>
          <w:lang w:eastAsia="zh-CN"/>
        </w:rPr>
      </w:pPr>
      <w:r>
        <w:rPr>
          <w:rFonts w:hint="eastAsia" w:ascii="宋体" w:hAnsi="宋体" w:eastAsia="宋体" w:cs="宋体"/>
          <w:highlight w:val="none"/>
        </w:rPr>
        <w:t>6、建筑机电安装工程专业承包资质</w:t>
      </w:r>
      <w:r>
        <w:rPr>
          <w:rFonts w:hint="eastAsia" w:hAnsi="宋体" w:eastAsia="宋体" w:cs="宋体"/>
          <w:highlight w:val="none"/>
          <w:lang w:eastAsia="zh-CN"/>
        </w:rPr>
        <w:t>；</w:t>
      </w:r>
    </w:p>
    <w:p w14:paraId="7EACF4E6">
      <w:pPr>
        <w:pStyle w:val="25"/>
        <w:spacing w:line="360" w:lineRule="auto"/>
        <w:ind w:firstLine="480" w:firstLineChars="200"/>
        <w:rPr>
          <w:rFonts w:hint="eastAsia" w:ascii="宋体" w:hAnsi="宋体" w:eastAsia="宋体" w:cs="宋体"/>
          <w:highlight w:val="none"/>
          <w:lang w:eastAsia="zh-CN"/>
        </w:rPr>
      </w:pPr>
      <w:r>
        <w:rPr>
          <w:rFonts w:hint="eastAsia" w:ascii="宋体" w:hAnsi="宋体" w:eastAsia="宋体" w:cs="宋体"/>
          <w:highlight w:val="none"/>
        </w:rPr>
        <w:t>7、秦皇岛海湾品牌厂家授权文件</w:t>
      </w:r>
      <w:r>
        <w:rPr>
          <w:rFonts w:hint="eastAsia" w:hAnsi="宋体" w:eastAsia="宋体" w:cs="宋体"/>
          <w:highlight w:val="none"/>
          <w:lang w:eastAsia="zh-CN"/>
        </w:rPr>
        <w:t>；</w:t>
      </w:r>
    </w:p>
    <w:p w14:paraId="2271E612">
      <w:pPr>
        <w:pStyle w:val="25"/>
        <w:spacing w:line="360" w:lineRule="auto"/>
        <w:ind w:firstLine="480" w:firstLineChars="200"/>
        <w:rPr>
          <w:rFonts w:hint="eastAsia" w:ascii="宋体" w:hAnsi="宋体" w:eastAsia="宋体" w:cs="宋体"/>
          <w:highlight w:val="none"/>
          <w:lang w:eastAsia="zh-CN"/>
        </w:rPr>
      </w:pPr>
      <w:r>
        <w:rPr>
          <w:rFonts w:hint="eastAsia" w:ascii="宋体" w:hAnsi="宋体" w:eastAsia="宋体" w:cs="宋体"/>
          <w:highlight w:val="none"/>
        </w:rPr>
        <w:t>8、投标单位应具备并提供近三年类似施工业绩不少于五份</w:t>
      </w:r>
      <w:r>
        <w:rPr>
          <w:rFonts w:hint="eastAsia" w:hAnsi="宋体" w:eastAsia="宋体" w:cs="宋体"/>
          <w:highlight w:val="none"/>
          <w:lang w:eastAsia="zh-CN"/>
        </w:rPr>
        <w:t>；</w:t>
      </w:r>
    </w:p>
    <w:p w14:paraId="4144EF9E">
      <w:pPr>
        <w:pStyle w:val="25"/>
        <w:spacing w:line="360" w:lineRule="auto"/>
        <w:ind w:firstLine="480" w:firstLineChars="200"/>
        <w:rPr>
          <w:rFonts w:hint="eastAsia" w:ascii="宋体" w:hAnsi="宋体" w:eastAsia="宋体" w:cs="宋体"/>
          <w:highlight w:val="none"/>
          <w:lang w:eastAsia="zh-CN"/>
        </w:rPr>
      </w:pPr>
      <w:r>
        <w:rPr>
          <w:rFonts w:hint="eastAsia" w:ascii="宋体" w:hAnsi="宋体" w:eastAsia="宋体" w:cs="宋体"/>
          <w:highlight w:val="none"/>
        </w:rPr>
        <w:t>9、投标人近三年内无与本项目有关的违法及重大违规情况</w:t>
      </w:r>
      <w:r>
        <w:rPr>
          <w:rFonts w:hint="eastAsia" w:hAnsi="宋体" w:eastAsia="宋体" w:cs="宋体"/>
          <w:highlight w:val="none"/>
          <w:lang w:eastAsia="zh-CN"/>
        </w:rPr>
        <w:t>；</w:t>
      </w:r>
    </w:p>
    <w:p w14:paraId="4DCC3A14">
      <w:pPr>
        <w:pStyle w:val="25"/>
        <w:spacing w:line="360" w:lineRule="auto"/>
        <w:ind w:firstLine="480" w:firstLineChars="200"/>
        <w:rPr>
          <w:rFonts w:hint="eastAsia" w:ascii="宋体" w:hAnsi="宋体" w:eastAsia="宋体" w:cs="宋体"/>
          <w:highlight w:val="none"/>
          <w:lang w:eastAsia="zh-CN"/>
        </w:rPr>
      </w:pPr>
      <w:r>
        <w:rPr>
          <w:rFonts w:hint="eastAsia" w:ascii="宋体" w:hAnsi="宋体" w:eastAsia="宋体" w:cs="宋体"/>
          <w:highlight w:val="none"/>
        </w:rPr>
        <w:t>10、未被中国重型汽车集团有限公司列入《黑名单》（《黑名单》指投标人与招标人在以往或正在进行的合作中，存在招标人认为的违反合同约定或违反法律法规等的失信行为）</w:t>
      </w:r>
      <w:r>
        <w:rPr>
          <w:rFonts w:hint="eastAsia" w:hAnsi="宋体" w:eastAsia="宋体" w:cs="宋体"/>
          <w:highlight w:val="none"/>
          <w:lang w:eastAsia="zh-CN"/>
        </w:rPr>
        <w:t>；</w:t>
      </w:r>
    </w:p>
    <w:p w14:paraId="59FA1460">
      <w:pPr>
        <w:pStyle w:val="25"/>
        <w:spacing w:line="360" w:lineRule="auto"/>
        <w:ind w:firstLine="480" w:firstLineChars="200"/>
        <w:rPr>
          <w:rFonts w:hint="eastAsia" w:ascii="宋体" w:hAnsi="宋体" w:eastAsia="宋体" w:cs="宋体"/>
          <w:highlight w:val="none"/>
          <w:lang w:eastAsia="zh-CN"/>
        </w:rPr>
      </w:pPr>
      <w:r>
        <w:rPr>
          <w:rFonts w:hint="eastAsia" w:ascii="宋体" w:hAnsi="宋体" w:eastAsia="宋体" w:cs="宋体"/>
          <w:highlight w:val="none"/>
        </w:rPr>
        <w:t>11、投标人须提供近三年的公司财务报表（资产负债表、损益表、现金流量表）</w:t>
      </w:r>
      <w:r>
        <w:rPr>
          <w:rFonts w:hint="eastAsia" w:hAnsi="宋体" w:eastAsia="宋体" w:cs="宋体"/>
          <w:highlight w:val="none"/>
          <w:lang w:eastAsia="zh-CN"/>
        </w:rPr>
        <w:t>；</w:t>
      </w:r>
    </w:p>
    <w:p w14:paraId="1FC5BDD7">
      <w:pPr>
        <w:pStyle w:val="25"/>
        <w:spacing w:line="360" w:lineRule="auto"/>
        <w:ind w:firstLine="480" w:firstLineChars="200"/>
        <w:rPr>
          <w:rFonts w:hint="eastAsia" w:ascii="宋体" w:hAnsi="宋体" w:eastAsia="宋体" w:cs="宋体"/>
          <w:highlight w:val="none"/>
          <w:lang w:eastAsia="zh-CN"/>
        </w:rPr>
      </w:pPr>
      <w:r>
        <w:rPr>
          <w:rFonts w:hint="eastAsia" w:ascii="宋体" w:hAnsi="宋体" w:eastAsia="宋体" w:cs="宋体"/>
          <w:highlight w:val="none"/>
        </w:rPr>
        <w:t>12、投标人须提供具有统一社会信用代码的新版营业执照副本复印件（加盖公章）；参与投标时需携带营业执照副本原件以及投标单位授权人身份证、社保证明原件以供查验</w:t>
      </w:r>
      <w:r>
        <w:rPr>
          <w:rFonts w:hint="eastAsia" w:hAnsi="宋体" w:eastAsia="宋体" w:cs="宋体"/>
          <w:highlight w:val="none"/>
          <w:lang w:eastAsia="zh-CN"/>
        </w:rPr>
        <w:t>；</w:t>
      </w:r>
    </w:p>
    <w:p w14:paraId="69D2DBB9">
      <w:pPr>
        <w:pStyle w:val="25"/>
        <w:spacing w:line="360" w:lineRule="auto"/>
        <w:ind w:firstLine="480" w:firstLineChars="200"/>
        <w:rPr>
          <w:rFonts w:hint="eastAsia" w:ascii="宋体" w:hAnsi="宋体" w:eastAsia="宋体" w:cs="宋体"/>
          <w:highlight w:val="none"/>
          <w:lang w:eastAsia="zh-CN"/>
        </w:rPr>
      </w:pPr>
      <w:r>
        <w:rPr>
          <w:rFonts w:hint="eastAsia" w:ascii="宋体" w:hAnsi="宋体" w:eastAsia="宋体" w:cs="宋体"/>
          <w:highlight w:val="none"/>
        </w:rPr>
        <w:t>13、具有良好的企业信誉，投标单位在“国家企业信用信息公示系统”等信息平台中，无与本类项目相关的行政处罚及失信记录等信息；无招标违规、谎报年度报告信息、提供虚假资质资料等行为或其他行政处罚记录</w:t>
      </w:r>
      <w:r>
        <w:rPr>
          <w:rFonts w:hint="eastAsia" w:hAnsi="宋体" w:eastAsia="宋体" w:cs="宋体"/>
          <w:highlight w:val="none"/>
          <w:lang w:eastAsia="zh-CN"/>
        </w:rPr>
        <w:t>；</w:t>
      </w:r>
    </w:p>
    <w:p w14:paraId="6FC4DBE0">
      <w:pPr>
        <w:pStyle w:val="25"/>
        <w:spacing w:line="360" w:lineRule="auto"/>
        <w:ind w:firstLine="480" w:firstLineChars="200"/>
        <w:rPr>
          <w:rFonts w:hint="eastAsia" w:ascii="宋体" w:hAnsi="宋体" w:eastAsia="宋体" w:cs="宋体"/>
          <w:highlight w:val="none"/>
          <w:lang w:eastAsia="zh-CN"/>
        </w:rPr>
      </w:pPr>
      <w:r>
        <w:rPr>
          <w:rFonts w:hint="eastAsia" w:ascii="宋体" w:hAnsi="宋体" w:eastAsia="宋体" w:cs="宋体"/>
          <w:highlight w:val="none"/>
        </w:rPr>
        <w:t>14、具有健全的财务会计制度，财务状况和市场行为良好。没有处于被有权机关吊销营业执照、吊销资质、停业整顿、取消投标资格以及财产被接管、冻结或进入破产程序等</w:t>
      </w:r>
      <w:r>
        <w:rPr>
          <w:rFonts w:hint="eastAsia" w:hAnsi="宋体" w:eastAsia="宋体" w:cs="宋体"/>
          <w:highlight w:val="none"/>
          <w:lang w:eastAsia="zh-CN"/>
        </w:rPr>
        <w:t>；</w:t>
      </w:r>
    </w:p>
    <w:p w14:paraId="51284E56">
      <w:pPr>
        <w:pStyle w:val="25"/>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15、投标人必须是最终投标、签订合同的单位，不得以任何理由将已中标项目以任何形式转包给其他单位；</w:t>
      </w:r>
    </w:p>
    <w:p w14:paraId="685E9DB8">
      <w:pPr>
        <w:pStyle w:val="25"/>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16、在中国重汽集团有限公司服务期间无提前终止合同违约或无因服务质量不到位提前终止合同的情况；</w:t>
      </w:r>
    </w:p>
    <w:p w14:paraId="301D33A6">
      <w:pPr>
        <w:pStyle w:val="25"/>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17、供方的直接或间接股东、法定代表人、董事、监事、高管非重汽员工及其亲属；</w:t>
      </w:r>
    </w:p>
    <w:p w14:paraId="0418A82D">
      <w:pPr>
        <w:pStyle w:val="25"/>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18、如有投标单位资料造假，一经发现，5年内不得参与中国重汽集团所有消防维保类、消防维修改造项目投标资格；</w:t>
      </w:r>
    </w:p>
    <w:p w14:paraId="4D570C20">
      <w:pPr>
        <w:pStyle w:val="25"/>
        <w:spacing w:line="360" w:lineRule="auto"/>
        <w:ind w:firstLine="480" w:firstLineChars="200"/>
        <w:rPr>
          <w:rFonts w:hint="eastAsia" w:ascii="宋体" w:hAnsi="宋体" w:eastAsia="宋体" w:cs="宋体"/>
          <w:highlight w:val="none"/>
          <w:lang w:eastAsia="zh-CN"/>
        </w:rPr>
      </w:pPr>
      <w:r>
        <w:rPr>
          <w:rFonts w:hint="eastAsia" w:ascii="宋体" w:hAnsi="宋体" w:eastAsia="宋体" w:cs="宋体"/>
          <w:highlight w:val="none"/>
        </w:rPr>
        <w:t>19、本次招标项目不接受联合体投标</w:t>
      </w:r>
      <w:r>
        <w:rPr>
          <w:rFonts w:hint="eastAsia" w:hAnsi="宋体" w:eastAsia="宋体" w:cs="宋体"/>
          <w:highlight w:val="none"/>
          <w:lang w:eastAsia="zh-CN"/>
        </w:rPr>
        <w:t>；</w:t>
      </w:r>
    </w:p>
    <w:p w14:paraId="1C293030">
      <w:pPr>
        <w:pStyle w:val="25"/>
        <w:spacing w:line="360" w:lineRule="auto"/>
        <w:ind w:firstLine="480" w:firstLineChars="200"/>
        <w:rPr>
          <w:rFonts w:hint="eastAsia"/>
          <w:b/>
          <w:bCs/>
          <w:highlight w:val="none"/>
        </w:rPr>
      </w:pPr>
      <w:r>
        <w:rPr>
          <w:rFonts w:hint="eastAsia" w:ascii="宋体" w:hAnsi="宋体" w:eastAsia="宋体" w:cs="宋体"/>
          <w:highlight w:val="none"/>
        </w:rPr>
        <w:t>20、相关法律法规对合格投标单位的其他要求，对于投标人资质审核不通过的，招标人有权拒绝其投标。</w:t>
      </w:r>
    </w:p>
    <w:p w14:paraId="2A19F322">
      <w:pPr>
        <w:widowControl/>
        <w:snapToGrid w:val="0"/>
        <w:spacing w:line="360" w:lineRule="auto"/>
        <w:jc w:val="left"/>
        <w:rPr>
          <w:rFonts w:hint="eastAsia" w:asciiTheme="minorEastAsia" w:hAnsiTheme="minorEastAsia" w:eastAsiaTheme="minorEastAsia" w:cstheme="minorEastAsia"/>
          <w:b/>
          <w:bCs/>
          <w:kern w:val="0"/>
          <w:sz w:val="24"/>
          <w:szCs w:val="24"/>
          <w:lang w:bidi="en-US"/>
        </w:rPr>
      </w:pPr>
      <w:r>
        <w:rPr>
          <w:rFonts w:hint="eastAsia" w:asciiTheme="minorEastAsia" w:hAnsiTheme="minorEastAsia" w:eastAsiaTheme="minorEastAsia" w:cstheme="minorEastAsia"/>
          <w:b/>
          <w:bCs/>
          <w:kern w:val="0"/>
          <w:sz w:val="24"/>
          <w:szCs w:val="24"/>
          <w:lang w:bidi="en-US"/>
        </w:rPr>
        <w:t>四、报名、投标</w:t>
      </w:r>
    </w:p>
    <w:p w14:paraId="51509281">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1.报名</w:t>
      </w:r>
    </w:p>
    <w:p w14:paraId="4B7DDBA9">
      <w:pPr>
        <w:keepNext/>
        <w:keepLines/>
        <w:spacing w:line="360" w:lineRule="auto"/>
        <w:ind w:firstLine="482" w:firstLineChars="200"/>
        <w:outlineLvl w:val="2"/>
        <w:rPr>
          <w:rFonts w:hint="eastAsia" w:ascii="宋体" w:hAnsi="宋体" w:cs="宋体"/>
          <w:b/>
          <w:bCs/>
          <w:color w:val="000000"/>
          <w:sz w:val="24"/>
          <w:szCs w:val="24"/>
          <w:highlight w:val="yellow"/>
          <w:lang w:val="en-US" w:eastAsia="zh-CN"/>
        </w:rPr>
      </w:pPr>
      <w:r>
        <w:rPr>
          <w:rFonts w:hint="eastAsia" w:ascii="宋体" w:hAnsi="宋体" w:cs="宋体"/>
          <w:b/>
          <w:bCs/>
          <w:color w:val="000000"/>
          <w:sz w:val="24"/>
          <w:szCs w:val="24"/>
          <w:highlight w:val="yellow"/>
          <w:lang w:val="en-US" w:eastAsia="zh-CN"/>
        </w:rPr>
        <w:t>报名截止时间：2025年12月8日17：00</w:t>
      </w:r>
    </w:p>
    <w:p w14:paraId="048E9A12">
      <w:pPr>
        <w:keepNext/>
        <w:keepLines/>
        <w:spacing w:line="360" w:lineRule="auto"/>
        <w:ind w:firstLine="482" w:firstLineChars="200"/>
        <w:outlineLvl w:val="2"/>
        <w:rPr>
          <w:rFonts w:hint="eastAsia" w:ascii="宋体" w:hAnsi="Courier New" w:eastAsia="宋体" w:cs="Times New Roman"/>
          <w:kern w:val="2"/>
          <w:sz w:val="24"/>
          <w:szCs w:val="24"/>
        </w:rPr>
      </w:pPr>
      <w:r>
        <w:rPr>
          <w:rFonts w:hint="eastAsia" w:ascii="宋体" w:hAnsi="宋体" w:eastAsia="宋体" w:cs="宋体"/>
          <w:b/>
          <w:bCs/>
          <w:kern w:val="2"/>
          <w:sz w:val="24"/>
          <w:szCs w:val="24"/>
          <w:lang w:val="en-US" w:eastAsia="zh-CN" w:bidi="ar"/>
        </w:rPr>
        <w:t>报名方式</w:t>
      </w:r>
      <w:r>
        <w:rPr>
          <w:rFonts w:hint="eastAsia" w:ascii="宋体" w:hAnsi="宋体" w:eastAsia="宋体" w:cs="宋体"/>
          <w:kern w:val="2"/>
          <w:sz w:val="24"/>
          <w:szCs w:val="24"/>
          <w:lang w:val="en-US" w:eastAsia="zh-CN" w:bidi="ar"/>
        </w:rPr>
        <w:t>：</w:t>
      </w:r>
    </w:p>
    <w:p w14:paraId="7053B8EF">
      <w:pPr>
        <w:pStyle w:val="44"/>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b/>
          <w:bCs/>
          <w:kern w:val="2"/>
          <w:sz w:val="24"/>
          <w:szCs w:val="24"/>
          <w:lang w:val="en-US" w:eastAsia="zh-CN" w:bidi="ar"/>
        </w:rPr>
      </w:pPr>
      <w:r>
        <w:rPr>
          <w:rFonts w:hint="eastAsia" w:ascii="宋体" w:hAnsi="宋体" w:eastAsia="宋体" w:cs="宋体"/>
          <w:kern w:val="2"/>
          <w:sz w:val="24"/>
          <w:szCs w:val="24"/>
          <w:lang w:val="en-US" w:eastAsia="zh-CN" w:bidi="ar"/>
        </w:rPr>
        <w:t>拟投标人根据招标人在中国重汽官网公开媒体上发布的招标信息，</w:t>
      </w:r>
      <w:r>
        <w:rPr>
          <w:rFonts w:hint="eastAsia" w:ascii="宋体" w:hAnsi="宋体" w:eastAsia="宋体" w:cs="宋体"/>
          <w:color w:val="000000"/>
          <w:kern w:val="2"/>
          <w:sz w:val="24"/>
          <w:szCs w:val="24"/>
          <w:lang w:val="en-US" w:eastAsia="zh-CN" w:bidi="ar"/>
        </w:rPr>
        <w:t>在“中国重汽e采通”平台报名，具体流程如下：</w:t>
      </w:r>
      <w:r>
        <w:rPr>
          <w:rFonts w:hint="eastAsia" w:ascii="宋体" w:hAnsi="宋体" w:eastAsia="宋体" w:cs="宋体"/>
          <w:kern w:val="2"/>
          <w:sz w:val="24"/>
          <w:szCs w:val="24"/>
          <w:lang w:val="en-US" w:eastAsia="zh-CN" w:bidi="ar"/>
        </w:rPr>
        <w:br w:type="textWrapping"/>
      </w:r>
      <w:r>
        <w:rPr>
          <w:rFonts w:hint="eastAsia" w:ascii="宋体" w:hAnsi="宋体" w:eastAsia="宋体" w:cs="宋体"/>
          <w:b/>
          <w:bCs/>
          <w:kern w:val="2"/>
          <w:sz w:val="24"/>
          <w:szCs w:val="24"/>
          <w:lang w:val="en-US" w:eastAsia="zh-CN" w:bidi="ar"/>
        </w:rPr>
        <w:t>①系统注册与信息维护</w:t>
      </w:r>
    </w:p>
    <w:p w14:paraId="0B8AE87B">
      <w:pPr>
        <w:pStyle w:val="44"/>
        <w:keepNext w:val="0"/>
        <w:keepLines w:val="0"/>
        <w:widowControl w:val="0"/>
        <w:suppressLineNumbers w:val="0"/>
        <w:autoSpaceDE w:val="0"/>
        <w:autoSpaceDN/>
        <w:spacing w:before="0" w:beforeAutospacing="0" w:after="0" w:afterAutospacing="0" w:line="360" w:lineRule="auto"/>
        <w:ind w:left="0" w:leftChars="0" w:right="0" w:firstLine="482" w:firstLineChars="200"/>
        <w:jc w:val="both"/>
        <w:rPr>
          <w:rFonts w:hint="eastAsia" w:ascii="宋体" w:hAnsi="宋体" w:eastAsia="宋体" w:cs="宋体"/>
          <w:kern w:val="2"/>
          <w:sz w:val="24"/>
          <w:szCs w:val="24"/>
          <w:lang w:val="en-US" w:eastAsia="zh-CN" w:bidi="ar"/>
        </w:rPr>
      </w:pPr>
      <w:r>
        <w:rPr>
          <w:rFonts w:hint="eastAsia" w:ascii="宋体" w:hAnsi="宋体" w:eastAsia="宋体" w:cs="宋体"/>
          <w:b/>
          <w:bCs/>
          <w:kern w:val="2"/>
          <w:sz w:val="24"/>
          <w:szCs w:val="24"/>
          <w:lang w:val="en-US" w:eastAsia="zh-CN" w:bidi="ar"/>
        </w:rPr>
        <w:t>首次注册供应商</w:t>
      </w:r>
      <w:r>
        <w:rPr>
          <w:rFonts w:hint="eastAsia" w:ascii="宋体" w:hAnsi="宋体" w:eastAsia="宋体" w:cs="宋体"/>
          <w:kern w:val="2"/>
          <w:sz w:val="24"/>
          <w:szCs w:val="24"/>
          <w:lang w:val="en-US" w:eastAsia="zh-CN" w:bidi="ar"/>
        </w:rPr>
        <w:t>：请根据《SRM非生产供应商注册手册》（附件一）完成平台账号注册。</w:t>
      </w:r>
    </w:p>
    <w:p w14:paraId="7090C312">
      <w:pPr>
        <w:pStyle w:val="44"/>
        <w:keepNext w:val="0"/>
        <w:keepLines w:val="0"/>
        <w:widowControl w:val="0"/>
        <w:suppressLineNumbers w:val="0"/>
        <w:autoSpaceDE w:val="0"/>
        <w:autoSpaceDN/>
        <w:spacing w:before="0" w:beforeAutospacing="0" w:after="0" w:afterAutospacing="0" w:line="360" w:lineRule="auto"/>
        <w:ind w:left="0" w:leftChars="0" w:right="0" w:firstLine="482" w:firstLineChars="200"/>
        <w:jc w:val="both"/>
        <w:rPr>
          <w:rFonts w:hint="eastAsia" w:ascii="宋体" w:hAnsi="宋体" w:eastAsia="宋体" w:cs="宋体"/>
          <w:kern w:val="2"/>
          <w:sz w:val="24"/>
          <w:szCs w:val="24"/>
        </w:rPr>
      </w:pPr>
      <w:r>
        <w:rPr>
          <w:rFonts w:hint="eastAsia" w:ascii="宋体" w:hAnsi="宋体" w:eastAsia="宋体" w:cs="宋体"/>
          <w:b/>
          <w:bCs/>
          <w:kern w:val="2"/>
          <w:sz w:val="24"/>
          <w:szCs w:val="24"/>
          <w:lang w:val="en-US" w:eastAsia="zh-CN" w:bidi="ar"/>
        </w:rPr>
        <w:t>已注册供应商</w:t>
      </w:r>
      <w:r>
        <w:rPr>
          <w:rFonts w:hint="eastAsia" w:ascii="宋体" w:hAnsi="宋体" w:eastAsia="宋体" w:cs="宋体"/>
          <w:kern w:val="2"/>
          <w:sz w:val="24"/>
          <w:szCs w:val="24"/>
          <w:lang w:val="en-US" w:eastAsia="zh-CN" w:bidi="ar"/>
        </w:rPr>
        <w:t>：请登录系统核对系统中2022-2024年度财务数据。如尚未填写或信息不全，请参照《SRM非生产供应商注册手册》（附件二）及时进行补充与更新，确保信息真实、完整。</w:t>
      </w:r>
      <w:r>
        <w:rPr>
          <w:rFonts w:hint="eastAsia" w:ascii="宋体" w:hAnsi="宋体" w:eastAsia="宋体" w:cs="宋体"/>
          <w:kern w:val="2"/>
          <w:sz w:val="24"/>
          <w:szCs w:val="24"/>
          <w:lang w:val="en-US" w:eastAsia="zh-CN" w:bidi="ar"/>
        </w:rPr>
        <w:br w:type="textWrapping"/>
      </w:r>
      <w:r>
        <w:rPr>
          <w:rFonts w:hint="eastAsia" w:ascii="宋体" w:hAnsi="宋体" w:eastAsia="宋体" w:cs="宋体"/>
          <w:b/>
          <w:bCs/>
          <w:kern w:val="2"/>
          <w:sz w:val="24"/>
          <w:szCs w:val="24"/>
          <w:lang w:val="en-US" w:eastAsia="zh-CN" w:bidi="ar"/>
        </w:rPr>
        <w:t>②应标流程</w:t>
      </w:r>
    </w:p>
    <w:p w14:paraId="23D4D124">
      <w:pPr>
        <w:pStyle w:val="44"/>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注册及财务数据维护完成后，参照《SRM系统供应商用户手册》（附件三）登录平台，进入“供应商应标”模块，选择对应项目点击“应标”，并按照本公告第四部分“应标文件编制”要求准备资料并上传。资质审查通过后，视为报名成功（是否为代理商请如实选择）。</w:t>
      </w:r>
    </w:p>
    <w:p w14:paraId="618918DC">
      <w:pPr>
        <w:pStyle w:val="44"/>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若为</w:t>
      </w:r>
      <w:r>
        <w:rPr>
          <w:rFonts w:hint="eastAsia" w:ascii="宋体" w:hAnsi="宋体" w:eastAsia="宋体" w:cs="宋体"/>
          <w:b/>
          <w:bCs/>
          <w:kern w:val="2"/>
          <w:sz w:val="24"/>
          <w:szCs w:val="24"/>
          <w:lang w:val="en-US" w:eastAsia="zh-CN" w:bidi="ar"/>
        </w:rPr>
        <w:t>代理商应标</w:t>
      </w:r>
      <w:r>
        <w:rPr>
          <w:rFonts w:hint="eastAsia" w:ascii="宋体" w:hAnsi="宋体" w:eastAsia="宋体" w:cs="宋体"/>
          <w:kern w:val="2"/>
          <w:sz w:val="24"/>
          <w:szCs w:val="24"/>
          <w:lang w:val="en-US" w:eastAsia="zh-CN" w:bidi="ar"/>
        </w:rPr>
        <w:t>，请在应标后</w:t>
      </w:r>
      <w:r>
        <w:rPr>
          <w:rFonts w:hint="eastAsia" w:ascii="宋体" w:hAnsi="宋体" w:eastAsia="宋体" w:cs="宋体"/>
          <w:b/>
          <w:bCs/>
          <w:kern w:val="2"/>
          <w:sz w:val="24"/>
          <w:szCs w:val="24"/>
          <w:lang w:val="en-US" w:eastAsia="zh-CN" w:bidi="ar"/>
        </w:rPr>
        <w:t>主动联系商务联系人</w:t>
      </w:r>
      <w:r>
        <w:rPr>
          <w:rFonts w:hint="eastAsia" w:ascii="宋体" w:hAnsi="宋体" w:eastAsia="宋体" w:cs="宋体"/>
          <w:kern w:val="2"/>
          <w:sz w:val="24"/>
          <w:szCs w:val="24"/>
          <w:lang w:val="en-US" w:eastAsia="zh-CN" w:bidi="ar"/>
        </w:rPr>
        <w:t>。</w:t>
      </w:r>
    </w:p>
    <w:p w14:paraId="1C6CD54C">
      <w:pPr>
        <w:pStyle w:val="44"/>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Courier New" w:eastAsia="宋体" w:cs="宋体"/>
          <w:kern w:val="2"/>
          <w:sz w:val="21"/>
          <w:szCs w:val="21"/>
        </w:rPr>
      </w:pPr>
      <w:r>
        <w:rPr>
          <w:rFonts w:hint="eastAsia" w:ascii="宋体" w:hAnsi="宋体" w:eastAsia="宋体" w:cs="宋体"/>
          <w:kern w:val="2"/>
          <w:sz w:val="24"/>
          <w:szCs w:val="24"/>
          <w:lang w:val="en-US" w:eastAsia="zh-CN" w:bidi="ar"/>
        </w:rPr>
        <w:t>如资质审查未通过，请按审核意见修改后重新上传。请注意：应标截止时间后将无法再次上传或修改应标文件。</w:t>
      </w:r>
    </w:p>
    <w:p w14:paraId="05229B6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sz w:val="24"/>
          <w:szCs w:val="24"/>
        </w:rPr>
        <w:t>投标人应按资质文件格式要求组成</w:t>
      </w:r>
      <w:r>
        <w:rPr>
          <w:rFonts w:hint="eastAsia" w:asciiTheme="minorEastAsia" w:hAnsiTheme="minorEastAsia" w:eastAsiaTheme="minorEastAsia" w:cstheme="minorEastAsia"/>
          <w:bCs/>
          <w:sz w:val="24"/>
          <w:szCs w:val="24"/>
          <w:lang w:val="en-US" w:eastAsia="zh-CN"/>
        </w:rPr>
        <w:t>应标</w:t>
      </w:r>
      <w:r>
        <w:rPr>
          <w:rFonts w:hint="eastAsia" w:asciiTheme="minorEastAsia" w:hAnsiTheme="minorEastAsia" w:eastAsiaTheme="minorEastAsia" w:cstheme="minorEastAsia"/>
          <w:bCs/>
          <w:sz w:val="24"/>
          <w:szCs w:val="24"/>
        </w:rPr>
        <w:t>资质文件（对以下所要求的投标文件如有任何一项未实质性响应，将可能导致其投标文件被拒绝）</w:t>
      </w:r>
      <w:r>
        <w:rPr>
          <w:rFonts w:hint="eastAsia" w:asciiTheme="minorEastAsia" w:hAnsiTheme="minorEastAsia" w:eastAsiaTheme="minorEastAsia" w:cstheme="minorEastAsia"/>
          <w:b/>
          <w:bCs w:val="0"/>
          <w:sz w:val="24"/>
          <w:szCs w:val="24"/>
          <w:lang w:val="en-US" w:eastAsia="zh-CN"/>
        </w:rPr>
        <w:t>要求每页都需加盖公章</w:t>
      </w:r>
      <w:r>
        <w:rPr>
          <w:rFonts w:hint="eastAsia" w:ascii="宋体" w:hAnsi="宋体" w:cs="宋体"/>
          <w:color w:val="000000"/>
          <w:sz w:val="24"/>
          <w:szCs w:val="24"/>
          <w:highlight w:val="none"/>
          <w:lang w:val="en-US" w:eastAsia="zh-CN"/>
        </w:rPr>
        <w:t>：</w:t>
      </w:r>
    </w:p>
    <w:p w14:paraId="092F3C28">
      <w:pPr>
        <w:pStyle w:val="21"/>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1）企业资质：公司简介；营业执照副本复印件；法人代表授权书原件（附件二）；投标单位需提供近三年审计报告；法人代表或授权代表有效身份证；（盖有法人单位公章的复印件，包括正反两面）；投标单位类似项目案例介绍，与本次项目相关或类似的合同扫描件（需与技术标提供的合同扫描件一致，作为技术标的打分标项）；投标单位三年内无违法及重大违规记录证明；投标认为需提供的其他资质证明；保证金缴纳证明；企业最近半年完税证明、信用证明材料（征信报告）；年度纳税信用评价信息（可从电子税务局查询截图，需加盖公章）；企业对外担保说明（写明贵单位对外有无对外担保和质押业务，需加盖公章）；</w:t>
      </w:r>
    </w:p>
    <w:p w14:paraId="16E39400">
      <w:pPr>
        <w:pStyle w:val="21"/>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（2）企业简介：PDF版企业简介；</w:t>
      </w:r>
    </w:p>
    <w:p w14:paraId="6CFA9D48">
      <w:pPr>
        <w:pStyle w:val="21"/>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（3）企业业绩：扫描版相关业绩合同；</w:t>
      </w:r>
    </w:p>
    <w:p w14:paraId="03331758">
      <w:pPr>
        <w:pStyle w:val="21"/>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（4）施工方案：详细的可行施工方案；</w:t>
      </w:r>
    </w:p>
    <w:p w14:paraId="59577AD2">
      <w:pPr>
        <w:pStyle w:val="21"/>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（5）其他：投标报名表、秦皇岛海湾</w:t>
      </w:r>
      <w:bookmarkStart w:id="20" w:name="_GoBack"/>
      <w:bookmarkEnd w:id="20"/>
      <w:r>
        <w:rPr>
          <w:rFonts w:hint="eastAsia" w:asciiTheme="minorEastAsia" w:hAnsiTheme="minorEastAsia" w:eastAsiaTheme="minorEastAsia" w:cstheme="minorEastAsia"/>
          <w:bCs/>
          <w:kern w:val="2"/>
          <w:sz w:val="24"/>
          <w:szCs w:val="24"/>
          <w:highlight w:val="none"/>
          <w:lang w:val="en-US" w:eastAsia="zh-CN" w:bidi="ar-SA"/>
        </w:rPr>
        <w:t>厂家、大华及相关品牌授权书、现场踏勘表。</w:t>
      </w:r>
    </w:p>
    <w:p w14:paraId="10E42FDC">
      <w:pPr>
        <w:pStyle w:val="21"/>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kern w:val="2"/>
          <w:sz w:val="24"/>
          <w:szCs w:val="24"/>
          <w:highlight w:val="none"/>
          <w:lang w:val="en-US" w:eastAsia="zh-CN" w:bidi="ar-SA"/>
        </w:rPr>
        <w:t>备注：提供上述资料均须加盖单位公章，以PDF的形式在规定时间内上传至重汽e采通内（未提供详细可行的施工方案不得进入商务标）。</w:t>
      </w:r>
    </w:p>
    <w:p w14:paraId="5B06CD58">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Theme="minorEastAsia" w:hAnsiTheme="minorEastAsia" w:eastAsiaTheme="minorEastAsia" w:cstheme="minorEastAsia"/>
          <w:bCs/>
          <w:kern w:val="2"/>
          <w:sz w:val="24"/>
          <w:szCs w:val="24"/>
          <w:lang w:val="en-US" w:eastAsia="zh-CN" w:bidi="ar-SA"/>
        </w:rPr>
      </w:pPr>
      <w:r>
        <w:rPr>
          <w:rFonts w:hint="eastAsia" w:asciiTheme="minorEastAsia" w:hAnsiTheme="minorEastAsia" w:eastAsiaTheme="minorEastAsia" w:cstheme="minorEastAsia"/>
          <w:b/>
          <w:bCs w:val="0"/>
          <w:kern w:val="2"/>
          <w:sz w:val="24"/>
          <w:szCs w:val="24"/>
          <w:lang w:val="en-US" w:eastAsia="zh-CN" w:bidi="ar-SA"/>
        </w:rPr>
        <w:t>以上内容合定扫描到资质文件当中。投标人提供的以上材料必须真实有效，任何一项的虚假将导致其应标文件被拒绝</w:t>
      </w:r>
      <w:r>
        <w:rPr>
          <w:rFonts w:hint="eastAsia" w:asciiTheme="minorEastAsia" w:hAnsiTheme="minorEastAsia" w:eastAsiaTheme="minorEastAsia" w:cstheme="minorEastAsia"/>
          <w:bCs/>
          <w:kern w:val="2"/>
          <w:sz w:val="24"/>
          <w:szCs w:val="24"/>
          <w:lang w:val="en-US" w:eastAsia="zh-CN" w:bidi="ar-SA"/>
        </w:rPr>
        <w:t>.</w:t>
      </w:r>
    </w:p>
    <w:p w14:paraId="391D971A">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eastAsia" w:ascii="宋体" w:hAnsi="宋体" w:eastAsia="宋体" w:cs="宋体"/>
          <w:b/>
          <w:bCs/>
          <w:color w:val="000000"/>
          <w:kern w:val="2"/>
          <w:sz w:val="24"/>
          <w:szCs w:val="24"/>
          <w:highlight w:val="none"/>
          <w:lang w:val="en-US" w:eastAsia="zh-CN" w:bidi="ar-SA"/>
        </w:rPr>
      </w:pPr>
      <w:r>
        <w:rPr>
          <w:rFonts w:hint="eastAsia" w:ascii="宋体" w:hAnsi="宋体" w:cs="宋体"/>
          <w:b/>
          <w:bCs/>
          <w:color w:val="000000"/>
          <w:kern w:val="2"/>
          <w:sz w:val="24"/>
          <w:szCs w:val="24"/>
          <w:highlight w:val="none"/>
          <w:lang w:val="en-US" w:eastAsia="zh-CN" w:bidi="ar-SA"/>
        </w:rPr>
        <w:t>2.</w:t>
      </w:r>
      <w:r>
        <w:rPr>
          <w:rFonts w:hint="eastAsia" w:ascii="宋体" w:hAnsi="宋体" w:eastAsia="宋体" w:cs="宋体"/>
          <w:b/>
          <w:bCs/>
          <w:color w:val="000000"/>
          <w:kern w:val="2"/>
          <w:sz w:val="24"/>
          <w:szCs w:val="24"/>
          <w:highlight w:val="none"/>
          <w:lang w:val="en-US" w:eastAsia="zh-CN" w:bidi="ar-SA"/>
        </w:rPr>
        <w:t>投标</w:t>
      </w:r>
    </w:p>
    <w:p w14:paraId="06063258">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rPr>
        <w:t>投标人在重汽e采通网站上应标审批通过后需继续完成供应商投标，</w:t>
      </w:r>
      <w:r>
        <w:rPr>
          <w:rFonts w:hint="eastAsia" w:asciiTheme="minorEastAsia" w:hAnsiTheme="minorEastAsia" w:eastAsiaTheme="minorEastAsia" w:cstheme="minorEastAsia"/>
          <w:b/>
          <w:bCs/>
          <w:sz w:val="24"/>
          <w:szCs w:val="24"/>
        </w:rPr>
        <w:t>供应商需在投标截止时间前上传投标文件（电子版）至e采通网站投标</w:t>
      </w:r>
      <w:r>
        <w:rPr>
          <w:rFonts w:hint="eastAsia" w:asciiTheme="minorEastAsia" w:hAnsiTheme="minorEastAsia" w:eastAsiaTheme="minorEastAsia" w:cstheme="minorEastAsia"/>
          <w:bCs/>
          <w:sz w:val="24"/>
          <w:szCs w:val="24"/>
        </w:rPr>
        <w:t>，超过投标截止时间将视为参与失败。</w:t>
      </w:r>
      <w:r>
        <w:rPr>
          <w:rFonts w:hint="eastAsia" w:asciiTheme="minorEastAsia" w:hAnsiTheme="minorEastAsia" w:eastAsiaTheme="minorEastAsia" w:cstheme="minorEastAsia"/>
          <w:bCs/>
          <w:sz w:val="24"/>
          <w:szCs w:val="24"/>
          <w:lang w:val="en-US" w:eastAsia="zh-CN"/>
        </w:rPr>
        <w:t xml:space="preserve"> </w:t>
      </w:r>
    </w:p>
    <w:p w14:paraId="2DE510A0">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Cs/>
          <w:sz w:val="24"/>
          <w:szCs w:val="24"/>
          <w:highlight w:val="green"/>
        </w:rPr>
      </w:pPr>
      <w:r>
        <w:rPr>
          <w:rFonts w:hint="eastAsia" w:asciiTheme="minorEastAsia" w:hAnsiTheme="minorEastAsia" w:eastAsiaTheme="minorEastAsia" w:cstheme="minorEastAsia"/>
          <w:bCs/>
          <w:sz w:val="24"/>
          <w:szCs w:val="24"/>
        </w:rPr>
        <w:t>投标截止时间</w:t>
      </w:r>
      <w:r>
        <w:rPr>
          <w:rFonts w:hint="eastAsia" w:asciiTheme="minorEastAsia" w:hAnsiTheme="minorEastAsia" w:eastAsiaTheme="minorEastAsia" w:cstheme="minorEastAsia"/>
          <w:bCs/>
          <w:sz w:val="24"/>
          <w:szCs w:val="24"/>
          <w:highlight w:val="none"/>
          <w:lang w:eastAsia="zh-CN"/>
        </w:rPr>
        <w:t>：</w:t>
      </w:r>
      <w:r>
        <w:rPr>
          <w:rFonts w:hint="eastAsia" w:asciiTheme="minorEastAsia" w:hAnsiTheme="minorEastAsia" w:eastAsiaTheme="minorEastAsia" w:cstheme="minorEastAsia"/>
          <w:b/>
          <w:sz w:val="24"/>
          <w:szCs w:val="24"/>
          <w:highlight w:val="yellow"/>
        </w:rPr>
        <w:t>2025年</w:t>
      </w:r>
      <w:r>
        <w:rPr>
          <w:rFonts w:hint="eastAsia" w:asciiTheme="minorEastAsia" w:hAnsiTheme="minorEastAsia" w:eastAsiaTheme="minorEastAsia" w:cstheme="minorEastAsia"/>
          <w:b/>
          <w:sz w:val="24"/>
          <w:szCs w:val="24"/>
          <w:highlight w:val="yellow"/>
          <w:lang w:val="en-US" w:eastAsia="zh-CN"/>
        </w:rPr>
        <w:t>12</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14</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9</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w:t>
      </w:r>
    </w:p>
    <w:p w14:paraId="023E2FA8">
      <w:pPr>
        <w:tabs>
          <w:tab w:val="left" w:pos="1050"/>
          <w:tab w:val="left" w:pos="1470"/>
        </w:tabs>
        <w:autoSpaceDE w:val="0"/>
        <w:autoSpaceDN w:val="0"/>
        <w:adjustRightInd w:val="0"/>
        <w:snapToGrid w:val="0"/>
        <w:spacing w:line="360" w:lineRule="auto"/>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五、开标</w:t>
      </w:r>
    </w:p>
    <w:p w14:paraId="287316C8">
      <w:pPr>
        <w:pStyle w:val="151"/>
        <w:numPr>
          <w:ilvl w:val="0"/>
          <w:numId w:val="0"/>
        </w:numPr>
        <w:adjustRightInd w:val="0"/>
        <w:snapToGrid w:val="0"/>
        <w:spacing w:line="360" w:lineRule="auto"/>
        <w:ind w:leftChars="0"/>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Cs/>
          <w:sz w:val="24"/>
          <w:szCs w:val="24"/>
          <w:lang w:val="en-US" w:eastAsia="zh-CN"/>
        </w:rPr>
        <w:t>1.</w:t>
      </w:r>
      <w:r>
        <w:rPr>
          <w:rFonts w:hint="eastAsia" w:asciiTheme="minorEastAsia" w:hAnsiTheme="minorEastAsia" w:eastAsiaTheme="minorEastAsia" w:cstheme="minorEastAsia"/>
          <w:bCs/>
          <w:sz w:val="24"/>
          <w:szCs w:val="24"/>
        </w:rPr>
        <w:t>开标时间：</w:t>
      </w:r>
      <w:r>
        <w:rPr>
          <w:rFonts w:hint="eastAsia" w:asciiTheme="minorEastAsia" w:hAnsiTheme="minorEastAsia" w:eastAsiaTheme="minorEastAsia" w:cstheme="minorEastAsia"/>
          <w:b/>
          <w:sz w:val="24"/>
          <w:szCs w:val="24"/>
          <w:highlight w:val="yellow"/>
        </w:rPr>
        <w:t>2025年</w:t>
      </w:r>
      <w:r>
        <w:rPr>
          <w:rFonts w:hint="eastAsia" w:asciiTheme="minorEastAsia" w:hAnsiTheme="minorEastAsia" w:eastAsiaTheme="minorEastAsia" w:cstheme="minorEastAsia"/>
          <w:b/>
          <w:sz w:val="24"/>
          <w:szCs w:val="24"/>
          <w:highlight w:val="yellow"/>
          <w:lang w:val="en-US" w:eastAsia="zh-CN"/>
        </w:rPr>
        <w:t>12</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14</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9</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0时</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待定(投标完成后联系商务联系人，发送投标保证金缴纳凭证获取会议链接号)）</w:t>
      </w:r>
    </w:p>
    <w:p w14:paraId="0CE8FDC8">
      <w:pPr>
        <w:pStyle w:val="151"/>
        <w:numPr>
          <w:ilvl w:val="0"/>
          <w:numId w:val="0"/>
        </w:numPr>
        <w:adjustRightInd w:val="0"/>
        <w:snapToGrid w:val="0"/>
        <w:spacing w:line="360" w:lineRule="auto"/>
        <w:ind w:leftChars="0"/>
        <w:rPr>
          <w:rFonts w:hint="default"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lang w:val="en-US" w:eastAsia="zh-CN"/>
        </w:rPr>
        <w:t>2</w:t>
      </w:r>
      <w:r>
        <w:rPr>
          <w:rFonts w:hint="eastAsia" w:asciiTheme="minorEastAsia" w:hAnsiTheme="minorEastAsia" w:eastAsiaTheme="minorEastAsia" w:cstheme="minorEastAsia"/>
          <w:b w:val="0"/>
          <w:bCs/>
          <w:sz w:val="24"/>
          <w:szCs w:val="24"/>
          <w:lang w:val="en-US" w:eastAsia="zh-CN"/>
        </w:rPr>
        <w:t>.开标地点：线上会议</w:t>
      </w:r>
    </w:p>
    <w:p w14:paraId="18593B7F">
      <w:pPr>
        <w:pStyle w:val="151"/>
        <w:numPr>
          <w:ilvl w:val="0"/>
          <w:numId w:val="0"/>
        </w:numPr>
        <w:adjustRightInd w:val="0"/>
        <w:snapToGrid w:val="0"/>
        <w:spacing w:line="360" w:lineRule="auto"/>
        <w:ind w:leftChars="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3.商务</w:t>
      </w:r>
      <w:r>
        <w:rPr>
          <w:rFonts w:hint="eastAsia" w:asciiTheme="minorEastAsia" w:hAnsiTheme="minorEastAsia" w:eastAsiaTheme="minorEastAsia" w:cstheme="minorEastAsia"/>
          <w:sz w:val="24"/>
          <w:szCs w:val="24"/>
        </w:rPr>
        <w:t>联系人：</w:t>
      </w:r>
      <w:r>
        <w:rPr>
          <w:rFonts w:hint="eastAsia" w:asciiTheme="minorEastAsia" w:hAnsiTheme="minorEastAsia" w:eastAsiaTheme="minorEastAsia" w:cstheme="minorEastAsia"/>
          <w:sz w:val="24"/>
          <w:szCs w:val="24"/>
          <w:highlight w:val="none"/>
          <w:lang w:val="en-US" w:eastAsia="zh-CN"/>
        </w:rPr>
        <w:t>卜老师 15542226228 bujianfeng@sinotruk.com</w:t>
      </w:r>
    </w:p>
    <w:p w14:paraId="439DE341">
      <w:pPr>
        <w:pStyle w:val="151"/>
        <w:numPr>
          <w:ilvl w:val="0"/>
          <w:numId w:val="0"/>
        </w:numPr>
        <w:adjustRightInd w:val="0"/>
        <w:snapToGrid w:val="0"/>
        <w:spacing w:line="360" w:lineRule="auto"/>
        <w:ind w:firstLine="240" w:firstLineChars="100"/>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lang w:val="en-US" w:eastAsia="zh-CN"/>
        </w:rPr>
        <w:t>技术联系人：</w:t>
      </w:r>
      <w:r>
        <w:rPr>
          <w:rFonts w:hint="eastAsia" w:asciiTheme="minorEastAsia" w:hAnsiTheme="minorEastAsia" w:eastAsiaTheme="minorEastAsia" w:cstheme="minorEastAsia"/>
          <w:sz w:val="24"/>
          <w:szCs w:val="24"/>
          <w:highlight w:val="none"/>
          <w:lang w:val="en-US" w:eastAsia="zh-CN"/>
        </w:rPr>
        <w:t>卜老师 15542226228 bujianfeng@sinotruk.com</w:t>
      </w:r>
    </w:p>
    <w:p w14:paraId="303FC02B">
      <w:pPr>
        <w:adjustRightInd w:val="0"/>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六、评标办法</w:t>
      </w:r>
    </w:p>
    <w:p w14:paraId="18A0C9F4">
      <w:pPr>
        <w:adjustRightInd w:val="0"/>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本项目采用</w:t>
      </w:r>
      <w:r>
        <w:rPr>
          <w:rFonts w:hint="eastAsia" w:asciiTheme="minorEastAsia" w:hAnsiTheme="minorEastAsia" w:eastAsiaTheme="minorEastAsia" w:cstheme="minorEastAsia"/>
          <w:sz w:val="24"/>
          <w:szCs w:val="24"/>
          <w:lang w:val="en-US" w:eastAsia="zh-CN"/>
        </w:rPr>
        <w:t>综合评标</w:t>
      </w:r>
      <w:r>
        <w:rPr>
          <w:rFonts w:hint="eastAsia" w:asciiTheme="minorEastAsia" w:hAnsiTheme="minorEastAsia" w:eastAsiaTheme="minorEastAsia" w:cstheme="minorEastAsia"/>
          <w:sz w:val="24"/>
          <w:szCs w:val="24"/>
        </w:rPr>
        <w:t>法，在满足招标人</w:t>
      </w:r>
      <w:r>
        <w:rPr>
          <w:rFonts w:hint="eastAsia" w:asciiTheme="minorEastAsia" w:hAnsiTheme="minorEastAsia" w:eastAsiaTheme="minorEastAsia" w:cstheme="minorEastAsia"/>
          <w:sz w:val="24"/>
          <w:szCs w:val="24"/>
          <w:lang w:val="en-US" w:eastAsia="zh-CN"/>
        </w:rPr>
        <w:t>资格和</w:t>
      </w:r>
      <w:r>
        <w:rPr>
          <w:rFonts w:hint="eastAsia" w:asciiTheme="minorEastAsia" w:hAnsiTheme="minorEastAsia" w:eastAsiaTheme="minorEastAsia" w:cstheme="minorEastAsia"/>
          <w:sz w:val="24"/>
          <w:szCs w:val="24"/>
        </w:rPr>
        <w:t>技术要求的前提下</w:t>
      </w:r>
      <w:r>
        <w:rPr>
          <w:rFonts w:hint="eastAsia" w:asciiTheme="minorEastAsia" w:hAnsiTheme="minorEastAsia" w:eastAsiaTheme="minorEastAsia" w:cstheme="minorEastAsia"/>
          <w:bCs/>
          <w:kern w:val="2"/>
          <w:sz w:val="24"/>
          <w:szCs w:val="24"/>
          <w:highlight w:val="none"/>
          <w:lang w:val="en-US" w:eastAsia="zh-CN" w:bidi="ar-SA"/>
        </w:rPr>
        <w:t>。</w:t>
      </w:r>
      <w:r>
        <w:rPr>
          <w:rFonts w:hint="eastAsia" w:asciiTheme="minorEastAsia" w:hAnsiTheme="minorEastAsia" w:eastAsiaTheme="minorEastAsia" w:cstheme="minorEastAsia"/>
          <w:sz w:val="24"/>
          <w:szCs w:val="24"/>
        </w:rPr>
        <w:t>选取商务谈判后议定总价</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得分最高者</w:t>
      </w:r>
      <w:r>
        <w:rPr>
          <w:rFonts w:hint="eastAsia" w:asciiTheme="minorEastAsia" w:hAnsiTheme="minorEastAsia" w:eastAsiaTheme="minorEastAsia" w:cstheme="minorEastAsia"/>
          <w:sz w:val="24"/>
          <w:szCs w:val="24"/>
        </w:rPr>
        <w:t>为本项目中标人。</w:t>
      </w:r>
    </w:p>
    <w:p w14:paraId="6912DE52">
      <w:pPr>
        <w:pStyle w:val="151"/>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本次评标</w:t>
      </w:r>
      <w:r>
        <w:rPr>
          <w:rFonts w:hint="eastAsia" w:asciiTheme="minorEastAsia" w:hAnsiTheme="minorEastAsia" w:eastAsiaTheme="minorEastAsia" w:cstheme="minorEastAsia"/>
          <w:sz w:val="24"/>
          <w:szCs w:val="24"/>
          <w:lang w:val="en-US" w:eastAsia="zh-CN"/>
        </w:rPr>
        <w:t>e采通上</w:t>
      </w:r>
      <w:r>
        <w:rPr>
          <w:rFonts w:hint="eastAsia" w:asciiTheme="minorEastAsia" w:hAnsiTheme="minorEastAsia" w:eastAsiaTheme="minorEastAsia" w:cstheme="minorEastAsia"/>
          <w:sz w:val="24"/>
          <w:szCs w:val="24"/>
        </w:rPr>
        <w:t>进行报价，评标专家组将与投标人进行多轮商务谈判，每轮谈判价格不得高于上一轮报价。</w:t>
      </w:r>
    </w:p>
    <w:p w14:paraId="68D214F0">
      <w:pPr>
        <w:pStyle w:val="151"/>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招标人不接受任何选择性报价，对投标人的每一种投标方案只允许有一个投标价。所有投标价均以人民币报价。</w:t>
      </w:r>
    </w:p>
    <w:p w14:paraId="76148A0C">
      <w:pPr>
        <w:tabs>
          <w:tab w:val="left" w:pos="1134"/>
        </w:tabs>
        <w:snapToGrid w:val="0"/>
        <w:spacing w:line="360" w:lineRule="auto"/>
        <w:rPr>
          <w:rFonts w:asciiTheme="majorEastAsia" w:hAnsiTheme="majorEastAsia" w:eastAsiaTheme="majorEastAsia"/>
          <w:sz w:val="24"/>
          <w:szCs w:val="24"/>
        </w:rPr>
      </w:pPr>
      <w:r>
        <w:rPr>
          <w:rFonts w:hint="eastAsia" w:asciiTheme="minorEastAsia" w:hAnsiTheme="minorEastAsia" w:eastAsiaTheme="minorEastAsia" w:cstheme="minorEastAsia"/>
          <w:b/>
          <w:sz w:val="24"/>
          <w:szCs w:val="24"/>
        </w:rPr>
        <w:t>七、</w:t>
      </w:r>
      <w:r>
        <w:rPr>
          <w:rFonts w:hint="eastAsia" w:asciiTheme="majorEastAsia" w:hAnsiTheme="majorEastAsia" w:eastAsiaTheme="majorEastAsia"/>
          <w:b/>
          <w:sz w:val="24"/>
          <w:szCs w:val="24"/>
        </w:rPr>
        <w:t>技术要求</w:t>
      </w:r>
    </w:p>
    <w:p w14:paraId="1DB345D9">
      <w:pPr>
        <w:spacing w:line="360" w:lineRule="auto"/>
        <w:ind w:firstLine="482" w:firstLineChars="200"/>
        <w:rPr>
          <w:rFonts w:hint="default" w:asciiTheme="minorEastAsia" w:hAnsiTheme="minorEastAsia" w:eastAsiaTheme="minorEastAsia" w:cstheme="minorEastAsia"/>
          <w:b/>
          <w:sz w:val="24"/>
          <w:szCs w:val="24"/>
          <w:lang w:val="en-US" w:eastAsia="zh-CN"/>
        </w:rPr>
      </w:pPr>
      <w:r>
        <w:rPr>
          <w:rFonts w:hint="eastAsia" w:ascii="宋体" w:hAnsi="宋体"/>
          <w:b/>
          <w:bCs/>
          <w:color w:val="000000"/>
          <w:sz w:val="24"/>
          <w:szCs w:val="24"/>
          <w:lang w:val="en-US" w:eastAsia="zh-CN" w:bidi="zh-CN"/>
        </w:rPr>
        <w:t>技术要求详见</w:t>
      </w:r>
      <w:r>
        <w:rPr>
          <w:rFonts w:hint="eastAsia" w:ascii="宋体" w:hAnsi="宋体"/>
          <w:b/>
          <w:bCs/>
          <w:color w:val="000000"/>
          <w:sz w:val="24"/>
          <w:szCs w:val="24"/>
          <w:highlight w:val="none"/>
          <w:lang w:val="en-US" w:eastAsia="zh-CN" w:bidi="zh-CN"/>
        </w:rPr>
        <w:t>“技术文件”</w:t>
      </w:r>
    </w:p>
    <w:p w14:paraId="53E9E309">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八</w:t>
      </w:r>
      <w:r>
        <w:rPr>
          <w:rFonts w:hint="eastAsia" w:asciiTheme="minorEastAsia" w:hAnsiTheme="minorEastAsia" w:eastAsiaTheme="minorEastAsia" w:cstheme="minorEastAsia"/>
          <w:b/>
          <w:sz w:val="24"/>
          <w:szCs w:val="24"/>
        </w:rPr>
        <w:t>、投标文件</w:t>
      </w:r>
    </w:p>
    <w:p w14:paraId="11BBF338">
      <w:pPr>
        <w:tabs>
          <w:tab w:val="left" w:pos="454"/>
        </w:tabs>
        <w:snapToGrid w:val="0"/>
        <w:spacing w:line="360" w:lineRule="auto"/>
        <w:ind w:firstLine="480"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投标方的投标文件由资格证明文件、商务标书构成。</w:t>
      </w:r>
      <w:r>
        <w:rPr>
          <w:rFonts w:hint="eastAsia" w:asciiTheme="minorEastAsia" w:hAnsiTheme="minorEastAsia" w:eastAsiaTheme="minorEastAsia" w:cstheme="minorEastAsia"/>
          <w:b/>
          <w:sz w:val="24"/>
          <w:szCs w:val="24"/>
        </w:rPr>
        <w:t>投标人需在投标截止时间前上传完</w:t>
      </w:r>
      <w:r>
        <w:rPr>
          <w:rFonts w:hint="eastAsia" w:asciiTheme="minorEastAsia" w:hAnsiTheme="minorEastAsia" w:eastAsiaTheme="minorEastAsia" w:cstheme="minorEastAsia"/>
          <w:b/>
          <w:bCs/>
          <w:sz w:val="24"/>
          <w:szCs w:val="24"/>
        </w:rPr>
        <w:t>整的投标文件（电子版）至e采通网站投标。</w:t>
      </w:r>
    </w:p>
    <w:p w14:paraId="525A03C0">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rPr>
        <w:t>资格证明文件</w:t>
      </w:r>
      <w:r>
        <w:rPr>
          <w:rFonts w:hint="eastAsia" w:asciiTheme="minorEastAsia" w:hAnsiTheme="minorEastAsia" w:eastAsiaTheme="minorEastAsia" w:cstheme="minorEastAsia"/>
          <w:sz w:val="24"/>
          <w:szCs w:val="24"/>
          <w:highlight w:val="none"/>
        </w:rPr>
        <w:t>包括（以下文件均需加盖公章）：</w:t>
      </w:r>
    </w:p>
    <w:p w14:paraId="5FDF8E69">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1、资质文件</w:t>
      </w:r>
    </w:p>
    <w:p w14:paraId="490D5C8C">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（1）公司简介；</w:t>
      </w:r>
    </w:p>
    <w:p w14:paraId="03DD066E">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（2）营业执照副本复印件；</w:t>
      </w:r>
    </w:p>
    <w:p w14:paraId="69B145A0">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（3）法人代表授权书原件；</w:t>
      </w:r>
    </w:p>
    <w:p w14:paraId="0C1F41E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（4）投标单位需提供近三年审计报告；</w:t>
      </w:r>
    </w:p>
    <w:p w14:paraId="4044F69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（5）法人代表或授权代表有效身份证；（盖有法人单位公章的复印件，包括正反两面）</w:t>
      </w:r>
    </w:p>
    <w:p w14:paraId="648F9BDF">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（5）投标单位类似项目案例介绍，与本次项目相关或类似的合同扫描件（需与技术标提供的合同扫描件一致，作为技术标的打分标项）；</w:t>
      </w:r>
    </w:p>
    <w:p w14:paraId="646CA5FB">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（6）投标单位三年内无违法及重大违规记录证明；</w:t>
      </w:r>
    </w:p>
    <w:p w14:paraId="18DC7F5C">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（7）投标认为需提供的其他资质证明；</w:t>
      </w:r>
    </w:p>
    <w:p w14:paraId="3B91A715">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（8）保证金缴纳证明；</w:t>
      </w:r>
    </w:p>
    <w:p w14:paraId="75B89FBD">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（9）企业最近半年完税证明、信用证明材料（征信报告）；</w:t>
      </w:r>
    </w:p>
    <w:p w14:paraId="1A6BB283">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（10）年度纳税信用评价信息（可从电子税务局查询截图，需加盖公章）；</w:t>
      </w:r>
    </w:p>
    <w:p w14:paraId="21B0F14F">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（11）企业对外担保说明（写明贵单位对外有无对外担保和质押业务，需加盖公章）。</w:t>
      </w:r>
    </w:p>
    <w:p w14:paraId="62666C40">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(12)投标保证金缴纳凭证（应标时不做要求，投标时需随资质文件一同上传）</w:t>
      </w:r>
    </w:p>
    <w:p w14:paraId="358CF421">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2、技术标文件</w:t>
      </w:r>
    </w:p>
    <w:p w14:paraId="73D76201">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（1）主要技术状态说明；</w:t>
      </w:r>
    </w:p>
    <w:p w14:paraId="24AFADF8">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（2）项目维修方案；</w:t>
      </w:r>
    </w:p>
    <w:p w14:paraId="130C72F9">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（3）项目报名表；</w:t>
      </w:r>
    </w:p>
    <w:p w14:paraId="7C0D743F">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（4）技术规格、相关条款偏离表；</w:t>
      </w:r>
    </w:p>
    <w:p w14:paraId="663A82FA">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（5）综合说明；</w:t>
      </w:r>
    </w:p>
    <w:p w14:paraId="1FF62BE8">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（6）服务承诺；</w:t>
      </w:r>
    </w:p>
    <w:p w14:paraId="58196F81">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（7）投标单位认为其他需要提供的材料。</w:t>
      </w:r>
    </w:p>
    <w:p w14:paraId="28487276">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3、商务标文件</w:t>
      </w:r>
    </w:p>
    <w:p w14:paraId="0CB09C8A">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（1）投标函；</w:t>
      </w:r>
    </w:p>
    <w:p w14:paraId="47366199">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（2）开标一览表；</w:t>
      </w:r>
    </w:p>
    <w:p w14:paraId="105D4DE6">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（3）投标报价明细表；</w:t>
      </w:r>
    </w:p>
    <w:p w14:paraId="5AC825B9">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（4）服务承诺及优惠条件；</w:t>
      </w:r>
    </w:p>
    <w:p w14:paraId="62C45B2F">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（5）相关条款偏离表；</w:t>
      </w:r>
    </w:p>
    <w:p w14:paraId="1B79BBE5">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（6）其他需要说明的事项。</w:t>
      </w:r>
    </w:p>
    <w:p w14:paraId="22E389DD">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bCs/>
          <w:sz w:val="24"/>
          <w:szCs w:val="24"/>
          <w:highlight w:val="green"/>
          <w:lang w:val="en-US"/>
        </w:rPr>
      </w:pPr>
      <w:r>
        <w:rPr>
          <w:rFonts w:hint="eastAsia" w:asciiTheme="minorEastAsia" w:hAnsiTheme="minorEastAsia" w:eastAsiaTheme="minorEastAsia" w:cstheme="minorEastAsia"/>
          <w:kern w:val="2"/>
          <w:sz w:val="24"/>
          <w:szCs w:val="24"/>
          <w:lang w:val="en-US" w:eastAsia="zh-CN" w:bidi="ar-SA"/>
        </w:rPr>
        <w:t>备注：提供上述资料均须加盖单位公章，扫描后上传e采通系统中。</w:t>
      </w:r>
    </w:p>
    <w:p w14:paraId="5A405031">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九、付款方式</w:t>
      </w:r>
    </w:p>
    <w:p w14:paraId="0F962BF0">
      <w:pPr>
        <w:pStyle w:val="25"/>
        <w:spacing w:line="360" w:lineRule="auto"/>
        <w:ind w:left="660" w:leftChars="200" w:hanging="240" w:hangingChars="100"/>
        <w:rPr>
          <w:rFonts w:hint="eastAsia"/>
          <w:highlight w:val="none"/>
        </w:rPr>
      </w:pPr>
      <w:r>
        <w:rPr>
          <w:rFonts w:hint="eastAsia" w:hAnsi="宋体"/>
          <w:highlight w:val="none"/>
        </w:rPr>
        <w:t>⑴</w:t>
      </w:r>
      <w:r>
        <w:rPr>
          <w:rFonts w:hint="eastAsia"/>
          <w:highlight w:val="none"/>
        </w:rPr>
        <w:t>本次招标为公开招标，报价应为：</w:t>
      </w:r>
    </w:p>
    <w:p w14:paraId="191654E4">
      <w:pPr>
        <w:pStyle w:val="25"/>
        <w:spacing w:line="360" w:lineRule="auto"/>
        <w:ind w:firstLine="480" w:firstLineChars="200"/>
        <w:rPr>
          <w:rFonts w:hint="eastAsia"/>
          <w:highlight w:val="none"/>
        </w:rPr>
      </w:pPr>
      <w:r>
        <w:rPr>
          <w:rFonts w:hint="eastAsia"/>
          <w:highlight w:val="none"/>
        </w:rPr>
        <w:t>经与招标人或其指派的答疑人员充分沟通确认基础上，由投标人在满足招标人所提出的、与本项目所有相关环节有关的所有费用；</w:t>
      </w:r>
    </w:p>
    <w:p w14:paraId="1BC3FE32">
      <w:pPr>
        <w:pStyle w:val="25"/>
        <w:spacing w:line="360" w:lineRule="auto"/>
        <w:ind w:firstLine="480" w:firstLineChars="200"/>
        <w:rPr>
          <w:rFonts w:hint="eastAsia"/>
          <w:highlight w:val="none"/>
        </w:rPr>
      </w:pPr>
      <w:r>
        <w:rPr>
          <w:rFonts w:hint="eastAsia" w:hAnsi="宋体"/>
          <w:highlight w:val="none"/>
        </w:rPr>
        <w:t>⑵</w:t>
      </w:r>
      <w:r>
        <w:rPr>
          <w:rFonts w:hint="eastAsia"/>
          <w:highlight w:val="none"/>
        </w:rPr>
        <w:t>所有报价货币单位为：</w:t>
      </w:r>
      <w:r>
        <w:rPr>
          <w:rFonts w:hint="eastAsia"/>
          <w:highlight w:val="none"/>
          <w:lang w:val="en-US" w:eastAsia="zh-CN"/>
        </w:rPr>
        <w:t>万</w:t>
      </w:r>
      <w:r>
        <w:rPr>
          <w:rFonts w:hint="eastAsia"/>
          <w:highlight w:val="none"/>
        </w:rPr>
        <w:t>元（人民币），</w:t>
      </w:r>
      <w:r>
        <w:rPr>
          <w:rFonts w:hint="eastAsia"/>
          <w:b/>
          <w:bCs/>
          <w:highlight w:val="none"/>
        </w:rPr>
        <w:t>含税</w:t>
      </w:r>
      <w:r>
        <w:rPr>
          <w:rFonts w:hint="eastAsia"/>
          <w:highlight w:val="none"/>
        </w:rPr>
        <w:t>；</w:t>
      </w:r>
    </w:p>
    <w:p w14:paraId="47C9794E">
      <w:pPr>
        <w:pStyle w:val="25"/>
        <w:spacing w:line="360" w:lineRule="auto"/>
        <w:ind w:firstLine="480" w:firstLineChars="200"/>
        <w:rPr>
          <w:rFonts w:hint="eastAsia"/>
          <w:highlight w:val="green"/>
          <w:u w:val="single"/>
        </w:rPr>
      </w:pPr>
      <w:r>
        <w:rPr>
          <w:rFonts w:hint="eastAsia" w:hAnsi="宋体"/>
          <w:highlight w:val="none"/>
        </w:rPr>
        <w:t>⑶付款</w:t>
      </w:r>
      <w:r>
        <w:rPr>
          <w:rFonts w:hint="eastAsia"/>
          <w:highlight w:val="none"/>
        </w:rPr>
        <w:t>结算方式：</w:t>
      </w:r>
      <w:r>
        <w:rPr>
          <w:rFonts w:hint="eastAsia"/>
          <w:highlight w:val="yellow"/>
          <w:u w:val="single"/>
        </w:rPr>
        <w:t>半年期商业汇票（包括银行承兑汇票和商业承兑汇票）</w:t>
      </w:r>
    </w:p>
    <w:p w14:paraId="3FD7B980">
      <w:pPr>
        <w:pStyle w:val="25"/>
        <w:spacing w:line="360" w:lineRule="auto"/>
        <w:ind w:firstLine="480" w:firstLineChars="200"/>
        <w:rPr>
          <w:rFonts w:hint="eastAsia" w:cs="Times New Roman"/>
          <w:highlight w:val="none"/>
        </w:rPr>
      </w:pPr>
      <w:r>
        <w:rPr>
          <w:rFonts w:hint="eastAsia" w:cs="Times New Roman"/>
          <w:highlight w:val="none"/>
        </w:rPr>
        <w:t>经第三方检测和甲方验收通过后，付至合同总额的90%。付款方式为承兑汇票，施工方开具100%增值税专用发票（税率9%），质保期满后业主无息结清。</w:t>
      </w:r>
    </w:p>
    <w:p w14:paraId="32CDA1E3">
      <w:pPr>
        <w:pStyle w:val="25"/>
        <w:numPr>
          <w:ilvl w:val="0"/>
          <w:numId w:val="6"/>
        </w:numPr>
        <w:spacing w:line="360" w:lineRule="auto"/>
        <w:ind w:firstLine="480" w:firstLineChars="200"/>
        <w:rPr>
          <w:rFonts w:hint="default" w:cs="Times New Roman"/>
          <w:highlight w:val="none"/>
          <w:lang w:val="en-US" w:eastAsia="zh-CN"/>
        </w:rPr>
      </w:pPr>
      <w:r>
        <w:rPr>
          <w:rFonts w:hint="eastAsia" w:hAnsi="宋体"/>
          <w:highlight w:val="none"/>
          <w:lang w:val="en-US" w:eastAsia="zh-CN"/>
        </w:rPr>
        <w:t>项目限价</w:t>
      </w:r>
      <w:r>
        <w:rPr>
          <w:rFonts w:hint="eastAsia" w:cs="Times New Roman"/>
          <w:highlight w:val="none"/>
          <w:lang w:val="en-US" w:eastAsia="zh-CN"/>
        </w:rPr>
        <w:t>：含税48.71万元，超过</w:t>
      </w:r>
      <w:r>
        <w:rPr>
          <w:rFonts w:hint="eastAsia" w:hAnsi="宋体"/>
          <w:highlight w:val="none"/>
          <w:lang w:val="en-US" w:eastAsia="zh-CN"/>
        </w:rPr>
        <w:t>投标限价无法投标。</w:t>
      </w:r>
    </w:p>
    <w:p w14:paraId="188B1AA6">
      <w:pPr>
        <w:pStyle w:val="25"/>
        <w:numPr>
          <w:ilvl w:val="0"/>
          <w:numId w:val="6"/>
        </w:numPr>
        <w:spacing w:line="360" w:lineRule="auto"/>
        <w:ind w:firstLine="480" w:firstLineChars="200"/>
        <w:rPr>
          <w:rFonts w:hint="default" w:cs="Times New Roman"/>
          <w:highlight w:val="none"/>
          <w:lang w:val="en-US" w:eastAsia="zh-CN"/>
        </w:rPr>
      </w:pPr>
      <w:r>
        <w:rPr>
          <w:rFonts w:hint="eastAsia" w:cs="Times New Roman"/>
          <w:highlight w:val="none"/>
          <w:lang w:val="en-US" w:eastAsia="zh-CN"/>
        </w:rPr>
        <w:t>合同签订期限为签订之日起至2026年6月30日</w:t>
      </w:r>
    </w:p>
    <w:p w14:paraId="0D771EB5">
      <w:pPr>
        <w:pStyle w:val="57"/>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default" w:asciiTheme="minorEastAsia" w:hAnsiTheme="minorEastAsia" w:eastAsiaTheme="minorEastAsia" w:cstheme="minorEastAsia"/>
          <w:b/>
          <w:bCs w:val="0"/>
          <w:color w:val="auto"/>
          <w:kern w:val="2"/>
          <w:sz w:val="24"/>
          <w:szCs w:val="24"/>
          <w:highlight w:val="none"/>
          <w:lang w:val="en-US" w:eastAsia="zh-CN" w:bidi="ar-SA"/>
        </w:rPr>
      </w:pPr>
      <w:r>
        <w:rPr>
          <w:rFonts w:hint="eastAsia" w:asciiTheme="minorEastAsia" w:hAnsiTheme="minorEastAsia" w:eastAsiaTheme="minorEastAsia" w:cstheme="minorEastAsia"/>
          <w:b/>
          <w:bCs w:val="0"/>
          <w:color w:val="auto"/>
          <w:kern w:val="2"/>
          <w:sz w:val="24"/>
          <w:szCs w:val="24"/>
          <w:highlight w:val="none"/>
          <w:lang w:val="en-US" w:eastAsia="zh-CN" w:bidi="ar-SA"/>
        </w:rPr>
        <w:t>注：付款方式和付款比例不允许偏离。</w:t>
      </w:r>
    </w:p>
    <w:p w14:paraId="34F2058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十、投标保证金</w:t>
      </w:r>
    </w:p>
    <w:p w14:paraId="491AFF5D">
      <w:pPr>
        <w:pStyle w:val="151"/>
        <w:numPr>
          <w:ilvl w:val="0"/>
          <w:numId w:val="7"/>
        </w:numPr>
        <w:tabs>
          <w:tab w:val="left" w:pos="454"/>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eastAsia="宋体" w:cs="宋体"/>
          <w:b/>
          <w:bCs/>
          <w:sz w:val="24"/>
          <w:szCs w:val="24"/>
          <w:highlight w:val="none"/>
        </w:rPr>
        <w:t>投标保证金的缴纳形式：</w:t>
      </w:r>
      <w:r>
        <w:rPr>
          <w:rFonts w:hint="eastAsia" w:ascii="宋体" w:hAnsi="宋体" w:eastAsia="宋体" w:cs="宋体"/>
          <w:sz w:val="24"/>
          <w:szCs w:val="24"/>
          <w:highlight w:val="none"/>
          <w:lang w:val="en-US" w:eastAsia="zh-CN"/>
        </w:rPr>
        <w:t>银行基本账户转账</w:t>
      </w:r>
      <w:r>
        <w:rPr>
          <w:rFonts w:hint="eastAsia" w:asciiTheme="minorEastAsia" w:hAnsiTheme="minorEastAsia" w:eastAsiaTheme="minorEastAsia" w:cstheme="minorEastAsia"/>
          <w:color w:val="000000"/>
          <w:sz w:val="24"/>
          <w:szCs w:val="24"/>
        </w:rPr>
        <w:t>。</w:t>
      </w:r>
    </w:p>
    <w:p w14:paraId="14301353">
      <w:pPr>
        <w:pStyle w:val="151"/>
        <w:keepNext w:val="0"/>
        <w:keepLines w:val="0"/>
        <w:pageBreakBefore w:val="0"/>
        <w:widowControl w:val="0"/>
        <w:numPr>
          <w:ilvl w:val="0"/>
          <w:numId w:val="7"/>
        </w:numPr>
        <w:tabs>
          <w:tab w:val="left" w:pos="454"/>
        </w:tabs>
        <w:kinsoku/>
        <w:wordWrap/>
        <w:overflowPunct/>
        <w:topLinePunct w:val="0"/>
        <w:autoSpaceDE/>
        <w:autoSpaceDN/>
        <w:bidi w:val="0"/>
        <w:adjustRightInd/>
        <w:snapToGrid w:val="0"/>
        <w:spacing w:line="360" w:lineRule="auto"/>
        <w:ind w:firstLine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w:t>
      </w:r>
      <w:r>
        <w:rPr>
          <w:rFonts w:hint="eastAsia" w:asciiTheme="minorEastAsia" w:hAnsiTheme="minorEastAsia" w:eastAsiaTheme="minorEastAsia" w:cstheme="minorEastAsia"/>
          <w:color w:val="000000"/>
          <w:sz w:val="24"/>
          <w:szCs w:val="24"/>
          <w:lang w:val="en-US" w:eastAsia="zh-CN"/>
        </w:rPr>
        <w:t>缴纳截止</w:t>
      </w:r>
      <w:r>
        <w:rPr>
          <w:rFonts w:hint="eastAsia" w:asciiTheme="minorEastAsia" w:hAnsiTheme="minorEastAsia" w:eastAsiaTheme="minorEastAsia" w:cstheme="minorEastAsia"/>
          <w:color w:val="000000"/>
          <w:sz w:val="24"/>
          <w:szCs w:val="24"/>
        </w:rPr>
        <w:t>时间</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b/>
          <w:bCs/>
          <w:color w:val="000000"/>
          <w:sz w:val="24"/>
          <w:szCs w:val="24"/>
          <w:highlight w:val="none"/>
          <w:u w:val="single"/>
        </w:rPr>
        <w:t>2025年</w:t>
      </w:r>
      <w:r>
        <w:rPr>
          <w:rFonts w:hint="eastAsia" w:asciiTheme="minorEastAsia" w:hAnsiTheme="minorEastAsia" w:eastAsiaTheme="minorEastAsia" w:cstheme="minorEastAsia"/>
          <w:b/>
          <w:bCs/>
          <w:color w:val="000000"/>
          <w:sz w:val="24"/>
          <w:szCs w:val="24"/>
          <w:highlight w:val="none"/>
          <w:u w:val="single"/>
          <w:lang w:val="en-US" w:eastAsia="zh-CN"/>
        </w:rPr>
        <w:t>12</w:t>
      </w:r>
      <w:r>
        <w:rPr>
          <w:rFonts w:hint="eastAsia" w:asciiTheme="minorEastAsia" w:hAnsiTheme="minorEastAsia" w:eastAsiaTheme="minorEastAsia" w:cstheme="minorEastAsia"/>
          <w:b/>
          <w:bCs/>
          <w:color w:val="000000"/>
          <w:sz w:val="24"/>
          <w:szCs w:val="24"/>
          <w:highlight w:val="none"/>
          <w:u w:val="single"/>
        </w:rPr>
        <w:t>月</w:t>
      </w:r>
      <w:r>
        <w:rPr>
          <w:rFonts w:hint="eastAsia" w:asciiTheme="minorEastAsia" w:hAnsiTheme="minorEastAsia" w:eastAsiaTheme="minorEastAsia" w:cstheme="minorEastAsia"/>
          <w:b/>
          <w:bCs/>
          <w:color w:val="000000"/>
          <w:sz w:val="24"/>
          <w:szCs w:val="24"/>
          <w:highlight w:val="none"/>
          <w:u w:val="single"/>
          <w:lang w:val="en-US" w:eastAsia="zh-CN"/>
        </w:rPr>
        <w:t>14</w:t>
      </w:r>
      <w:r>
        <w:rPr>
          <w:rFonts w:hint="eastAsia" w:asciiTheme="minorEastAsia" w:hAnsiTheme="minorEastAsia" w:eastAsiaTheme="minorEastAsia" w:cstheme="minorEastAsia"/>
          <w:b/>
          <w:bCs/>
          <w:color w:val="000000"/>
          <w:sz w:val="24"/>
          <w:szCs w:val="24"/>
          <w:highlight w:val="none"/>
          <w:u w:val="single"/>
        </w:rPr>
        <w:t>日</w:t>
      </w:r>
      <w:r>
        <w:rPr>
          <w:rFonts w:hint="eastAsia" w:asciiTheme="minorEastAsia" w:hAnsiTheme="minorEastAsia" w:eastAsiaTheme="minorEastAsia" w:cstheme="minorEastAsia"/>
          <w:b/>
          <w:bCs/>
          <w:color w:val="000000"/>
          <w:sz w:val="24"/>
          <w:szCs w:val="24"/>
          <w:highlight w:val="none"/>
          <w:u w:val="single"/>
          <w:lang w:val="en-US" w:eastAsia="zh-CN"/>
        </w:rPr>
        <w:t>9</w:t>
      </w:r>
      <w:r>
        <w:rPr>
          <w:rFonts w:hint="eastAsia" w:asciiTheme="minorEastAsia" w:hAnsiTheme="minorEastAsia" w:eastAsiaTheme="minorEastAsia" w:cstheme="minorEastAsia"/>
          <w:b/>
          <w:bCs/>
          <w:color w:val="000000"/>
          <w:sz w:val="24"/>
          <w:szCs w:val="24"/>
          <w:highlight w:val="none"/>
          <w:u w:val="single"/>
        </w:rPr>
        <w:t xml:space="preserve">:00 </w:t>
      </w:r>
      <w:r>
        <w:rPr>
          <w:rFonts w:hint="eastAsia" w:asciiTheme="minorEastAsia" w:hAnsiTheme="minorEastAsia" w:eastAsiaTheme="minorEastAsia" w:cstheme="minorEastAsia"/>
          <w:b/>
          <w:color w:val="000000"/>
          <w:sz w:val="24"/>
          <w:szCs w:val="24"/>
          <w:highlight w:val="none"/>
          <w:u w:val="single"/>
        </w:rPr>
        <w:t>。</w:t>
      </w:r>
      <w:r>
        <w:rPr>
          <w:rFonts w:hint="eastAsia" w:asciiTheme="minorEastAsia" w:hAnsiTheme="minorEastAsia" w:eastAsiaTheme="minorEastAsia" w:cstheme="minorEastAsia"/>
          <w:b/>
          <w:color w:val="000000"/>
          <w:sz w:val="24"/>
          <w:szCs w:val="24"/>
          <w:highlight w:val="none"/>
          <w:u w:val="single"/>
          <w:lang w:eastAsia="zh-CN"/>
        </w:rPr>
        <w:t>（</w:t>
      </w:r>
      <w:r>
        <w:rPr>
          <w:rFonts w:hint="eastAsia" w:asciiTheme="minorEastAsia" w:hAnsiTheme="minorEastAsia" w:eastAsiaTheme="minorEastAsia" w:cstheme="minorEastAsia"/>
          <w:b/>
          <w:color w:val="000000"/>
          <w:sz w:val="24"/>
          <w:szCs w:val="24"/>
          <w:highlight w:val="none"/>
          <w:u w:val="single"/>
          <w:lang w:val="en-US" w:eastAsia="zh-CN"/>
        </w:rPr>
        <w:t>投标保证金缴纳凭证需随资质投标文件一起上传）</w:t>
      </w:r>
      <w:r>
        <w:rPr>
          <w:rFonts w:hint="eastAsia" w:asciiTheme="minorEastAsia" w:hAnsiTheme="minorEastAsia" w:eastAsiaTheme="minorEastAsia" w:cstheme="minorEastAsia"/>
          <w:b w:val="0"/>
          <w:bCs/>
          <w:color w:val="000000"/>
          <w:sz w:val="24"/>
          <w:szCs w:val="24"/>
          <w:highlight w:val="none"/>
          <w:u w:val="single"/>
          <w:lang w:val="en-US" w:eastAsia="zh-CN"/>
        </w:rPr>
        <w:t>投标方</w:t>
      </w:r>
      <w:r>
        <w:rPr>
          <w:rFonts w:hint="eastAsia" w:ascii="宋体" w:hAnsi="宋体" w:cs="宋体"/>
          <w:sz w:val="24"/>
          <w:szCs w:val="24"/>
          <w:highlight w:val="none"/>
        </w:rPr>
        <w:t>应充分考虑银行信息交换时间，由此带来的保证金不能按时到帐的责任由</w:t>
      </w:r>
      <w:r>
        <w:rPr>
          <w:rFonts w:hint="eastAsia" w:ascii="宋体" w:hAnsi="宋体" w:cs="宋体"/>
          <w:sz w:val="24"/>
          <w:szCs w:val="24"/>
          <w:highlight w:val="none"/>
          <w:lang w:val="en-US" w:eastAsia="zh-CN"/>
        </w:rPr>
        <w:t>投标方</w:t>
      </w:r>
      <w:r>
        <w:rPr>
          <w:rFonts w:hint="eastAsia" w:ascii="宋体" w:hAnsi="宋体" w:cs="宋体"/>
          <w:sz w:val="24"/>
          <w:szCs w:val="24"/>
          <w:highlight w:val="none"/>
        </w:rPr>
        <w:t>自行承担。</w:t>
      </w:r>
    </w:p>
    <w:p w14:paraId="01266C7C">
      <w:pPr>
        <w:keepNext w:val="0"/>
        <w:keepLines w:val="0"/>
        <w:pageBreakBefore w:val="0"/>
        <w:widowControl w:val="0"/>
        <w:tabs>
          <w:tab w:val="left" w:pos="932"/>
        </w:tabs>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hint="eastAsia" w:ascii="宋体" w:hAnsi="宋体" w:eastAsia="宋体" w:cs="宋体"/>
          <w:b/>
          <w:bCs/>
          <w:sz w:val="24"/>
          <w:szCs w:val="24"/>
          <w:highlight w:val="yellow"/>
        </w:rPr>
        <w:t>投标保证金的金额：人民币</w:t>
      </w:r>
      <w:r>
        <w:rPr>
          <w:rFonts w:hint="eastAsia" w:ascii="宋体" w:hAnsi="宋体" w:cs="宋体"/>
          <w:b/>
          <w:bCs/>
          <w:sz w:val="24"/>
          <w:szCs w:val="24"/>
          <w:highlight w:val="yellow"/>
          <w:lang w:val="en-US" w:eastAsia="zh-CN"/>
        </w:rPr>
        <w:t>5</w:t>
      </w:r>
      <w:r>
        <w:rPr>
          <w:rFonts w:hint="eastAsia" w:ascii="宋体" w:hAnsi="宋体" w:eastAsia="宋体" w:cs="宋体"/>
          <w:b/>
          <w:bCs/>
          <w:sz w:val="24"/>
          <w:szCs w:val="24"/>
          <w:highlight w:val="yellow"/>
        </w:rPr>
        <w:t>000元</w:t>
      </w:r>
    </w:p>
    <w:p w14:paraId="18798CF9">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单位名称：中国重汽集团济南动力有限公司</w:t>
      </w:r>
    </w:p>
    <w:p w14:paraId="753E61F2">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收款账号：37001616508050150300</w:t>
      </w:r>
    </w:p>
    <w:p w14:paraId="2486BBFE">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开户行名称：中国建设银行股份有限公司济南天桥支行</w:t>
      </w:r>
    </w:p>
    <w:p w14:paraId="33966164">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开户行行号：105451000362</w:t>
      </w:r>
    </w:p>
    <w:p w14:paraId="1E137B95">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14:paraId="5C4359FB">
      <w:pPr>
        <w:pStyle w:val="151"/>
        <w:keepNext w:val="0"/>
        <w:keepLines w:val="0"/>
        <w:pageBreakBefore w:val="0"/>
        <w:widowControl w:val="0"/>
        <w:tabs>
          <w:tab w:val="left" w:pos="454"/>
          <w:tab w:val="left" w:pos="2433"/>
        </w:tabs>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color w:val="000000"/>
          <w:sz w:val="24"/>
          <w:szCs w:val="24"/>
        </w:rPr>
      </w:pPr>
      <w:r>
        <w:rPr>
          <w:rFonts w:hint="eastAsia" w:eastAsia="宋体" w:cs="Times New Roman"/>
          <w:sz w:val="24"/>
          <w:szCs w:val="28"/>
          <w:highlight w:val="none"/>
        </w:rPr>
        <w:t>转账附言：</w:t>
      </w:r>
      <w:r>
        <w:rPr>
          <w:rFonts w:hint="eastAsia" w:eastAsia="宋体" w:cs="Times New Roman"/>
          <w:b/>
          <w:bCs/>
          <w:sz w:val="24"/>
          <w:szCs w:val="28"/>
          <w:highlight w:val="none"/>
        </w:rPr>
        <w:t>公司名称+</w:t>
      </w:r>
      <w:r>
        <w:rPr>
          <w:rFonts w:hint="eastAsia" w:eastAsia="宋体" w:cs="Times New Roman"/>
          <w:b/>
          <w:bCs/>
          <w:sz w:val="24"/>
          <w:szCs w:val="28"/>
          <w:highlight w:val="none"/>
          <w:lang w:val="en-US" w:eastAsia="zh-CN"/>
        </w:rPr>
        <w:t>项目</w:t>
      </w:r>
      <w:r>
        <w:rPr>
          <w:rFonts w:hint="eastAsia" w:cs="Times New Roman"/>
          <w:b/>
          <w:bCs/>
          <w:sz w:val="24"/>
          <w:szCs w:val="28"/>
          <w:highlight w:val="none"/>
          <w:lang w:val="en-US" w:eastAsia="zh-CN"/>
        </w:rPr>
        <w:t>名称+</w:t>
      </w:r>
      <w:r>
        <w:rPr>
          <w:rFonts w:hint="eastAsia" w:eastAsia="宋体" w:cs="Times New Roman"/>
          <w:b/>
          <w:bCs/>
          <w:sz w:val="24"/>
          <w:szCs w:val="28"/>
          <w:highlight w:val="none"/>
        </w:rPr>
        <w:t>投标保证金</w:t>
      </w:r>
      <w:r>
        <w:rPr>
          <w:rFonts w:hint="eastAsia" w:eastAsia="宋体" w:cs="Times New Roman"/>
          <w:sz w:val="24"/>
          <w:szCs w:val="28"/>
          <w:highlight w:val="none"/>
        </w:rPr>
        <w:t>。</w:t>
      </w:r>
    </w:p>
    <w:p w14:paraId="0C755D3A">
      <w:pPr>
        <w:pStyle w:val="151"/>
        <w:numPr>
          <w:ilvl w:val="0"/>
          <w:numId w:val="7"/>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投标保证金的退还</w:t>
      </w:r>
    </w:p>
    <w:p w14:paraId="05EAF43D">
      <w:pPr>
        <w:pStyle w:val="151"/>
        <w:numPr>
          <w:ilvl w:val="0"/>
          <w:numId w:val="8"/>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cs="宋体"/>
          <w:sz w:val="24"/>
          <w:szCs w:val="24"/>
          <w:highlight w:val="none"/>
        </w:rPr>
        <w:t>对于没有中标的投标人，投标保证金将于招标人内部完成中标人评审并确认最终中标人后在</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内予以原路返还（无息）；对于中标方，投标保证金将在签订合同后</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内原路返还（无息）。</w:t>
      </w:r>
    </w:p>
    <w:p w14:paraId="32B77242">
      <w:pPr>
        <w:pStyle w:val="229"/>
        <w:ind w:left="0" w:leftChars="0" w:firstLine="0" w:firstLineChars="0"/>
        <w:rPr>
          <w:rFonts w:eastAsia="宋体" w:cs="宋体"/>
          <w:highlight w:val="none"/>
        </w:rPr>
      </w:pPr>
      <w:r>
        <w:rPr>
          <w:rFonts w:hint="eastAsia" w:eastAsia="宋体" w:cs="宋体"/>
          <w:highlight w:val="none"/>
          <w:lang w:val="en-US" w:eastAsia="zh-CN"/>
        </w:rPr>
        <w:t>4.</w:t>
      </w:r>
      <w:r>
        <w:rPr>
          <w:rFonts w:hint="eastAsia" w:eastAsia="宋体" w:cs="宋体"/>
          <w:highlight w:val="none"/>
        </w:rPr>
        <w:t>发生以下情况时，招标人有权没收保证金：</w:t>
      </w:r>
    </w:p>
    <w:p w14:paraId="42A715F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1</w:t>
      </w:r>
      <w:r>
        <w:rPr>
          <w:rFonts w:hint="eastAsia" w:eastAsia="宋体" w:cs="宋体"/>
          <w:highlight w:val="none"/>
          <w:lang w:eastAsia="zh-CN"/>
        </w:rPr>
        <w:t>）</w:t>
      </w:r>
      <w:r>
        <w:rPr>
          <w:rFonts w:hint="eastAsia" w:eastAsia="宋体" w:cs="宋体"/>
          <w:highlight w:val="none"/>
        </w:rPr>
        <w:t xml:space="preserve"> 截至开标前3天，投标人无正当理由且未以书面形式递交说明而在投标截止日不来投标的；</w:t>
      </w:r>
    </w:p>
    <w:p w14:paraId="1F032D61">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2</w:t>
      </w:r>
      <w:r>
        <w:rPr>
          <w:rFonts w:hint="eastAsia" w:eastAsia="宋体" w:cs="宋体"/>
          <w:highlight w:val="none"/>
          <w:lang w:eastAsia="zh-CN"/>
        </w:rPr>
        <w:t>）</w:t>
      </w:r>
      <w:r>
        <w:rPr>
          <w:rFonts w:hint="eastAsia" w:eastAsia="宋体" w:cs="宋体"/>
          <w:highlight w:val="none"/>
        </w:rPr>
        <w:t>投标人递送投标文件后，无正当理由放弃投标的；</w:t>
      </w:r>
    </w:p>
    <w:p w14:paraId="57F0AAFE">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3</w:t>
      </w:r>
      <w:r>
        <w:rPr>
          <w:rFonts w:hint="eastAsia" w:eastAsia="宋体" w:cs="宋体"/>
          <w:highlight w:val="none"/>
          <w:lang w:eastAsia="zh-CN"/>
        </w:rPr>
        <w:t>）</w:t>
      </w:r>
      <w:r>
        <w:rPr>
          <w:rFonts w:hint="eastAsia" w:eastAsia="宋体" w:cs="宋体"/>
          <w:highlight w:val="none"/>
        </w:rPr>
        <w:t>若为视频开标，招标过程中澄清函等资料原件未按要求提交的；</w:t>
      </w:r>
    </w:p>
    <w:p w14:paraId="46DCBA6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4</w:t>
      </w:r>
      <w:r>
        <w:rPr>
          <w:rFonts w:hint="eastAsia" w:eastAsia="宋体" w:cs="宋体"/>
          <w:highlight w:val="none"/>
          <w:lang w:eastAsia="zh-CN"/>
        </w:rPr>
        <w:t>）</w:t>
      </w:r>
      <w:r>
        <w:rPr>
          <w:rFonts w:hint="eastAsia" w:eastAsia="宋体" w:cs="宋体"/>
          <w:highlight w:val="none"/>
        </w:rPr>
        <w:t>4自中标通知书发出之日起30日内，中标人无正当理由不签订合同的；</w:t>
      </w:r>
    </w:p>
    <w:p w14:paraId="1CE8AD82">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5</w:t>
      </w:r>
      <w:r>
        <w:rPr>
          <w:rFonts w:hint="eastAsia" w:eastAsia="宋体" w:cs="宋体"/>
          <w:highlight w:val="none"/>
          <w:lang w:eastAsia="zh-CN"/>
        </w:rPr>
        <w:t>）</w:t>
      </w:r>
      <w:r>
        <w:rPr>
          <w:rFonts w:hint="eastAsia" w:eastAsia="宋体" w:cs="宋体"/>
          <w:highlight w:val="none"/>
        </w:rPr>
        <w:t>投标人在投标过程中被查实有串标、围标、陪标等违规违纪行为的；</w:t>
      </w:r>
    </w:p>
    <w:p w14:paraId="46D6A965">
      <w:pPr>
        <w:pStyle w:val="229"/>
        <w:spacing w:line="360" w:lineRule="auto"/>
        <w:ind w:firstLine="480"/>
        <w:rPr>
          <w:rFonts w:hint="eastAsia" w:ascii="宋体" w:hAnsi="宋体" w:eastAsia="宋体" w:cs="宋体"/>
          <w:color w:val="000000"/>
          <w:sz w:val="24"/>
          <w:szCs w:val="24"/>
          <w:highlight w:val="none"/>
        </w:rPr>
      </w:pPr>
      <w:r>
        <w:rPr>
          <w:rFonts w:hint="eastAsia" w:eastAsia="宋体" w:cs="宋体"/>
          <w:color w:val="000000"/>
          <w:sz w:val="24"/>
          <w:szCs w:val="24"/>
          <w:highlight w:val="none"/>
          <w:lang w:eastAsia="zh-CN"/>
        </w:rPr>
        <w:t>（</w:t>
      </w:r>
      <w:r>
        <w:rPr>
          <w:rFonts w:hint="eastAsia" w:eastAsia="宋体" w:cs="宋体"/>
          <w:color w:val="000000"/>
          <w:sz w:val="24"/>
          <w:szCs w:val="24"/>
          <w:highlight w:val="none"/>
          <w:lang w:val="en-US" w:eastAsia="zh-CN"/>
        </w:rPr>
        <w:t>6</w:t>
      </w:r>
      <w:r>
        <w:rPr>
          <w:rFonts w:hint="eastAsia" w:eastAsia="宋体" w:cs="宋体"/>
          <w:color w:val="000000"/>
          <w:sz w:val="24"/>
          <w:szCs w:val="24"/>
          <w:highlight w:val="none"/>
          <w:lang w:eastAsia="zh-CN"/>
        </w:rPr>
        <w:t>）</w:t>
      </w:r>
      <w:r>
        <w:rPr>
          <w:rFonts w:hint="eastAsia" w:ascii="宋体" w:hAnsi="宋体" w:eastAsia="宋体" w:cs="宋体"/>
          <w:color w:val="000000"/>
          <w:sz w:val="24"/>
          <w:szCs w:val="24"/>
          <w:highlight w:val="none"/>
        </w:rPr>
        <w:t>投标人有违约违规行为或被投诉、举报的，在调查处理期间，保证金暂不退还，待调查处理结束后按有关规定处理。</w:t>
      </w:r>
    </w:p>
    <w:p w14:paraId="3C1C317D">
      <w:pPr>
        <w:pStyle w:val="229"/>
        <w:spacing w:line="360" w:lineRule="auto"/>
        <w:ind w:firstLine="480"/>
        <w:rPr>
          <w:rFonts w:hint="eastAsia" w:ascii="宋体" w:hAnsi="宋体" w:eastAsia="宋体" w:cs="宋体"/>
          <w:sz w:val="24"/>
          <w:szCs w:val="24"/>
          <w:highlight w:val="none"/>
        </w:rPr>
      </w:pPr>
      <w:r>
        <w:rPr>
          <w:rFonts w:hint="eastAsia" w:eastAsia="宋体" w:cs="宋体"/>
          <w:sz w:val="24"/>
          <w:szCs w:val="24"/>
          <w:highlight w:val="none"/>
          <w:lang w:val="en-US" w:eastAsia="zh-CN"/>
        </w:rPr>
        <w:t>（7）</w:t>
      </w:r>
      <w:r>
        <w:rPr>
          <w:rFonts w:hint="eastAsia" w:ascii="宋体" w:hAnsi="宋体" w:eastAsia="宋体" w:cs="宋体"/>
          <w:color w:val="000000"/>
          <w:sz w:val="24"/>
          <w:szCs w:val="24"/>
          <w:highlight w:val="none"/>
        </w:rPr>
        <w:t>供应商与采购人、其他供应商或者采购代理机构恶意串通、围标、陪标的</w:t>
      </w:r>
      <w:r>
        <w:rPr>
          <w:rFonts w:hint="eastAsia" w:ascii="宋体" w:hAnsi="宋体" w:eastAsia="宋体" w:cs="宋体"/>
          <w:sz w:val="24"/>
          <w:szCs w:val="24"/>
          <w:highlight w:val="none"/>
        </w:rPr>
        <w:t>；</w:t>
      </w:r>
    </w:p>
    <w:p w14:paraId="5A2EA0D9">
      <w:pPr>
        <w:spacing w:line="360" w:lineRule="auto"/>
        <w:ind w:right="2"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（8）</w:t>
      </w:r>
      <w:r>
        <w:rPr>
          <w:rFonts w:hint="eastAsia" w:ascii="宋体" w:hAnsi="宋体" w:eastAsia="宋体" w:cs="宋体"/>
          <w:color w:val="000000"/>
          <w:sz w:val="24"/>
          <w:szCs w:val="24"/>
          <w:highlight w:val="none"/>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14:paraId="65A1E946">
      <w:pPr>
        <w:spacing w:line="360" w:lineRule="auto"/>
        <w:ind w:right="2" w:firstLine="480" w:firstLineChars="200"/>
        <w:rPr>
          <w:rFonts w:hint="eastAsia" w:ascii="宋体" w:hAnsi="宋体" w:cs="宋体"/>
          <w:sz w:val="24"/>
          <w:szCs w:val="24"/>
          <w:highlight w:val="none"/>
        </w:rPr>
      </w:pPr>
      <w:r>
        <w:rPr>
          <w:rFonts w:hint="eastAsia" w:ascii="宋体" w:hAnsi="宋体" w:cs="宋体"/>
          <w:color w:val="000000"/>
          <w:sz w:val="24"/>
          <w:szCs w:val="24"/>
          <w:highlight w:val="none"/>
          <w:lang w:val="en-US" w:eastAsia="zh-CN"/>
        </w:rPr>
        <w:t>（9）</w:t>
      </w:r>
      <w:r>
        <w:rPr>
          <w:rFonts w:hint="eastAsia" w:ascii="宋体" w:hAnsi="宋体" w:eastAsia="宋体" w:cs="宋体"/>
          <w:color w:val="000000"/>
          <w:sz w:val="24"/>
          <w:szCs w:val="24"/>
          <w:highlight w:val="none"/>
        </w:rPr>
        <w:t>采购文件规定的其他情形。</w:t>
      </w:r>
    </w:p>
    <w:p w14:paraId="20D7D000">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一</w:t>
      </w:r>
      <w:r>
        <w:rPr>
          <w:rFonts w:hint="eastAsia" w:asciiTheme="minorEastAsia" w:hAnsiTheme="minorEastAsia" w:eastAsiaTheme="minorEastAsia" w:cstheme="minorEastAsia"/>
          <w:b/>
          <w:sz w:val="24"/>
          <w:szCs w:val="24"/>
        </w:rPr>
        <w:t>、中标</w:t>
      </w:r>
    </w:p>
    <w:p w14:paraId="3E8C097B">
      <w:pPr>
        <w:pStyle w:val="151"/>
        <w:numPr>
          <w:ilvl w:val="0"/>
          <w:numId w:val="9"/>
        </w:numPr>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评标定标后，招标人将以</w:t>
      </w:r>
      <w:r>
        <w:rPr>
          <w:rFonts w:hint="eastAsia" w:asciiTheme="minorEastAsia" w:hAnsiTheme="minorEastAsia" w:eastAsiaTheme="minorEastAsia" w:cstheme="minorEastAsia"/>
          <w:sz w:val="24"/>
          <w:szCs w:val="24"/>
          <w:lang w:val="en-US" w:eastAsia="zh-CN"/>
        </w:rPr>
        <w:t>书面</w:t>
      </w:r>
      <w:r>
        <w:rPr>
          <w:rFonts w:hint="eastAsia" w:asciiTheme="minorEastAsia" w:hAnsiTheme="minorEastAsia" w:eastAsiaTheme="minorEastAsia" w:cstheme="minorEastAsia"/>
          <w:sz w:val="24"/>
          <w:szCs w:val="24"/>
        </w:rPr>
        <w:t>通知的形式通知中标单位。</w:t>
      </w:r>
    </w:p>
    <w:p w14:paraId="605836FD">
      <w:pPr>
        <w:pStyle w:val="151"/>
        <w:numPr>
          <w:ilvl w:val="0"/>
          <w:numId w:val="9"/>
        </w:numPr>
        <w:adjustRightInd w:val="0"/>
        <w:snapToGrid w:val="0"/>
        <w:spacing w:line="360" w:lineRule="auto"/>
        <w:ind w:left="420" w:firstLineChars="0"/>
        <w:jc w:val="left"/>
        <w:rPr>
          <w:rFonts w:hint="eastAsia"/>
        </w:rPr>
      </w:pPr>
      <w:r>
        <w:rPr>
          <w:rFonts w:hint="eastAsia" w:asciiTheme="minorEastAsia" w:hAnsiTheme="minorEastAsia" w:eastAsiaTheme="minorEastAsia" w:cstheme="minorEastAsia"/>
          <w:sz w:val="24"/>
          <w:szCs w:val="24"/>
        </w:rPr>
        <w:t>中标人收到中标通知后，应在30个工作日内与招标人签订合同，中标人无正当理由不与招标人订立合同，或在签订合同时向招标人提出附加条件，取消其中标资格。</w:t>
      </w:r>
    </w:p>
    <w:p w14:paraId="67556CA5">
      <w:pPr>
        <w:pStyle w:val="151"/>
        <w:numPr>
          <w:ilvl w:val="0"/>
          <w:numId w:val="9"/>
        </w:numPr>
        <w:adjustRightInd w:val="0"/>
        <w:snapToGrid w:val="0"/>
        <w:spacing w:line="360" w:lineRule="auto"/>
        <w:ind w:left="420" w:firstLineChars="0"/>
        <w:jc w:val="left"/>
        <w:rPr>
          <w:rFonts w:hint="eastAsia" w:asciiTheme="minorEastAsia" w:hAnsiTheme="minorEastAsia" w:eastAsiaTheme="minorEastAsia" w:cstheme="minorEastAsia"/>
          <w:b/>
          <w:sz w:val="24"/>
          <w:szCs w:val="24"/>
        </w:rPr>
      </w:pPr>
      <w:r>
        <w:rPr>
          <w:rFonts w:hint="eastAsia" w:ascii="Times New Roman" w:hAnsi="Times New Roman"/>
          <w:b/>
          <w:color w:val="FF0000"/>
        </w:rPr>
        <w:t>若投标人已成为意向中标人，投标人必须无条件配合招标人完成核价流程的工作。</w:t>
      </w:r>
    </w:p>
    <w:p w14:paraId="669188A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二</w:t>
      </w:r>
      <w:r>
        <w:rPr>
          <w:rFonts w:hint="eastAsia" w:asciiTheme="minorEastAsia" w:hAnsiTheme="minorEastAsia" w:eastAsiaTheme="minorEastAsia" w:cstheme="minorEastAsia"/>
          <w:b/>
          <w:sz w:val="24"/>
          <w:szCs w:val="24"/>
        </w:rPr>
        <w:t>、中标人瑕疵滞后发现的处理原则</w:t>
      </w:r>
    </w:p>
    <w:p w14:paraId="0047BD74">
      <w:pPr>
        <w:snapToGrid w:val="0"/>
        <w:spacing w:line="360" w:lineRule="auto"/>
        <w:ind w:firstLine="482" w:firstLineChars="20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的费用以及一切损失均由中标人承担。已签订合同的，招标人有权单方解除合同，瑕疵中标人不得以此为由向招标人主张任何权利和请求。</w:t>
      </w:r>
    </w:p>
    <w:p w14:paraId="01E903F2">
      <w:pPr>
        <w:keepNext/>
        <w:keepLines/>
        <w:spacing w:line="360" w:lineRule="auto"/>
        <w:outlineLvl w:val="1"/>
        <w:rPr>
          <w:rFonts w:ascii="宋体" w:hAnsi="宋体" w:eastAsia="宋体" w:cs="宋体"/>
          <w:b/>
          <w:bCs/>
          <w:sz w:val="24"/>
          <w:szCs w:val="24"/>
          <w:highlight w:val="none"/>
        </w:rPr>
      </w:pPr>
      <w:r>
        <w:rPr>
          <w:rFonts w:hint="eastAsia" w:asciiTheme="minorEastAsia" w:hAnsiTheme="minorEastAsia" w:eastAsiaTheme="minorEastAsia" w:cstheme="minorEastAsia"/>
          <w:b/>
          <w:sz w:val="24"/>
          <w:szCs w:val="24"/>
          <w:u w:val="single"/>
        </w:rPr>
        <w:t>十</w:t>
      </w:r>
      <w:r>
        <w:rPr>
          <w:rFonts w:hint="eastAsia" w:asciiTheme="minorEastAsia" w:hAnsiTheme="minorEastAsia" w:eastAsiaTheme="minorEastAsia" w:cstheme="minorEastAsia"/>
          <w:b/>
          <w:sz w:val="24"/>
          <w:szCs w:val="24"/>
          <w:u w:val="single"/>
          <w:lang w:val="en-US" w:eastAsia="zh-CN"/>
        </w:rPr>
        <w:t>三</w:t>
      </w:r>
      <w:r>
        <w:rPr>
          <w:rFonts w:hint="eastAsia" w:asciiTheme="minorEastAsia" w:hAnsiTheme="minorEastAsia" w:eastAsiaTheme="minorEastAsia" w:cstheme="minorEastAsia"/>
          <w:b/>
          <w:sz w:val="24"/>
          <w:szCs w:val="24"/>
          <w:u w:val="single"/>
        </w:rPr>
        <w:t>、</w:t>
      </w:r>
      <w:r>
        <w:rPr>
          <w:rFonts w:hint="eastAsia" w:ascii="宋体" w:hAnsi="宋体" w:eastAsia="宋体" w:cs="宋体"/>
          <w:b/>
          <w:bCs/>
          <w:sz w:val="24"/>
          <w:szCs w:val="24"/>
          <w:highlight w:val="none"/>
        </w:rPr>
        <w:t>废标及终止招标</w:t>
      </w:r>
    </w:p>
    <w:p w14:paraId="44A3044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51766ED">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（1）投标人提供的有关资格、资质证明文件不合格、不真实或提供虚假投标材料；</w:t>
      </w:r>
    </w:p>
    <w:p w14:paraId="418FEDA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14:paraId="722D8073">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14:paraId="43312A9F">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14:paraId="200465A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14:paraId="60961DD1">
      <w:pPr>
        <w:pStyle w:val="25"/>
        <w:spacing w:line="360" w:lineRule="auto"/>
        <w:rPr>
          <w:rFonts w:hAnsi="宋体" w:eastAsia="宋体" w:cs="宋体"/>
          <w:sz w:val="24"/>
          <w:szCs w:val="24"/>
          <w:highlight w:val="none"/>
        </w:rPr>
      </w:pPr>
      <w:r>
        <w:rPr>
          <w:rFonts w:hint="eastAsia" w:hAnsi="宋体" w:eastAsia="宋体" w:cs="宋体"/>
          <w:color w:val="000000"/>
          <w:sz w:val="24"/>
          <w:szCs w:val="24"/>
          <w:highlight w:val="none"/>
        </w:rPr>
        <w:t xml:space="preserve">    （6）投标人被举报、检举，并经招标人查实无误的；</w:t>
      </w:r>
    </w:p>
    <w:p w14:paraId="5CFB61D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14:paraId="6C60DD75">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14:paraId="04118637">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（9）有效投标不足三家；</w:t>
      </w:r>
    </w:p>
    <w:p w14:paraId="7E5ED1D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14:paraId="45E6A3B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1）未按照招标人规定的时间内在中国重汽e采通完成投标的；</w:t>
      </w:r>
    </w:p>
    <w:p w14:paraId="57E79D8A">
      <w:pPr>
        <w:pStyle w:val="25"/>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（12）不同投标人的投标文件异常一致；</w:t>
      </w:r>
    </w:p>
    <w:p w14:paraId="3FA4CD7E">
      <w:pPr>
        <w:pStyle w:val="25"/>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（13）投标报价呈规律性差异的；</w:t>
      </w:r>
    </w:p>
    <w:p w14:paraId="7430E91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hAnsi="宋体" w:eastAsia="宋体" w:cs="宋体"/>
          <w:color w:val="000000"/>
          <w:sz w:val="24"/>
          <w:szCs w:val="24"/>
          <w:highlight w:val="none"/>
        </w:rPr>
        <w:t>4</w:t>
      </w:r>
      <w:r>
        <w:rPr>
          <w:rFonts w:hint="eastAsia" w:ascii="宋体" w:hAnsi="宋体" w:eastAsia="宋体" w:cs="宋体"/>
          <w:color w:val="000000"/>
          <w:sz w:val="24"/>
          <w:szCs w:val="24"/>
          <w:highlight w:val="none"/>
        </w:rPr>
        <w:t>）法律、法规规定的其他情况。</w:t>
      </w:r>
    </w:p>
    <w:p w14:paraId="60183050">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2.出现下列情形之一，招标人有权否决所有投标人的投标，并终止招标。</w:t>
      </w:r>
    </w:p>
    <w:p w14:paraId="1B025717">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14:paraId="43D3C1A8">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14:paraId="2DB91BA1">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3165C1E9">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bookmarkStart w:id="10" w:name="OLE_LINK25"/>
      <w:bookmarkStart w:id="11" w:name="OLE_LINK27"/>
      <w:bookmarkStart w:id="12" w:name="OLE_LINK29"/>
      <w:bookmarkStart w:id="13" w:name="OLE_LINK28"/>
      <w:bookmarkStart w:id="14" w:name="OLE_LINK26"/>
      <w:r>
        <w:rPr>
          <w:rFonts w:hint="eastAsia" w:ascii="宋体" w:hAnsi="宋体" w:eastAsia="宋体" w:cs="宋体"/>
          <w:bCs/>
          <w:sz w:val="24"/>
          <w:szCs w:val="24"/>
          <w:highlight w:val="none"/>
        </w:rPr>
        <w:t>；</w:t>
      </w:r>
      <w:bookmarkEnd w:id="10"/>
      <w:bookmarkEnd w:id="11"/>
      <w:bookmarkEnd w:id="12"/>
      <w:bookmarkEnd w:id="13"/>
      <w:bookmarkEnd w:id="14"/>
    </w:p>
    <w:p w14:paraId="27CCD9FE">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14:paraId="78D3B0A6">
      <w:pPr>
        <w:pStyle w:val="25"/>
        <w:spacing w:line="360" w:lineRule="auto"/>
        <w:ind w:firstLine="480" w:firstLineChars="200"/>
        <w:rPr>
          <w:rFonts w:hAnsi="宋体" w:eastAsia="宋体" w:cs="宋体"/>
          <w:bCs/>
          <w:sz w:val="24"/>
          <w:szCs w:val="24"/>
          <w:highlight w:val="none"/>
        </w:rPr>
      </w:pPr>
      <w:r>
        <w:rPr>
          <w:rFonts w:hint="eastAsia" w:hAnsi="宋体" w:eastAsia="宋体" w:cs="宋体"/>
          <w:bCs/>
          <w:sz w:val="24"/>
          <w:szCs w:val="24"/>
          <w:highlight w:val="none"/>
        </w:rPr>
        <w:t>（6）招标人认为其他应终止招标的情形。</w:t>
      </w:r>
    </w:p>
    <w:p w14:paraId="27BD2702">
      <w:pPr>
        <w:snapToGrid w:val="0"/>
        <w:spacing w:line="360" w:lineRule="auto"/>
        <w:jc w:val="left"/>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四</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本次招标最终解释权归中国重型汽车集团有限公司。</w:t>
      </w:r>
    </w:p>
    <w:p w14:paraId="78CE263F">
      <w:pPr>
        <w:pStyle w:val="234"/>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sz w:val="21"/>
          <w:szCs w:val="21"/>
          <w:lang w:val="en-US" w:eastAsia="zh-CN"/>
        </w:rPr>
      </w:pPr>
      <w:r>
        <w:rPr>
          <w:rFonts w:ascii="宋体" w:hAnsi="宋体" w:eastAsia="宋体" w:cs="宋体"/>
          <w:sz w:val="21"/>
          <w:szCs w:val="21"/>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1"/>
          <w:szCs w:val="21"/>
          <w:lang w:eastAsia="zh-CN"/>
        </w:rPr>
        <w:t>。</w:t>
      </w:r>
    </w:p>
    <w:p w14:paraId="1950701A">
      <w:pPr>
        <w:rPr>
          <w:rFonts w:hint="eastAsia" w:ascii="宋体" w:hAnsi="宋体" w:eastAsia="宋体" w:cs="宋体"/>
          <w:b/>
          <w:color w:val="auto"/>
          <w:sz w:val="44"/>
          <w:szCs w:val="36"/>
          <w:highlight w:val="none"/>
          <w:lang w:val="en-US" w:eastAsia="zh-CN"/>
        </w:rPr>
      </w:pPr>
      <w:r>
        <w:rPr>
          <w:rFonts w:hint="eastAsia" w:ascii="宋体" w:hAnsi="宋体" w:eastAsia="宋体" w:cs="宋体"/>
          <w:b/>
          <w:color w:val="auto"/>
          <w:sz w:val="44"/>
          <w:szCs w:val="36"/>
          <w:highlight w:val="none"/>
          <w:lang w:val="en-US" w:eastAsia="zh-CN"/>
        </w:rPr>
        <w:br w:type="page"/>
      </w:r>
    </w:p>
    <w:p w14:paraId="1DAE0226">
      <w:pPr>
        <w:autoSpaceDE w:val="0"/>
        <w:autoSpaceDN w:val="0"/>
        <w:adjustRightInd w:val="0"/>
        <w:snapToGrid w:val="0"/>
        <w:spacing w:line="360" w:lineRule="auto"/>
        <w:jc w:val="center"/>
        <w:rPr>
          <w:rFonts w:hint="default" w:ascii="宋体" w:hAnsi="宋体" w:eastAsia="宋体" w:cs="宋体"/>
          <w:b/>
          <w:bCs/>
          <w:color w:val="000000"/>
          <w:sz w:val="44"/>
          <w:szCs w:val="44"/>
          <w:highlight w:val="none"/>
          <w:u w:val="none"/>
          <w:lang w:val="en-US" w:eastAsia="zh-CN" w:bidi="zh-CN"/>
        </w:rPr>
      </w:pPr>
      <w:r>
        <w:rPr>
          <w:rFonts w:hint="eastAsia" w:ascii="宋体" w:hAnsi="宋体" w:eastAsia="宋体" w:cs="宋体"/>
          <w:b/>
          <w:color w:val="auto"/>
          <w:sz w:val="44"/>
          <w:szCs w:val="36"/>
          <w:highlight w:val="none"/>
          <w:lang w:val="en-US" w:eastAsia="zh-CN"/>
        </w:rPr>
        <w:t>第二部分</w:t>
      </w:r>
      <w:r>
        <w:rPr>
          <w:rFonts w:hint="eastAsia" w:ascii="宋体" w:hAnsi="宋体" w:cs="宋体"/>
          <w:b/>
          <w:color w:val="auto"/>
          <w:sz w:val="44"/>
          <w:szCs w:val="36"/>
          <w:highlight w:val="none"/>
          <w:lang w:val="en-US" w:eastAsia="zh-CN"/>
        </w:rPr>
        <w:t xml:space="preserve"> </w:t>
      </w:r>
      <w:r>
        <w:rPr>
          <w:rFonts w:hint="eastAsia" w:ascii="宋体" w:hAnsi="宋体" w:eastAsia="宋体" w:cs="宋体"/>
          <w:b/>
          <w:bCs/>
          <w:color w:val="000000"/>
          <w:sz w:val="44"/>
          <w:szCs w:val="44"/>
          <w:highlight w:val="none"/>
          <w:u w:val="none"/>
          <w:lang w:val="en-US" w:eastAsia="zh-CN" w:bidi="zh-CN"/>
        </w:rPr>
        <w:t>技术要求</w:t>
      </w:r>
    </w:p>
    <w:p w14:paraId="13BE54AB">
      <w:pPr>
        <w:pStyle w:val="4"/>
        <w:numPr>
          <w:ilvl w:val="0"/>
          <w:numId w:val="0"/>
        </w:numPr>
        <w:adjustRightInd w:val="0"/>
        <w:snapToGrid w:val="0"/>
        <w:spacing w:before="0" w:after="0" w:line="540" w:lineRule="exact"/>
        <w:jc w:val="center"/>
        <w:rPr>
          <w:rFonts w:hint="eastAsia" w:ascii="仿宋" w:hAnsi="仿宋" w:eastAsia="仿宋"/>
          <w:sz w:val="40"/>
        </w:rPr>
      </w:pPr>
      <w:r>
        <w:rPr>
          <w:rFonts w:hint="eastAsia" w:ascii="黑体" w:eastAsia="黑体"/>
          <w:b/>
          <w:bCs/>
          <w:sz w:val="36"/>
          <w:szCs w:val="36"/>
        </w:rPr>
        <w:t xml:space="preserve"> </w:t>
      </w:r>
      <w:r>
        <w:rPr>
          <w:rFonts w:hint="eastAsia" w:ascii="仿宋" w:hAnsi="仿宋" w:eastAsia="仿宋"/>
          <w:sz w:val="40"/>
        </w:rPr>
        <w:t>招标文件技术要求</w:t>
      </w:r>
    </w:p>
    <w:p w14:paraId="204B2979"/>
    <w:p w14:paraId="0C8D12A6">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一、技术要求</w:t>
      </w:r>
    </w:p>
    <w:p w14:paraId="1DCBF02D">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（一）基本要求</w:t>
      </w:r>
    </w:p>
    <w:p w14:paraId="51FF6CA1">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1.投标人须具有履行合同所必需的设备、财务、技术、服务等方面的资质和能力。</w:t>
      </w:r>
    </w:p>
    <w:p w14:paraId="7A4254EF">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2.公司注册资本不少于</w:t>
      </w:r>
      <w:r>
        <w:rPr>
          <w:rFonts w:hint="eastAsia" w:ascii="仿宋_GB2312" w:hAnsi="仿宋_GB2312" w:eastAsia="仿宋_GB2312" w:cs="仿宋_GB2312"/>
          <w:b w:val="0"/>
          <w:bCs w:val="0"/>
          <w:sz w:val="28"/>
          <w:lang w:val="en-US" w:eastAsia="zh-CN"/>
        </w:rPr>
        <w:t>2000</w:t>
      </w:r>
      <w:r>
        <w:rPr>
          <w:rFonts w:hint="eastAsia" w:ascii="仿宋_GB2312" w:hAnsi="仿宋_GB2312" w:eastAsia="仿宋_GB2312" w:cs="仿宋_GB2312"/>
          <w:b w:val="0"/>
          <w:bCs w:val="0"/>
          <w:sz w:val="28"/>
        </w:rPr>
        <w:t>万（含）。</w:t>
      </w:r>
    </w:p>
    <w:p w14:paraId="4394DEE0">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3.要求项目经理常驻现场，负责日常工作安排及安全管理；项目安全员常驻现场，配合项目经理现场安全巡视，保证施工安全、工期和质量要求。</w:t>
      </w:r>
    </w:p>
    <w:p w14:paraId="24B6B51B">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4.施工人员要求持证上岗，根据工种要求，必须配备焊工证，电工证，高空作业证，消防设施操作员证。</w:t>
      </w:r>
    </w:p>
    <w:p w14:paraId="713D35C8">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5.在社会上和重汽集团的其他招标过程中没有不良行为记录。</w:t>
      </w:r>
    </w:p>
    <w:p w14:paraId="54B936AE">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6.投标单位应具备并提供近三年消防类项目施工业绩不少于五份。</w:t>
      </w:r>
    </w:p>
    <w:p w14:paraId="4B244711">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（二）投标单位要求</w:t>
      </w:r>
    </w:p>
    <w:p w14:paraId="2E63B101">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1、投标单位必须独立参加投标，不得以任何形式授权他人或组织联合体形式参加投标。投标单位中标后，不得以任何形式进行转包和分包。</w:t>
      </w:r>
    </w:p>
    <w:p w14:paraId="3826A69F">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2、投标单位需根据此项目系统工作量及专业性，出具科学性、合理性、详细的维修改造方案。</w:t>
      </w:r>
    </w:p>
    <w:p w14:paraId="4EBB483A">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3、投标单位需依据报价单专业岗位划分类型为此项目安排专业团队，并在投标文件中列明各专业岗位人员配置数量及人员素质、工作经验等要求。</w:t>
      </w:r>
    </w:p>
    <w:p w14:paraId="2E576D0D">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4、投标单位需依据项目背景及内容，详细阐述对该项目的施工内容及范围包括工期、施工进度说明等。</w:t>
      </w:r>
    </w:p>
    <w:p w14:paraId="74164D22">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5、投标单位所供项目标的，必须符合中国最新版的法律、法规和相关标准、规范的要求，符合项目所在地政府有关特殊要求；</w:t>
      </w:r>
    </w:p>
    <w:p w14:paraId="4D828F14">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6、投标单位应对委托方提出的各项技术要求同意进行技术（担保）承诺，并保证委托方不因此受到任何侵权指控和实际损失；</w:t>
      </w:r>
    </w:p>
    <w:p w14:paraId="499D7D27">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7、投标单位应保证所供服务或技术的先进性、可靠性、经济性和实用性；</w:t>
      </w:r>
    </w:p>
    <w:p w14:paraId="51F22401">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8、招标方提供的数据为仅供参考，实际数据请投标方实地查勘</w:t>
      </w:r>
      <w:r>
        <w:rPr>
          <w:rFonts w:hint="eastAsia" w:ascii="仿宋_GB2312" w:hAnsi="仿宋_GB2312" w:eastAsia="仿宋_GB2312" w:cs="仿宋_GB2312"/>
          <w:b w:val="0"/>
          <w:bCs w:val="0"/>
          <w:sz w:val="28"/>
          <w:lang w:eastAsia="zh-CN"/>
        </w:rPr>
        <w:t>，</w:t>
      </w:r>
      <w:r>
        <w:rPr>
          <w:rFonts w:hint="eastAsia" w:ascii="仿宋_GB2312" w:hAnsi="仿宋_GB2312" w:eastAsia="仿宋_GB2312" w:cs="仿宋_GB2312"/>
          <w:b w:val="0"/>
          <w:bCs w:val="0"/>
          <w:sz w:val="28"/>
          <w:lang w:val="en-US" w:eastAsia="zh-CN"/>
        </w:rPr>
        <w:t>未进行实地勘察的视为不符合技术要求，不得进入商务标</w:t>
      </w:r>
      <w:r>
        <w:rPr>
          <w:rFonts w:hint="eastAsia" w:ascii="仿宋_GB2312" w:hAnsi="仿宋_GB2312" w:eastAsia="仿宋_GB2312" w:cs="仿宋_GB2312"/>
          <w:b w:val="0"/>
          <w:bCs w:val="0"/>
          <w:sz w:val="28"/>
        </w:rPr>
        <w:t>；</w:t>
      </w:r>
    </w:p>
    <w:p w14:paraId="2A1305AA">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9、本招标书所使用的标准如遇与施工方所执行的标准发生矛盾时，应按较高标准执行。</w:t>
      </w:r>
    </w:p>
    <w:p w14:paraId="0A68985A">
      <w:pPr>
        <w:pStyle w:val="60"/>
        <w:spacing w:line="360" w:lineRule="auto"/>
        <w:ind w:firstLine="560"/>
        <w:rPr>
          <w:rFonts w:hint="default" w:ascii="仿宋_GB2312" w:hAnsi="仿宋_GB2312" w:eastAsia="仿宋_GB2312" w:cs="仿宋_GB2312"/>
          <w:b w:val="0"/>
          <w:bCs w:val="0"/>
          <w:sz w:val="28"/>
          <w:lang w:val="en-US" w:eastAsia="zh-CN"/>
        </w:rPr>
      </w:pPr>
      <w:r>
        <w:rPr>
          <w:rFonts w:hint="eastAsia" w:ascii="仿宋_GB2312" w:hAnsi="仿宋_GB2312" w:eastAsia="仿宋_GB2312" w:cs="仿宋_GB2312"/>
          <w:b w:val="0"/>
          <w:bCs w:val="0"/>
          <w:sz w:val="28"/>
          <w:lang w:val="en-US" w:eastAsia="zh-CN"/>
        </w:rPr>
        <w:t>10、获得秦皇岛海湾品牌、大华品牌厂家授权。</w:t>
      </w:r>
    </w:p>
    <w:p w14:paraId="024A08FF">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（二）执行标准：</w:t>
      </w:r>
    </w:p>
    <w:p w14:paraId="7AE9977D">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1、《建筑设计防火规范》GB 50016—2014</w:t>
      </w:r>
      <w:r>
        <w:rPr>
          <w:rFonts w:hint="eastAsia" w:ascii="仿宋_GB2312" w:hAnsi="仿宋_GB2312" w:eastAsia="仿宋_GB2312" w:cs="仿宋_GB2312"/>
          <w:b w:val="0"/>
          <w:bCs w:val="0"/>
          <w:sz w:val="28"/>
        </w:rPr>
        <w:tab/>
      </w:r>
    </w:p>
    <w:p w14:paraId="575A7411">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2、《火灾自动报警系统施工及验收规范》GB50166- 2019</w:t>
      </w:r>
    </w:p>
    <w:p w14:paraId="57BBFB5C">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3、《自动喷水灭火系统施工及验收规范》GB50261-2017</w:t>
      </w:r>
    </w:p>
    <w:p w14:paraId="1F0EEDAD">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4、《建筑自动消防设施及消防控制室规范化管理标准》</w:t>
      </w:r>
    </w:p>
    <w:p w14:paraId="50D1603A">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5、《建筑消防设施的维护管理》GB 25201-2010</w:t>
      </w:r>
    </w:p>
    <w:p w14:paraId="3097376B">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6、《建筑消防设施维修保养技术规程》DB37_T 4328-2021</w:t>
      </w:r>
    </w:p>
    <w:p w14:paraId="1D03FFAA">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w:t>
      </w:r>
      <w:r>
        <w:rPr>
          <w:rFonts w:hint="eastAsia" w:ascii="仿宋_GB2312" w:hAnsi="仿宋_GB2312" w:eastAsia="仿宋_GB2312" w:cs="仿宋_GB2312"/>
          <w:b w:val="0"/>
          <w:bCs w:val="0"/>
          <w:sz w:val="28"/>
          <w:lang w:val="en-US" w:eastAsia="zh-CN"/>
        </w:rPr>
        <w:t>三</w:t>
      </w:r>
      <w:r>
        <w:rPr>
          <w:rFonts w:hint="eastAsia" w:ascii="仿宋_GB2312" w:hAnsi="仿宋_GB2312" w:eastAsia="仿宋_GB2312" w:cs="仿宋_GB2312"/>
          <w:b w:val="0"/>
          <w:bCs w:val="0"/>
          <w:sz w:val="28"/>
        </w:rPr>
        <w:t xml:space="preserve">）具体要求： </w:t>
      </w:r>
    </w:p>
    <w:p w14:paraId="3E6FEBD9">
      <w:pPr>
        <w:pStyle w:val="60"/>
        <w:spacing w:line="360" w:lineRule="auto"/>
        <w:ind w:firstLine="560"/>
        <w:rPr>
          <w:rFonts w:hint="eastAsia" w:ascii="仿宋_GB2312" w:hAnsi="仿宋_GB2312" w:eastAsia="仿宋_GB2312" w:cs="仿宋_GB2312"/>
          <w:b w:val="0"/>
          <w:bCs w:val="0"/>
          <w:sz w:val="28"/>
          <w:lang w:eastAsia="zh-CN"/>
        </w:rPr>
      </w:pPr>
      <w:r>
        <w:rPr>
          <w:rFonts w:hint="eastAsia" w:ascii="仿宋_GB2312" w:hAnsi="仿宋_GB2312" w:eastAsia="仿宋_GB2312" w:cs="仿宋_GB2312"/>
          <w:b w:val="0"/>
          <w:bCs w:val="0"/>
          <w:sz w:val="28"/>
        </w:rPr>
        <w:t>为保证各投标方、施工方明确我方招标及施工要求，现将有关事项告知如下</w:t>
      </w:r>
      <w:r>
        <w:rPr>
          <w:rFonts w:hint="eastAsia" w:ascii="仿宋_GB2312" w:hAnsi="仿宋_GB2312" w:eastAsia="仿宋_GB2312" w:cs="仿宋_GB2312"/>
          <w:b w:val="0"/>
          <w:bCs w:val="0"/>
          <w:sz w:val="28"/>
          <w:lang w:eastAsia="zh-CN"/>
        </w:rPr>
        <w:t>：</w:t>
      </w:r>
    </w:p>
    <w:p w14:paraId="1E5BE49A">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1、材料进场前必须提供材料样品，封样，且需与标书一致，无特殊原因不得变更标书主材品牌、规格、型号等，如需变更，需双方协商一致，并签订现场主材变更单。</w:t>
      </w:r>
    </w:p>
    <w:p w14:paraId="3BA6D4AE">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2、涉及隐蔽验收的项目，必须签署隐蔽验收表，合格后方可进行下一道工序，否则造成的返工、窝工，由施工方承担责任。</w:t>
      </w:r>
    </w:p>
    <w:p w14:paraId="7CFD0B57">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3、参与招标人员、施工人员应对公司招标所供给的相关信息和技术资料履行保密义务。</w:t>
      </w:r>
    </w:p>
    <w:p w14:paraId="71C7A0A2">
      <w:pPr>
        <w:pStyle w:val="60"/>
        <w:spacing w:line="360" w:lineRule="auto"/>
        <w:ind w:firstLine="560"/>
        <w:rPr>
          <w:rFonts w:hint="default" w:ascii="仿宋_GB2312" w:hAnsi="仿宋_GB2312" w:eastAsia="仿宋_GB2312" w:cs="仿宋_GB2312"/>
          <w:b w:val="0"/>
          <w:bCs w:val="0"/>
          <w:sz w:val="28"/>
          <w:lang w:val="en-US" w:eastAsia="zh-CN"/>
        </w:rPr>
      </w:pPr>
      <w:r>
        <w:rPr>
          <w:rFonts w:hint="eastAsia" w:ascii="仿宋_GB2312" w:hAnsi="仿宋_GB2312" w:eastAsia="仿宋_GB2312" w:cs="仿宋_GB2312"/>
          <w:b w:val="0"/>
          <w:bCs w:val="0"/>
          <w:sz w:val="28"/>
        </w:rPr>
        <w:t>4、</w:t>
      </w:r>
      <w:r>
        <w:rPr>
          <w:rFonts w:hint="eastAsia" w:ascii="仿宋_GB2312" w:hAnsi="仿宋_GB2312" w:eastAsia="仿宋_GB2312" w:cs="仿宋_GB2312"/>
          <w:b w:val="0"/>
          <w:bCs w:val="0"/>
          <w:sz w:val="28"/>
          <w:lang w:val="en-US" w:eastAsia="zh-CN"/>
        </w:rPr>
        <w:t>投标单位应在技术标书中根据实体勘察情况编制详细、符合实际的施工方案，应图文结合，有具体的尺寸、施工方式等。</w:t>
      </w:r>
      <w:r>
        <w:rPr>
          <w:rFonts w:hint="eastAsia" w:ascii="仿宋_GB2312" w:hAnsi="仿宋_GB2312" w:eastAsia="仿宋_GB2312" w:cs="仿宋_GB2312"/>
          <w:b w:val="0"/>
          <w:bCs w:val="0"/>
          <w:sz w:val="28"/>
        </w:rPr>
        <w:t>按照施工方案、图纸施工，如与现场出现冲突时，需与建设方提前沟通，同意后并签订现场变更签证单，方可改动施工。</w:t>
      </w:r>
      <w:r>
        <w:rPr>
          <w:rFonts w:hint="eastAsia" w:ascii="仿宋_GB2312" w:hAnsi="仿宋_GB2312" w:eastAsia="仿宋_GB2312" w:cs="仿宋_GB2312"/>
          <w:b w:val="0"/>
          <w:bCs w:val="0"/>
          <w:sz w:val="28"/>
          <w:lang w:val="en-US" w:eastAsia="zh-CN"/>
        </w:rPr>
        <w:t>不得照抄技术标要求，如发现与技术标要求相似或未按照实际制定详细施工方案的，经专家组评定后，不得进入商务标。</w:t>
      </w:r>
    </w:p>
    <w:p w14:paraId="2084A247">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5、因考虑到厂房在生产过程中施工要进行危险作业，项目组成员必须配备安全员一名，负责施工现场安全的巡查，进行驻场服务。必须保障项目安全有序地进行施工，如公司发现未按照此项约定进行工作，公司有权终止合同，施工方投资的费用公司不予支付，施工时涉及危险作业必须办理审批，人员持证上岗，遵守公司危险作业流程。</w:t>
      </w:r>
    </w:p>
    <w:p w14:paraId="1483EAAD">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6、设计方案变更、施工工艺变更、施工项目变更等变更事项，需与公司沟通同意并签订现场变更单后，方可施工，未经允许而做变更施工，不予认可。</w:t>
      </w:r>
    </w:p>
    <w:p w14:paraId="4CE614B7">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7、施工单位须在全部验收完成后7个自然日内提交所有消防设备的流向表、检验报告、合格证等；</w:t>
      </w:r>
    </w:p>
    <w:p w14:paraId="49FE69DB">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8、竣工验收须提交消防第三方检测合格报告、竣工图纸、竣工资料及消防部门消防竣工验收要求的所有资料。</w:t>
      </w:r>
    </w:p>
    <w:p w14:paraId="22D16761">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9、项目完工，竣工资料齐备，自检合格后，方可申请建设方验收，并提供消防竣工图纸。</w:t>
      </w:r>
    </w:p>
    <w:p w14:paraId="590BA55E">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10、本项目要求施工人员不少于</w:t>
      </w:r>
      <w:r>
        <w:rPr>
          <w:rFonts w:hint="eastAsia" w:ascii="仿宋_GB2312" w:hAnsi="仿宋_GB2312" w:eastAsia="仿宋_GB2312" w:cs="仿宋_GB2312"/>
          <w:b w:val="0"/>
          <w:bCs w:val="0"/>
          <w:sz w:val="28"/>
          <w:lang w:val="en-US" w:eastAsia="zh-CN"/>
        </w:rPr>
        <w:t>4</w:t>
      </w:r>
      <w:r>
        <w:rPr>
          <w:rFonts w:hint="eastAsia" w:ascii="仿宋_GB2312" w:hAnsi="仿宋_GB2312" w:eastAsia="仿宋_GB2312" w:cs="仿宋_GB2312"/>
          <w:b w:val="0"/>
          <w:bCs w:val="0"/>
          <w:sz w:val="28"/>
        </w:rPr>
        <w:t>人，遵循公司各项规章制度，配备一名项目经理及安全员。</w:t>
      </w:r>
    </w:p>
    <w:p w14:paraId="48172F09">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11、项目完工后遇紧急情况时，乙方应在规定的应急响应时间内到达现场处理故障，超时未到的，乙方应承担损失责任及费用，并视情节轻重对乙方处以</w:t>
      </w:r>
      <w:r>
        <w:rPr>
          <w:rFonts w:hint="eastAsia" w:ascii="仿宋_GB2312" w:hAnsi="仿宋_GB2312" w:eastAsia="仿宋_GB2312" w:cs="仿宋_GB2312"/>
          <w:b w:val="0"/>
          <w:bCs w:val="0"/>
          <w:sz w:val="28"/>
          <w:lang w:val="en-US" w:eastAsia="zh-CN"/>
        </w:rPr>
        <w:t>考核</w:t>
      </w:r>
      <w:r>
        <w:rPr>
          <w:rFonts w:hint="eastAsia" w:ascii="仿宋_GB2312" w:hAnsi="仿宋_GB2312" w:eastAsia="仿宋_GB2312" w:cs="仿宋_GB2312"/>
          <w:b w:val="0"/>
          <w:bCs w:val="0"/>
          <w:sz w:val="28"/>
        </w:rPr>
        <w:t>，从质保金扣除。</w:t>
      </w:r>
    </w:p>
    <w:p w14:paraId="72E707E4">
      <w:pPr>
        <w:pStyle w:val="60"/>
        <w:spacing w:line="360" w:lineRule="auto"/>
        <w:ind w:firstLine="560"/>
        <w:rPr>
          <w:rFonts w:hint="eastAsia" w:ascii="仿宋_GB2312" w:hAnsi="仿宋_GB2312" w:eastAsia="仿宋_GB2312" w:cs="仿宋_GB2312"/>
          <w:b w:val="0"/>
          <w:bCs w:val="0"/>
          <w:sz w:val="28"/>
          <w:highlight w:val="none"/>
        </w:rPr>
      </w:pPr>
      <w:r>
        <w:rPr>
          <w:rFonts w:hint="eastAsia" w:ascii="仿宋_GB2312" w:hAnsi="仿宋_GB2312" w:eastAsia="仿宋_GB2312" w:cs="仿宋_GB2312"/>
          <w:b w:val="0"/>
          <w:bCs w:val="0"/>
          <w:sz w:val="28"/>
          <w:highlight w:val="none"/>
        </w:rPr>
        <w:t>12、需更换消防配件时，乙方应及时通知甲方购买配件，因乙方未及时维修、更换配件所造成损失的，乙方应承担损失责任及费用，并视情节轻重对乙方</w:t>
      </w:r>
      <w:r>
        <w:rPr>
          <w:rFonts w:hint="eastAsia" w:ascii="仿宋_GB2312" w:hAnsi="仿宋_GB2312" w:eastAsia="仿宋_GB2312" w:cs="仿宋_GB2312"/>
          <w:b w:val="0"/>
          <w:bCs w:val="0"/>
          <w:sz w:val="28"/>
          <w:highlight w:val="none"/>
          <w:lang w:val="en-US" w:eastAsia="zh-CN"/>
        </w:rPr>
        <w:t>进行考核</w:t>
      </w:r>
      <w:r>
        <w:rPr>
          <w:rFonts w:hint="eastAsia" w:ascii="仿宋_GB2312" w:hAnsi="仿宋_GB2312" w:eastAsia="仿宋_GB2312" w:cs="仿宋_GB2312"/>
          <w:b w:val="0"/>
          <w:bCs w:val="0"/>
          <w:sz w:val="28"/>
          <w:highlight w:val="none"/>
        </w:rPr>
        <w:t>，从质保金扣除。</w:t>
      </w:r>
    </w:p>
    <w:p w14:paraId="3C6CD29B">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（五）其他要求：</w:t>
      </w:r>
    </w:p>
    <w:p w14:paraId="293E4083">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lang w:val="en-US" w:eastAsia="zh-CN"/>
        </w:rPr>
        <w:t>1、</w:t>
      </w:r>
      <w:r>
        <w:rPr>
          <w:rFonts w:hint="eastAsia" w:ascii="仿宋_GB2312" w:hAnsi="仿宋_GB2312" w:eastAsia="仿宋_GB2312" w:cs="仿宋_GB2312"/>
          <w:b w:val="0"/>
          <w:bCs w:val="0"/>
          <w:sz w:val="28"/>
        </w:rPr>
        <w:t>厂区内严禁吸烟。未按照要求发现一次</w:t>
      </w:r>
      <w:r>
        <w:rPr>
          <w:rFonts w:hint="eastAsia" w:ascii="仿宋_GB2312" w:hAnsi="仿宋_GB2312" w:eastAsia="仿宋_GB2312" w:cs="仿宋_GB2312"/>
          <w:b w:val="0"/>
          <w:bCs w:val="0"/>
          <w:sz w:val="28"/>
          <w:lang w:val="en-US" w:eastAsia="zh-CN"/>
        </w:rPr>
        <w:t>考核</w:t>
      </w:r>
      <w:r>
        <w:rPr>
          <w:rFonts w:hint="eastAsia" w:ascii="仿宋_GB2312" w:hAnsi="仿宋_GB2312" w:eastAsia="仿宋_GB2312" w:cs="仿宋_GB2312"/>
          <w:b w:val="0"/>
          <w:bCs w:val="0"/>
          <w:sz w:val="28"/>
        </w:rPr>
        <w:t>1000元。</w:t>
      </w:r>
    </w:p>
    <w:p w14:paraId="26BDEB51">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lang w:val="en-US" w:eastAsia="zh-CN"/>
        </w:rPr>
        <w:t>2、</w:t>
      </w:r>
      <w:r>
        <w:rPr>
          <w:rFonts w:hint="eastAsia" w:ascii="仿宋_GB2312" w:hAnsi="仿宋_GB2312" w:eastAsia="仿宋_GB2312" w:cs="仿宋_GB2312"/>
          <w:b w:val="0"/>
          <w:bCs w:val="0"/>
          <w:sz w:val="28"/>
        </w:rPr>
        <w:t>驻场维保人员必须经过安全培训，三级教育考试合格，安全培训应针对现场实际特点，进行风险点分析，讲解防范措施，考试合格后方可办理入厂通行证。</w:t>
      </w:r>
    </w:p>
    <w:p w14:paraId="48D02190">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lang w:val="en-US" w:eastAsia="zh-CN"/>
        </w:rPr>
        <w:t>3、</w:t>
      </w:r>
      <w:r>
        <w:rPr>
          <w:rFonts w:hint="eastAsia" w:ascii="仿宋_GB2312" w:hAnsi="仿宋_GB2312" w:eastAsia="仿宋_GB2312" w:cs="仿宋_GB2312"/>
          <w:b w:val="0"/>
          <w:bCs w:val="0"/>
          <w:sz w:val="28"/>
        </w:rPr>
        <w:t>乙方使用的工具：电动工器具、升降车、起重工器具等所用设备，且必须经相关部门检验合格并贴合格证后方可使用。</w:t>
      </w:r>
    </w:p>
    <w:p w14:paraId="2EE4F55F">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lang w:val="en-US" w:eastAsia="zh-CN"/>
        </w:rPr>
        <w:t>4、</w:t>
      </w:r>
      <w:r>
        <w:rPr>
          <w:rFonts w:hint="eastAsia" w:ascii="仿宋_GB2312" w:hAnsi="仿宋_GB2312" w:eastAsia="仿宋_GB2312" w:cs="仿宋_GB2312"/>
          <w:b w:val="0"/>
          <w:bCs w:val="0"/>
          <w:sz w:val="28"/>
        </w:rPr>
        <w:t>乙方人员应遵守国家法律法规、甲方各项规章制度及合同约定内容，若违反上述内容及造成损失的，乙方应承担责任及损失所产生的相关费用，并视情节轻重</w:t>
      </w:r>
      <w:r>
        <w:rPr>
          <w:rFonts w:hint="eastAsia" w:ascii="仿宋_GB2312" w:hAnsi="仿宋_GB2312" w:eastAsia="仿宋_GB2312" w:cs="仿宋_GB2312"/>
          <w:b w:val="0"/>
          <w:bCs w:val="0"/>
          <w:sz w:val="28"/>
          <w:lang w:val="en-US" w:eastAsia="zh-CN"/>
        </w:rPr>
        <w:t>扣除相应货款</w:t>
      </w:r>
      <w:r>
        <w:rPr>
          <w:rFonts w:hint="eastAsia" w:ascii="仿宋_GB2312" w:hAnsi="仿宋_GB2312" w:eastAsia="仿宋_GB2312" w:cs="仿宋_GB2312"/>
          <w:b w:val="0"/>
          <w:bCs w:val="0"/>
          <w:sz w:val="28"/>
        </w:rPr>
        <w:t>。</w:t>
      </w:r>
    </w:p>
    <w:p w14:paraId="65C142F5">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lang w:val="en-US" w:eastAsia="zh-CN"/>
        </w:rPr>
        <w:t>5、</w:t>
      </w:r>
      <w:r>
        <w:rPr>
          <w:rFonts w:hint="eastAsia" w:ascii="仿宋_GB2312" w:hAnsi="仿宋_GB2312" w:eastAsia="仿宋_GB2312" w:cs="仿宋_GB2312"/>
          <w:b w:val="0"/>
          <w:bCs w:val="0"/>
          <w:sz w:val="28"/>
        </w:rPr>
        <w:t>本项目为</w:t>
      </w:r>
      <w:r>
        <w:rPr>
          <w:rFonts w:hint="eastAsia" w:ascii="仿宋_GB2312" w:hAnsi="仿宋_GB2312" w:eastAsia="仿宋_GB2312" w:cs="仿宋_GB2312"/>
          <w:b w:val="0"/>
          <w:bCs w:val="0"/>
          <w:sz w:val="28"/>
          <w:lang w:val="en-US" w:eastAsia="zh-CN"/>
        </w:rPr>
        <w:t>60</w:t>
      </w:r>
      <w:r>
        <w:rPr>
          <w:rFonts w:hint="eastAsia" w:ascii="仿宋_GB2312" w:hAnsi="仿宋_GB2312" w:eastAsia="仿宋_GB2312" w:cs="仿宋_GB2312"/>
          <w:b w:val="0"/>
          <w:bCs w:val="0"/>
          <w:sz w:val="28"/>
        </w:rPr>
        <w:t>天内施工完毕，每逾期1</w:t>
      </w:r>
      <w:r>
        <w:rPr>
          <w:rFonts w:hint="eastAsia" w:ascii="仿宋_GB2312" w:hAnsi="仿宋_GB2312" w:eastAsia="仿宋_GB2312" w:cs="仿宋_GB2312"/>
          <w:b w:val="0"/>
          <w:bCs w:val="0"/>
          <w:sz w:val="28"/>
          <w:lang w:val="en-US" w:eastAsia="zh-CN"/>
        </w:rPr>
        <w:t>周</w:t>
      </w:r>
      <w:r>
        <w:rPr>
          <w:rFonts w:hint="eastAsia" w:ascii="仿宋_GB2312" w:hAnsi="仿宋_GB2312" w:eastAsia="仿宋_GB2312" w:cs="仿宋_GB2312"/>
          <w:b w:val="0"/>
          <w:bCs w:val="0"/>
          <w:sz w:val="28"/>
        </w:rPr>
        <w:t>，处以项目费用5%的</w:t>
      </w:r>
      <w:r>
        <w:rPr>
          <w:rFonts w:hint="eastAsia" w:ascii="仿宋_GB2312" w:hAnsi="仿宋_GB2312" w:eastAsia="仿宋_GB2312" w:cs="仿宋_GB2312"/>
          <w:b w:val="0"/>
          <w:bCs w:val="0"/>
          <w:sz w:val="28"/>
          <w:lang w:val="en-US" w:eastAsia="zh-CN"/>
        </w:rPr>
        <w:t>考核</w:t>
      </w:r>
      <w:r>
        <w:rPr>
          <w:rFonts w:hint="eastAsia" w:ascii="仿宋_GB2312" w:hAnsi="仿宋_GB2312" w:eastAsia="仿宋_GB2312" w:cs="仿宋_GB2312"/>
          <w:b w:val="0"/>
          <w:bCs w:val="0"/>
          <w:sz w:val="28"/>
        </w:rPr>
        <w:t>。</w:t>
      </w:r>
    </w:p>
    <w:p w14:paraId="74BDD98D">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lang w:val="en-US" w:eastAsia="zh-CN"/>
        </w:rPr>
        <w:t>6、</w:t>
      </w:r>
      <w:r>
        <w:rPr>
          <w:rFonts w:hint="eastAsia" w:ascii="仿宋_GB2312" w:hAnsi="仿宋_GB2312" w:eastAsia="仿宋_GB2312" w:cs="仿宋_GB2312"/>
          <w:b w:val="0"/>
          <w:bCs w:val="0"/>
          <w:sz w:val="28"/>
        </w:rPr>
        <w:t>满足消防法律法规要求，消除行政处罚风险。</w:t>
      </w:r>
    </w:p>
    <w:p w14:paraId="1EA89706">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lang w:val="en-US" w:eastAsia="zh-CN"/>
        </w:rPr>
        <w:t>7、</w:t>
      </w:r>
      <w:r>
        <w:rPr>
          <w:rFonts w:hint="eastAsia" w:ascii="仿宋_GB2312" w:hAnsi="仿宋_GB2312" w:eastAsia="仿宋_GB2312" w:cs="仿宋_GB2312"/>
          <w:b w:val="0"/>
          <w:bCs w:val="0"/>
          <w:sz w:val="28"/>
        </w:rPr>
        <w:t>确保园区消防供水正常，紧急时刻为应急补救提供稳定有压水源。</w:t>
      </w:r>
    </w:p>
    <w:p w14:paraId="4610369D">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lang w:val="en-US" w:eastAsia="zh-CN"/>
        </w:rPr>
        <w:t>8、</w:t>
      </w:r>
      <w:r>
        <w:rPr>
          <w:rFonts w:hint="eastAsia" w:ascii="仿宋_GB2312" w:hAnsi="仿宋_GB2312" w:eastAsia="仿宋_GB2312" w:cs="仿宋_GB2312"/>
          <w:b w:val="0"/>
          <w:bCs w:val="0"/>
          <w:sz w:val="28"/>
        </w:rPr>
        <w:t>满足质量检测中心消防验收条件。</w:t>
      </w:r>
    </w:p>
    <w:p w14:paraId="3B9548B9">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二、施工范围及要求（说明提供详细技术要求）</w:t>
      </w:r>
    </w:p>
    <w:p w14:paraId="5FF0C4CA">
      <w:pPr>
        <w:pStyle w:val="60"/>
        <w:spacing w:line="360" w:lineRule="auto"/>
        <w:ind w:firstLine="560"/>
        <w:rPr>
          <w:rFonts w:hint="default" w:ascii="仿宋_GB2312" w:hAnsi="仿宋_GB2312" w:eastAsia="仿宋_GB2312" w:cs="仿宋_GB2312"/>
          <w:b w:val="0"/>
          <w:bCs w:val="0"/>
          <w:sz w:val="28"/>
          <w:lang w:val="en-US" w:eastAsia="zh-CN"/>
        </w:rPr>
      </w:pPr>
      <w:r>
        <w:rPr>
          <w:rFonts w:hint="eastAsia" w:ascii="仿宋_GB2312" w:hAnsi="仿宋_GB2312" w:eastAsia="仿宋_GB2312" w:cs="仿宋_GB2312"/>
          <w:b w:val="0"/>
          <w:bCs w:val="0"/>
          <w:sz w:val="28"/>
        </w:rPr>
        <w:t>（一）施工地点：</w:t>
      </w:r>
      <w:r>
        <w:rPr>
          <w:rFonts w:hint="eastAsia" w:ascii="仿宋_GB2312" w:hAnsi="仿宋_GB2312" w:eastAsia="仿宋_GB2312" w:cs="仿宋_GB2312"/>
          <w:b w:val="0"/>
          <w:bCs w:val="0"/>
          <w:sz w:val="28"/>
          <w:lang w:val="en-US" w:eastAsia="zh-CN"/>
        </w:rPr>
        <w:t>中国重汽豪沃客车园区</w:t>
      </w:r>
    </w:p>
    <w:p w14:paraId="4A03B931">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（二）施工时间：承揽方应自合同签订之日起，</w:t>
      </w:r>
      <w:r>
        <w:rPr>
          <w:rFonts w:hint="eastAsia" w:ascii="仿宋_GB2312" w:hAnsi="仿宋_GB2312" w:eastAsia="仿宋_GB2312" w:cs="仿宋_GB2312"/>
          <w:b w:val="0"/>
          <w:bCs w:val="0"/>
          <w:sz w:val="28"/>
          <w:lang w:val="en-US" w:eastAsia="zh-CN"/>
        </w:rPr>
        <w:t>60</w:t>
      </w:r>
      <w:r>
        <w:rPr>
          <w:rFonts w:hint="eastAsia" w:ascii="仿宋_GB2312" w:hAnsi="仿宋_GB2312" w:eastAsia="仿宋_GB2312" w:cs="仿宋_GB2312"/>
          <w:b w:val="0"/>
          <w:bCs w:val="0"/>
          <w:sz w:val="28"/>
        </w:rPr>
        <w:t>个日历日之内完成（或协助完成）终验收（投标文件“供货时间”中，应明确说明各阶段工作最终完成时间）。</w:t>
      </w:r>
    </w:p>
    <w:p w14:paraId="1CAD73EE">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（三）质保期：承揽方所提供承揽服务/技术涉及的全部供货范围内的配件、材料、资料、技术等，除合同特别约定外，均自终验收签字生效之日起，不低于</w:t>
      </w:r>
      <w:r>
        <w:rPr>
          <w:rFonts w:hint="eastAsia" w:ascii="仿宋_GB2312" w:hAnsi="仿宋_GB2312" w:eastAsia="仿宋_GB2312" w:cs="仿宋_GB2312"/>
          <w:b w:val="0"/>
          <w:bCs w:val="0"/>
          <w:sz w:val="28"/>
          <w:highlight w:val="none"/>
          <w:lang w:val="en-US" w:eastAsia="zh-CN"/>
        </w:rPr>
        <w:t>12</w:t>
      </w:r>
      <w:r>
        <w:rPr>
          <w:rFonts w:hint="eastAsia" w:ascii="仿宋_GB2312" w:hAnsi="仿宋_GB2312" w:eastAsia="仿宋_GB2312" w:cs="仿宋_GB2312"/>
          <w:b w:val="0"/>
          <w:bCs w:val="0"/>
          <w:sz w:val="28"/>
          <w:highlight w:val="none"/>
        </w:rPr>
        <w:t>个月（</w:t>
      </w:r>
      <w:r>
        <w:rPr>
          <w:rFonts w:hint="eastAsia" w:ascii="仿宋_GB2312" w:hAnsi="仿宋_GB2312" w:eastAsia="仿宋_GB2312" w:cs="仿宋_GB2312"/>
          <w:b w:val="0"/>
          <w:bCs w:val="0"/>
          <w:sz w:val="28"/>
        </w:rPr>
        <w:t>如有更长时间质保期，可在投标文件中说明）。</w:t>
      </w:r>
    </w:p>
    <w:p w14:paraId="3F746375">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（四）技术资料范围</w:t>
      </w:r>
    </w:p>
    <w:p w14:paraId="1B954642">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1、承揽方须负责在预验收前，提供功能描述文件、图纸。【针对非标产品】</w:t>
      </w:r>
    </w:p>
    <w:p w14:paraId="6FEBB609">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2、承揽方须负责在终验收后、终验收后的第一笔货款支付日之前，提供包括操作维护手册，保养维修手册、操作和安全事项的使用说明书。【针对非标产品】</w:t>
      </w:r>
    </w:p>
    <w:p w14:paraId="3B4C29DB">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3、承揽方须负责在终验收后、终验收后的第一笔货款支付日之前，提供包括设计总图、安装基础图、维修图等有关的资料；【针对非标产品】</w:t>
      </w:r>
    </w:p>
    <w:p w14:paraId="518D3784">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4、本“技术资料范围”所列的技术资料、图等，承揽方应各提供2套，每份技术文件应装有目录清单；【针对非标产品】</w:t>
      </w:r>
    </w:p>
    <w:p w14:paraId="4DD1AB22">
      <w:pPr>
        <w:pStyle w:val="60"/>
        <w:spacing w:line="360" w:lineRule="auto"/>
        <w:ind w:firstLine="560"/>
        <w:rPr>
          <w:rFonts w:hint="eastAsia" w:ascii="仿宋_GB2312" w:hAnsi="仿宋_GB2312" w:eastAsia="仿宋_GB2312" w:cs="仿宋_GB2312"/>
          <w:b w:val="0"/>
          <w:bCs w:val="0"/>
          <w:sz w:val="28"/>
          <w:highlight w:val="none"/>
        </w:rPr>
      </w:pPr>
      <w:r>
        <w:rPr>
          <w:rFonts w:hint="eastAsia" w:ascii="仿宋_GB2312" w:hAnsi="仿宋_GB2312" w:eastAsia="仿宋_GB2312" w:cs="仿宋_GB2312"/>
          <w:b w:val="0"/>
          <w:bCs w:val="0"/>
          <w:sz w:val="28"/>
          <w:highlight w:val="none"/>
        </w:rPr>
        <w:t>（五）系统工作要求</w:t>
      </w:r>
    </w:p>
    <w:p w14:paraId="1181D98F">
      <w:pPr>
        <w:pStyle w:val="60"/>
        <w:spacing w:line="360" w:lineRule="auto"/>
        <w:ind w:firstLine="560"/>
        <w:rPr>
          <w:rFonts w:hint="eastAsia" w:ascii="仿宋_GB2312" w:hAnsi="仿宋_GB2312" w:eastAsia="仿宋_GB2312" w:cs="仿宋_GB2312"/>
          <w:b w:val="0"/>
          <w:bCs w:val="0"/>
          <w:sz w:val="28"/>
          <w:lang w:val="en-US" w:eastAsia="zh-CN"/>
        </w:rPr>
      </w:pPr>
      <w:r>
        <w:rPr>
          <w:rFonts w:hint="eastAsia" w:ascii="仿宋_GB2312" w:hAnsi="仿宋_GB2312" w:eastAsia="仿宋_GB2312" w:cs="仿宋_GB2312"/>
          <w:b w:val="0"/>
          <w:bCs w:val="0"/>
          <w:sz w:val="28"/>
          <w:lang w:val="en-US" w:eastAsia="zh-CN"/>
        </w:rPr>
        <w:t>泵房维修部分</w:t>
      </w:r>
    </w:p>
    <w:p w14:paraId="726A6BA5">
      <w:pPr>
        <w:pStyle w:val="60"/>
        <w:spacing w:line="360" w:lineRule="auto"/>
        <w:ind w:firstLine="560"/>
        <w:rPr>
          <w:rFonts w:hint="eastAsia" w:ascii="仿宋_GB2312" w:hAnsi="仿宋_GB2312" w:eastAsia="仿宋_GB2312" w:cs="仿宋_GB2312"/>
          <w:b w:val="0"/>
          <w:bCs w:val="0"/>
          <w:sz w:val="28"/>
          <w:lang w:val="en-US" w:eastAsia="zh-CN"/>
        </w:rPr>
      </w:pPr>
      <w:r>
        <w:rPr>
          <w:rFonts w:hint="eastAsia" w:ascii="仿宋_GB2312" w:hAnsi="仿宋_GB2312" w:eastAsia="仿宋_GB2312" w:cs="仿宋_GB2312"/>
          <w:b w:val="0"/>
          <w:bCs w:val="0"/>
          <w:sz w:val="28"/>
          <w:lang w:val="en-US" w:eastAsia="zh-CN"/>
        </w:rPr>
        <w:t>1、原有木制防火门损坏严重，更换为甲级钢制防火门。</w:t>
      </w:r>
    </w:p>
    <w:p w14:paraId="6CF79A19">
      <w:pPr>
        <w:pStyle w:val="60"/>
        <w:spacing w:line="360" w:lineRule="auto"/>
        <w:ind w:firstLine="560"/>
        <w:rPr>
          <w:rFonts w:hint="eastAsia" w:ascii="仿宋_GB2312" w:hAnsi="仿宋_GB2312" w:eastAsia="仿宋_GB2312" w:cs="仿宋_GB2312"/>
          <w:b w:val="0"/>
          <w:bCs w:val="0"/>
          <w:sz w:val="28"/>
          <w:lang w:val="en-US" w:eastAsia="zh-CN"/>
        </w:rPr>
      </w:pPr>
      <w:r>
        <w:rPr>
          <w:rFonts w:hint="eastAsia" w:ascii="仿宋_GB2312" w:hAnsi="仿宋_GB2312" w:eastAsia="仿宋_GB2312" w:cs="仿宋_GB2312"/>
          <w:b w:val="0"/>
          <w:bCs w:val="0"/>
          <w:sz w:val="28"/>
          <w:lang w:val="en-US" w:eastAsia="zh-CN"/>
        </w:rPr>
        <w:t>2、消防水池年久失修，向泵房内渗水，需把现有水池内存水及淤泥清空，烘干后做防水，确保不在渗漏。</w:t>
      </w:r>
    </w:p>
    <w:p w14:paraId="296563F2">
      <w:pPr>
        <w:pStyle w:val="60"/>
        <w:spacing w:line="360" w:lineRule="auto"/>
        <w:ind w:firstLine="560"/>
        <w:rPr>
          <w:rFonts w:hint="eastAsia" w:ascii="仿宋_GB2312" w:hAnsi="仿宋_GB2312" w:eastAsia="仿宋_GB2312" w:cs="仿宋_GB2312"/>
          <w:b w:val="0"/>
          <w:bCs w:val="0"/>
          <w:sz w:val="28"/>
          <w:lang w:val="en-US" w:eastAsia="zh-CN"/>
        </w:rPr>
      </w:pPr>
      <w:r>
        <w:rPr>
          <w:rFonts w:hint="eastAsia" w:ascii="仿宋_GB2312" w:hAnsi="仿宋_GB2312" w:eastAsia="仿宋_GB2312" w:cs="仿宋_GB2312"/>
          <w:b w:val="0"/>
          <w:bCs w:val="0"/>
          <w:sz w:val="28"/>
          <w:lang w:val="en-US" w:eastAsia="zh-CN"/>
        </w:rPr>
        <w:t>3、消防水泵房内积水严重，已长时间淹没泵体设备，需把消防水泵拆除更换。</w:t>
      </w:r>
    </w:p>
    <w:p w14:paraId="33A298E3">
      <w:pPr>
        <w:pStyle w:val="60"/>
        <w:spacing w:line="360" w:lineRule="auto"/>
        <w:ind w:firstLine="560"/>
        <w:rPr>
          <w:rFonts w:hint="eastAsia" w:ascii="仿宋_GB2312" w:hAnsi="仿宋_GB2312" w:eastAsia="仿宋_GB2312" w:cs="仿宋_GB2312"/>
          <w:b w:val="0"/>
          <w:bCs w:val="0"/>
          <w:sz w:val="28"/>
          <w:lang w:val="en-US" w:eastAsia="zh-CN"/>
        </w:rPr>
      </w:pPr>
      <w:r>
        <w:rPr>
          <w:rFonts w:hint="eastAsia" w:ascii="仿宋_GB2312" w:hAnsi="仿宋_GB2312" w:eastAsia="仿宋_GB2312" w:cs="仿宋_GB2312"/>
          <w:b w:val="0"/>
          <w:bCs w:val="0"/>
          <w:sz w:val="28"/>
          <w:lang w:val="en-US" w:eastAsia="zh-CN"/>
        </w:rPr>
        <w:t>4、消防水泵房内排污泵损坏，更换为一主一备。</w:t>
      </w:r>
    </w:p>
    <w:p w14:paraId="06D154C4">
      <w:pPr>
        <w:pStyle w:val="60"/>
        <w:spacing w:line="360" w:lineRule="auto"/>
        <w:ind w:firstLine="560"/>
        <w:rPr>
          <w:rFonts w:hint="eastAsia" w:ascii="仿宋_GB2312" w:hAnsi="仿宋_GB2312" w:eastAsia="仿宋_GB2312" w:cs="仿宋_GB2312"/>
          <w:b w:val="0"/>
          <w:bCs w:val="0"/>
          <w:sz w:val="28"/>
          <w:lang w:val="en-US" w:eastAsia="zh-CN"/>
        </w:rPr>
      </w:pPr>
      <w:r>
        <w:rPr>
          <w:rFonts w:hint="eastAsia" w:ascii="仿宋_GB2312" w:hAnsi="仿宋_GB2312" w:eastAsia="仿宋_GB2312" w:cs="仿宋_GB2312"/>
          <w:b w:val="0"/>
          <w:bCs w:val="0"/>
          <w:sz w:val="28"/>
          <w:lang w:val="en-US" w:eastAsia="zh-CN"/>
        </w:rPr>
        <w:t>5、在一层水泵控制柜处增加水位显示装置一台，便于随时查看水位情况。</w:t>
      </w:r>
    </w:p>
    <w:p w14:paraId="33A08586">
      <w:pPr>
        <w:pStyle w:val="60"/>
        <w:spacing w:line="360" w:lineRule="auto"/>
        <w:ind w:firstLine="560"/>
        <w:rPr>
          <w:rFonts w:hint="default" w:ascii="仿宋_GB2312" w:hAnsi="仿宋_GB2312" w:eastAsia="仿宋_GB2312" w:cs="仿宋_GB2312"/>
          <w:b w:val="0"/>
          <w:bCs w:val="0"/>
          <w:sz w:val="28"/>
          <w:lang w:val="en-US" w:eastAsia="zh-CN"/>
        </w:rPr>
      </w:pPr>
      <w:r>
        <w:rPr>
          <w:rFonts w:hint="eastAsia" w:ascii="仿宋_GB2312" w:hAnsi="仿宋_GB2312" w:eastAsia="仿宋_GB2312" w:cs="仿宋_GB2312"/>
          <w:b w:val="0"/>
          <w:bCs w:val="0"/>
          <w:sz w:val="28"/>
          <w:lang w:val="en-US" w:eastAsia="zh-CN"/>
        </w:rPr>
        <w:t>6、泵房内增设防进水装置，信号接入消防控制室。</w:t>
      </w:r>
    </w:p>
    <w:p w14:paraId="2637D9F0">
      <w:pPr>
        <w:pStyle w:val="60"/>
        <w:spacing w:line="360" w:lineRule="auto"/>
        <w:ind w:firstLine="560"/>
        <w:rPr>
          <w:rFonts w:hint="eastAsia" w:ascii="仿宋_GB2312" w:hAnsi="仿宋_GB2312" w:eastAsia="仿宋_GB2312" w:cs="仿宋_GB2312"/>
          <w:b w:val="0"/>
          <w:bCs w:val="0"/>
          <w:sz w:val="28"/>
          <w:lang w:val="en-US" w:eastAsia="zh-CN"/>
        </w:rPr>
      </w:pPr>
      <w:r>
        <w:rPr>
          <w:rFonts w:hint="eastAsia" w:ascii="仿宋_GB2312" w:hAnsi="仿宋_GB2312" w:eastAsia="仿宋_GB2312" w:cs="仿宋_GB2312"/>
          <w:b w:val="0"/>
          <w:bCs w:val="0"/>
          <w:sz w:val="28"/>
          <w:lang w:val="en-US" w:eastAsia="zh-CN"/>
        </w:rPr>
        <w:t>室外管网维修部分</w:t>
      </w:r>
    </w:p>
    <w:p w14:paraId="632D6D18">
      <w:pPr>
        <w:pStyle w:val="60"/>
        <w:spacing w:line="360" w:lineRule="auto"/>
        <w:ind w:firstLine="560"/>
        <w:rPr>
          <w:rFonts w:hint="eastAsia" w:ascii="仿宋_GB2312" w:hAnsi="仿宋_GB2312" w:eastAsia="仿宋_GB2312" w:cs="仿宋_GB2312"/>
          <w:b w:val="0"/>
          <w:bCs w:val="0"/>
          <w:sz w:val="28"/>
          <w:lang w:val="en-US" w:eastAsia="zh-CN"/>
        </w:rPr>
      </w:pPr>
      <w:r>
        <w:rPr>
          <w:rFonts w:hint="eastAsia" w:ascii="仿宋_GB2312" w:hAnsi="仿宋_GB2312" w:eastAsia="仿宋_GB2312" w:cs="仿宋_GB2312"/>
          <w:b w:val="0"/>
          <w:bCs w:val="0"/>
          <w:sz w:val="28"/>
          <w:lang w:val="en-US" w:eastAsia="zh-CN"/>
        </w:rPr>
        <w:t>1、提供原厂区图纸。</w:t>
      </w:r>
    </w:p>
    <w:p w14:paraId="3578E030">
      <w:pPr>
        <w:pStyle w:val="60"/>
        <w:spacing w:line="360" w:lineRule="auto"/>
        <w:ind w:firstLine="560"/>
        <w:rPr>
          <w:rFonts w:hint="eastAsia" w:ascii="仿宋_GB2312" w:hAnsi="仿宋_GB2312" w:eastAsia="仿宋_GB2312" w:cs="仿宋_GB2312"/>
          <w:b w:val="0"/>
          <w:bCs w:val="0"/>
          <w:sz w:val="28"/>
          <w:lang w:val="en-US" w:eastAsia="zh-CN"/>
        </w:rPr>
      </w:pPr>
      <w:r>
        <w:rPr>
          <w:rFonts w:hint="eastAsia" w:ascii="仿宋_GB2312" w:hAnsi="仿宋_GB2312" w:eastAsia="仿宋_GB2312" w:cs="仿宋_GB2312"/>
          <w:b w:val="0"/>
          <w:bCs w:val="0"/>
          <w:sz w:val="28"/>
          <w:lang w:val="en-US" w:eastAsia="zh-CN"/>
        </w:rPr>
        <w:t>2、室外消防管因管网内长时间处于空置状态，且管道已使用10年以上，地埋管网腐蚀严重，整个园区应人工打压测试，确保压力稳定。恢复豪沃客车消防水泵房功能，修复室内外消防管网漏点，确保园区消防水压保持在0.35MPa以上。</w:t>
      </w:r>
    </w:p>
    <w:p w14:paraId="2A9D7B7D">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 xml:space="preserve"> 三、服务范围及要求</w:t>
      </w:r>
    </w:p>
    <w:p w14:paraId="6DD13E1D">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（一）技术指导和培训服务</w:t>
      </w:r>
    </w:p>
    <w:p w14:paraId="7275A8E7">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1、承揽方应按要求，免费积极协助和提供委托方和委托方所委托的工程设计单位有关人员所需要的和项目有关的工程设计资料、技术咨询等；【针对非标产品】</w:t>
      </w:r>
    </w:p>
    <w:p w14:paraId="13A1C646">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2、若承揽方提供技术质量等，与承揽方外购的技术质量等有较大或直接关联时，承揽方应能得到其外购设备（或材料）制造厂商（或供应商）的技术支持，并免费为委托方提供技术服务（包括设计文件的审查和审定）；【针对非标产品】</w:t>
      </w:r>
    </w:p>
    <w:p w14:paraId="65E3EAE4">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3、承揽方负责制定对委托方人员在运行、维修和试验等方面的培训计划，并有专人负责实施培训计划，负责指导委托方受培训人员正确理解设计和制造意图，认识设备的特点和特性，掌握在运行、维修和使用管理中应遵守的规则等方面的综合知识。【针对非标产品】</w:t>
      </w:r>
    </w:p>
    <w:p w14:paraId="63E463A2">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（二）运输服务</w:t>
      </w:r>
    </w:p>
    <w:p w14:paraId="76177AC8">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承揽方应负责将设备运到目的地，并必须做到标的物在任何运输过程中不受损坏和遗失；并按要求运至 招标方指定地点 。</w:t>
      </w:r>
    </w:p>
    <w:p w14:paraId="2A2BF423">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（三）安装调试服务【针对非标产品】</w:t>
      </w:r>
    </w:p>
    <w:p w14:paraId="59E4917B">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1、根据设备的要求，调试可分空载和负载两个阶段进行；委托方将予以积极配合，协助承揽方达到设备的各项技术要求和性能；</w:t>
      </w:r>
    </w:p>
    <w:p w14:paraId="264D4CEE">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2、安装调试与验收期间，若承揽方提供设备的技术质量等，与承揽方外购的设备技术质量等有较大或直接关联时，承揽方应能得到其外购设备制造厂商（或供应商）的技术支持，并免费为委托方提供安装使用现场的指导与协调；</w:t>
      </w:r>
    </w:p>
    <w:p w14:paraId="0D5985E9">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3、承揽方免费负责设备的安装、调试，并接受用户的技术咨询，负责开车调试直到设备的终验收；</w:t>
      </w:r>
    </w:p>
    <w:p w14:paraId="37117BA0">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4、承揽方是否提供有偿的还是免费的、指导安装调试还是负责安装调试，至少应在投标文件的服务章节中，予以明确说明。</w:t>
      </w:r>
    </w:p>
    <w:p w14:paraId="62947B90">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（四）售后服务【特别是非标产品】</w:t>
      </w:r>
    </w:p>
    <w:p w14:paraId="2445CEC5">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1、在质保期之内，如发现承揽方所提供的设备（或材料）存在问题，需要承揽方配合解决时，承揽方须在接到通知后市内2</w:t>
      </w:r>
      <w:r>
        <w:rPr>
          <w:rFonts w:hint="eastAsia" w:ascii="仿宋_GB2312" w:hAnsi="仿宋_GB2312" w:eastAsia="仿宋_GB2312" w:cs="仿宋_GB2312"/>
          <w:b w:val="0"/>
          <w:bCs w:val="0"/>
          <w:sz w:val="28"/>
          <w:lang w:val="en-US" w:eastAsia="zh-CN"/>
        </w:rPr>
        <w:t>小时</w:t>
      </w:r>
      <w:r>
        <w:rPr>
          <w:rFonts w:hint="eastAsia" w:ascii="仿宋_GB2312" w:hAnsi="仿宋_GB2312" w:eastAsia="仿宋_GB2312" w:cs="仿宋_GB2312"/>
          <w:b w:val="0"/>
          <w:bCs w:val="0"/>
          <w:sz w:val="28"/>
        </w:rPr>
        <w:t>、省内8</w:t>
      </w:r>
      <w:r>
        <w:rPr>
          <w:rFonts w:hint="eastAsia" w:ascii="仿宋_GB2312" w:hAnsi="仿宋_GB2312" w:eastAsia="仿宋_GB2312" w:cs="仿宋_GB2312"/>
          <w:b w:val="0"/>
          <w:bCs w:val="0"/>
          <w:sz w:val="28"/>
          <w:lang w:val="en-US" w:eastAsia="zh-CN"/>
        </w:rPr>
        <w:t>小时</w:t>
      </w:r>
      <w:r>
        <w:rPr>
          <w:rFonts w:hint="eastAsia" w:ascii="仿宋_GB2312" w:hAnsi="仿宋_GB2312" w:eastAsia="仿宋_GB2312" w:cs="仿宋_GB2312"/>
          <w:b w:val="0"/>
          <w:bCs w:val="0"/>
          <w:sz w:val="28"/>
        </w:rPr>
        <w:t>、省外24小时内派有关人员到达现场，解决问题；</w:t>
      </w:r>
    </w:p>
    <w:p w14:paraId="7E0266CD">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2、在质保期之后，如发现承揽方所提供的设备（或材料）存在问题，需要承揽方配合解决时，承揽方须在接到通知后市内2</w:t>
      </w:r>
      <w:r>
        <w:rPr>
          <w:rFonts w:hint="eastAsia" w:ascii="仿宋_GB2312" w:hAnsi="仿宋_GB2312" w:eastAsia="仿宋_GB2312" w:cs="仿宋_GB2312"/>
          <w:b w:val="0"/>
          <w:bCs w:val="0"/>
          <w:sz w:val="28"/>
          <w:lang w:val="en-US" w:eastAsia="zh-CN"/>
        </w:rPr>
        <w:t>小时</w:t>
      </w:r>
      <w:r>
        <w:rPr>
          <w:rFonts w:hint="eastAsia" w:ascii="仿宋_GB2312" w:hAnsi="仿宋_GB2312" w:eastAsia="仿宋_GB2312" w:cs="仿宋_GB2312"/>
          <w:b w:val="0"/>
          <w:bCs w:val="0"/>
          <w:sz w:val="28"/>
        </w:rPr>
        <w:t>、省内8</w:t>
      </w:r>
      <w:r>
        <w:rPr>
          <w:rFonts w:hint="eastAsia" w:ascii="仿宋_GB2312" w:hAnsi="仿宋_GB2312" w:eastAsia="仿宋_GB2312" w:cs="仿宋_GB2312"/>
          <w:b w:val="0"/>
          <w:bCs w:val="0"/>
          <w:sz w:val="28"/>
          <w:lang w:val="en-US" w:eastAsia="zh-CN"/>
        </w:rPr>
        <w:t>小时</w:t>
      </w:r>
      <w:r>
        <w:rPr>
          <w:rFonts w:hint="eastAsia" w:ascii="仿宋_GB2312" w:hAnsi="仿宋_GB2312" w:eastAsia="仿宋_GB2312" w:cs="仿宋_GB2312"/>
          <w:b w:val="0"/>
          <w:bCs w:val="0"/>
          <w:sz w:val="28"/>
        </w:rPr>
        <w:t>、省外24小时内派有关人员到达现场，协助委托方解决问题；</w:t>
      </w:r>
    </w:p>
    <w:p w14:paraId="78E11263">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3、所有的售后服务均由承揽方受理。如果发生问题并且收到报告，应当在2小时内予以答复；</w:t>
      </w:r>
    </w:p>
    <w:p w14:paraId="6D90E6BE">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4、承揽方应为委托方提供最佳的服务。</w:t>
      </w:r>
    </w:p>
    <w:p w14:paraId="56B31293">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（五）其它服务</w:t>
      </w:r>
    </w:p>
    <w:p w14:paraId="7124C7D0">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1、若承揽方所提供部分有需要进口的，承揽方一般应自行、自费办理；必要时，双方共同办理；</w:t>
      </w:r>
    </w:p>
    <w:p w14:paraId="2149CD3B">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2、除招标文件、投标文件、答疑文件、技术协议、合同等约定之外，承揽方应负责必要的或强制性的设备（或材料）的检验、试验、化验等直接费用；</w:t>
      </w:r>
    </w:p>
    <w:p w14:paraId="49404F15">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3、本章节条款所列“免费”，并非指定不可收费，而是指招标文件、投标文件、答疑文件、技术交流文件、技术协议书和合同等范围之外，承揽方不可另行收取的费用。</w:t>
      </w:r>
    </w:p>
    <w:p w14:paraId="0FB62231">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四、预验收和终验收要求【特别是非标产品】</w:t>
      </w:r>
    </w:p>
    <w:p w14:paraId="4759B8B4">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按照参考招标文件、投标文件、答疑文件、技术交流文件等形成并达成一致的技术协议书和合同规定验收。</w:t>
      </w:r>
    </w:p>
    <w:p w14:paraId="288D24F7">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验收一般分为预验收和终验收两部分。预验收一般在承揽方进行，终验收在安装调试完成后的委托方现场进行。但是所有的项目，包括不能预验收的项目和预验收通过的项目都在终验收时重新检验，最终只以终验收为准。</w:t>
      </w:r>
    </w:p>
    <w:p w14:paraId="2CCBB4A1">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1、终验收规程：</w:t>
      </w:r>
    </w:p>
    <w:p w14:paraId="46628415">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项目实施完毕情况下，一般连续运行30天，除用户方面因素外，必须达到以下要求：</w:t>
      </w:r>
    </w:p>
    <w:p w14:paraId="6C9EC91D">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a）在整个验收过程中没有维修、更换零部件或元件行为；</w:t>
      </w:r>
    </w:p>
    <w:p w14:paraId="42EE6F38">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b）终验收原则上要求一次完成。若一次验收不成功，最多允许两次；</w:t>
      </w:r>
    </w:p>
    <w:p w14:paraId="6941050E">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c）终验收通过后买卖双方共同签署终验收报告。</w:t>
      </w:r>
    </w:p>
    <w:p w14:paraId="6E34235E">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2、一般标准与要求：</w:t>
      </w:r>
    </w:p>
    <w:p w14:paraId="2F589FFC">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① 预验收的一般标准与要求</w:t>
      </w:r>
    </w:p>
    <w:p w14:paraId="3FEE0A85">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a.资料齐全性、完整性和有效性。按照“配套供货范围及要求”中“技术资料范围”的规定验收；</w:t>
      </w:r>
    </w:p>
    <w:p w14:paraId="717413A7">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b.产品（或材料）应运行灵活、稳定、可靠、安全，无异常声音和非正常振动。设备不允许出现漏水、漏液、漏气（汽）、漏电。</w:t>
      </w:r>
    </w:p>
    <w:p w14:paraId="42BB45CD">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c.产品（或材料）外观应无损伤，应该涂满同种明亮清晰的油漆（特殊标志除外）。设备应该完整且所有的零部件应该安装牢固，所有的焊缝饱满、无残渣等缺陷；</w:t>
      </w:r>
    </w:p>
    <w:p w14:paraId="4B51FBFB">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d.产品（或材料）应有完整的标牌，且清晰易见；</w:t>
      </w:r>
    </w:p>
    <w:p w14:paraId="2FA8A4FB">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e.产品（或材料）的安全要求符合中国最新的相关法律、法规、标准和规范以及合同要求；</w:t>
      </w:r>
    </w:p>
    <w:p w14:paraId="7D339AE0">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②终验收时的一般验收标准与要求：</w:t>
      </w:r>
    </w:p>
    <w:p w14:paraId="0555601D">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a.资料齐全性、完整性和有效性。</w:t>
      </w:r>
    </w:p>
    <w:p w14:paraId="1E5A2C03">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b.产品（或材料）应运行稳定、可靠、安全，无异常声音和非正常振动。设备不允许出现漏水、漏液、漏气（汽）、漏电。</w:t>
      </w:r>
    </w:p>
    <w:p w14:paraId="29D82902">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c.产品（或材料）应有完整的标牌，且清晰易见；</w:t>
      </w:r>
    </w:p>
    <w:p w14:paraId="5D9D7774">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③ 终验收条件</w:t>
      </w:r>
    </w:p>
    <w:p w14:paraId="07766EC2">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依据招标文件、投标文件、答疑文件、技术交流文件等形成并达成一致的技术协议书和合同规定的终验收条件、原设备的技术参数，说明书及国家或行业对设备表面涂漆最新专业技术标准和安全法规要求验收。</w:t>
      </w:r>
    </w:p>
    <w:p w14:paraId="128D6B76">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若属于国家相关机关单位强制要求检验校准的设备大修、项修，以通过相关检查校准，作为项目终验收合格的依据。</w:t>
      </w:r>
    </w:p>
    <w:p w14:paraId="72182827">
      <w:pPr>
        <w:pStyle w:val="60"/>
        <w:spacing w:line="360" w:lineRule="auto"/>
        <w:ind w:firstLine="560"/>
        <w:rPr>
          <w:rFonts w:hint="eastAsia" w:ascii="仿宋_GB2312" w:hAnsi="仿宋_GB2312" w:eastAsia="仿宋_GB2312" w:cs="仿宋_GB2312"/>
          <w:b w:val="0"/>
          <w:bCs w:val="0"/>
          <w:sz w:val="28"/>
        </w:rPr>
      </w:pPr>
    </w:p>
    <w:p w14:paraId="0BD85323"/>
    <w:p w14:paraId="35576994">
      <w:pPr>
        <w:rPr>
          <w:rFonts w:hint="eastAsia" w:ascii="Calibri" w:hAnsi="Calibri" w:cs="Times New Roman"/>
          <w:b/>
          <w:bCs/>
          <w:kern w:val="44"/>
          <w:sz w:val="44"/>
          <w:szCs w:val="44"/>
          <w:highlight w:val="none"/>
          <w:lang w:val="en-US" w:eastAsia="zh-CN"/>
        </w:rPr>
      </w:pPr>
      <w:r>
        <w:rPr>
          <w:rFonts w:hint="eastAsia" w:ascii="Calibri" w:hAnsi="Calibri" w:cs="Times New Roman"/>
          <w:b/>
          <w:bCs/>
          <w:kern w:val="44"/>
          <w:sz w:val="44"/>
          <w:szCs w:val="44"/>
          <w:highlight w:val="none"/>
          <w:lang w:val="en-US" w:eastAsia="zh-CN"/>
        </w:rPr>
        <w:br w:type="page"/>
      </w:r>
    </w:p>
    <w:p w14:paraId="0C05619E">
      <w:pPr>
        <w:jc w:val="center"/>
        <w:rPr>
          <w:rFonts w:hint="eastAsia" w:ascii="Calibri" w:hAnsi="Calibri" w:cs="Times New Roman"/>
          <w:b/>
          <w:bCs/>
          <w:kern w:val="44"/>
          <w:sz w:val="44"/>
          <w:szCs w:val="44"/>
          <w:highlight w:val="none"/>
          <w:lang w:val="en-US" w:eastAsia="zh-CN"/>
        </w:rPr>
      </w:pPr>
      <w:r>
        <w:rPr>
          <w:rFonts w:hint="eastAsia" w:ascii="Calibri" w:hAnsi="Calibri" w:cs="Times New Roman"/>
          <w:b/>
          <w:bCs/>
          <w:kern w:val="44"/>
          <w:sz w:val="44"/>
          <w:szCs w:val="44"/>
          <w:highlight w:val="none"/>
          <w:lang w:val="en-US" w:eastAsia="zh-CN"/>
        </w:rPr>
        <w:t>评分标准</w:t>
      </w:r>
    </w:p>
    <w:tbl>
      <w:tblPr>
        <w:tblStyle w:val="48"/>
        <w:tblW w:w="5000" w:type="pct"/>
        <w:jc w:val="center"/>
        <w:tblLayout w:type="autofit"/>
        <w:tblCellMar>
          <w:top w:w="0" w:type="dxa"/>
          <w:left w:w="108" w:type="dxa"/>
          <w:bottom w:w="0" w:type="dxa"/>
          <w:right w:w="108" w:type="dxa"/>
        </w:tblCellMar>
      </w:tblPr>
      <w:tblGrid>
        <w:gridCol w:w="693"/>
        <w:gridCol w:w="717"/>
        <w:gridCol w:w="606"/>
        <w:gridCol w:w="1066"/>
        <w:gridCol w:w="568"/>
        <w:gridCol w:w="5636"/>
      </w:tblGrid>
      <w:tr w14:paraId="7496643C">
        <w:tblPrEx>
          <w:tblCellMar>
            <w:top w:w="0" w:type="dxa"/>
            <w:left w:w="108" w:type="dxa"/>
            <w:bottom w:w="0" w:type="dxa"/>
            <w:right w:w="108" w:type="dxa"/>
          </w:tblCellMar>
        </w:tblPrEx>
        <w:trPr>
          <w:trHeight w:val="467" w:hRule="atLeast"/>
          <w:jc w:val="center"/>
        </w:trPr>
        <w:tc>
          <w:tcPr>
            <w:tcW w:w="373" w:type="pct"/>
            <w:tcBorders>
              <w:top w:val="single" w:color="000000" w:sz="4" w:space="0"/>
              <w:left w:val="single" w:color="000000" w:sz="4" w:space="0"/>
              <w:bottom w:val="single" w:color="000000" w:sz="4" w:space="0"/>
              <w:right w:val="single" w:color="000000" w:sz="4" w:space="0"/>
            </w:tcBorders>
            <w:noWrap/>
            <w:vAlign w:val="center"/>
          </w:tcPr>
          <w:p w14:paraId="489891B8">
            <w:pPr>
              <w:pageBreakBefore w:val="0"/>
              <w:widowControl/>
              <w:kinsoku/>
              <w:wordWrap/>
              <w:overflowPunct/>
              <w:topLinePunct w:val="0"/>
              <w:bidi w:val="0"/>
              <w:spacing w:line="240" w:lineRule="auto"/>
              <w:ind w:left="0" w:leftChars="0" w:right="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序号</w:t>
            </w:r>
          </w:p>
        </w:tc>
        <w:tc>
          <w:tcPr>
            <w:tcW w:w="386" w:type="pct"/>
            <w:tcBorders>
              <w:top w:val="single" w:color="000000" w:sz="4" w:space="0"/>
              <w:left w:val="single" w:color="000000" w:sz="4" w:space="0"/>
              <w:bottom w:val="single" w:color="000000" w:sz="4" w:space="0"/>
              <w:right w:val="single" w:color="000000" w:sz="4" w:space="0"/>
            </w:tcBorders>
            <w:noWrap w:val="0"/>
            <w:vAlign w:val="center"/>
          </w:tcPr>
          <w:p w14:paraId="67446C3D">
            <w:pPr>
              <w:pageBreakBefore w:val="0"/>
              <w:widowControl/>
              <w:kinsoku/>
              <w:wordWrap/>
              <w:overflowPunct/>
              <w:topLinePunct w:val="0"/>
              <w:bidi w:val="0"/>
              <w:spacing w:line="240" w:lineRule="auto"/>
              <w:ind w:left="0" w:leftChars="0" w:right="0"/>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rPr>
              <w:t>评价因素</w:t>
            </w:r>
          </w:p>
        </w:tc>
        <w:tc>
          <w:tcPr>
            <w:tcW w:w="326" w:type="pct"/>
            <w:tcBorders>
              <w:top w:val="single" w:color="000000" w:sz="4" w:space="0"/>
              <w:left w:val="single" w:color="000000" w:sz="4" w:space="0"/>
              <w:bottom w:val="single" w:color="000000" w:sz="4" w:space="0"/>
              <w:right w:val="single" w:color="000000" w:sz="4" w:space="0"/>
            </w:tcBorders>
            <w:noWrap w:val="0"/>
            <w:vAlign w:val="center"/>
          </w:tcPr>
          <w:p w14:paraId="00C308A6">
            <w:pPr>
              <w:pageBreakBefore w:val="0"/>
              <w:widowControl/>
              <w:kinsoku/>
              <w:wordWrap/>
              <w:overflowPunct/>
              <w:topLinePunct w:val="0"/>
              <w:bidi w:val="0"/>
              <w:spacing w:line="240" w:lineRule="auto"/>
              <w:ind w:left="0" w:leftChars="0" w:right="0"/>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rPr>
              <w:t>总分</w:t>
            </w:r>
          </w:p>
        </w:tc>
        <w:tc>
          <w:tcPr>
            <w:tcW w:w="574" w:type="pct"/>
            <w:tcBorders>
              <w:top w:val="single" w:color="000000" w:sz="4" w:space="0"/>
              <w:left w:val="single" w:color="000000" w:sz="4" w:space="0"/>
              <w:bottom w:val="single" w:color="000000" w:sz="4" w:space="0"/>
              <w:right w:val="single" w:color="000000" w:sz="4" w:space="0"/>
            </w:tcBorders>
            <w:noWrap w:val="0"/>
            <w:vAlign w:val="center"/>
          </w:tcPr>
          <w:p w14:paraId="47D84A38">
            <w:pPr>
              <w:pageBreakBefore w:val="0"/>
              <w:widowControl/>
              <w:kinsoku/>
              <w:wordWrap/>
              <w:overflowPunct/>
              <w:topLinePunct w:val="0"/>
              <w:bidi w:val="0"/>
              <w:spacing w:line="240" w:lineRule="auto"/>
              <w:ind w:left="0" w:leftChars="0" w:right="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评分项目</w:t>
            </w:r>
          </w:p>
        </w:tc>
        <w:tc>
          <w:tcPr>
            <w:tcW w:w="306" w:type="pct"/>
            <w:tcBorders>
              <w:top w:val="single" w:color="000000" w:sz="4" w:space="0"/>
              <w:left w:val="single" w:color="000000" w:sz="4" w:space="0"/>
              <w:bottom w:val="single" w:color="000000" w:sz="4" w:space="0"/>
              <w:right w:val="single" w:color="000000" w:sz="4" w:space="0"/>
            </w:tcBorders>
            <w:noWrap w:val="0"/>
            <w:vAlign w:val="center"/>
          </w:tcPr>
          <w:p w14:paraId="64455282">
            <w:pPr>
              <w:pageBreakBefore w:val="0"/>
              <w:widowControl/>
              <w:kinsoku/>
              <w:wordWrap/>
              <w:overflowPunct/>
              <w:topLinePunct w:val="0"/>
              <w:bidi w:val="0"/>
              <w:spacing w:line="240" w:lineRule="auto"/>
              <w:ind w:left="0" w:leftChars="0" w:right="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得分</w:t>
            </w:r>
          </w:p>
        </w:tc>
        <w:tc>
          <w:tcPr>
            <w:tcW w:w="3032" w:type="pct"/>
            <w:tcBorders>
              <w:top w:val="single" w:color="000000" w:sz="4" w:space="0"/>
              <w:left w:val="single" w:color="000000" w:sz="4" w:space="0"/>
              <w:bottom w:val="single" w:color="000000" w:sz="4" w:space="0"/>
              <w:right w:val="single" w:color="000000" w:sz="4" w:space="0"/>
            </w:tcBorders>
            <w:noWrap w:val="0"/>
            <w:vAlign w:val="center"/>
          </w:tcPr>
          <w:p w14:paraId="42169284">
            <w:pPr>
              <w:pageBreakBefore w:val="0"/>
              <w:widowControl/>
              <w:kinsoku/>
              <w:wordWrap/>
              <w:overflowPunct/>
              <w:topLinePunct w:val="0"/>
              <w:bidi w:val="0"/>
              <w:spacing w:line="240" w:lineRule="auto"/>
              <w:ind w:left="0" w:leftChars="0" w:right="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评分标准</w:t>
            </w:r>
          </w:p>
        </w:tc>
      </w:tr>
      <w:tr w14:paraId="41E59373">
        <w:tblPrEx>
          <w:tblCellMar>
            <w:top w:w="0" w:type="dxa"/>
            <w:left w:w="108" w:type="dxa"/>
            <w:bottom w:w="0" w:type="dxa"/>
            <w:right w:w="108" w:type="dxa"/>
          </w:tblCellMar>
        </w:tblPrEx>
        <w:trPr>
          <w:trHeight w:val="621" w:hRule="atLeast"/>
          <w:jc w:val="center"/>
        </w:trPr>
        <w:tc>
          <w:tcPr>
            <w:tcW w:w="373" w:type="pct"/>
            <w:vMerge w:val="restart"/>
            <w:tcBorders>
              <w:top w:val="single" w:color="000000" w:sz="4" w:space="0"/>
              <w:left w:val="single" w:color="000000" w:sz="4" w:space="0"/>
              <w:right w:val="single" w:color="000000" w:sz="4" w:space="0"/>
            </w:tcBorders>
            <w:noWrap/>
            <w:vAlign w:val="center"/>
          </w:tcPr>
          <w:p w14:paraId="3F68D427">
            <w:pPr>
              <w:pageBreakBefore w:val="0"/>
              <w:widowControl/>
              <w:kinsoku/>
              <w:wordWrap/>
              <w:overflowPunct/>
              <w:topLinePunct w:val="0"/>
              <w:bidi w:val="0"/>
              <w:spacing w:line="240" w:lineRule="auto"/>
              <w:ind w:left="0" w:leftChars="0" w:right="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1</w:t>
            </w:r>
          </w:p>
        </w:tc>
        <w:tc>
          <w:tcPr>
            <w:tcW w:w="386" w:type="pct"/>
            <w:vMerge w:val="restart"/>
            <w:tcBorders>
              <w:top w:val="single" w:color="000000" w:sz="4" w:space="0"/>
              <w:left w:val="single" w:color="000000" w:sz="4" w:space="0"/>
              <w:bottom w:val="single" w:color="000000" w:sz="4" w:space="0"/>
              <w:right w:val="single" w:color="000000" w:sz="4" w:space="0"/>
            </w:tcBorders>
            <w:noWrap w:val="0"/>
            <w:vAlign w:val="center"/>
          </w:tcPr>
          <w:p w14:paraId="7CB94D92">
            <w:pPr>
              <w:pageBreakBefore w:val="0"/>
              <w:widowControl/>
              <w:kinsoku/>
              <w:wordWrap/>
              <w:overflowPunct/>
              <w:topLinePunct w:val="0"/>
              <w:bidi w:val="0"/>
              <w:spacing w:line="240" w:lineRule="auto"/>
              <w:ind w:left="0" w:leftChars="0" w:right="0"/>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rPr>
              <w:t>技术标</w:t>
            </w:r>
            <w:r>
              <w:rPr>
                <w:rFonts w:hint="eastAsia" w:ascii="宋体" w:hAnsi="宋体" w:eastAsia="宋体" w:cs="宋体"/>
                <w:color w:val="000000"/>
                <w:kern w:val="0"/>
                <w:sz w:val="20"/>
                <w:szCs w:val="20"/>
                <w:lang w:eastAsia="zh-CN"/>
              </w:rPr>
              <w:t>（</w:t>
            </w:r>
            <w:r>
              <w:rPr>
                <w:rFonts w:hint="eastAsia" w:ascii="宋体" w:hAnsi="宋体" w:eastAsia="宋体" w:cs="宋体"/>
                <w:color w:val="000000"/>
                <w:kern w:val="0"/>
                <w:sz w:val="20"/>
                <w:szCs w:val="20"/>
                <w:lang w:val="en-US" w:eastAsia="zh-CN"/>
              </w:rPr>
              <w:t>占比40%</w:t>
            </w:r>
            <w:r>
              <w:rPr>
                <w:rFonts w:hint="eastAsia" w:ascii="宋体" w:hAnsi="宋体" w:eastAsia="宋体" w:cs="宋体"/>
                <w:color w:val="000000"/>
                <w:kern w:val="0"/>
                <w:sz w:val="20"/>
                <w:szCs w:val="20"/>
                <w:lang w:eastAsia="zh-CN"/>
              </w:rPr>
              <w:t>）</w:t>
            </w:r>
          </w:p>
        </w:tc>
        <w:tc>
          <w:tcPr>
            <w:tcW w:w="326" w:type="pct"/>
            <w:vMerge w:val="restart"/>
            <w:tcBorders>
              <w:top w:val="single" w:color="000000" w:sz="4" w:space="0"/>
              <w:left w:val="single" w:color="000000" w:sz="4" w:space="0"/>
              <w:right w:val="single" w:color="000000" w:sz="4" w:space="0"/>
            </w:tcBorders>
            <w:noWrap w:val="0"/>
            <w:vAlign w:val="center"/>
          </w:tcPr>
          <w:p w14:paraId="3E1E9BF0">
            <w:pPr>
              <w:pageBreakBefore w:val="0"/>
              <w:widowControl/>
              <w:kinsoku/>
              <w:wordWrap/>
              <w:overflowPunct/>
              <w:topLinePunct w:val="0"/>
              <w:bidi w:val="0"/>
              <w:spacing w:line="240" w:lineRule="auto"/>
              <w:ind w:left="0" w:leftChars="0" w:right="0"/>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rPr>
              <w:t>100</w:t>
            </w:r>
          </w:p>
        </w:tc>
        <w:tc>
          <w:tcPr>
            <w:tcW w:w="574" w:type="pct"/>
            <w:vMerge w:val="restart"/>
            <w:tcBorders>
              <w:top w:val="single" w:color="000000" w:sz="4" w:space="0"/>
              <w:left w:val="single" w:color="000000" w:sz="4" w:space="0"/>
              <w:right w:val="single" w:color="000000" w:sz="4" w:space="0"/>
            </w:tcBorders>
            <w:noWrap w:val="0"/>
            <w:vAlign w:val="center"/>
          </w:tcPr>
          <w:p w14:paraId="278BB4C8">
            <w:pPr>
              <w:pageBreakBefore w:val="0"/>
              <w:widowControl/>
              <w:kinsoku/>
              <w:wordWrap/>
              <w:overflowPunct/>
              <w:topLinePunct w:val="0"/>
              <w:bidi w:val="0"/>
              <w:spacing w:line="240" w:lineRule="auto"/>
              <w:ind w:left="0" w:leftChars="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kern w:val="0"/>
                <w:sz w:val="18"/>
                <w:szCs w:val="18"/>
                <w:highlight w:val="none"/>
              </w:rPr>
              <w:t>相关资质及施工能力</w:t>
            </w:r>
          </w:p>
        </w:tc>
        <w:tc>
          <w:tcPr>
            <w:tcW w:w="306" w:type="pct"/>
            <w:vMerge w:val="restart"/>
            <w:tcBorders>
              <w:top w:val="single" w:color="000000" w:sz="4" w:space="0"/>
              <w:left w:val="single" w:color="000000" w:sz="4" w:space="0"/>
              <w:right w:val="single" w:color="000000" w:sz="4" w:space="0"/>
            </w:tcBorders>
            <w:noWrap w:val="0"/>
            <w:vAlign w:val="center"/>
          </w:tcPr>
          <w:p w14:paraId="7C6E722F">
            <w:pPr>
              <w:pageBreakBefore w:val="0"/>
              <w:widowControl/>
              <w:kinsoku/>
              <w:wordWrap/>
              <w:overflowPunct/>
              <w:topLinePunct w:val="0"/>
              <w:bidi w:val="0"/>
              <w:spacing w:line="240" w:lineRule="auto"/>
              <w:ind w:left="0" w:leftChars="0" w:right="0"/>
              <w:jc w:val="center"/>
              <w:textAlignment w:val="center"/>
              <w:rPr>
                <w:rFonts w:hint="eastAsia" w:ascii="宋体" w:hAnsi="宋体" w:eastAsia="宋体" w:cs="宋体"/>
                <w:color w:val="000000"/>
                <w:sz w:val="18"/>
                <w:szCs w:val="18"/>
                <w:highlight w:val="none"/>
                <w:lang w:val="en-US" w:eastAsia="zh-CN"/>
              </w:rPr>
            </w:pPr>
            <w:r>
              <w:rPr>
                <w:rFonts w:hint="eastAsia" w:ascii="宋体" w:hAnsi="宋体" w:eastAsia="宋体" w:cs="宋体"/>
                <w:color w:val="000000"/>
                <w:kern w:val="0"/>
                <w:sz w:val="18"/>
                <w:szCs w:val="18"/>
                <w:highlight w:val="none"/>
                <w:lang w:val="en-US" w:eastAsia="zh-CN"/>
              </w:rPr>
              <w:t>100</w:t>
            </w:r>
          </w:p>
        </w:tc>
        <w:tc>
          <w:tcPr>
            <w:tcW w:w="3032" w:type="pct"/>
            <w:tcBorders>
              <w:top w:val="single" w:color="000000" w:sz="4" w:space="0"/>
              <w:left w:val="single" w:color="000000" w:sz="4" w:space="0"/>
              <w:bottom w:val="single" w:color="000000" w:sz="4" w:space="0"/>
              <w:right w:val="single" w:color="000000" w:sz="4" w:space="0"/>
            </w:tcBorders>
            <w:noWrap w:val="0"/>
            <w:vAlign w:val="center"/>
          </w:tcPr>
          <w:p w14:paraId="0E151B44">
            <w:pPr>
              <w:pageBreakBefore w:val="0"/>
              <w:widowControl/>
              <w:kinsoku/>
              <w:wordWrap/>
              <w:overflowPunct/>
              <w:topLinePunct w:val="0"/>
              <w:bidi w:val="0"/>
              <w:spacing w:line="240" w:lineRule="auto"/>
              <w:ind w:left="0" w:leftChars="0" w:right="0"/>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w:t>
            </w:r>
            <w:r>
              <w:rPr>
                <w:rFonts w:hint="eastAsia" w:ascii="宋体" w:hAnsi="宋体" w:eastAsia="宋体" w:cs="宋体"/>
                <w:color w:val="000000"/>
                <w:kern w:val="0"/>
                <w:sz w:val="18"/>
                <w:szCs w:val="18"/>
                <w:lang w:val="en-US" w:eastAsia="zh-CN"/>
              </w:rPr>
              <w:t>1</w:t>
            </w:r>
            <w:r>
              <w:rPr>
                <w:rFonts w:hint="eastAsia" w:ascii="宋体" w:hAnsi="宋体" w:eastAsia="宋体" w:cs="宋体"/>
                <w:color w:val="000000"/>
                <w:kern w:val="0"/>
                <w:sz w:val="18"/>
                <w:szCs w:val="18"/>
              </w:rPr>
              <w:t>）项目技术维修方案切实可行</w:t>
            </w:r>
            <w:r>
              <w:rPr>
                <w:rFonts w:hint="eastAsia" w:ascii="宋体" w:hAnsi="宋体" w:cs="宋体"/>
                <w:color w:val="000000"/>
                <w:kern w:val="0"/>
                <w:sz w:val="18"/>
                <w:szCs w:val="18"/>
                <w:lang w:eastAsia="zh-CN"/>
              </w:rPr>
              <w:t>，</w:t>
            </w:r>
            <w:r>
              <w:rPr>
                <w:rFonts w:hint="eastAsia" w:ascii="宋体" w:hAnsi="宋体" w:cs="宋体"/>
                <w:color w:val="auto"/>
                <w:kern w:val="0"/>
                <w:sz w:val="18"/>
                <w:szCs w:val="18"/>
                <w:lang w:val="en-US" w:eastAsia="zh-CN"/>
              </w:rPr>
              <w:t>提供现场踏勘照片及施工示意图</w:t>
            </w:r>
            <w:r>
              <w:rPr>
                <w:rFonts w:hint="eastAsia" w:ascii="宋体" w:hAnsi="宋体" w:eastAsia="宋体" w:cs="宋体"/>
                <w:color w:val="auto"/>
                <w:kern w:val="0"/>
                <w:sz w:val="18"/>
                <w:szCs w:val="18"/>
              </w:rPr>
              <w:t>。</w:t>
            </w:r>
            <w:r>
              <w:rPr>
                <w:rFonts w:hint="eastAsia" w:ascii="宋体" w:hAnsi="宋体" w:eastAsia="宋体" w:cs="宋体"/>
                <w:color w:val="000000"/>
                <w:kern w:val="0"/>
                <w:sz w:val="18"/>
                <w:szCs w:val="18"/>
              </w:rPr>
              <w:t>（切实可行的15-20，待完善的</w:t>
            </w:r>
            <w:r>
              <w:rPr>
                <w:rFonts w:hint="eastAsia" w:ascii="宋体" w:hAnsi="宋体" w:cs="宋体"/>
                <w:color w:val="000000"/>
                <w:kern w:val="0"/>
                <w:sz w:val="18"/>
                <w:szCs w:val="18"/>
                <w:lang w:val="en-US" w:eastAsia="zh-CN"/>
              </w:rPr>
              <w:t>10</w:t>
            </w:r>
            <w:r>
              <w:rPr>
                <w:rFonts w:hint="eastAsia" w:ascii="宋体" w:hAnsi="宋体" w:eastAsia="宋体" w:cs="宋体"/>
                <w:color w:val="000000"/>
                <w:kern w:val="0"/>
                <w:sz w:val="18"/>
                <w:szCs w:val="18"/>
              </w:rPr>
              <w:t>-15分，描述不清晰的</w:t>
            </w:r>
            <w:r>
              <w:rPr>
                <w:rFonts w:hint="eastAsia" w:ascii="宋体" w:hAnsi="宋体" w:cs="宋体"/>
                <w:color w:val="000000"/>
                <w:kern w:val="0"/>
                <w:sz w:val="18"/>
                <w:szCs w:val="18"/>
                <w:lang w:val="en-US" w:eastAsia="zh-CN"/>
              </w:rPr>
              <w:t>不得</w:t>
            </w:r>
            <w:r>
              <w:rPr>
                <w:rFonts w:hint="eastAsia" w:ascii="宋体" w:hAnsi="宋体" w:eastAsia="宋体" w:cs="宋体"/>
                <w:color w:val="000000"/>
                <w:kern w:val="0"/>
                <w:sz w:val="18"/>
                <w:szCs w:val="18"/>
              </w:rPr>
              <w:t>分）</w:t>
            </w:r>
          </w:p>
        </w:tc>
      </w:tr>
      <w:tr w14:paraId="1EC102DF">
        <w:tblPrEx>
          <w:tblCellMar>
            <w:top w:w="0" w:type="dxa"/>
            <w:left w:w="108" w:type="dxa"/>
            <w:bottom w:w="0" w:type="dxa"/>
            <w:right w:w="108" w:type="dxa"/>
          </w:tblCellMar>
        </w:tblPrEx>
        <w:trPr>
          <w:trHeight w:val="480" w:hRule="atLeast"/>
          <w:jc w:val="center"/>
        </w:trPr>
        <w:tc>
          <w:tcPr>
            <w:tcW w:w="373" w:type="pct"/>
            <w:vMerge w:val="continue"/>
            <w:tcBorders>
              <w:left w:val="single" w:color="000000" w:sz="4" w:space="0"/>
              <w:right w:val="single" w:color="000000" w:sz="4" w:space="0"/>
            </w:tcBorders>
            <w:noWrap/>
            <w:vAlign w:val="center"/>
          </w:tcPr>
          <w:p w14:paraId="14A71FC7">
            <w:pPr>
              <w:pageBreakBefore w:val="0"/>
              <w:kinsoku/>
              <w:wordWrap/>
              <w:overflowPunct/>
              <w:topLinePunct w:val="0"/>
              <w:bidi w:val="0"/>
              <w:spacing w:line="240" w:lineRule="auto"/>
              <w:ind w:left="0" w:leftChars="0" w:right="0"/>
              <w:jc w:val="center"/>
              <w:rPr>
                <w:rFonts w:hint="eastAsia" w:ascii="宋体" w:hAnsi="宋体" w:eastAsia="宋体" w:cs="宋体"/>
                <w:color w:val="000000"/>
                <w:sz w:val="21"/>
                <w:szCs w:val="21"/>
              </w:rPr>
            </w:pPr>
          </w:p>
        </w:tc>
        <w:tc>
          <w:tcPr>
            <w:tcW w:w="386" w:type="pct"/>
            <w:vMerge w:val="continue"/>
            <w:tcBorders>
              <w:top w:val="single" w:color="000000" w:sz="4" w:space="0"/>
              <w:left w:val="single" w:color="000000" w:sz="4" w:space="0"/>
              <w:bottom w:val="single" w:color="000000" w:sz="4" w:space="0"/>
              <w:right w:val="single" w:color="000000" w:sz="4" w:space="0"/>
            </w:tcBorders>
            <w:noWrap w:val="0"/>
            <w:vAlign w:val="center"/>
          </w:tcPr>
          <w:p w14:paraId="538061B0">
            <w:pPr>
              <w:pageBreakBefore w:val="0"/>
              <w:kinsoku/>
              <w:wordWrap/>
              <w:overflowPunct/>
              <w:topLinePunct w:val="0"/>
              <w:bidi w:val="0"/>
              <w:spacing w:line="240" w:lineRule="auto"/>
              <w:ind w:left="0" w:leftChars="0" w:right="0"/>
              <w:jc w:val="center"/>
              <w:rPr>
                <w:rFonts w:hint="eastAsia" w:ascii="宋体" w:hAnsi="宋体" w:eastAsia="宋体" w:cs="宋体"/>
                <w:color w:val="000000"/>
                <w:sz w:val="20"/>
                <w:szCs w:val="20"/>
              </w:rPr>
            </w:pPr>
          </w:p>
        </w:tc>
        <w:tc>
          <w:tcPr>
            <w:tcW w:w="326" w:type="pct"/>
            <w:vMerge w:val="continue"/>
            <w:tcBorders>
              <w:left w:val="single" w:color="000000" w:sz="4" w:space="0"/>
              <w:right w:val="single" w:color="000000" w:sz="4" w:space="0"/>
            </w:tcBorders>
            <w:noWrap w:val="0"/>
            <w:vAlign w:val="center"/>
          </w:tcPr>
          <w:p w14:paraId="70D934A2">
            <w:pPr>
              <w:pageBreakBefore w:val="0"/>
              <w:kinsoku/>
              <w:wordWrap/>
              <w:overflowPunct/>
              <w:topLinePunct w:val="0"/>
              <w:bidi w:val="0"/>
              <w:spacing w:line="240" w:lineRule="auto"/>
              <w:ind w:left="0" w:leftChars="0" w:right="0"/>
              <w:jc w:val="center"/>
              <w:rPr>
                <w:rFonts w:hint="eastAsia" w:ascii="宋体" w:hAnsi="宋体" w:eastAsia="宋体" w:cs="宋体"/>
                <w:color w:val="000000"/>
                <w:sz w:val="20"/>
                <w:szCs w:val="20"/>
              </w:rPr>
            </w:pPr>
          </w:p>
        </w:tc>
        <w:tc>
          <w:tcPr>
            <w:tcW w:w="574" w:type="pct"/>
            <w:vMerge w:val="continue"/>
            <w:tcBorders>
              <w:left w:val="single" w:color="000000" w:sz="4" w:space="0"/>
              <w:right w:val="single" w:color="000000" w:sz="4" w:space="0"/>
            </w:tcBorders>
            <w:noWrap w:val="0"/>
            <w:vAlign w:val="center"/>
          </w:tcPr>
          <w:p w14:paraId="0FB60C05">
            <w:pPr>
              <w:pageBreakBefore w:val="0"/>
              <w:kinsoku/>
              <w:wordWrap/>
              <w:overflowPunct/>
              <w:topLinePunct w:val="0"/>
              <w:bidi w:val="0"/>
              <w:spacing w:line="240" w:lineRule="auto"/>
              <w:ind w:left="0" w:leftChars="0" w:right="0"/>
              <w:jc w:val="center"/>
              <w:rPr>
                <w:rFonts w:hint="eastAsia" w:ascii="宋体" w:hAnsi="宋体" w:eastAsia="宋体" w:cs="宋体"/>
                <w:color w:val="000000"/>
                <w:sz w:val="18"/>
                <w:szCs w:val="18"/>
              </w:rPr>
            </w:pPr>
          </w:p>
        </w:tc>
        <w:tc>
          <w:tcPr>
            <w:tcW w:w="306" w:type="pct"/>
            <w:vMerge w:val="continue"/>
            <w:tcBorders>
              <w:left w:val="single" w:color="000000" w:sz="4" w:space="0"/>
              <w:right w:val="single" w:color="000000" w:sz="4" w:space="0"/>
            </w:tcBorders>
            <w:noWrap w:val="0"/>
            <w:vAlign w:val="center"/>
          </w:tcPr>
          <w:p w14:paraId="1C333C2C">
            <w:pPr>
              <w:pageBreakBefore w:val="0"/>
              <w:kinsoku/>
              <w:wordWrap/>
              <w:overflowPunct/>
              <w:topLinePunct w:val="0"/>
              <w:bidi w:val="0"/>
              <w:spacing w:line="240" w:lineRule="auto"/>
              <w:ind w:left="0" w:leftChars="0" w:right="0"/>
              <w:jc w:val="center"/>
              <w:rPr>
                <w:rFonts w:hint="eastAsia" w:ascii="宋体" w:hAnsi="宋体" w:eastAsia="宋体" w:cs="宋体"/>
                <w:color w:val="000000"/>
                <w:sz w:val="18"/>
                <w:szCs w:val="18"/>
              </w:rPr>
            </w:pPr>
          </w:p>
        </w:tc>
        <w:tc>
          <w:tcPr>
            <w:tcW w:w="3032" w:type="pct"/>
            <w:tcBorders>
              <w:top w:val="single" w:color="000000" w:sz="4" w:space="0"/>
              <w:left w:val="single" w:color="000000" w:sz="4" w:space="0"/>
              <w:bottom w:val="single" w:color="000000" w:sz="4" w:space="0"/>
              <w:right w:val="single" w:color="000000" w:sz="4" w:space="0"/>
            </w:tcBorders>
            <w:noWrap w:val="0"/>
            <w:vAlign w:val="center"/>
          </w:tcPr>
          <w:p w14:paraId="7F92BC59">
            <w:pPr>
              <w:pageBreakBefore w:val="0"/>
              <w:widowControl/>
              <w:kinsoku/>
              <w:wordWrap/>
              <w:overflowPunct/>
              <w:topLinePunct w:val="0"/>
              <w:bidi w:val="0"/>
              <w:spacing w:line="240" w:lineRule="auto"/>
              <w:ind w:left="0" w:leftChars="0" w:right="0"/>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w:t>
            </w:r>
            <w:r>
              <w:rPr>
                <w:rFonts w:hint="eastAsia" w:ascii="宋体" w:hAnsi="宋体" w:eastAsia="宋体" w:cs="宋体"/>
                <w:color w:val="000000"/>
                <w:kern w:val="0"/>
                <w:sz w:val="18"/>
                <w:szCs w:val="18"/>
                <w:lang w:val="en-US" w:eastAsia="zh-CN"/>
              </w:rPr>
              <w:t>2</w:t>
            </w:r>
            <w:r>
              <w:rPr>
                <w:rFonts w:hint="eastAsia" w:ascii="宋体" w:hAnsi="宋体" w:eastAsia="宋体" w:cs="宋体"/>
                <w:color w:val="000000"/>
                <w:kern w:val="0"/>
                <w:sz w:val="18"/>
                <w:szCs w:val="18"/>
              </w:rPr>
              <w:t>）材料、辅材、品牌、型号、数量能完全满足标书要求，能提供检测合格证明。（完全符合10-20分，比较符合0-10分）</w:t>
            </w:r>
          </w:p>
        </w:tc>
      </w:tr>
      <w:tr w14:paraId="5E419DAC">
        <w:tblPrEx>
          <w:tblCellMar>
            <w:top w:w="0" w:type="dxa"/>
            <w:left w:w="108" w:type="dxa"/>
            <w:bottom w:w="0" w:type="dxa"/>
            <w:right w:w="108" w:type="dxa"/>
          </w:tblCellMar>
        </w:tblPrEx>
        <w:trPr>
          <w:trHeight w:val="381" w:hRule="atLeast"/>
          <w:jc w:val="center"/>
        </w:trPr>
        <w:tc>
          <w:tcPr>
            <w:tcW w:w="373" w:type="pct"/>
            <w:vMerge w:val="continue"/>
            <w:tcBorders>
              <w:left w:val="single" w:color="000000" w:sz="4" w:space="0"/>
              <w:right w:val="single" w:color="000000" w:sz="4" w:space="0"/>
            </w:tcBorders>
            <w:noWrap/>
            <w:vAlign w:val="center"/>
          </w:tcPr>
          <w:p w14:paraId="6CCB7A34">
            <w:pPr>
              <w:pageBreakBefore w:val="0"/>
              <w:kinsoku/>
              <w:wordWrap/>
              <w:overflowPunct/>
              <w:topLinePunct w:val="0"/>
              <w:bidi w:val="0"/>
              <w:spacing w:line="240" w:lineRule="auto"/>
              <w:ind w:left="0" w:leftChars="0" w:right="0"/>
              <w:jc w:val="center"/>
              <w:rPr>
                <w:rFonts w:hint="eastAsia" w:ascii="宋体" w:hAnsi="宋体" w:eastAsia="宋体" w:cs="宋体"/>
                <w:color w:val="000000"/>
                <w:sz w:val="21"/>
                <w:szCs w:val="21"/>
              </w:rPr>
            </w:pPr>
          </w:p>
        </w:tc>
        <w:tc>
          <w:tcPr>
            <w:tcW w:w="386" w:type="pct"/>
            <w:vMerge w:val="continue"/>
            <w:tcBorders>
              <w:top w:val="single" w:color="000000" w:sz="4" w:space="0"/>
              <w:left w:val="single" w:color="000000" w:sz="4" w:space="0"/>
              <w:bottom w:val="single" w:color="000000" w:sz="4" w:space="0"/>
              <w:right w:val="single" w:color="000000" w:sz="4" w:space="0"/>
            </w:tcBorders>
            <w:noWrap w:val="0"/>
            <w:vAlign w:val="center"/>
          </w:tcPr>
          <w:p w14:paraId="3B966B58">
            <w:pPr>
              <w:pageBreakBefore w:val="0"/>
              <w:kinsoku/>
              <w:wordWrap/>
              <w:overflowPunct/>
              <w:topLinePunct w:val="0"/>
              <w:bidi w:val="0"/>
              <w:spacing w:line="240" w:lineRule="auto"/>
              <w:ind w:left="0" w:leftChars="0" w:right="0"/>
              <w:jc w:val="center"/>
              <w:rPr>
                <w:rFonts w:hint="eastAsia" w:ascii="宋体" w:hAnsi="宋体" w:eastAsia="宋体" w:cs="宋体"/>
                <w:color w:val="000000"/>
                <w:sz w:val="20"/>
                <w:szCs w:val="20"/>
              </w:rPr>
            </w:pPr>
          </w:p>
        </w:tc>
        <w:tc>
          <w:tcPr>
            <w:tcW w:w="326" w:type="pct"/>
            <w:vMerge w:val="continue"/>
            <w:tcBorders>
              <w:left w:val="single" w:color="000000" w:sz="4" w:space="0"/>
              <w:right w:val="single" w:color="000000" w:sz="4" w:space="0"/>
            </w:tcBorders>
            <w:noWrap w:val="0"/>
            <w:vAlign w:val="center"/>
          </w:tcPr>
          <w:p w14:paraId="4E69F3A0">
            <w:pPr>
              <w:pageBreakBefore w:val="0"/>
              <w:kinsoku/>
              <w:wordWrap/>
              <w:overflowPunct/>
              <w:topLinePunct w:val="0"/>
              <w:bidi w:val="0"/>
              <w:spacing w:line="240" w:lineRule="auto"/>
              <w:ind w:left="0" w:leftChars="0" w:right="0"/>
              <w:jc w:val="center"/>
              <w:rPr>
                <w:rFonts w:hint="eastAsia" w:ascii="宋体" w:hAnsi="宋体" w:eastAsia="宋体" w:cs="宋体"/>
                <w:color w:val="000000"/>
                <w:sz w:val="20"/>
                <w:szCs w:val="20"/>
              </w:rPr>
            </w:pPr>
          </w:p>
        </w:tc>
        <w:tc>
          <w:tcPr>
            <w:tcW w:w="574" w:type="pct"/>
            <w:vMerge w:val="continue"/>
            <w:tcBorders>
              <w:left w:val="single" w:color="000000" w:sz="4" w:space="0"/>
              <w:right w:val="single" w:color="000000" w:sz="4" w:space="0"/>
            </w:tcBorders>
            <w:noWrap w:val="0"/>
            <w:vAlign w:val="center"/>
          </w:tcPr>
          <w:p w14:paraId="55EF1660">
            <w:pPr>
              <w:pageBreakBefore w:val="0"/>
              <w:kinsoku/>
              <w:wordWrap/>
              <w:overflowPunct/>
              <w:topLinePunct w:val="0"/>
              <w:bidi w:val="0"/>
              <w:spacing w:line="240" w:lineRule="auto"/>
              <w:ind w:left="0" w:leftChars="0" w:right="0"/>
              <w:jc w:val="center"/>
              <w:rPr>
                <w:rFonts w:hint="eastAsia" w:ascii="宋体" w:hAnsi="宋体" w:eastAsia="宋体" w:cs="宋体"/>
                <w:color w:val="000000"/>
                <w:sz w:val="18"/>
                <w:szCs w:val="18"/>
              </w:rPr>
            </w:pPr>
          </w:p>
        </w:tc>
        <w:tc>
          <w:tcPr>
            <w:tcW w:w="306" w:type="pct"/>
            <w:vMerge w:val="continue"/>
            <w:tcBorders>
              <w:left w:val="single" w:color="000000" w:sz="4" w:space="0"/>
              <w:right w:val="single" w:color="000000" w:sz="4" w:space="0"/>
            </w:tcBorders>
            <w:noWrap w:val="0"/>
            <w:vAlign w:val="center"/>
          </w:tcPr>
          <w:p w14:paraId="45F376BF">
            <w:pPr>
              <w:pageBreakBefore w:val="0"/>
              <w:kinsoku/>
              <w:wordWrap/>
              <w:overflowPunct/>
              <w:topLinePunct w:val="0"/>
              <w:bidi w:val="0"/>
              <w:spacing w:line="240" w:lineRule="auto"/>
              <w:ind w:left="0" w:leftChars="0" w:right="0"/>
              <w:jc w:val="center"/>
              <w:rPr>
                <w:rFonts w:hint="eastAsia" w:ascii="宋体" w:hAnsi="宋体" w:eastAsia="宋体" w:cs="宋体"/>
                <w:color w:val="000000"/>
                <w:sz w:val="18"/>
                <w:szCs w:val="18"/>
              </w:rPr>
            </w:pPr>
          </w:p>
        </w:tc>
        <w:tc>
          <w:tcPr>
            <w:tcW w:w="3032" w:type="pct"/>
            <w:tcBorders>
              <w:top w:val="single" w:color="000000" w:sz="4" w:space="0"/>
              <w:left w:val="single" w:color="000000" w:sz="4" w:space="0"/>
              <w:bottom w:val="single" w:color="000000" w:sz="4" w:space="0"/>
              <w:right w:val="single" w:color="000000" w:sz="4" w:space="0"/>
            </w:tcBorders>
            <w:noWrap w:val="0"/>
            <w:vAlign w:val="center"/>
          </w:tcPr>
          <w:p w14:paraId="34E93767">
            <w:pPr>
              <w:pageBreakBefore w:val="0"/>
              <w:widowControl/>
              <w:kinsoku/>
              <w:wordWrap/>
              <w:overflowPunct/>
              <w:topLinePunct w:val="0"/>
              <w:bidi w:val="0"/>
              <w:spacing w:line="240" w:lineRule="auto"/>
              <w:ind w:left="0" w:leftChars="0" w:right="0"/>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w:t>
            </w:r>
            <w:r>
              <w:rPr>
                <w:rFonts w:hint="eastAsia" w:ascii="宋体" w:hAnsi="宋体" w:eastAsia="宋体" w:cs="宋体"/>
                <w:color w:val="000000"/>
                <w:kern w:val="0"/>
                <w:sz w:val="18"/>
                <w:szCs w:val="18"/>
                <w:lang w:val="en-US" w:eastAsia="zh-CN"/>
              </w:rPr>
              <w:t>3</w:t>
            </w:r>
            <w:r>
              <w:rPr>
                <w:rFonts w:hint="eastAsia" w:ascii="宋体" w:hAnsi="宋体" w:eastAsia="宋体" w:cs="宋体"/>
                <w:color w:val="000000"/>
                <w:kern w:val="0"/>
                <w:sz w:val="18"/>
                <w:szCs w:val="18"/>
              </w:rPr>
              <w:t>）保证施工质量体系完整</w:t>
            </w:r>
            <w:r>
              <w:rPr>
                <w:rFonts w:hint="eastAsia" w:ascii="宋体" w:hAnsi="宋体" w:cs="宋体"/>
                <w:color w:val="auto"/>
                <w:kern w:val="0"/>
                <w:sz w:val="18"/>
                <w:szCs w:val="18"/>
                <w:lang w:eastAsia="zh-CN"/>
              </w:rPr>
              <w:t>，</w:t>
            </w:r>
            <w:r>
              <w:rPr>
                <w:rFonts w:hint="eastAsia" w:ascii="宋体" w:hAnsi="宋体" w:cs="宋体"/>
                <w:color w:val="auto"/>
                <w:kern w:val="0"/>
                <w:sz w:val="18"/>
                <w:szCs w:val="18"/>
                <w:lang w:val="en-US" w:eastAsia="zh-CN"/>
              </w:rPr>
              <w:t>提供质量体系认证证书</w:t>
            </w:r>
            <w:r>
              <w:rPr>
                <w:rFonts w:hint="eastAsia" w:ascii="宋体" w:hAnsi="宋体" w:eastAsia="宋体" w:cs="宋体"/>
                <w:color w:val="auto"/>
                <w:kern w:val="0"/>
                <w:sz w:val="18"/>
                <w:szCs w:val="18"/>
              </w:rPr>
              <w:t>，措</w:t>
            </w:r>
            <w:r>
              <w:rPr>
                <w:rFonts w:hint="eastAsia" w:ascii="宋体" w:hAnsi="宋体" w:eastAsia="宋体" w:cs="宋体"/>
                <w:color w:val="000000"/>
                <w:kern w:val="0"/>
                <w:sz w:val="18"/>
                <w:szCs w:val="18"/>
              </w:rPr>
              <w:t>施有力，能有项目控制计划。（0-10分）</w:t>
            </w:r>
          </w:p>
        </w:tc>
      </w:tr>
      <w:tr w14:paraId="5FC00807">
        <w:tblPrEx>
          <w:tblCellMar>
            <w:top w:w="0" w:type="dxa"/>
            <w:left w:w="108" w:type="dxa"/>
            <w:bottom w:w="0" w:type="dxa"/>
            <w:right w:w="108" w:type="dxa"/>
          </w:tblCellMar>
        </w:tblPrEx>
        <w:trPr>
          <w:trHeight w:val="651" w:hRule="atLeast"/>
          <w:jc w:val="center"/>
        </w:trPr>
        <w:tc>
          <w:tcPr>
            <w:tcW w:w="373" w:type="pct"/>
            <w:vMerge w:val="continue"/>
            <w:tcBorders>
              <w:left w:val="single" w:color="000000" w:sz="4" w:space="0"/>
              <w:right w:val="single" w:color="000000" w:sz="4" w:space="0"/>
            </w:tcBorders>
            <w:noWrap/>
            <w:vAlign w:val="center"/>
          </w:tcPr>
          <w:p w14:paraId="350DFC12">
            <w:pPr>
              <w:pageBreakBefore w:val="0"/>
              <w:kinsoku/>
              <w:wordWrap/>
              <w:overflowPunct/>
              <w:topLinePunct w:val="0"/>
              <w:bidi w:val="0"/>
              <w:spacing w:line="240" w:lineRule="auto"/>
              <w:ind w:left="0" w:leftChars="0" w:right="0"/>
              <w:jc w:val="center"/>
              <w:rPr>
                <w:rFonts w:hint="eastAsia" w:ascii="宋体" w:hAnsi="宋体" w:eastAsia="宋体" w:cs="宋体"/>
                <w:color w:val="000000"/>
                <w:sz w:val="21"/>
                <w:szCs w:val="21"/>
              </w:rPr>
            </w:pPr>
          </w:p>
        </w:tc>
        <w:tc>
          <w:tcPr>
            <w:tcW w:w="386" w:type="pct"/>
            <w:vMerge w:val="continue"/>
            <w:tcBorders>
              <w:top w:val="single" w:color="000000" w:sz="4" w:space="0"/>
              <w:left w:val="single" w:color="000000" w:sz="4" w:space="0"/>
              <w:bottom w:val="single" w:color="000000" w:sz="4" w:space="0"/>
              <w:right w:val="single" w:color="000000" w:sz="4" w:space="0"/>
            </w:tcBorders>
            <w:noWrap w:val="0"/>
            <w:vAlign w:val="center"/>
          </w:tcPr>
          <w:p w14:paraId="18034F13">
            <w:pPr>
              <w:pageBreakBefore w:val="0"/>
              <w:kinsoku/>
              <w:wordWrap/>
              <w:overflowPunct/>
              <w:topLinePunct w:val="0"/>
              <w:bidi w:val="0"/>
              <w:spacing w:line="240" w:lineRule="auto"/>
              <w:ind w:left="0" w:leftChars="0" w:right="0"/>
              <w:jc w:val="center"/>
              <w:rPr>
                <w:rFonts w:hint="eastAsia" w:ascii="宋体" w:hAnsi="宋体" w:eastAsia="宋体" w:cs="宋体"/>
                <w:color w:val="000000"/>
                <w:sz w:val="20"/>
                <w:szCs w:val="20"/>
              </w:rPr>
            </w:pPr>
          </w:p>
        </w:tc>
        <w:tc>
          <w:tcPr>
            <w:tcW w:w="326" w:type="pct"/>
            <w:vMerge w:val="continue"/>
            <w:tcBorders>
              <w:left w:val="single" w:color="000000" w:sz="4" w:space="0"/>
              <w:right w:val="single" w:color="000000" w:sz="4" w:space="0"/>
            </w:tcBorders>
            <w:noWrap w:val="0"/>
            <w:vAlign w:val="center"/>
          </w:tcPr>
          <w:p w14:paraId="3C9C92A4">
            <w:pPr>
              <w:pageBreakBefore w:val="0"/>
              <w:kinsoku/>
              <w:wordWrap/>
              <w:overflowPunct/>
              <w:topLinePunct w:val="0"/>
              <w:bidi w:val="0"/>
              <w:spacing w:line="240" w:lineRule="auto"/>
              <w:ind w:left="0" w:leftChars="0" w:right="0"/>
              <w:jc w:val="center"/>
              <w:rPr>
                <w:rFonts w:hint="eastAsia" w:ascii="宋体" w:hAnsi="宋体" w:eastAsia="宋体" w:cs="宋体"/>
                <w:color w:val="000000"/>
                <w:sz w:val="20"/>
                <w:szCs w:val="20"/>
              </w:rPr>
            </w:pPr>
          </w:p>
        </w:tc>
        <w:tc>
          <w:tcPr>
            <w:tcW w:w="574" w:type="pct"/>
            <w:vMerge w:val="continue"/>
            <w:tcBorders>
              <w:left w:val="single" w:color="000000" w:sz="4" w:space="0"/>
              <w:right w:val="single" w:color="000000" w:sz="4" w:space="0"/>
            </w:tcBorders>
            <w:noWrap w:val="0"/>
            <w:vAlign w:val="center"/>
          </w:tcPr>
          <w:p w14:paraId="318FC408">
            <w:pPr>
              <w:pageBreakBefore w:val="0"/>
              <w:kinsoku/>
              <w:wordWrap/>
              <w:overflowPunct/>
              <w:topLinePunct w:val="0"/>
              <w:bidi w:val="0"/>
              <w:spacing w:line="240" w:lineRule="auto"/>
              <w:ind w:left="0" w:leftChars="0" w:right="0"/>
              <w:jc w:val="center"/>
              <w:rPr>
                <w:rFonts w:hint="eastAsia" w:ascii="宋体" w:hAnsi="宋体" w:eastAsia="宋体" w:cs="宋体"/>
                <w:color w:val="000000"/>
                <w:sz w:val="18"/>
                <w:szCs w:val="18"/>
              </w:rPr>
            </w:pPr>
          </w:p>
        </w:tc>
        <w:tc>
          <w:tcPr>
            <w:tcW w:w="306" w:type="pct"/>
            <w:vMerge w:val="continue"/>
            <w:tcBorders>
              <w:left w:val="single" w:color="000000" w:sz="4" w:space="0"/>
              <w:right w:val="single" w:color="000000" w:sz="4" w:space="0"/>
            </w:tcBorders>
            <w:noWrap w:val="0"/>
            <w:vAlign w:val="center"/>
          </w:tcPr>
          <w:p w14:paraId="31D600B9">
            <w:pPr>
              <w:pageBreakBefore w:val="0"/>
              <w:kinsoku/>
              <w:wordWrap/>
              <w:overflowPunct/>
              <w:topLinePunct w:val="0"/>
              <w:bidi w:val="0"/>
              <w:spacing w:line="240" w:lineRule="auto"/>
              <w:ind w:left="0" w:leftChars="0" w:right="0"/>
              <w:jc w:val="center"/>
              <w:rPr>
                <w:rFonts w:hint="eastAsia" w:ascii="宋体" w:hAnsi="宋体" w:eastAsia="宋体" w:cs="宋体"/>
                <w:color w:val="000000"/>
                <w:sz w:val="18"/>
                <w:szCs w:val="18"/>
              </w:rPr>
            </w:pPr>
          </w:p>
        </w:tc>
        <w:tc>
          <w:tcPr>
            <w:tcW w:w="3032" w:type="pct"/>
            <w:tcBorders>
              <w:top w:val="single" w:color="000000" w:sz="4" w:space="0"/>
              <w:left w:val="single" w:color="000000" w:sz="4" w:space="0"/>
              <w:bottom w:val="single" w:color="000000" w:sz="4" w:space="0"/>
              <w:right w:val="single" w:color="000000" w:sz="4" w:space="0"/>
            </w:tcBorders>
            <w:noWrap w:val="0"/>
            <w:vAlign w:val="center"/>
          </w:tcPr>
          <w:p w14:paraId="31481134">
            <w:pPr>
              <w:pageBreakBefore w:val="0"/>
              <w:widowControl/>
              <w:kinsoku/>
              <w:wordWrap/>
              <w:overflowPunct/>
              <w:topLinePunct w:val="0"/>
              <w:bidi w:val="0"/>
              <w:spacing w:line="240" w:lineRule="auto"/>
              <w:ind w:left="0" w:leftChars="0" w:right="0"/>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w:t>
            </w:r>
            <w:r>
              <w:rPr>
                <w:rFonts w:hint="eastAsia" w:ascii="宋体" w:hAnsi="宋体" w:eastAsia="宋体" w:cs="宋体"/>
                <w:color w:val="000000"/>
                <w:kern w:val="0"/>
                <w:sz w:val="18"/>
                <w:szCs w:val="18"/>
                <w:lang w:val="en-US" w:eastAsia="zh-CN"/>
              </w:rPr>
              <w:t>4</w:t>
            </w:r>
            <w:r>
              <w:rPr>
                <w:rFonts w:hint="eastAsia" w:ascii="宋体" w:hAnsi="宋体" w:eastAsia="宋体" w:cs="宋体"/>
                <w:color w:val="000000"/>
                <w:kern w:val="0"/>
                <w:sz w:val="18"/>
                <w:szCs w:val="18"/>
              </w:rPr>
              <w:t>）项目施工作业团队整体素养，项目经理对整个项目的管控能力（包括材料、工期、现场作业安全等）。（0-10分）</w:t>
            </w:r>
          </w:p>
        </w:tc>
      </w:tr>
      <w:tr w14:paraId="6F334F78">
        <w:tblPrEx>
          <w:tblCellMar>
            <w:top w:w="0" w:type="dxa"/>
            <w:left w:w="108" w:type="dxa"/>
            <w:bottom w:w="0" w:type="dxa"/>
            <w:right w:w="108" w:type="dxa"/>
          </w:tblCellMar>
        </w:tblPrEx>
        <w:trPr>
          <w:trHeight w:val="633" w:hRule="atLeast"/>
          <w:jc w:val="center"/>
        </w:trPr>
        <w:tc>
          <w:tcPr>
            <w:tcW w:w="373" w:type="pct"/>
            <w:vMerge w:val="continue"/>
            <w:tcBorders>
              <w:left w:val="single" w:color="000000" w:sz="4" w:space="0"/>
              <w:right w:val="single" w:color="000000" w:sz="4" w:space="0"/>
            </w:tcBorders>
            <w:noWrap/>
            <w:vAlign w:val="center"/>
          </w:tcPr>
          <w:p w14:paraId="1868BBBA">
            <w:pPr>
              <w:pageBreakBefore w:val="0"/>
              <w:kinsoku/>
              <w:wordWrap/>
              <w:overflowPunct/>
              <w:topLinePunct w:val="0"/>
              <w:bidi w:val="0"/>
              <w:spacing w:line="240" w:lineRule="auto"/>
              <w:ind w:left="0" w:leftChars="0" w:right="0"/>
              <w:jc w:val="center"/>
              <w:rPr>
                <w:rFonts w:hint="eastAsia" w:ascii="宋体" w:hAnsi="宋体" w:eastAsia="宋体" w:cs="宋体"/>
                <w:color w:val="000000"/>
                <w:sz w:val="21"/>
                <w:szCs w:val="21"/>
              </w:rPr>
            </w:pPr>
          </w:p>
        </w:tc>
        <w:tc>
          <w:tcPr>
            <w:tcW w:w="386" w:type="pct"/>
            <w:vMerge w:val="continue"/>
            <w:tcBorders>
              <w:top w:val="single" w:color="000000" w:sz="4" w:space="0"/>
              <w:left w:val="single" w:color="000000" w:sz="4" w:space="0"/>
              <w:bottom w:val="single" w:color="000000" w:sz="4" w:space="0"/>
              <w:right w:val="single" w:color="000000" w:sz="4" w:space="0"/>
            </w:tcBorders>
            <w:noWrap w:val="0"/>
            <w:vAlign w:val="center"/>
          </w:tcPr>
          <w:p w14:paraId="59A6F0AB">
            <w:pPr>
              <w:pageBreakBefore w:val="0"/>
              <w:kinsoku/>
              <w:wordWrap/>
              <w:overflowPunct/>
              <w:topLinePunct w:val="0"/>
              <w:bidi w:val="0"/>
              <w:spacing w:line="240" w:lineRule="auto"/>
              <w:ind w:left="0" w:leftChars="0" w:right="0"/>
              <w:jc w:val="center"/>
              <w:rPr>
                <w:rFonts w:hint="eastAsia" w:ascii="宋体" w:hAnsi="宋体" w:eastAsia="宋体" w:cs="宋体"/>
                <w:color w:val="000000"/>
                <w:sz w:val="20"/>
                <w:szCs w:val="20"/>
              </w:rPr>
            </w:pPr>
          </w:p>
        </w:tc>
        <w:tc>
          <w:tcPr>
            <w:tcW w:w="326" w:type="pct"/>
            <w:vMerge w:val="continue"/>
            <w:tcBorders>
              <w:left w:val="single" w:color="000000" w:sz="4" w:space="0"/>
              <w:right w:val="single" w:color="000000" w:sz="4" w:space="0"/>
            </w:tcBorders>
            <w:noWrap w:val="0"/>
            <w:vAlign w:val="center"/>
          </w:tcPr>
          <w:p w14:paraId="5146BFAC">
            <w:pPr>
              <w:pageBreakBefore w:val="0"/>
              <w:kinsoku/>
              <w:wordWrap/>
              <w:overflowPunct/>
              <w:topLinePunct w:val="0"/>
              <w:bidi w:val="0"/>
              <w:spacing w:line="240" w:lineRule="auto"/>
              <w:ind w:left="0" w:leftChars="0" w:right="0"/>
              <w:jc w:val="center"/>
              <w:rPr>
                <w:rFonts w:hint="eastAsia" w:ascii="宋体" w:hAnsi="宋体" w:eastAsia="宋体" w:cs="宋体"/>
                <w:color w:val="000000"/>
                <w:sz w:val="20"/>
                <w:szCs w:val="20"/>
              </w:rPr>
            </w:pPr>
          </w:p>
        </w:tc>
        <w:tc>
          <w:tcPr>
            <w:tcW w:w="574" w:type="pct"/>
            <w:vMerge w:val="continue"/>
            <w:tcBorders>
              <w:left w:val="single" w:color="000000" w:sz="4" w:space="0"/>
              <w:right w:val="single" w:color="000000" w:sz="4" w:space="0"/>
            </w:tcBorders>
            <w:noWrap w:val="0"/>
            <w:vAlign w:val="center"/>
          </w:tcPr>
          <w:p w14:paraId="3AE8BD99">
            <w:pPr>
              <w:pageBreakBefore w:val="0"/>
              <w:kinsoku/>
              <w:wordWrap/>
              <w:overflowPunct/>
              <w:topLinePunct w:val="0"/>
              <w:bidi w:val="0"/>
              <w:spacing w:line="240" w:lineRule="auto"/>
              <w:ind w:left="0" w:leftChars="0" w:right="0"/>
              <w:jc w:val="center"/>
              <w:rPr>
                <w:rFonts w:hint="eastAsia" w:ascii="宋体" w:hAnsi="宋体" w:eastAsia="宋体" w:cs="宋体"/>
                <w:color w:val="000000"/>
                <w:sz w:val="18"/>
                <w:szCs w:val="18"/>
              </w:rPr>
            </w:pPr>
          </w:p>
        </w:tc>
        <w:tc>
          <w:tcPr>
            <w:tcW w:w="306" w:type="pct"/>
            <w:vMerge w:val="continue"/>
            <w:tcBorders>
              <w:left w:val="single" w:color="000000" w:sz="4" w:space="0"/>
              <w:right w:val="single" w:color="000000" w:sz="4" w:space="0"/>
            </w:tcBorders>
            <w:noWrap w:val="0"/>
            <w:vAlign w:val="center"/>
          </w:tcPr>
          <w:p w14:paraId="402F1622">
            <w:pPr>
              <w:pageBreakBefore w:val="0"/>
              <w:kinsoku/>
              <w:wordWrap/>
              <w:overflowPunct/>
              <w:topLinePunct w:val="0"/>
              <w:bidi w:val="0"/>
              <w:spacing w:line="240" w:lineRule="auto"/>
              <w:ind w:left="0" w:leftChars="0" w:right="0"/>
              <w:jc w:val="center"/>
              <w:rPr>
                <w:rFonts w:hint="eastAsia" w:ascii="宋体" w:hAnsi="宋体" w:eastAsia="宋体" w:cs="宋体"/>
                <w:color w:val="000000"/>
                <w:sz w:val="18"/>
                <w:szCs w:val="18"/>
              </w:rPr>
            </w:pPr>
          </w:p>
        </w:tc>
        <w:tc>
          <w:tcPr>
            <w:tcW w:w="3032" w:type="pct"/>
            <w:tcBorders>
              <w:top w:val="single" w:color="000000" w:sz="4" w:space="0"/>
              <w:left w:val="single" w:color="000000" w:sz="4" w:space="0"/>
              <w:bottom w:val="single" w:color="000000" w:sz="4" w:space="0"/>
              <w:right w:val="single" w:color="000000" w:sz="4" w:space="0"/>
            </w:tcBorders>
            <w:noWrap w:val="0"/>
            <w:vAlign w:val="center"/>
          </w:tcPr>
          <w:p w14:paraId="081F1903">
            <w:pPr>
              <w:pageBreakBefore w:val="0"/>
              <w:widowControl/>
              <w:kinsoku/>
              <w:wordWrap/>
              <w:overflowPunct/>
              <w:topLinePunct w:val="0"/>
              <w:bidi w:val="0"/>
              <w:spacing w:line="240" w:lineRule="auto"/>
              <w:ind w:left="0" w:leftChars="0" w:right="0"/>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w:t>
            </w:r>
            <w:r>
              <w:rPr>
                <w:rFonts w:hint="eastAsia" w:ascii="宋体" w:hAnsi="宋体" w:eastAsia="宋体" w:cs="宋体"/>
                <w:color w:val="000000"/>
                <w:kern w:val="0"/>
                <w:sz w:val="18"/>
                <w:szCs w:val="18"/>
                <w:lang w:val="en-US" w:eastAsia="zh-CN"/>
              </w:rPr>
              <w:t>5</w:t>
            </w:r>
            <w:r>
              <w:rPr>
                <w:rFonts w:hint="eastAsia" w:ascii="宋体" w:hAnsi="宋体" w:eastAsia="宋体" w:cs="宋体"/>
                <w:color w:val="000000"/>
                <w:kern w:val="0"/>
                <w:sz w:val="18"/>
                <w:szCs w:val="18"/>
              </w:rPr>
              <w:t>）项目施工人工配备</w:t>
            </w:r>
            <w:r>
              <w:rPr>
                <w:rFonts w:hint="eastAsia" w:ascii="宋体" w:hAnsi="宋体" w:cs="宋体"/>
                <w:color w:val="auto"/>
                <w:kern w:val="0"/>
                <w:sz w:val="18"/>
                <w:szCs w:val="18"/>
                <w:lang w:eastAsia="zh-CN"/>
              </w:rPr>
              <w:t>，</w:t>
            </w:r>
            <w:r>
              <w:rPr>
                <w:rFonts w:hint="eastAsia" w:ascii="宋体" w:hAnsi="宋体" w:cs="宋体"/>
                <w:color w:val="auto"/>
                <w:kern w:val="0"/>
                <w:sz w:val="18"/>
                <w:szCs w:val="18"/>
                <w:lang w:val="en-US" w:eastAsia="zh-CN"/>
              </w:rPr>
              <w:t>配备项目经理、相关专业技术负责人、专职安全员、</w:t>
            </w:r>
            <w:r>
              <w:rPr>
                <w:rFonts w:hint="eastAsia" w:ascii="宋体" w:hAnsi="宋体" w:eastAsia="宋体" w:cs="宋体"/>
                <w:color w:val="auto"/>
                <w:kern w:val="0"/>
                <w:sz w:val="18"/>
                <w:szCs w:val="18"/>
              </w:rPr>
              <w:t>特种作业证、</w:t>
            </w:r>
            <w:r>
              <w:rPr>
                <w:rFonts w:hint="eastAsia" w:ascii="宋体" w:hAnsi="宋体" w:cs="宋体"/>
                <w:color w:val="auto"/>
                <w:kern w:val="0"/>
                <w:sz w:val="18"/>
                <w:szCs w:val="18"/>
                <w:lang w:val="en-US" w:eastAsia="zh-CN"/>
              </w:rPr>
              <w:t>关键岗位证书，</w:t>
            </w:r>
            <w:r>
              <w:rPr>
                <w:rFonts w:hint="eastAsia" w:ascii="宋体" w:hAnsi="宋体" w:eastAsia="宋体" w:cs="宋体"/>
                <w:color w:val="auto"/>
                <w:kern w:val="0"/>
                <w:sz w:val="18"/>
                <w:szCs w:val="18"/>
              </w:rPr>
              <w:t>特种设备作业证齐全。（0-10分）</w:t>
            </w:r>
          </w:p>
        </w:tc>
      </w:tr>
      <w:tr w14:paraId="7E477D89">
        <w:tblPrEx>
          <w:tblCellMar>
            <w:top w:w="0" w:type="dxa"/>
            <w:left w:w="108" w:type="dxa"/>
            <w:bottom w:w="0" w:type="dxa"/>
            <w:right w:w="108" w:type="dxa"/>
          </w:tblCellMar>
        </w:tblPrEx>
        <w:trPr>
          <w:trHeight w:val="366" w:hRule="atLeast"/>
          <w:jc w:val="center"/>
        </w:trPr>
        <w:tc>
          <w:tcPr>
            <w:tcW w:w="373" w:type="pct"/>
            <w:vMerge w:val="continue"/>
            <w:tcBorders>
              <w:left w:val="single" w:color="000000" w:sz="4" w:space="0"/>
              <w:right w:val="single" w:color="000000" w:sz="4" w:space="0"/>
            </w:tcBorders>
            <w:noWrap/>
            <w:vAlign w:val="center"/>
          </w:tcPr>
          <w:p w14:paraId="146C32FC">
            <w:pPr>
              <w:pageBreakBefore w:val="0"/>
              <w:kinsoku/>
              <w:wordWrap/>
              <w:overflowPunct/>
              <w:topLinePunct w:val="0"/>
              <w:bidi w:val="0"/>
              <w:spacing w:line="240" w:lineRule="auto"/>
              <w:ind w:left="0" w:leftChars="0" w:right="0"/>
              <w:jc w:val="center"/>
              <w:rPr>
                <w:rFonts w:hint="eastAsia" w:ascii="宋体" w:hAnsi="宋体" w:eastAsia="宋体" w:cs="宋体"/>
                <w:color w:val="000000"/>
                <w:sz w:val="21"/>
                <w:szCs w:val="21"/>
              </w:rPr>
            </w:pPr>
          </w:p>
        </w:tc>
        <w:tc>
          <w:tcPr>
            <w:tcW w:w="386" w:type="pct"/>
            <w:vMerge w:val="continue"/>
            <w:tcBorders>
              <w:top w:val="single" w:color="000000" w:sz="4" w:space="0"/>
              <w:left w:val="single" w:color="000000" w:sz="4" w:space="0"/>
              <w:bottom w:val="single" w:color="000000" w:sz="4" w:space="0"/>
              <w:right w:val="single" w:color="000000" w:sz="4" w:space="0"/>
            </w:tcBorders>
            <w:noWrap w:val="0"/>
            <w:vAlign w:val="center"/>
          </w:tcPr>
          <w:p w14:paraId="232672A7">
            <w:pPr>
              <w:pageBreakBefore w:val="0"/>
              <w:kinsoku/>
              <w:wordWrap/>
              <w:overflowPunct/>
              <w:topLinePunct w:val="0"/>
              <w:bidi w:val="0"/>
              <w:spacing w:line="240" w:lineRule="auto"/>
              <w:ind w:left="0" w:leftChars="0" w:right="0"/>
              <w:jc w:val="center"/>
              <w:rPr>
                <w:rFonts w:hint="eastAsia" w:ascii="宋体" w:hAnsi="宋体" w:eastAsia="宋体" w:cs="宋体"/>
                <w:color w:val="000000"/>
                <w:sz w:val="20"/>
                <w:szCs w:val="20"/>
              </w:rPr>
            </w:pPr>
          </w:p>
        </w:tc>
        <w:tc>
          <w:tcPr>
            <w:tcW w:w="326" w:type="pct"/>
            <w:vMerge w:val="continue"/>
            <w:tcBorders>
              <w:left w:val="single" w:color="000000" w:sz="4" w:space="0"/>
              <w:right w:val="single" w:color="000000" w:sz="4" w:space="0"/>
            </w:tcBorders>
            <w:noWrap w:val="0"/>
            <w:vAlign w:val="center"/>
          </w:tcPr>
          <w:p w14:paraId="74239F28">
            <w:pPr>
              <w:pageBreakBefore w:val="0"/>
              <w:kinsoku/>
              <w:wordWrap/>
              <w:overflowPunct/>
              <w:topLinePunct w:val="0"/>
              <w:bidi w:val="0"/>
              <w:spacing w:line="240" w:lineRule="auto"/>
              <w:ind w:left="0" w:leftChars="0" w:right="0"/>
              <w:jc w:val="center"/>
              <w:rPr>
                <w:rFonts w:hint="eastAsia" w:ascii="宋体" w:hAnsi="宋体" w:eastAsia="宋体" w:cs="宋体"/>
                <w:color w:val="000000"/>
                <w:sz w:val="20"/>
                <w:szCs w:val="20"/>
              </w:rPr>
            </w:pPr>
          </w:p>
        </w:tc>
        <w:tc>
          <w:tcPr>
            <w:tcW w:w="574" w:type="pct"/>
            <w:vMerge w:val="continue"/>
            <w:tcBorders>
              <w:left w:val="single" w:color="000000" w:sz="4" w:space="0"/>
              <w:right w:val="single" w:color="000000" w:sz="4" w:space="0"/>
            </w:tcBorders>
            <w:noWrap w:val="0"/>
            <w:vAlign w:val="center"/>
          </w:tcPr>
          <w:p w14:paraId="524CDE32">
            <w:pPr>
              <w:pageBreakBefore w:val="0"/>
              <w:kinsoku/>
              <w:wordWrap/>
              <w:overflowPunct/>
              <w:topLinePunct w:val="0"/>
              <w:bidi w:val="0"/>
              <w:spacing w:line="240" w:lineRule="auto"/>
              <w:ind w:left="0" w:leftChars="0" w:right="0"/>
              <w:jc w:val="center"/>
              <w:rPr>
                <w:rFonts w:hint="eastAsia" w:ascii="宋体" w:hAnsi="宋体" w:eastAsia="宋体" w:cs="宋体"/>
                <w:color w:val="000000"/>
                <w:sz w:val="18"/>
                <w:szCs w:val="18"/>
              </w:rPr>
            </w:pPr>
          </w:p>
        </w:tc>
        <w:tc>
          <w:tcPr>
            <w:tcW w:w="306" w:type="pct"/>
            <w:vMerge w:val="continue"/>
            <w:tcBorders>
              <w:left w:val="single" w:color="000000" w:sz="4" w:space="0"/>
              <w:right w:val="single" w:color="000000" w:sz="4" w:space="0"/>
            </w:tcBorders>
            <w:noWrap w:val="0"/>
            <w:vAlign w:val="center"/>
          </w:tcPr>
          <w:p w14:paraId="0C0E5BB4">
            <w:pPr>
              <w:pageBreakBefore w:val="0"/>
              <w:kinsoku/>
              <w:wordWrap/>
              <w:overflowPunct/>
              <w:topLinePunct w:val="0"/>
              <w:bidi w:val="0"/>
              <w:spacing w:line="240" w:lineRule="auto"/>
              <w:ind w:left="0" w:leftChars="0" w:right="0"/>
              <w:jc w:val="center"/>
              <w:rPr>
                <w:rFonts w:hint="eastAsia" w:ascii="宋体" w:hAnsi="宋体" w:eastAsia="宋体" w:cs="宋体"/>
                <w:color w:val="000000"/>
                <w:sz w:val="18"/>
                <w:szCs w:val="18"/>
              </w:rPr>
            </w:pPr>
          </w:p>
        </w:tc>
        <w:tc>
          <w:tcPr>
            <w:tcW w:w="3032" w:type="pct"/>
            <w:tcBorders>
              <w:top w:val="single" w:color="000000" w:sz="4" w:space="0"/>
              <w:left w:val="single" w:color="000000" w:sz="4" w:space="0"/>
              <w:bottom w:val="single" w:color="000000" w:sz="4" w:space="0"/>
              <w:right w:val="single" w:color="000000" w:sz="4" w:space="0"/>
            </w:tcBorders>
            <w:noWrap w:val="0"/>
            <w:vAlign w:val="center"/>
          </w:tcPr>
          <w:p w14:paraId="7206EFD2">
            <w:pPr>
              <w:pageBreakBefore w:val="0"/>
              <w:widowControl/>
              <w:kinsoku/>
              <w:wordWrap/>
              <w:overflowPunct/>
              <w:topLinePunct w:val="0"/>
              <w:bidi w:val="0"/>
              <w:spacing w:line="240" w:lineRule="auto"/>
              <w:ind w:left="0" w:leftChars="0" w:right="0"/>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w:t>
            </w:r>
            <w:r>
              <w:rPr>
                <w:rFonts w:hint="eastAsia" w:ascii="宋体" w:hAnsi="宋体" w:eastAsia="宋体" w:cs="宋体"/>
                <w:color w:val="000000"/>
                <w:kern w:val="0"/>
                <w:sz w:val="18"/>
                <w:szCs w:val="18"/>
                <w:lang w:val="en-US" w:eastAsia="zh-CN"/>
              </w:rPr>
              <w:t>6</w:t>
            </w:r>
            <w:r>
              <w:rPr>
                <w:rFonts w:hint="eastAsia" w:ascii="宋体" w:hAnsi="宋体" w:eastAsia="宋体" w:cs="宋体"/>
                <w:color w:val="000000"/>
                <w:kern w:val="0"/>
                <w:sz w:val="18"/>
                <w:szCs w:val="18"/>
              </w:rPr>
              <w:t>）投标偏离情况，完全满足标书要求，如有偏离，视情况给予核减。（0-5分）</w:t>
            </w:r>
          </w:p>
        </w:tc>
      </w:tr>
      <w:tr w14:paraId="0F517546">
        <w:tblPrEx>
          <w:tblCellMar>
            <w:top w:w="0" w:type="dxa"/>
            <w:left w:w="108" w:type="dxa"/>
            <w:bottom w:w="0" w:type="dxa"/>
            <w:right w:w="108" w:type="dxa"/>
          </w:tblCellMar>
        </w:tblPrEx>
        <w:trPr>
          <w:trHeight w:val="441" w:hRule="atLeast"/>
          <w:jc w:val="center"/>
        </w:trPr>
        <w:tc>
          <w:tcPr>
            <w:tcW w:w="373" w:type="pct"/>
            <w:vMerge w:val="continue"/>
            <w:tcBorders>
              <w:left w:val="single" w:color="000000" w:sz="4" w:space="0"/>
              <w:right w:val="single" w:color="000000" w:sz="4" w:space="0"/>
            </w:tcBorders>
            <w:noWrap/>
            <w:vAlign w:val="center"/>
          </w:tcPr>
          <w:p w14:paraId="05F202C3">
            <w:pPr>
              <w:pageBreakBefore w:val="0"/>
              <w:kinsoku/>
              <w:wordWrap/>
              <w:overflowPunct/>
              <w:topLinePunct w:val="0"/>
              <w:bidi w:val="0"/>
              <w:spacing w:line="240" w:lineRule="auto"/>
              <w:ind w:left="0" w:leftChars="0" w:right="0"/>
              <w:jc w:val="center"/>
              <w:rPr>
                <w:rFonts w:hint="eastAsia" w:ascii="宋体" w:hAnsi="宋体" w:eastAsia="宋体" w:cs="宋体"/>
                <w:color w:val="000000"/>
                <w:sz w:val="21"/>
                <w:szCs w:val="21"/>
              </w:rPr>
            </w:pPr>
          </w:p>
        </w:tc>
        <w:tc>
          <w:tcPr>
            <w:tcW w:w="386" w:type="pct"/>
            <w:vMerge w:val="continue"/>
            <w:tcBorders>
              <w:top w:val="single" w:color="000000" w:sz="4" w:space="0"/>
              <w:left w:val="single" w:color="000000" w:sz="4" w:space="0"/>
              <w:bottom w:val="single" w:color="000000" w:sz="4" w:space="0"/>
              <w:right w:val="single" w:color="000000" w:sz="4" w:space="0"/>
            </w:tcBorders>
            <w:noWrap w:val="0"/>
            <w:vAlign w:val="center"/>
          </w:tcPr>
          <w:p w14:paraId="425BC8DE">
            <w:pPr>
              <w:pageBreakBefore w:val="0"/>
              <w:kinsoku/>
              <w:wordWrap/>
              <w:overflowPunct/>
              <w:topLinePunct w:val="0"/>
              <w:bidi w:val="0"/>
              <w:spacing w:line="240" w:lineRule="auto"/>
              <w:ind w:left="0" w:leftChars="0" w:right="0"/>
              <w:jc w:val="center"/>
              <w:rPr>
                <w:rFonts w:hint="eastAsia" w:ascii="宋体" w:hAnsi="宋体" w:eastAsia="宋体" w:cs="宋体"/>
                <w:color w:val="000000"/>
                <w:sz w:val="20"/>
                <w:szCs w:val="20"/>
              </w:rPr>
            </w:pPr>
          </w:p>
        </w:tc>
        <w:tc>
          <w:tcPr>
            <w:tcW w:w="326" w:type="pct"/>
            <w:vMerge w:val="continue"/>
            <w:tcBorders>
              <w:left w:val="single" w:color="000000" w:sz="4" w:space="0"/>
              <w:right w:val="single" w:color="000000" w:sz="4" w:space="0"/>
            </w:tcBorders>
            <w:noWrap w:val="0"/>
            <w:vAlign w:val="center"/>
          </w:tcPr>
          <w:p w14:paraId="7B97C579">
            <w:pPr>
              <w:pageBreakBefore w:val="0"/>
              <w:kinsoku/>
              <w:wordWrap/>
              <w:overflowPunct/>
              <w:topLinePunct w:val="0"/>
              <w:bidi w:val="0"/>
              <w:spacing w:line="240" w:lineRule="auto"/>
              <w:ind w:left="0" w:leftChars="0" w:right="0"/>
              <w:jc w:val="center"/>
              <w:rPr>
                <w:rFonts w:hint="eastAsia" w:ascii="宋体" w:hAnsi="宋体" w:eastAsia="宋体" w:cs="宋体"/>
                <w:color w:val="000000"/>
                <w:sz w:val="20"/>
                <w:szCs w:val="20"/>
              </w:rPr>
            </w:pPr>
          </w:p>
        </w:tc>
        <w:tc>
          <w:tcPr>
            <w:tcW w:w="574" w:type="pct"/>
            <w:vMerge w:val="continue"/>
            <w:tcBorders>
              <w:left w:val="single" w:color="000000" w:sz="4" w:space="0"/>
              <w:right w:val="single" w:color="000000" w:sz="4" w:space="0"/>
            </w:tcBorders>
            <w:noWrap w:val="0"/>
            <w:vAlign w:val="center"/>
          </w:tcPr>
          <w:p w14:paraId="39195840">
            <w:pPr>
              <w:pageBreakBefore w:val="0"/>
              <w:kinsoku/>
              <w:wordWrap/>
              <w:overflowPunct/>
              <w:topLinePunct w:val="0"/>
              <w:bidi w:val="0"/>
              <w:spacing w:line="240" w:lineRule="auto"/>
              <w:ind w:left="0" w:leftChars="0" w:right="0"/>
              <w:jc w:val="center"/>
              <w:rPr>
                <w:rFonts w:hint="eastAsia" w:ascii="宋体" w:hAnsi="宋体" w:eastAsia="宋体" w:cs="宋体"/>
                <w:color w:val="000000"/>
                <w:sz w:val="18"/>
                <w:szCs w:val="18"/>
              </w:rPr>
            </w:pPr>
          </w:p>
        </w:tc>
        <w:tc>
          <w:tcPr>
            <w:tcW w:w="306" w:type="pct"/>
            <w:vMerge w:val="continue"/>
            <w:tcBorders>
              <w:left w:val="single" w:color="000000" w:sz="4" w:space="0"/>
              <w:right w:val="single" w:color="000000" w:sz="4" w:space="0"/>
            </w:tcBorders>
            <w:noWrap w:val="0"/>
            <w:vAlign w:val="center"/>
          </w:tcPr>
          <w:p w14:paraId="27340F27">
            <w:pPr>
              <w:pageBreakBefore w:val="0"/>
              <w:kinsoku/>
              <w:wordWrap/>
              <w:overflowPunct/>
              <w:topLinePunct w:val="0"/>
              <w:bidi w:val="0"/>
              <w:spacing w:line="240" w:lineRule="auto"/>
              <w:ind w:left="0" w:leftChars="0" w:right="0"/>
              <w:jc w:val="center"/>
              <w:rPr>
                <w:rFonts w:hint="eastAsia" w:ascii="宋体" w:hAnsi="宋体" w:eastAsia="宋体" w:cs="宋体"/>
                <w:color w:val="000000"/>
                <w:sz w:val="18"/>
                <w:szCs w:val="18"/>
              </w:rPr>
            </w:pPr>
          </w:p>
        </w:tc>
        <w:tc>
          <w:tcPr>
            <w:tcW w:w="3032" w:type="pct"/>
            <w:tcBorders>
              <w:top w:val="single" w:color="000000" w:sz="4" w:space="0"/>
              <w:left w:val="single" w:color="000000" w:sz="4" w:space="0"/>
              <w:bottom w:val="single" w:color="000000" w:sz="4" w:space="0"/>
              <w:right w:val="single" w:color="000000" w:sz="4" w:space="0"/>
            </w:tcBorders>
            <w:noWrap w:val="0"/>
            <w:vAlign w:val="center"/>
          </w:tcPr>
          <w:p w14:paraId="36DF0572">
            <w:pPr>
              <w:pageBreakBefore w:val="0"/>
              <w:widowControl/>
              <w:kinsoku/>
              <w:wordWrap/>
              <w:overflowPunct/>
              <w:topLinePunct w:val="0"/>
              <w:bidi w:val="0"/>
              <w:spacing w:line="240" w:lineRule="auto"/>
              <w:ind w:left="0" w:leftChars="0" w:right="0"/>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w:t>
            </w:r>
            <w:r>
              <w:rPr>
                <w:rFonts w:hint="eastAsia" w:ascii="宋体" w:hAnsi="宋体" w:eastAsia="宋体" w:cs="宋体"/>
                <w:color w:val="000000"/>
                <w:kern w:val="0"/>
                <w:sz w:val="18"/>
                <w:szCs w:val="18"/>
                <w:lang w:val="en-US" w:eastAsia="zh-CN"/>
              </w:rPr>
              <w:t>7</w:t>
            </w:r>
            <w:r>
              <w:rPr>
                <w:rFonts w:hint="eastAsia" w:ascii="宋体" w:hAnsi="宋体" w:eastAsia="宋体" w:cs="宋体"/>
                <w:color w:val="000000"/>
                <w:kern w:val="0"/>
                <w:sz w:val="18"/>
                <w:szCs w:val="18"/>
              </w:rPr>
              <w:t>）项目施工期间整处置突发情况的应急能力，安全文明施工保障措施。（0-5分）</w:t>
            </w:r>
          </w:p>
        </w:tc>
      </w:tr>
      <w:tr w14:paraId="467F15FB">
        <w:tblPrEx>
          <w:tblCellMar>
            <w:top w:w="0" w:type="dxa"/>
            <w:left w:w="108" w:type="dxa"/>
            <w:bottom w:w="0" w:type="dxa"/>
            <w:right w:w="108" w:type="dxa"/>
          </w:tblCellMar>
        </w:tblPrEx>
        <w:trPr>
          <w:trHeight w:val="90" w:hRule="atLeast"/>
          <w:jc w:val="center"/>
        </w:trPr>
        <w:tc>
          <w:tcPr>
            <w:tcW w:w="373" w:type="pct"/>
            <w:vMerge w:val="continue"/>
            <w:tcBorders>
              <w:left w:val="single" w:color="000000" w:sz="4" w:space="0"/>
              <w:right w:val="single" w:color="000000" w:sz="4" w:space="0"/>
            </w:tcBorders>
            <w:noWrap/>
            <w:vAlign w:val="center"/>
          </w:tcPr>
          <w:p w14:paraId="31298241">
            <w:pPr>
              <w:pageBreakBefore w:val="0"/>
              <w:kinsoku/>
              <w:wordWrap/>
              <w:overflowPunct/>
              <w:topLinePunct w:val="0"/>
              <w:bidi w:val="0"/>
              <w:spacing w:line="240" w:lineRule="auto"/>
              <w:ind w:left="0" w:leftChars="0" w:right="0"/>
              <w:jc w:val="center"/>
              <w:rPr>
                <w:rFonts w:hint="eastAsia" w:ascii="宋体" w:hAnsi="宋体" w:eastAsia="宋体" w:cs="宋体"/>
                <w:color w:val="000000"/>
                <w:sz w:val="21"/>
                <w:szCs w:val="21"/>
              </w:rPr>
            </w:pPr>
          </w:p>
        </w:tc>
        <w:tc>
          <w:tcPr>
            <w:tcW w:w="386" w:type="pct"/>
            <w:vMerge w:val="continue"/>
            <w:tcBorders>
              <w:top w:val="single" w:color="000000" w:sz="4" w:space="0"/>
              <w:left w:val="single" w:color="000000" w:sz="4" w:space="0"/>
              <w:bottom w:val="single" w:color="000000" w:sz="4" w:space="0"/>
              <w:right w:val="single" w:color="000000" w:sz="4" w:space="0"/>
            </w:tcBorders>
            <w:noWrap w:val="0"/>
            <w:vAlign w:val="center"/>
          </w:tcPr>
          <w:p w14:paraId="57503AEF">
            <w:pPr>
              <w:pageBreakBefore w:val="0"/>
              <w:kinsoku/>
              <w:wordWrap/>
              <w:overflowPunct/>
              <w:topLinePunct w:val="0"/>
              <w:bidi w:val="0"/>
              <w:spacing w:line="240" w:lineRule="auto"/>
              <w:ind w:left="0" w:leftChars="0" w:right="0"/>
              <w:jc w:val="center"/>
              <w:rPr>
                <w:rFonts w:hint="eastAsia" w:ascii="宋体" w:hAnsi="宋体" w:eastAsia="宋体" w:cs="宋体"/>
                <w:color w:val="000000"/>
                <w:sz w:val="20"/>
                <w:szCs w:val="20"/>
              </w:rPr>
            </w:pPr>
          </w:p>
        </w:tc>
        <w:tc>
          <w:tcPr>
            <w:tcW w:w="326" w:type="pct"/>
            <w:vMerge w:val="continue"/>
            <w:tcBorders>
              <w:left w:val="single" w:color="000000" w:sz="4" w:space="0"/>
              <w:right w:val="single" w:color="000000" w:sz="4" w:space="0"/>
            </w:tcBorders>
            <w:noWrap w:val="0"/>
            <w:vAlign w:val="center"/>
          </w:tcPr>
          <w:p w14:paraId="5E95F1D7">
            <w:pPr>
              <w:pageBreakBefore w:val="0"/>
              <w:kinsoku/>
              <w:wordWrap/>
              <w:overflowPunct/>
              <w:topLinePunct w:val="0"/>
              <w:bidi w:val="0"/>
              <w:spacing w:line="240" w:lineRule="auto"/>
              <w:ind w:left="0" w:leftChars="0" w:right="0"/>
              <w:jc w:val="center"/>
              <w:rPr>
                <w:rFonts w:hint="eastAsia" w:ascii="宋体" w:hAnsi="宋体" w:eastAsia="宋体" w:cs="宋体"/>
                <w:color w:val="000000"/>
                <w:sz w:val="20"/>
                <w:szCs w:val="20"/>
              </w:rPr>
            </w:pPr>
          </w:p>
        </w:tc>
        <w:tc>
          <w:tcPr>
            <w:tcW w:w="574" w:type="pct"/>
            <w:vMerge w:val="continue"/>
            <w:tcBorders>
              <w:left w:val="single" w:color="000000" w:sz="4" w:space="0"/>
              <w:right w:val="single" w:color="000000" w:sz="4" w:space="0"/>
            </w:tcBorders>
            <w:noWrap w:val="0"/>
            <w:vAlign w:val="center"/>
          </w:tcPr>
          <w:p w14:paraId="42C10FD7">
            <w:pPr>
              <w:pageBreakBefore w:val="0"/>
              <w:kinsoku/>
              <w:wordWrap/>
              <w:overflowPunct/>
              <w:topLinePunct w:val="0"/>
              <w:bidi w:val="0"/>
              <w:spacing w:line="240" w:lineRule="auto"/>
              <w:ind w:left="0" w:leftChars="0" w:right="0"/>
              <w:jc w:val="center"/>
              <w:rPr>
                <w:rFonts w:hint="eastAsia" w:ascii="宋体" w:hAnsi="宋体" w:eastAsia="宋体" w:cs="宋体"/>
                <w:color w:val="000000"/>
                <w:sz w:val="18"/>
                <w:szCs w:val="18"/>
              </w:rPr>
            </w:pPr>
          </w:p>
        </w:tc>
        <w:tc>
          <w:tcPr>
            <w:tcW w:w="306" w:type="pct"/>
            <w:vMerge w:val="continue"/>
            <w:tcBorders>
              <w:left w:val="single" w:color="000000" w:sz="4" w:space="0"/>
              <w:right w:val="single" w:color="000000" w:sz="4" w:space="0"/>
            </w:tcBorders>
            <w:noWrap w:val="0"/>
            <w:vAlign w:val="center"/>
          </w:tcPr>
          <w:p w14:paraId="777C159E">
            <w:pPr>
              <w:pageBreakBefore w:val="0"/>
              <w:kinsoku/>
              <w:wordWrap/>
              <w:overflowPunct/>
              <w:topLinePunct w:val="0"/>
              <w:bidi w:val="0"/>
              <w:spacing w:line="240" w:lineRule="auto"/>
              <w:ind w:left="0" w:leftChars="0" w:right="0"/>
              <w:jc w:val="center"/>
              <w:rPr>
                <w:rFonts w:hint="eastAsia" w:ascii="宋体" w:hAnsi="宋体" w:eastAsia="宋体" w:cs="宋体"/>
                <w:color w:val="000000"/>
                <w:sz w:val="18"/>
                <w:szCs w:val="18"/>
              </w:rPr>
            </w:pPr>
          </w:p>
        </w:tc>
        <w:tc>
          <w:tcPr>
            <w:tcW w:w="3032" w:type="pct"/>
            <w:tcBorders>
              <w:top w:val="single" w:color="000000" w:sz="4" w:space="0"/>
              <w:left w:val="single" w:color="000000" w:sz="4" w:space="0"/>
              <w:bottom w:val="single" w:color="000000" w:sz="4" w:space="0"/>
              <w:right w:val="single" w:color="000000" w:sz="4" w:space="0"/>
            </w:tcBorders>
            <w:noWrap w:val="0"/>
            <w:vAlign w:val="center"/>
          </w:tcPr>
          <w:p w14:paraId="2985C042">
            <w:pPr>
              <w:pageBreakBefore w:val="0"/>
              <w:widowControl/>
              <w:kinsoku/>
              <w:wordWrap/>
              <w:overflowPunct/>
              <w:topLinePunct w:val="0"/>
              <w:bidi w:val="0"/>
              <w:spacing w:line="240" w:lineRule="auto"/>
              <w:ind w:left="0" w:leftChars="0" w:right="0"/>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w:t>
            </w:r>
            <w:r>
              <w:rPr>
                <w:rFonts w:hint="eastAsia" w:ascii="宋体" w:hAnsi="宋体" w:eastAsia="宋体" w:cs="宋体"/>
                <w:color w:val="000000"/>
                <w:kern w:val="0"/>
                <w:sz w:val="18"/>
                <w:szCs w:val="18"/>
                <w:lang w:val="en-US" w:eastAsia="zh-CN"/>
              </w:rPr>
              <w:t>8</w:t>
            </w:r>
            <w:r>
              <w:rPr>
                <w:rFonts w:hint="eastAsia" w:ascii="宋体" w:hAnsi="宋体" w:eastAsia="宋体" w:cs="宋体"/>
                <w:color w:val="000000"/>
                <w:kern w:val="0"/>
                <w:sz w:val="18"/>
                <w:szCs w:val="18"/>
              </w:rPr>
              <w:t>）同类业绩（0-5分）5份以上同类业绩（5分）3-5份同类业绩（4分）3份以下同类业绩（0-3分）</w:t>
            </w:r>
          </w:p>
        </w:tc>
      </w:tr>
      <w:tr w14:paraId="15525966">
        <w:tblPrEx>
          <w:tblCellMar>
            <w:top w:w="0" w:type="dxa"/>
            <w:left w:w="108" w:type="dxa"/>
            <w:bottom w:w="0" w:type="dxa"/>
            <w:right w:w="108" w:type="dxa"/>
          </w:tblCellMar>
        </w:tblPrEx>
        <w:trPr>
          <w:trHeight w:val="261" w:hRule="atLeast"/>
          <w:jc w:val="center"/>
        </w:trPr>
        <w:tc>
          <w:tcPr>
            <w:tcW w:w="373" w:type="pct"/>
            <w:vMerge w:val="continue"/>
            <w:tcBorders>
              <w:left w:val="single" w:color="000000" w:sz="4" w:space="0"/>
              <w:right w:val="single" w:color="000000" w:sz="4" w:space="0"/>
            </w:tcBorders>
            <w:noWrap/>
            <w:vAlign w:val="center"/>
          </w:tcPr>
          <w:p w14:paraId="5374817E">
            <w:pPr>
              <w:pageBreakBefore w:val="0"/>
              <w:kinsoku/>
              <w:wordWrap/>
              <w:overflowPunct/>
              <w:topLinePunct w:val="0"/>
              <w:bidi w:val="0"/>
              <w:spacing w:line="240" w:lineRule="auto"/>
              <w:ind w:left="0" w:leftChars="0" w:right="0"/>
              <w:jc w:val="center"/>
              <w:rPr>
                <w:rFonts w:hint="eastAsia" w:ascii="宋体" w:hAnsi="宋体" w:eastAsia="宋体" w:cs="宋体"/>
                <w:color w:val="000000"/>
                <w:sz w:val="21"/>
                <w:szCs w:val="21"/>
              </w:rPr>
            </w:pPr>
          </w:p>
        </w:tc>
        <w:tc>
          <w:tcPr>
            <w:tcW w:w="386" w:type="pct"/>
            <w:vMerge w:val="continue"/>
            <w:tcBorders>
              <w:top w:val="single" w:color="000000" w:sz="4" w:space="0"/>
              <w:left w:val="single" w:color="000000" w:sz="4" w:space="0"/>
              <w:bottom w:val="single" w:color="000000" w:sz="4" w:space="0"/>
              <w:right w:val="single" w:color="000000" w:sz="4" w:space="0"/>
            </w:tcBorders>
            <w:noWrap w:val="0"/>
            <w:vAlign w:val="center"/>
          </w:tcPr>
          <w:p w14:paraId="79F4C55D">
            <w:pPr>
              <w:pageBreakBefore w:val="0"/>
              <w:kinsoku/>
              <w:wordWrap/>
              <w:overflowPunct/>
              <w:topLinePunct w:val="0"/>
              <w:bidi w:val="0"/>
              <w:spacing w:line="240" w:lineRule="auto"/>
              <w:ind w:left="0" w:leftChars="0" w:right="0"/>
              <w:jc w:val="center"/>
              <w:rPr>
                <w:rFonts w:hint="eastAsia" w:ascii="宋体" w:hAnsi="宋体" w:eastAsia="宋体" w:cs="宋体"/>
                <w:color w:val="000000"/>
                <w:sz w:val="20"/>
                <w:szCs w:val="20"/>
              </w:rPr>
            </w:pPr>
          </w:p>
        </w:tc>
        <w:tc>
          <w:tcPr>
            <w:tcW w:w="326" w:type="pct"/>
            <w:vMerge w:val="continue"/>
            <w:tcBorders>
              <w:left w:val="single" w:color="000000" w:sz="4" w:space="0"/>
              <w:right w:val="single" w:color="000000" w:sz="4" w:space="0"/>
            </w:tcBorders>
            <w:noWrap w:val="0"/>
            <w:vAlign w:val="center"/>
          </w:tcPr>
          <w:p w14:paraId="3C30727D">
            <w:pPr>
              <w:pageBreakBefore w:val="0"/>
              <w:kinsoku/>
              <w:wordWrap/>
              <w:overflowPunct/>
              <w:topLinePunct w:val="0"/>
              <w:bidi w:val="0"/>
              <w:spacing w:line="240" w:lineRule="auto"/>
              <w:ind w:left="0" w:leftChars="0" w:right="0"/>
              <w:jc w:val="center"/>
              <w:rPr>
                <w:rFonts w:hint="eastAsia" w:ascii="宋体" w:hAnsi="宋体" w:eastAsia="宋体" w:cs="宋体"/>
                <w:color w:val="000000"/>
                <w:sz w:val="20"/>
                <w:szCs w:val="20"/>
              </w:rPr>
            </w:pPr>
          </w:p>
        </w:tc>
        <w:tc>
          <w:tcPr>
            <w:tcW w:w="574" w:type="pct"/>
            <w:vMerge w:val="continue"/>
            <w:tcBorders>
              <w:left w:val="single" w:color="000000" w:sz="4" w:space="0"/>
              <w:right w:val="single" w:color="000000" w:sz="4" w:space="0"/>
            </w:tcBorders>
            <w:noWrap w:val="0"/>
            <w:vAlign w:val="center"/>
          </w:tcPr>
          <w:p w14:paraId="48436D47">
            <w:pPr>
              <w:pageBreakBefore w:val="0"/>
              <w:kinsoku/>
              <w:wordWrap/>
              <w:overflowPunct/>
              <w:topLinePunct w:val="0"/>
              <w:bidi w:val="0"/>
              <w:spacing w:line="240" w:lineRule="auto"/>
              <w:ind w:left="0" w:leftChars="0" w:right="0"/>
              <w:jc w:val="center"/>
              <w:rPr>
                <w:rFonts w:hint="eastAsia" w:ascii="宋体" w:hAnsi="宋体" w:eastAsia="宋体" w:cs="宋体"/>
                <w:color w:val="000000"/>
                <w:sz w:val="18"/>
                <w:szCs w:val="18"/>
              </w:rPr>
            </w:pPr>
          </w:p>
        </w:tc>
        <w:tc>
          <w:tcPr>
            <w:tcW w:w="306" w:type="pct"/>
            <w:vMerge w:val="continue"/>
            <w:tcBorders>
              <w:left w:val="single" w:color="000000" w:sz="4" w:space="0"/>
              <w:right w:val="single" w:color="000000" w:sz="4" w:space="0"/>
            </w:tcBorders>
            <w:noWrap w:val="0"/>
            <w:vAlign w:val="center"/>
          </w:tcPr>
          <w:p w14:paraId="2CBDF61C">
            <w:pPr>
              <w:pageBreakBefore w:val="0"/>
              <w:kinsoku/>
              <w:wordWrap/>
              <w:overflowPunct/>
              <w:topLinePunct w:val="0"/>
              <w:bidi w:val="0"/>
              <w:spacing w:line="240" w:lineRule="auto"/>
              <w:ind w:left="0" w:leftChars="0" w:right="0"/>
              <w:jc w:val="center"/>
              <w:rPr>
                <w:rFonts w:hint="eastAsia" w:ascii="宋体" w:hAnsi="宋体" w:eastAsia="宋体" w:cs="宋体"/>
                <w:color w:val="000000"/>
                <w:sz w:val="18"/>
                <w:szCs w:val="18"/>
              </w:rPr>
            </w:pPr>
          </w:p>
        </w:tc>
        <w:tc>
          <w:tcPr>
            <w:tcW w:w="3032" w:type="pct"/>
            <w:tcBorders>
              <w:top w:val="single" w:color="000000" w:sz="4" w:space="0"/>
              <w:left w:val="single" w:color="000000" w:sz="4" w:space="0"/>
              <w:bottom w:val="single" w:color="000000" w:sz="4" w:space="0"/>
              <w:right w:val="single" w:color="000000" w:sz="4" w:space="0"/>
            </w:tcBorders>
            <w:noWrap w:val="0"/>
            <w:vAlign w:val="center"/>
          </w:tcPr>
          <w:p w14:paraId="7EC474DB">
            <w:pPr>
              <w:pageBreakBefore w:val="0"/>
              <w:widowControl/>
              <w:kinsoku/>
              <w:wordWrap/>
              <w:overflowPunct/>
              <w:topLinePunct w:val="0"/>
              <w:bidi w:val="0"/>
              <w:spacing w:line="240" w:lineRule="auto"/>
              <w:ind w:left="0" w:leftChars="0" w:right="0"/>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w:t>
            </w:r>
            <w:r>
              <w:rPr>
                <w:rFonts w:hint="eastAsia" w:ascii="宋体" w:hAnsi="宋体" w:eastAsia="宋体" w:cs="宋体"/>
                <w:color w:val="000000"/>
                <w:kern w:val="0"/>
                <w:sz w:val="18"/>
                <w:szCs w:val="18"/>
                <w:lang w:val="en-US" w:eastAsia="zh-CN"/>
              </w:rPr>
              <w:t>9</w:t>
            </w:r>
            <w:r>
              <w:rPr>
                <w:rFonts w:hint="eastAsia" w:ascii="宋体" w:hAnsi="宋体" w:eastAsia="宋体" w:cs="宋体"/>
                <w:color w:val="000000"/>
                <w:kern w:val="0"/>
                <w:sz w:val="18"/>
                <w:szCs w:val="18"/>
              </w:rPr>
              <w:t>）质保期及其服务承诺、售后技术服务等。（0-5分）</w:t>
            </w:r>
          </w:p>
        </w:tc>
      </w:tr>
      <w:tr w14:paraId="48E63ADD">
        <w:tblPrEx>
          <w:tblCellMar>
            <w:top w:w="0" w:type="dxa"/>
            <w:left w:w="108" w:type="dxa"/>
            <w:bottom w:w="0" w:type="dxa"/>
            <w:right w:w="108" w:type="dxa"/>
          </w:tblCellMar>
        </w:tblPrEx>
        <w:trPr>
          <w:trHeight w:val="90" w:hRule="atLeast"/>
          <w:jc w:val="center"/>
        </w:trPr>
        <w:tc>
          <w:tcPr>
            <w:tcW w:w="373" w:type="pct"/>
            <w:vMerge w:val="continue"/>
            <w:tcBorders>
              <w:left w:val="single" w:color="000000" w:sz="4" w:space="0"/>
              <w:right w:val="single" w:color="000000" w:sz="4" w:space="0"/>
            </w:tcBorders>
            <w:noWrap/>
            <w:vAlign w:val="center"/>
          </w:tcPr>
          <w:p w14:paraId="31215519">
            <w:pPr>
              <w:pageBreakBefore w:val="0"/>
              <w:kinsoku/>
              <w:wordWrap/>
              <w:overflowPunct/>
              <w:topLinePunct w:val="0"/>
              <w:bidi w:val="0"/>
              <w:spacing w:line="240" w:lineRule="auto"/>
              <w:ind w:left="0" w:leftChars="0" w:right="0"/>
              <w:jc w:val="center"/>
              <w:rPr>
                <w:rFonts w:hint="eastAsia" w:ascii="宋体" w:hAnsi="宋体" w:eastAsia="宋体" w:cs="宋体"/>
                <w:color w:val="000000"/>
                <w:sz w:val="21"/>
                <w:szCs w:val="21"/>
              </w:rPr>
            </w:pPr>
          </w:p>
        </w:tc>
        <w:tc>
          <w:tcPr>
            <w:tcW w:w="386" w:type="pct"/>
            <w:vMerge w:val="continue"/>
            <w:tcBorders>
              <w:top w:val="single" w:color="000000" w:sz="4" w:space="0"/>
              <w:left w:val="single" w:color="000000" w:sz="4" w:space="0"/>
              <w:bottom w:val="single" w:color="000000" w:sz="4" w:space="0"/>
              <w:right w:val="single" w:color="000000" w:sz="4" w:space="0"/>
            </w:tcBorders>
            <w:noWrap w:val="0"/>
            <w:vAlign w:val="center"/>
          </w:tcPr>
          <w:p w14:paraId="7BAF84DB">
            <w:pPr>
              <w:pageBreakBefore w:val="0"/>
              <w:kinsoku/>
              <w:wordWrap/>
              <w:overflowPunct/>
              <w:topLinePunct w:val="0"/>
              <w:bidi w:val="0"/>
              <w:spacing w:line="240" w:lineRule="auto"/>
              <w:ind w:left="0" w:leftChars="0" w:right="0"/>
              <w:jc w:val="center"/>
              <w:rPr>
                <w:rFonts w:hint="eastAsia" w:ascii="宋体" w:hAnsi="宋体" w:eastAsia="宋体" w:cs="宋体"/>
                <w:color w:val="000000"/>
                <w:sz w:val="20"/>
                <w:szCs w:val="20"/>
              </w:rPr>
            </w:pPr>
          </w:p>
        </w:tc>
        <w:tc>
          <w:tcPr>
            <w:tcW w:w="326" w:type="pct"/>
            <w:vMerge w:val="continue"/>
            <w:tcBorders>
              <w:left w:val="single" w:color="000000" w:sz="4" w:space="0"/>
              <w:bottom w:val="single" w:color="000000" w:sz="4" w:space="0"/>
              <w:right w:val="single" w:color="000000" w:sz="4" w:space="0"/>
            </w:tcBorders>
            <w:noWrap w:val="0"/>
            <w:vAlign w:val="center"/>
          </w:tcPr>
          <w:p w14:paraId="3382F798">
            <w:pPr>
              <w:pageBreakBefore w:val="0"/>
              <w:kinsoku/>
              <w:wordWrap/>
              <w:overflowPunct/>
              <w:topLinePunct w:val="0"/>
              <w:bidi w:val="0"/>
              <w:spacing w:line="240" w:lineRule="auto"/>
              <w:ind w:left="0" w:leftChars="0" w:right="0"/>
              <w:jc w:val="center"/>
              <w:rPr>
                <w:rFonts w:hint="eastAsia" w:ascii="宋体" w:hAnsi="宋体" w:eastAsia="宋体" w:cs="宋体"/>
                <w:color w:val="000000"/>
                <w:sz w:val="20"/>
                <w:szCs w:val="20"/>
              </w:rPr>
            </w:pPr>
          </w:p>
        </w:tc>
        <w:tc>
          <w:tcPr>
            <w:tcW w:w="574" w:type="pct"/>
            <w:vMerge w:val="continue"/>
            <w:tcBorders>
              <w:left w:val="single" w:color="000000" w:sz="4" w:space="0"/>
              <w:bottom w:val="single" w:color="000000" w:sz="4" w:space="0"/>
              <w:right w:val="single" w:color="000000" w:sz="4" w:space="0"/>
            </w:tcBorders>
            <w:noWrap w:val="0"/>
            <w:vAlign w:val="center"/>
          </w:tcPr>
          <w:p w14:paraId="039D1FEF">
            <w:pPr>
              <w:pageBreakBefore w:val="0"/>
              <w:kinsoku/>
              <w:wordWrap/>
              <w:overflowPunct/>
              <w:topLinePunct w:val="0"/>
              <w:bidi w:val="0"/>
              <w:spacing w:line="240" w:lineRule="auto"/>
              <w:ind w:left="0" w:leftChars="0" w:right="0"/>
              <w:jc w:val="center"/>
              <w:rPr>
                <w:rFonts w:hint="eastAsia" w:ascii="宋体" w:hAnsi="宋体" w:eastAsia="宋体" w:cs="宋体"/>
                <w:color w:val="000000"/>
                <w:sz w:val="18"/>
                <w:szCs w:val="18"/>
              </w:rPr>
            </w:pPr>
          </w:p>
        </w:tc>
        <w:tc>
          <w:tcPr>
            <w:tcW w:w="306" w:type="pct"/>
            <w:vMerge w:val="continue"/>
            <w:tcBorders>
              <w:left w:val="single" w:color="000000" w:sz="4" w:space="0"/>
              <w:bottom w:val="single" w:color="000000" w:sz="4" w:space="0"/>
              <w:right w:val="single" w:color="000000" w:sz="4" w:space="0"/>
            </w:tcBorders>
            <w:noWrap w:val="0"/>
            <w:vAlign w:val="center"/>
          </w:tcPr>
          <w:p w14:paraId="7C7EE093">
            <w:pPr>
              <w:pageBreakBefore w:val="0"/>
              <w:kinsoku/>
              <w:wordWrap/>
              <w:overflowPunct/>
              <w:topLinePunct w:val="0"/>
              <w:bidi w:val="0"/>
              <w:spacing w:line="240" w:lineRule="auto"/>
              <w:ind w:left="0" w:leftChars="0" w:right="0"/>
              <w:jc w:val="center"/>
              <w:rPr>
                <w:rFonts w:hint="eastAsia" w:ascii="宋体" w:hAnsi="宋体" w:eastAsia="宋体" w:cs="宋体"/>
                <w:color w:val="000000"/>
                <w:sz w:val="18"/>
                <w:szCs w:val="18"/>
              </w:rPr>
            </w:pPr>
          </w:p>
        </w:tc>
        <w:tc>
          <w:tcPr>
            <w:tcW w:w="3032" w:type="pct"/>
            <w:tcBorders>
              <w:top w:val="single" w:color="000000" w:sz="4" w:space="0"/>
              <w:left w:val="single" w:color="000000" w:sz="4" w:space="0"/>
              <w:bottom w:val="single" w:color="000000" w:sz="4" w:space="0"/>
              <w:right w:val="single" w:color="000000" w:sz="4" w:space="0"/>
            </w:tcBorders>
            <w:noWrap w:val="0"/>
            <w:vAlign w:val="center"/>
          </w:tcPr>
          <w:p w14:paraId="1F3F4823">
            <w:pPr>
              <w:pageBreakBefore w:val="0"/>
              <w:widowControl/>
              <w:kinsoku/>
              <w:wordWrap/>
              <w:overflowPunct/>
              <w:topLinePunct w:val="0"/>
              <w:bidi w:val="0"/>
              <w:spacing w:line="240" w:lineRule="auto"/>
              <w:ind w:left="0" w:leftChars="0" w:right="0"/>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w:t>
            </w:r>
            <w:r>
              <w:rPr>
                <w:rFonts w:hint="eastAsia" w:ascii="宋体" w:hAnsi="宋体" w:eastAsia="宋体" w:cs="宋体"/>
                <w:color w:val="000000"/>
                <w:kern w:val="0"/>
                <w:sz w:val="18"/>
                <w:szCs w:val="18"/>
                <w:lang w:val="en-US" w:eastAsia="zh-CN"/>
              </w:rPr>
              <w:t>10</w:t>
            </w:r>
            <w:r>
              <w:rPr>
                <w:rFonts w:hint="eastAsia" w:ascii="宋体" w:hAnsi="宋体" w:eastAsia="宋体" w:cs="宋体"/>
                <w:color w:val="000000"/>
                <w:kern w:val="0"/>
                <w:sz w:val="18"/>
                <w:szCs w:val="18"/>
              </w:rPr>
              <w:t>）依据技术方案介绍，现场答辩表现。（0-10分）</w:t>
            </w:r>
          </w:p>
        </w:tc>
      </w:tr>
      <w:tr w14:paraId="58D887E1">
        <w:tblPrEx>
          <w:tblCellMar>
            <w:top w:w="0" w:type="dxa"/>
            <w:left w:w="108" w:type="dxa"/>
            <w:bottom w:w="0" w:type="dxa"/>
            <w:right w:w="108" w:type="dxa"/>
          </w:tblCellMar>
        </w:tblPrEx>
        <w:trPr>
          <w:trHeight w:val="90" w:hRule="atLeast"/>
          <w:jc w:val="center"/>
        </w:trPr>
        <w:tc>
          <w:tcPr>
            <w:tcW w:w="373" w:type="pct"/>
            <w:vMerge w:val="continue"/>
            <w:tcBorders>
              <w:left w:val="single" w:color="000000" w:sz="4" w:space="0"/>
              <w:bottom w:val="single" w:color="000000" w:sz="4" w:space="0"/>
              <w:right w:val="single" w:color="000000" w:sz="4" w:space="0"/>
            </w:tcBorders>
            <w:noWrap/>
            <w:vAlign w:val="center"/>
          </w:tcPr>
          <w:p w14:paraId="331CCB50">
            <w:pPr>
              <w:pageBreakBefore w:val="0"/>
              <w:kinsoku/>
              <w:wordWrap/>
              <w:overflowPunct/>
              <w:topLinePunct w:val="0"/>
              <w:bidi w:val="0"/>
              <w:spacing w:line="240" w:lineRule="auto"/>
              <w:ind w:left="0" w:leftChars="0" w:right="0"/>
              <w:jc w:val="center"/>
              <w:rPr>
                <w:rFonts w:hint="eastAsia" w:ascii="宋体" w:hAnsi="宋体" w:eastAsia="宋体" w:cs="宋体"/>
                <w:color w:val="000000"/>
                <w:sz w:val="21"/>
                <w:szCs w:val="21"/>
              </w:rPr>
            </w:pPr>
          </w:p>
        </w:tc>
        <w:tc>
          <w:tcPr>
            <w:tcW w:w="386" w:type="pct"/>
            <w:vMerge w:val="continue"/>
            <w:tcBorders>
              <w:top w:val="single" w:color="000000" w:sz="4" w:space="0"/>
              <w:left w:val="single" w:color="000000" w:sz="4" w:space="0"/>
              <w:bottom w:val="single" w:color="000000" w:sz="4" w:space="0"/>
              <w:right w:val="single" w:color="000000" w:sz="4" w:space="0"/>
            </w:tcBorders>
            <w:noWrap w:val="0"/>
            <w:vAlign w:val="center"/>
          </w:tcPr>
          <w:p w14:paraId="47346DAA">
            <w:pPr>
              <w:pageBreakBefore w:val="0"/>
              <w:kinsoku/>
              <w:wordWrap/>
              <w:overflowPunct/>
              <w:topLinePunct w:val="0"/>
              <w:bidi w:val="0"/>
              <w:spacing w:line="240" w:lineRule="auto"/>
              <w:ind w:left="0" w:leftChars="0" w:right="0"/>
              <w:jc w:val="center"/>
              <w:rPr>
                <w:rFonts w:hint="eastAsia" w:ascii="宋体" w:hAnsi="宋体" w:eastAsia="宋体" w:cs="宋体"/>
                <w:color w:val="000000"/>
                <w:sz w:val="20"/>
                <w:szCs w:val="20"/>
              </w:rPr>
            </w:pPr>
          </w:p>
        </w:tc>
        <w:tc>
          <w:tcPr>
            <w:tcW w:w="4240" w:type="pct"/>
            <w:gridSpan w:val="4"/>
            <w:tcBorders>
              <w:top w:val="single" w:color="000000" w:sz="4" w:space="0"/>
              <w:left w:val="single" w:color="000000" w:sz="4" w:space="0"/>
              <w:bottom w:val="single" w:color="000000" w:sz="4" w:space="0"/>
              <w:right w:val="single" w:color="000000" w:sz="4" w:space="0"/>
            </w:tcBorders>
            <w:noWrap w:val="0"/>
            <w:vAlign w:val="center"/>
          </w:tcPr>
          <w:p w14:paraId="575C1448">
            <w:pPr>
              <w:pageBreakBefore w:val="0"/>
              <w:widowControl/>
              <w:kinsoku/>
              <w:wordWrap/>
              <w:overflowPunct/>
              <w:topLinePunct w:val="0"/>
              <w:bidi w:val="0"/>
              <w:spacing w:line="240" w:lineRule="auto"/>
              <w:ind w:left="0" w:leftChars="0" w:right="0"/>
              <w:jc w:val="left"/>
              <w:textAlignment w:val="center"/>
              <w:rPr>
                <w:rFonts w:hint="eastAsia" w:ascii="宋体" w:hAnsi="宋体" w:eastAsia="宋体" w:cs="宋体"/>
                <w:color w:val="000000"/>
                <w:kern w:val="0"/>
                <w:sz w:val="18"/>
                <w:szCs w:val="18"/>
                <w:lang w:val="en-US" w:eastAsia="zh-CN"/>
              </w:rPr>
            </w:pPr>
            <w:r>
              <w:rPr>
                <w:rFonts w:hint="eastAsia" w:ascii="宋体" w:hAnsi="宋体" w:cs="宋体"/>
                <w:color w:val="000000"/>
                <w:kern w:val="0"/>
                <w:sz w:val="18"/>
                <w:szCs w:val="18"/>
                <w:lang w:val="en-US" w:eastAsia="zh-CN"/>
              </w:rPr>
              <w:t>经评标专家组确认符合技术要求的进入商务标</w:t>
            </w:r>
            <w:r>
              <w:rPr>
                <w:rFonts w:hint="eastAsia" w:ascii="宋体" w:hAnsi="宋体" w:eastAsia="宋体" w:cs="宋体"/>
                <w:color w:val="000000"/>
                <w:kern w:val="0"/>
                <w:sz w:val="18"/>
                <w:szCs w:val="18"/>
                <w:lang w:val="en-US" w:eastAsia="zh-CN"/>
              </w:rPr>
              <w:t>。</w:t>
            </w:r>
          </w:p>
        </w:tc>
      </w:tr>
      <w:tr w14:paraId="11DEC72A">
        <w:tblPrEx>
          <w:tblCellMar>
            <w:top w:w="0" w:type="dxa"/>
            <w:left w:w="108" w:type="dxa"/>
            <w:bottom w:w="0" w:type="dxa"/>
            <w:right w:w="108" w:type="dxa"/>
          </w:tblCellMar>
        </w:tblPrEx>
        <w:trPr>
          <w:trHeight w:val="90" w:hRule="atLeast"/>
          <w:jc w:val="center"/>
        </w:trPr>
        <w:tc>
          <w:tcPr>
            <w:tcW w:w="373" w:type="pct"/>
            <w:tcBorders>
              <w:top w:val="single" w:color="000000" w:sz="4" w:space="0"/>
              <w:left w:val="single" w:color="000000" w:sz="4" w:space="0"/>
              <w:bottom w:val="single" w:color="000000" w:sz="4" w:space="0"/>
              <w:right w:val="single" w:color="000000" w:sz="4" w:space="0"/>
            </w:tcBorders>
            <w:noWrap/>
            <w:vAlign w:val="center"/>
          </w:tcPr>
          <w:p w14:paraId="50B1FD34">
            <w:pPr>
              <w:pageBreakBefore w:val="0"/>
              <w:widowControl/>
              <w:kinsoku/>
              <w:wordWrap/>
              <w:overflowPunct/>
              <w:topLinePunct w:val="0"/>
              <w:bidi w:val="0"/>
              <w:spacing w:line="240" w:lineRule="auto"/>
              <w:ind w:left="0" w:leftChars="0" w:right="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2</w:t>
            </w:r>
          </w:p>
        </w:tc>
        <w:tc>
          <w:tcPr>
            <w:tcW w:w="386" w:type="pct"/>
            <w:tcBorders>
              <w:top w:val="single" w:color="000000" w:sz="4" w:space="0"/>
              <w:left w:val="single" w:color="000000" w:sz="4" w:space="0"/>
              <w:bottom w:val="single" w:color="000000" w:sz="4" w:space="0"/>
              <w:right w:val="single" w:color="000000" w:sz="4" w:space="0"/>
            </w:tcBorders>
            <w:noWrap w:val="0"/>
            <w:vAlign w:val="center"/>
          </w:tcPr>
          <w:p w14:paraId="7086C62C">
            <w:pPr>
              <w:pageBreakBefore w:val="0"/>
              <w:widowControl/>
              <w:kinsoku/>
              <w:wordWrap/>
              <w:overflowPunct/>
              <w:topLinePunct w:val="0"/>
              <w:bidi w:val="0"/>
              <w:spacing w:line="240" w:lineRule="auto"/>
              <w:ind w:left="0" w:leftChars="0" w:right="0"/>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rPr>
              <w:t>商务标</w:t>
            </w:r>
            <w:r>
              <w:rPr>
                <w:rFonts w:hint="eastAsia" w:ascii="宋体" w:hAnsi="宋体" w:eastAsia="宋体" w:cs="宋体"/>
                <w:color w:val="000000"/>
                <w:kern w:val="0"/>
                <w:sz w:val="20"/>
                <w:szCs w:val="20"/>
                <w:lang w:val="en-US" w:eastAsia="zh-CN"/>
              </w:rPr>
              <w:t>（占比60%）</w:t>
            </w:r>
          </w:p>
        </w:tc>
        <w:tc>
          <w:tcPr>
            <w:tcW w:w="4240" w:type="pct"/>
            <w:gridSpan w:val="4"/>
            <w:tcBorders>
              <w:top w:val="single" w:color="000000" w:sz="4" w:space="0"/>
              <w:left w:val="single" w:color="000000" w:sz="4" w:space="0"/>
              <w:bottom w:val="single" w:color="000000" w:sz="4" w:space="0"/>
              <w:right w:val="single" w:color="000000" w:sz="4" w:space="0"/>
            </w:tcBorders>
            <w:noWrap w:val="0"/>
            <w:vAlign w:val="center"/>
          </w:tcPr>
          <w:p w14:paraId="37DADC74">
            <w:pPr>
              <w:pageBreakBefore w:val="0"/>
              <w:widowControl/>
              <w:kinsoku/>
              <w:wordWrap/>
              <w:overflowPunct/>
              <w:topLinePunct w:val="0"/>
              <w:bidi w:val="0"/>
              <w:spacing w:line="240" w:lineRule="auto"/>
              <w:ind w:left="0" w:leftChars="0" w:right="0"/>
              <w:jc w:val="left"/>
              <w:textAlignment w:val="center"/>
              <w:rPr>
                <w:rFonts w:hint="eastAsia" w:ascii="宋体" w:hAnsi="宋体" w:eastAsia="宋体" w:cs="宋体"/>
                <w:sz w:val="18"/>
                <w:szCs w:val="21"/>
              </w:rPr>
            </w:pPr>
            <w:r>
              <w:rPr>
                <w:rFonts w:hint="eastAsia" w:ascii="宋体" w:hAnsi="宋体" w:eastAsia="宋体" w:cs="宋体"/>
                <w:sz w:val="18"/>
                <w:szCs w:val="21"/>
                <w:highlight w:val="none"/>
                <w:lang w:val="en-US" w:eastAsia="zh-CN"/>
              </w:rPr>
              <w:t>本次为一家中标单位，商务标专家组与技术入围的有效投标人在其开标报价的基础上开展至少3轮商务谈判，价格分数采用低价优先法进行计算，各投标人的报价金额中，取最低价为评标基准价，其价格为满分。其它投标人的价格分数按照下列公式进行计算（数据四舍五入截止小数点后2位）：报价得分=（评标基准价/投标价）× 100%</w:t>
            </w:r>
          </w:p>
        </w:tc>
      </w:tr>
    </w:tbl>
    <w:p w14:paraId="3179231C">
      <w:pPr>
        <w:rPr>
          <w:rFonts w:hint="eastAsia" w:ascii="Calibri" w:hAnsi="Calibri" w:cs="Times New Roman"/>
          <w:b/>
          <w:bCs/>
          <w:kern w:val="44"/>
          <w:sz w:val="44"/>
          <w:szCs w:val="44"/>
          <w:highlight w:val="none"/>
          <w:lang w:val="en-US" w:eastAsia="zh-CN"/>
        </w:rPr>
      </w:pPr>
      <w:r>
        <w:rPr>
          <w:rFonts w:hint="eastAsia" w:ascii="Calibri" w:hAnsi="Calibri" w:cs="Times New Roman"/>
          <w:b/>
          <w:bCs/>
          <w:kern w:val="44"/>
          <w:sz w:val="44"/>
          <w:szCs w:val="44"/>
          <w:highlight w:val="none"/>
          <w:lang w:val="en-US" w:eastAsia="zh-CN"/>
        </w:rPr>
        <w:br w:type="page"/>
      </w:r>
    </w:p>
    <w:p w14:paraId="35C27692">
      <w:pPr>
        <w:keepNext/>
        <w:keepLines/>
        <w:jc w:val="center"/>
        <w:outlineLvl w:val="0"/>
        <w:rPr>
          <w:rFonts w:ascii="Calibri" w:hAnsi="Calibri" w:eastAsia="宋体" w:cs="Times New Roman"/>
          <w:b/>
          <w:bCs/>
          <w:kern w:val="44"/>
          <w:sz w:val="44"/>
          <w:szCs w:val="44"/>
          <w:highlight w:val="none"/>
        </w:rPr>
      </w:pPr>
      <w:r>
        <w:rPr>
          <w:rFonts w:hint="eastAsia" w:ascii="Calibri" w:hAnsi="Calibri" w:cs="Times New Roman"/>
          <w:b/>
          <w:bCs/>
          <w:kern w:val="44"/>
          <w:sz w:val="44"/>
          <w:szCs w:val="44"/>
          <w:highlight w:val="none"/>
          <w:lang w:val="en-US" w:eastAsia="zh-CN"/>
        </w:rPr>
        <w:t xml:space="preserve">第三部分 </w:t>
      </w:r>
      <w:r>
        <w:rPr>
          <w:rFonts w:hint="eastAsia" w:ascii="Calibri" w:hAnsi="Calibri" w:eastAsia="宋体" w:cs="Times New Roman"/>
          <w:b/>
          <w:bCs/>
          <w:kern w:val="44"/>
          <w:sz w:val="44"/>
          <w:szCs w:val="44"/>
          <w:highlight w:val="none"/>
        </w:rPr>
        <w:t>投标文件附件</w:t>
      </w:r>
    </w:p>
    <w:p w14:paraId="004B8CE5">
      <w:pPr>
        <w:keepNext/>
        <w:keepLines/>
        <w:rPr>
          <w:rFonts w:ascii="Times New Roman" w:hAnsi="Times New Roman" w:eastAsia="宋体" w:cs="Times New Roman"/>
          <w:b/>
          <w:bCs/>
          <w:color w:val="000000"/>
          <w:sz w:val="24"/>
          <w:szCs w:val="24"/>
          <w:highlight w:val="none"/>
        </w:rPr>
      </w:pPr>
    </w:p>
    <w:p w14:paraId="6D68D61A">
      <w:pPr>
        <w:pStyle w:val="25"/>
        <w:rPr>
          <w:rFonts w:ascii="Times New Roman" w:hAnsi="Times New Roman" w:eastAsia="宋体" w:cs="Times New Roman"/>
          <w:b/>
          <w:bCs/>
          <w:color w:val="000000"/>
          <w:sz w:val="24"/>
          <w:szCs w:val="24"/>
          <w:highlight w:val="none"/>
        </w:rPr>
      </w:pPr>
    </w:p>
    <w:p w14:paraId="69EA8407">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说明：</w:t>
      </w:r>
    </w:p>
    <w:p w14:paraId="64D7EE0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1.投标人须认真填写和提交本部分中的附件文件；</w:t>
      </w:r>
    </w:p>
    <w:p w14:paraId="4AD2D164">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2.对附件文件中所要求的内容应给予明确的答复；</w:t>
      </w:r>
    </w:p>
    <w:p w14:paraId="14B7BD2D">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3.附件文件的签字人应保证其对一切问题的答复、所做的声明及出具的资格资质文件、资料等具有真实性和准确性；</w:t>
      </w:r>
    </w:p>
    <w:p w14:paraId="67E124A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4.招标人将对投标人提交的文件、资料等内容予以保密，但不退还；</w:t>
      </w:r>
    </w:p>
    <w:p w14:paraId="43477162">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5.所有附件文件应以中文书写，作为投标文件的组成部分。</w:t>
      </w:r>
    </w:p>
    <w:p w14:paraId="71E3BE0D">
      <w:pPr>
        <w:keepNext/>
        <w:keepLines/>
        <w:outlineLvl w:val="2"/>
        <w:rPr>
          <w:rFonts w:hint="eastAsia" w:asciiTheme="minorEastAsia" w:hAnsiTheme="minorEastAsia" w:eastAsiaTheme="minorEastAsia" w:cstheme="minorEastAsia"/>
          <w:b/>
          <w:sz w:val="24"/>
          <w:szCs w:val="24"/>
        </w:rPr>
      </w:pPr>
    </w:p>
    <w:p w14:paraId="01A50B49">
      <w:pPr>
        <w:keepNext/>
        <w:keepLines/>
        <w:outlineLvl w:val="2"/>
        <w:rPr>
          <w:rFonts w:hint="eastAsia" w:asciiTheme="minorEastAsia" w:hAnsiTheme="minorEastAsia" w:eastAsiaTheme="minorEastAsia" w:cstheme="minorEastAsia"/>
          <w:b/>
          <w:sz w:val="24"/>
          <w:szCs w:val="24"/>
        </w:rPr>
      </w:pPr>
    </w:p>
    <w:p w14:paraId="409FB284">
      <w:pPr>
        <w:keepNext/>
        <w:keepLines/>
        <w:outlineLvl w:val="2"/>
        <w:rPr>
          <w:rFonts w:hint="eastAsia" w:asciiTheme="minorEastAsia" w:hAnsiTheme="minorEastAsia" w:eastAsiaTheme="minorEastAsia" w:cstheme="minorEastAsia"/>
          <w:b/>
          <w:sz w:val="24"/>
          <w:szCs w:val="24"/>
        </w:rPr>
      </w:pPr>
    </w:p>
    <w:p w14:paraId="4859B0FE">
      <w:pPr>
        <w:keepNext/>
        <w:keepLines/>
        <w:outlineLvl w:val="2"/>
        <w:rPr>
          <w:rFonts w:hint="eastAsia" w:asciiTheme="minorEastAsia" w:hAnsiTheme="minorEastAsia" w:eastAsiaTheme="minorEastAsia" w:cstheme="minorEastAsia"/>
          <w:b/>
          <w:sz w:val="24"/>
          <w:szCs w:val="24"/>
        </w:rPr>
      </w:pPr>
    </w:p>
    <w:p w14:paraId="7379DDCD">
      <w:pPr>
        <w:keepNext/>
        <w:keepLines/>
        <w:outlineLvl w:val="2"/>
        <w:rPr>
          <w:rFonts w:hint="eastAsia" w:asciiTheme="minorEastAsia" w:hAnsiTheme="minorEastAsia" w:eastAsiaTheme="minorEastAsia" w:cstheme="minorEastAsia"/>
          <w:b/>
          <w:sz w:val="24"/>
          <w:szCs w:val="24"/>
        </w:rPr>
      </w:pPr>
    </w:p>
    <w:p w14:paraId="315105D2">
      <w:pPr>
        <w:keepNext/>
        <w:keepLines/>
        <w:outlineLvl w:val="2"/>
        <w:rPr>
          <w:rFonts w:hint="eastAsia" w:asciiTheme="minorEastAsia" w:hAnsiTheme="minorEastAsia" w:eastAsiaTheme="minorEastAsia" w:cstheme="minorEastAsia"/>
          <w:b/>
          <w:sz w:val="24"/>
          <w:szCs w:val="24"/>
        </w:rPr>
      </w:pPr>
    </w:p>
    <w:p w14:paraId="1DCCFD44">
      <w:pPr>
        <w:keepNext/>
        <w:keepLines/>
        <w:outlineLvl w:val="2"/>
        <w:rPr>
          <w:rFonts w:hint="eastAsia" w:asciiTheme="minorEastAsia" w:hAnsiTheme="minorEastAsia" w:eastAsiaTheme="minorEastAsia" w:cstheme="minorEastAsia"/>
          <w:b/>
          <w:sz w:val="24"/>
          <w:szCs w:val="24"/>
        </w:rPr>
      </w:pPr>
    </w:p>
    <w:p w14:paraId="799A6836">
      <w:pPr>
        <w:keepNext/>
        <w:keepLines/>
        <w:outlineLvl w:val="2"/>
        <w:rPr>
          <w:rFonts w:hint="eastAsia" w:asciiTheme="minorEastAsia" w:hAnsiTheme="minorEastAsia" w:eastAsiaTheme="minorEastAsia" w:cstheme="minorEastAsia"/>
          <w:b/>
          <w:sz w:val="24"/>
          <w:szCs w:val="24"/>
        </w:rPr>
      </w:pPr>
    </w:p>
    <w:p w14:paraId="31604940">
      <w:pPr>
        <w:keepNext/>
        <w:keepLines/>
        <w:outlineLvl w:val="2"/>
        <w:rPr>
          <w:rFonts w:hint="eastAsia" w:asciiTheme="minorEastAsia" w:hAnsiTheme="minorEastAsia" w:eastAsiaTheme="minorEastAsia" w:cstheme="minorEastAsia"/>
          <w:b/>
          <w:sz w:val="24"/>
          <w:szCs w:val="24"/>
        </w:rPr>
      </w:pPr>
    </w:p>
    <w:p w14:paraId="38A631EE">
      <w:pPr>
        <w:keepNext/>
        <w:keepLines/>
        <w:outlineLvl w:val="2"/>
        <w:rPr>
          <w:rFonts w:hint="eastAsia" w:asciiTheme="minorEastAsia" w:hAnsiTheme="minorEastAsia" w:eastAsiaTheme="minorEastAsia" w:cstheme="minorEastAsia"/>
          <w:b/>
          <w:sz w:val="24"/>
          <w:szCs w:val="24"/>
        </w:rPr>
      </w:pPr>
    </w:p>
    <w:p w14:paraId="2B35014B">
      <w:pPr>
        <w:keepNext/>
        <w:keepLines/>
        <w:outlineLvl w:val="2"/>
        <w:rPr>
          <w:rFonts w:hint="eastAsia" w:asciiTheme="minorEastAsia" w:hAnsiTheme="minorEastAsia" w:eastAsiaTheme="minorEastAsia" w:cstheme="minorEastAsia"/>
          <w:b/>
          <w:sz w:val="24"/>
          <w:szCs w:val="24"/>
        </w:rPr>
      </w:pPr>
    </w:p>
    <w:p w14:paraId="3E1E2C91">
      <w:pPr>
        <w:keepNext/>
        <w:keepLines/>
        <w:outlineLvl w:val="2"/>
        <w:rPr>
          <w:rFonts w:hint="eastAsia" w:asciiTheme="minorEastAsia" w:hAnsiTheme="minorEastAsia" w:eastAsiaTheme="minorEastAsia" w:cstheme="minorEastAsia"/>
          <w:b/>
          <w:sz w:val="24"/>
          <w:szCs w:val="24"/>
        </w:rPr>
      </w:pPr>
    </w:p>
    <w:p w14:paraId="65712283">
      <w:pPr>
        <w:keepNext/>
        <w:keepLines/>
        <w:outlineLvl w:val="2"/>
        <w:rPr>
          <w:rFonts w:hint="eastAsia" w:asciiTheme="minorEastAsia" w:hAnsiTheme="minorEastAsia" w:eastAsiaTheme="minorEastAsia" w:cstheme="minorEastAsia"/>
          <w:b/>
          <w:sz w:val="24"/>
          <w:szCs w:val="24"/>
        </w:rPr>
      </w:pPr>
    </w:p>
    <w:p w14:paraId="6F133945">
      <w:pPr>
        <w:keepNext/>
        <w:keepLines/>
        <w:outlineLvl w:val="2"/>
        <w:rPr>
          <w:rFonts w:hint="eastAsia" w:asciiTheme="minorEastAsia" w:hAnsiTheme="minorEastAsia" w:eastAsiaTheme="minorEastAsia" w:cstheme="minorEastAsia"/>
          <w:b/>
          <w:sz w:val="24"/>
          <w:szCs w:val="24"/>
        </w:rPr>
      </w:pPr>
    </w:p>
    <w:p w14:paraId="6BFA7BFB">
      <w:pPr>
        <w:keepNext/>
        <w:keepLines/>
        <w:outlineLvl w:val="2"/>
        <w:rPr>
          <w:rFonts w:hint="eastAsia" w:asciiTheme="minorEastAsia" w:hAnsiTheme="minorEastAsia" w:eastAsiaTheme="minorEastAsia" w:cstheme="minorEastAsia"/>
          <w:b/>
          <w:sz w:val="24"/>
          <w:szCs w:val="24"/>
        </w:rPr>
      </w:pPr>
    </w:p>
    <w:p w14:paraId="789716BA">
      <w:pPr>
        <w:keepNext/>
        <w:keepLines/>
        <w:outlineLvl w:val="2"/>
        <w:rPr>
          <w:rFonts w:hint="eastAsia" w:asciiTheme="minorEastAsia" w:hAnsiTheme="minorEastAsia" w:eastAsiaTheme="minorEastAsia" w:cstheme="minorEastAsia"/>
          <w:b/>
          <w:sz w:val="24"/>
          <w:szCs w:val="24"/>
        </w:rPr>
      </w:pPr>
    </w:p>
    <w:p w14:paraId="271F259A">
      <w:pPr>
        <w:keepNext/>
        <w:keepLines/>
        <w:outlineLvl w:val="2"/>
        <w:rPr>
          <w:rFonts w:hint="eastAsia" w:asciiTheme="minorEastAsia" w:hAnsiTheme="minorEastAsia" w:eastAsiaTheme="minorEastAsia" w:cstheme="minorEastAsia"/>
          <w:b/>
          <w:sz w:val="24"/>
          <w:szCs w:val="24"/>
        </w:rPr>
      </w:pPr>
    </w:p>
    <w:p w14:paraId="4D697150">
      <w:pPr>
        <w:keepNext/>
        <w:keepLines/>
        <w:outlineLvl w:val="2"/>
        <w:rPr>
          <w:rFonts w:hint="eastAsia" w:asciiTheme="minorEastAsia" w:hAnsiTheme="minorEastAsia" w:eastAsiaTheme="minorEastAsia" w:cstheme="minorEastAsia"/>
          <w:b/>
          <w:sz w:val="24"/>
          <w:szCs w:val="24"/>
        </w:rPr>
      </w:pPr>
    </w:p>
    <w:p w14:paraId="1A92D340">
      <w:pPr>
        <w:keepNext/>
        <w:keepLines/>
        <w:outlineLvl w:val="2"/>
        <w:rPr>
          <w:rFonts w:hint="eastAsia" w:asciiTheme="minorEastAsia" w:hAnsiTheme="minorEastAsia" w:eastAsiaTheme="minorEastAsia" w:cstheme="minorEastAsia"/>
          <w:b/>
          <w:sz w:val="24"/>
          <w:szCs w:val="24"/>
        </w:rPr>
      </w:pPr>
    </w:p>
    <w:p w14:paraId="63AE9EFB">
      <w:pPr>
        <w:keepNext/>
        <w:keepLines/>
        <w:outlineLvl w:val="2"/>
        <w:rPr>
          <w:rFonts w:hint="eastAsia" w:asciiTheme="minorEastAsia" w:hAnsiTheme="minorEastAsia" w:eastAsiaTheme="minorEastAsia" w:cstheme="minorEastAsia"/>
          <w:b/>
          <w:sz w:val="24"/>
          <w:szCs w:val="24"/>
        </w:rPr>
      </w:pPr>
    </w:p>
    <w:p w14:paraId="02CE63D2">
      <w:pPr>
        <w:keepNext/>
        <w:keepLines/>
        <w:outlineLvl w:val="2"/>
        <w:rPr>
          <w:rFonts w:hint="eastAsia" w:asciiTheme="minorEastAsia" w:hAnsiTheme="minorEastAsia" w:eastAsiaTheme="minorEastAsia" w:cstheme="minorEastAsia"/>
          <w:b/>
          <w:sz w:val="24"/>
          <w:szCs w:val="24"/>
        </w:rPr>
      </w:pPr>
    </w:p>
    <w:p w14:paraId="7377BADF">
      <w:pPr>
        <w:keepNext/>
        <w:keepLines/>
        <w:outlineLvl w:val="2"/>
        <w:rPr>
          <w:rFonts w:hint="eastAsia" w:asciiTheme="minorEastAsia" w:hAnsiTheme="minorEastAsia" w:eastAsiaTheme="minorEastAsia" w:cstheme="minorEastAsia"/>
          <w:b/>
          <w:sz w:val="24"/>
          <w:szCs w:val="24"/>
        </w:rPr>
      </w:pPr>
    </w:p>
    <w:p w14:paraId="0E149AF0">
      <w:pPr>
        <w:keepNext/>
        <w:keepLines/>
        <w:outlineLvl w:val="2"/>
        <w:rPr>
          <w:rFonts w:hint="eastAsia" w:asciiTheme="minorEastAsia" w:hAnsiTheme="minorEastAsia" w:eastAsiaTheme="minorEastAsia" w:cstheme="minorEastAsia"/>
          <w:b/>
          <w:sz w:val="24"/>
          <w:szCs w:val="24"/>
        </w:rPr>
      </w:pPr>
    </w:p>
    <w:p w14:paraId="0753F1DE">
      <w:pPr>
        <w:keepNext/>
        <w:keepLines/>
        <w:outlineLvl w:val="2"/>
        <w:rPr>
          <w:rFonts w:hint="eastAsia" w:asciiTheme="minorEastAsia" w:hAnsiTheme="minorEastAsia" w:eastAsiaTheme="minorEastAsia" w:cstheme="minorEastAsia"/>
          <w:b/>
          <w:sz w:val="24"/>
          <w:szCs w:val="24"/>
        </w:rPr>
      </w:pPr>
    </w:p>
    <w:p w14:paraId="31E97C20">
      <w:pPr>
        <w:keepNext/>
        <w:keepLines/>
        <w:outlineLvl w:val="2"/>
        <w:rPr>
          <w:rFonts w:hint="eastAsia" w:asciiTheme="minorEastAsia" w:hAnsiTheme="minorEastAsia" w:eastAsiaTheme="minorEastAsia" w:cstheme="minorEastAsia"/>
          <w:b/>
          <w:sz w:val="24"/>
          <w:szCs w:val="24"/>
        </w:rPr>
      </w:pPr>
    </w:p>
    <w:p w14:paraId="5E039EA6">
      <w:pPr>
        <w:keepNext/>
        <w:keepLines/>
        <w:outlineLvl w:val="2"/>
        <w:rPr>
          <w:rFonts w:hint="eastAsia" w:asciiTheme="minorEastAsia" w:hAnsiTheme="minorEastAsia" w:eastAsiaTheme="minorEastAsia" w:cstheme="minorEastAsia"/>
          <w:b/>
          <w:sz w:val="24"/>
          <w:szCs w:val="24"/>
        </w:rPr>
      </w:pPr>
    </w:p>
    <w:p w14:paraId="0CA49193">
      <w:pPr>
        <w:keepNext/>
        <w:keepLines/>
        <w:outlineLvl w:val="2"/>
        <w:rPr>
          <w:rFonts w:hint="eastAsia" w:asciiTheme="minorEastAsia" w:hAnsiTheme="minorEastAsia" w:eastAsiaTheme="minorEastAsia" w:cstheme="minorEastAsia"/>
          <w:b/>
          <w:sz w:val="24"/>
          <w:szCs w:val="24"/>
        </w:rPr>
      </w:pPr>
    </w:p>
    <w:p w14:paraId="5CDE0C8B">
      <w:pPr>
        <w:spacing w:line="360" w:lineRule="auto"/>
        <w:rPr>
          <w:rFonts w:hint="eastAsia" w:ascii="仿宋" w:hAnsi="仿宋" w:eastAsia="仿宋"/>
          <w:b/>
          <w:bCs/>
          <w:sz w:val="28"/>
        </w:rPr>
      </w:pPr>
    </w:p>
    <w:p w14:paraId="03DE61B9">
      <w:pPr>
        <w:rPr>
          <w:rFonts w:hint="eastAsia" w:ascii="仿宋" w:hAnsi="仿宋" w:eastAsia="仿宋"/>
          <w:b/>
          <w:bCs/>
          <w:sz w:val="28"/>
        </w:rPr>
      </w:pPr>
      <w:r>
        <w:rPr>
          <w:rFonts w:hint="eastAsia" w:ascii="仿宋" w:hAnsi="仿宋" w:eastAsia="仿宋"/>
          <w:b/>
          <w:bCs/>
          <w:sz w:val="28"/>
        </w:rPr>
        <w:br w:type="page"/>
      </w:r>
    </w:p>
    <w:p w14:paraId="4676CEFC">
      <w:pPr>
        <w:pStyle w:val="5"/>
        <w:ind w:firstLine="602"/>
        <w:rPr>
          <w:rFonts w:hint="eastAsia" w:ascii="仿宋" w:hAnsi="仿宋" w:eastAsia="仿宋" w:cs="仿宋"/>
          <w:sz w:val="32"/>
          <w:szCs w:val="32"/>
        </w:rPr>
      </w:pPr>
      <w:bookmarkStart w:id="15" w:name="_Toc15717"/>
      <w:r>
        <w:rPr>
          <w:rFonts w:hint="eastAsia" w:ascii="仿宋" w:hAnsi="仿宋" w:eastAsia="仿宋" w:cs="仿宋"/>
          <w:bCs/>
          <w:sz w:val="28"/>
          <w:szCs w:val="28"/>
        </w:rPr>
        <w:t>附件</w:t>
      </w:r>
      <w:r>
        <w:rPr>
          <w:rFonts w:hint="eastAsia" w:ascii="仿宋" w:hAnsi="仿宋" w:eastAsia="仿宋" w:cs="仿宋"/>
          <w:bCs/>
          <w:sz w:val="28"/>
          <w:szCs w:val="28"/>
          <w:lang w:eastAsia="zh-CN"/>
        </w:rPr>
        <w:t>：</w:t>
      </w:r>
      <w:r>
        <w:rPr>
          <w:rFonts w:hint="eastAsia" w:ascii="仿宋" w:hAnsi="仿宋" w:eastAsia="仿宋" w:cs="仿宋"/>
          <w:bCs/>
          <w:sz w:val="28"/>
          <w:szCs w:val="28"/>
        </w:rPr>
        <w:t>踏勘现场登记表</w:t>
      </w:r>
      <w:bookmarkEnd w:id="15"/>
    </w:p>
    <w:p w14:paraId="6B883063">
      <w:pPr>
        <w:ind w:firstLine="0" w:firstLineChars="0"/>
        <w:jc w:val="center"/>
        <w:rPr>
          <w:rFonts w:hint="eastAsia" w:ascii="仿宋" w:hAnsi="仿宋" w:eastAsia="仿宋" w:cs="仿宋"/>
          <w:b/>
          <w:bCs/>
          <w:sz w:val="36"/>
          <w:szCs w:val="36"/>
        </w:rPr>
      </w:pPr>
      <w:r>
        <w:rPr>
          <w:rFonts w:hint="eastAsia" w:ascii="仿宋" w:hAnsi="仿宋" w:eastAsia="仿宋" w:cs="仿宋"/>
          <w:b/>
          <w:bCs/>
          <w:sz w:val="36"/>
          <w:szCs w:val="36"/>
        </w:rPr>
        <w:t>踏勘现场登记表</w:t>
      </w:r>
    </w:p>
    <w:p w14:paraId="37544C70">
      <w:pPr>
        <w:tabs>
          <w:tab w:val="left" w:pos="8042"/>
        </w:tabs>
        <w:spacing w:before="26" w:after="120"/>
        <w:ind w:right="842" w:firstLine="476"/>
        <w:jc w:val="both"/>
        <w:rPr>
          <w:rFonts w:hint="eastAsia" w:ascii="仿宋" w:hAnsi="仿宋" w:eastAsia="仿宋" w:cs="仿宋"/>
          <w:sz w:val="24"/>
          <w:szCs w:val="32"/>
        </w:rPr>
      </w:pPr>
      <w:r>
        <w:rPr>
          <w:rFonts w:hint="eastAsia" w:ascii="仿宋" w:hAnsi="仿宋" w:eastAsia="仿宋" w:cs="仿宋"/>
          <w:spacing w:val="-1"/>
          <w:sz w:val="24"/>
          <w:szCs w:val="32"/>
        </w:rPr>
        <w:t>项目名称：</w:t>
      </w:r>
      <w:r>
        <w:rPr>
          <w:rFonts w:hint="eastAsia" w:ascii="仿宋" w:hAnsi="仿宋" w:eastAsia="仿宋" w:cs="仿宋"/>
          <w:spacing w:val="-1"/>
          <w:sz w:val="24"/>
          <w:szCs w:val="32"/>
          <w:u w:val="single" w:color="000000"/>
        </w:rPr>
        <w:tab/>
      </w:r>
      <w:r>
        <w:rPr>
          <w:rFonts w:hint="eastAsia" w:ascii="仿宋" w:hAnsi="仿宋" w:eastAsia="仿宋" w:cs="仿宋"/>
          <w:sz w:val="24"/>
          <w:szCs w:val="32"/>
        </w:rPr>
        <w:t xml:space="preserve"> </w:t>
      </w:r>
    </w:p>
    <w:p w14:paraId="4A447E00">
      <w:pPr>
        <w:tabs>
          <w:tab w:val="left" w:pos="8042"/>
        </w:tabs>
        <w:spacing w:before="26" w:after="120"/>
        <w:ind w:right="842" w:firstLine="476"/>
        <w:jc w:val="both"/>
        <w:rPr>
          <w:rFonts w:hint="eastAsia" w:ascii="仿宋" w:hAnsi="仿宋" w:eastAsia="仿宋" w:cs="仿宋"/>
          <w:sz w:val="24"/>
          <w:szCs w:val="32"/>
        </w:rPr>
      </w:pPr>
      <w:r>
        <w:rPr>
          <w:rFonts w:hint="eastAsia" w:ascii="仿宋" w:hAnsi="仿宋" w:eastAsia="仿宋" w:cs="仿宋"/>
          <w:sz w:val="24"/>
          <w:szCs w:val="32"/>
        </w:rPr>
        <w:t>项目编号：</w:t>
      </w:r>
      <w:r>
        <w:rPr>
          <w:rFonts w:hint="eastAsia" w:ascii="仿宋" w:hAnsi="仿宋" w:eastAsia="仿宋" w:cs="仿宋"/>
          <w:sz w:val="24"/>
          <w:szCs w:val="32"/>
          <w:u w:val="single"/>
        </w:rPr>
        <w:t xml:space="preserve">                  </w:t>
      </w:r>
      <w:r>
        <w:rPr>
          <w:rFonts w:hint="eastAsia" w:ascii="仿宋" w:hAnsi="仿宋" w:eastAsia="仿宋" w:cs="仿宋"/>
          <w:sz w:val="24"/>
          <w:szCs w:val="32"/>
        </w:rPr>
        <w:t>按采购文件规定。</w:t>
      </w:r>
    </w:p>
    <w:p w14:paraId="3714071C">
      <w:pPr>
        <w:tabs>
          <w:tab w:val="left" w:pos="6002"/>
        </w:tabs>
        <w:spacing w:before="34" w:after="120"/>
        <w:ind w:right="137" w:firstLine="476"/>
        <w:jc w:val="both"/>
        <w:rPr>
          <w:rFonts w:hint="eastAsia" w:ascii="仿宋" w:hAnsi="仿宋" w:eastAsia="仿宋" w:cs="仿宋"/>
          <w:sz w:val="24"/>
          <w:szCs w:val="32"/>
        </w:rPr>
      </w:pPr>
      <w:r>
        <w:rPr>
          <w:rFonts w:hint="eastAsia" w:ascii="仿宋" w:hAnsi="仿宋" w:eastAsia="仿宋" w:cs="仿宋"/>
          <w:spacing w:val="-1"/>
          <w:sz w:val="24"/>
          <w:szCs w:val="32"/>
        </w:rPr>
        <w:t>我方（公司名称：</w:t>
      </w:r>
      <w:r>
        <w:rPr>
          <w:rFonts w:hint="eastAsia" w:ascii="仿宋" w:hAnsi="仿宋" w:eastAsia="仿宋" w:cs="仿宋"/>
          <w:spacing w:val="-1"/>
          <w:sz w:val="24"/>
          <w:szCs w:val="32"/>
          <w:lang w:val="en-US" w:eastAsia="zh-CN"/>
        </w:rPr>
        <w:t>________________________</w:t>
      </w:r>
      <w:r>
        <w:rPr>
          <w:rFonts w:hint="eastAsia" w:ascii="仿宋" w:hAnsi="仿宋" w:eastAsia="仿宋" w:cs="仿宋"/>
          <w:sz w:val="24"/>
          <w:szCs w:val="32"/>
        </w:rPr>
        <w:t>）于</w:t>
      </w:r>
      <w:r>
        <w:rPr>
          <w:rFonts w:hint="eastAsia" w:ascii="仿宋" w:hAnsi="仿宋" w:eastAsia="仿宋" w:cs="仿宋"/>
          <w:sz w:val="24"/>
          <w:szCs w:val="32"/>
          <w:u w:val="single"/>
          <w:lang w:val="en-US" w:eastAsia="zh-CN"/>
        </w:rPr>
        <w:t xml:space="preserve">    </w:t>
      </w:r>
      <w:r>
        <w:rPr>
          <w:rFonts w:hint="eastAsia" w:ascii="仿宋" w:hAnsi="仿宋" w:eastAsia="仿宋" w:cs="仿宋"/>
          <w:sz w:val="24"/>
          <w:szCs w:val="32"/>
        </w:rPr>
        <w:t>年</w:t>
      </w:r>
      <w:r>
        <w:rPr>
          <w:rFonts w:hint="eastAsia" w:ascii="仿宋" w:hAnsi="仿宋" w:eastAsia="仿宋" w:cs="仿宋"/>
          <w:sz w:val="24"/>
          <w:szCs w:val="32"/>
          <w:u w:val="single"/>
          <w:lang w:val="en-US" w:eastAsia="zh-CN"/>
        </w:rPr>
        <w:t xml:space="preserve">     </w:t>
      </w:r>
      <w:r>
        <w:rPr>
          <w:rFonts w:hint="eastAsia" w:ascii="仿宋" w:hAnsi="仿宋" w:eastAsia="仿宋" w:cs="仿宋"/>
          <w:sz w:val="24"/>
          <w:szCs w:val="32"/>
        </w:rPr>
        <w:t>月</w:t>
      </w:r>
      <w:r>
        <w:rPr>
          <w:rFonts w:hint="eastAsia" w:ascii="仿宋" w:hAnsi="仿宋" w:eastAsia="仿宋" w:cs="仿宋"/>
          <w:sz w:val="24"/>
          <w:szCs w:val="32"/>
          <w:u w:val="single" w:color="000000"/>
        </w:rPr>
        <w:tab/>
      </w:r>
      <w:r>
        <w:rPr>
          <w:rFonts w:hint="eastAsia" w:ascii="仿宋" w:hAnsi="仿宋" w:eastAsia="仿宋" w:cs="仿宋"/>
          <w:sz w:val="24"/>
          <w:szCs w:val="32"/>
          <w:u w:val="single" w:color="000000"/>
        </w:rPr>
        <w:t xml:space="preserve">  </w:t>
      </w:r>
      <w:r>
        <w:rPr>
          <w:rFonts w:hint="eastAsia" w:ascii="仿宋" w:hAnsi="仿宋" w:eastAsia="仿宋" w:cs="仿宋"/>
          <w:sz w:val="24"/>
          <w:szCs w:val="32"/>
        </w:rPr>
        <w:t>日完成现场踏勘且了解现场环境和要求，并根据采购人要求制定项目实施方案。</w:t>
      </w:r>
    </w:p>
    <w:p w14:paraId="0240B7F6">
      <w:pPr>
        <w:tabs>
          <w:tab w:val="left" w:pos="2282"/>
        </w:tabs>
        <w:spacing w:before="36" w:after="120"/>
        <w:ind w:right="602" w:firstLine="480"/>
        <w:jc w:val="both"/>
        <w:rPr>
          <w:rFonts w:hint="eastAsia" w:ascii="仿宋" w:hAnsi="仿宋" w:eastAsia="仿宋" w:cs="仿宋"/>
          <w:sz w:val="24"/>
          <w:szCs w:val="32"/>
        </w:rPr>
      </w:pPr>
      <w:r>
        <w:rPr>
          <w:rFonts w:hint="eastAsia" w:ascii="仿宋" w:hAnsi="仿宋" w:eastAsia="仿宋" w:cs="仿宋"/>
          <w:sz w:val="24"/>
          <w:szCs w:val="32"/>
        </w:rPr>
        <w:t xml:space="preserve">此现场踏勘证明文件为响应文件有效组成部分（胶装于响应文件中）。 </w:t>
      </w:r>
    </w:p>
    <w:p w14:paraId="16E94149">
      <w:pPr>
        <w:tabs>
          <w:tab w:val="left" w:pos="2282"/>
        </w:tabs>
        <w:spacing w:before="36" w:after="120"/>
        <w:ind w:right="602" w:firstLine="480"/>
        <w:jc w:val="both"/>
        <w:rPr>
          <w:rFonts w:hint="eastAsia" w:ascii="仿宋" w:hAnsi="仿宋" w:eastAsia="仿宋" w:cs="仿宋"/>
          <w:sz w:val="24"/>
          <w:szCs w:val="32"/>
        </w:rPr>
      </w:pPr>
    </w:p>
    <w:p w14:paraId="584F7C54">
      <w:pPr>
        <w:pStyle w:val="9"/>
        <w:rPr>
          <w:rFonts w:hint="eastAsia"/>
        </w:rPr>
      </w:pPr>
    </w:p>
    <w:p w14:paraId="74DD9617">
      <w:pPr>
        <w:tabs>
          <w:tab w:val="left" w:pos="2282"/>
        </w:tabs>
        <w:spacing w:before="36" w:after="120"/>
        <w:ind w:right="602" w:firstLine="480"/>
        <w:jc w:val="both"/>
        <w:rPr>
          <w:rFonts w:hint="eastAsia" w:ascii="仿宋" w:hAnsi="仿宋" w:eastAsia="仿宋" w:cs="仿宋"/>
          <w:sz w:val="24"/>
          <w:szCs w:val="32"/>
        </w:rPr>
      </w:pPr>
      <w:r>
        <w:rPr>
          <w:rFonts w:hint="eastAsia" w:ascii="仿宋" w:hAnsi="仿宋" w:eastAsia="仿宋" w:cs="仿宋"/>
          <w:sz w:val="24"/>
          <w:szCs w:val="32"/>
        </w:rPr>
        <w:t>供应商名称（盖公章）：</w:t>
      </w:r>
      <w:r>
        <w:rPr>
          <w:rFonts w:hint="eastAsia" w:ascii="仿宋" w:hAnsi="仿宋" w:eastAsia="仿宋" w:cs="仿宋"/>
          <w:sz w:val="24"/>
          <w:szCs w:val="32"/>
        </w:rPr>
        <w:tab/>
      </w:r>
    </w:p>
    <w:p w14:paraId="10C6572E">
      <w:pPr>
        <w:tabs>
          <w:tab w:val="left" w:pos="6182"/>
          <w:tab w:val="left" w:pos="6782"/>
        </w:tabs>
        <w:spacing w:before="144" w:after="120"/>
        <w:ind w:right="137" w:firstLine="480"/>
        <w:jc w:val="both"/>
        <w:rPr>
          <w:rFonts w:hint="eastAsia" w:ascii="仿宋" w:hAnsi="仿宋" w:eastAsia="仿宋" w:cs="仿宋"/>
          <w:sz w:val="24"/>
          <w:szCs w:val="32"/>
        </w:rPr>
      </w:pPr>
      <w:r>
        <w:rPr>
          <w:rFonts w:hint="eastAsia" w:ascii="仿宋" w:hAnsi="仿宋" w:eastAsia="仿宋" w:cs="仿宋"/>
          <w:sz w:val="24"/>
          <w:szCs w:val="32"/>
        </w:rPr>
        <w:t xml:space="preserve">踏勘时间: </w:t>
      </w:r>
      <w:r>
        <w:rPr>
          <w:rFonts w:hint="eastAsia" w:ascii="仿宋" w:hAnsi="仿宋" w:eastAsia="仿宋" w:cs="仿宋"/>
          <w:sz w:val="24"/>
          <w:szCs w:val="32"/>
          <w:lang w:val="en-US" w:eastAsia="zh-CN"/>
        </w:rPr>
        <w:t xml:space="preserve">  </w:t>
      </w:r>
      <w:r>
        <w:rPr>
          <w:rFonts w:hint="eastAsia" w:ascii="仿宋" w:hAnsi="仿宋" w:eastAsia="仿宋" w:cs="仿宋"/>
          <w:sz w:val="24"/>
          <w:szCs w:val="32"/>
        </w:rPr>
        <w:t>年</w:t>
      </w:r>
      <w:r>
        <w:rPr>
          <w:rFonts w:hint="eastAsia" w:ascii="仿宋" w:hAnsi="仿宋" w:eastAsia="仿宋" w:cs="仿宋"/>
          <w:sz w:val="24"/>
          <w:szCs w:val="32"/>
          <w:lang w:val="en-US" w:eastAsia="zh-CN"/>
        </w:rPr>
        <w:t xml:space="preserve">  </w:t>
      </w:r>
      <w:r>
        <w:rPr>
          <w:rFonts w:hint="eastAsia" w:ascii="仿宋" w:hAnsi="仿宋" w:eastAsia="仿宋" w:cs="仿宋"/>
          <w:sz w:val="24"/>
          <w:szCs w:val="32"/>
        </w:rPr>
        <w:t>月  日</w:t>
      </w:r>
    </w:p>
    <w:p w14:paraId="0EDDC285">
      <w:pPr>
        <w:spacing w:before="5"/>
        <w:rPr>
          <w:rFonts w:hint="eastAsia" w:ascii="仿宋" w:hAnsi="仿宋" w:eastAsia="仿宋" w:cs="仿宋"/>
          <w:sz w:val="24"/>
          <w:szCs w:val="32"/>
        </w:rPr>
      </w:pPr>
    </w:p>
    <w:p w14:paraId="2BCE5396">
      <w:pPr>
        <w:pStyle w:val="9"/>
        <w:rPr>
          <w:rFonts w:hint="eastAsia"/>
        </w:rPr>
      </w:pPr>
    </w:p>
    <w:p w14:paraId="0969C34D">
      <w:pPr>
        <w:spacing w:after="120"/>
        <w:ind w:right="1585" w:firstLine="480"/>
        <w:jc w:val="both"/>
        <w:rPr>
          <w:rFonts w:hint="eastAsia" w:ascii="仿宋" w:hAnsi="仿宋" w:eastAsia="仿宋" w:cs="仿宋"/>
          <w:sz w:val="24"/>
          <w:szCs w:val="32"/>
        </w:rPr>
      </w:pPr>
      <w:r>
        <w:rPr>
          <w:rFonts w:hint="eastAsia" w:ascii="仿宋" w:hAnsi="仿宋" w:eastAsia="仿宋" w:cs="仿宋"/>
          <w:sz w:val="24"/>
          <w:szCs w:val="32"/>
          <w:lang w:val="en-US" w:eastAsia="zh-CN"/>
        </w:rPr>
        <w:t>招标单位</w:t>
      </w:r>
      <w:r>
        <w:rPr>
          <w:rFonts w:hint="eastAsia" w:ascii="仿宋" w:hAnsi="仿宋" w:eastAsia="仿宋" w:cs="仿宋"/>
          <w:sz w:val="24"/>
          <w:szCs w:val="32"/>
        </w:rPr>
        <w:t xml:space="preserve">：中国重汽集团济南动力有限公司 </w:t>
      </w:r>
    </w:p>
    <w:p w14:paraId="23274084">
      <w:pPr>
        <w:spacing w:after="120"/>
        <w:ind w:right="1585" w:firstLine="480"/>
        <w:jc w:val="both"/>
        <w:rPr>
          <w:rFonts w:hint="eastAsia" w:ascii="仿宋" w:hAnsi="仿宋" w:eastAsia="仿宋" w:cs="仿宋"/>
          <w:sz w:val="24"/>
          <w:szCs w:val="32"/>
        </w:rPr>
      </w:pPr>
      <w:r>
        <w:rPr>
          <w:rFonts w:hint="eastAsia" w:ascii="仿宋" w:hAnsi="仿宋" w:eastAsia="仿宋" w:cs="仿宋"/>
          <w:sz w:val="24"/>
          <w:szCs w:val="32"/>
          <w:lang w:val="en-US" w:eastAsia="zh-CN"/>
        </w:rPr>
        <w:t>被服务单位现场联络</w:t>
      </w:r>
      <w:r>
        <w:rPr>
          <w:rFonts w:hint="eastAsia" w:ascii="仿宋" w:hAnsi="仿宋" w:eastAsia="仿宋" w:cs="仿宋"/>
          <w:sz w:val="24"/>
          <w:szCs w:val="32"/>
        </w:rPr>
        <w:t>人（签字）：</w:t>
      </w:r>
    </w:p>
    <w:p w14:paraId="5762F502">
      <w:pPr>
        <w:tabs>
          <w:tab w:val="left" w:pos="6302"/>
          <w:tab w:val="left" w:pos="6782"/>
        </w:tabs>
        <w:spacing w:before="190" w:after="120"/>
        <w:ind w:right="137" w:firstLine="480"/>
        <w:jc w:val="both"/>
        <w:rPr>
          <w:rFonts w:hint="eastAsia" w:ascii="仿宋" w:hAnsi="仿宋" w:eastAsia="仿宋" w:cs="仿宋"/>
          <w:sz w:val="24"/>
          <w:szCs w:val="32"/>
        </w:rPr>
      </w:pPr>
      <w:r>
        <w:rPr>
          <w:rFonts w:hint="eastAsia" w:ascii="仿宋" w:hAnsi="仿宋" w:eastAsia="仿宋" w:cs="仿宋"/>
          <w:sz w:val="24"/>
          <w:szCs w:val="32"/>
        </w:rPr>
        <w:t>踏勘时间:</w:t>
      </w:r>
      <w:r>
        <w:rPr>
          <w:rFonts w:hint="eastAsia" w:ascii="仿宋" w:hAnsi="仿宋" w:eastAsia="仿宋" w:cs="仿宋"/>
          <w:sz w:val="24"/>
          <w:szCs w:val="32"/>
          <w:lang w:val="en-US" w:eastAsia="zh-CN"/>
        </w:rPr>
        <w:t xml:space="preserve"> </w:t>
      </w:r>
      <w:r>
        <w:rPr>
          <w:rFonts w:hint="eastAsia" w:ascii="仿宋" w:hAnsi="仿宋" w:eastAsia="仿宋" w:cs="仿宋"/>
          <w:sz w:val="24"/>
          <w:szCs w:val="32"/>
        </w:rPr>
        <w:t>年</w:t>
      </w:r>
      <w:r>
        <w:rPr>
          <w:rFonts w:hint="eastAsia" w:ascii="仿宋" w:hAnsi="仿宋" w:eastAsia="仿宋" w:cs="仿宋"/>
          <w:sz w:val="24"/>
          <w:szCs w:val="32"/>
          <w:lang w:val="en-US" w:eastAsia="zh-CN"/>
        </w:rPr>
        <w:t xml:space="preserve">  </w:t>
      </w:r>
      <w:r>
        <w:rPr>
          <w:rFonts w:hint="eastAsia" w:ascii="仿宋" w:hAnsi="仿宋" w:eastAsia="仿宋" w:cs="仿宋"/>
          <w:sz w:val="24"/>
          <w:szCs w:val="32"/>
        </w:rPr>
        <w:t>月  日</w:t>
      </w:r>
    </w:p>
    <w:p w14:paraId="5D09B9E6">
      <w:pPr>
        <w:ind w:firstLine="480"/>
        <w:rPr>
          <w:rFonts w:hint="eastAsia" w:ascii="仿宋" w:hAnsi="仿宋" w:eastAsia="仿宋" w:cs="仿宋"/>
          <w:sz w:val="24"/>
          <w:szCs w:val="32"/>
        </w:rPr>
      </w:pPr>
    </w:p>
    <w:p w14:paraId="22551E39">
      <w:pPr>
        <w:ind w:firstLine="480"/>
        <w:rPr>
          <w:rFonts w:hint="eastAsia" w:ascii="仿宋" w:hAnsi="仿宋" w:eastAsia="仿宋" w:cs="仿宋"/>
          <w:sz w:val="24"/>
          <w:szCs w:val="32"/>
        </w:rPr>
      </w:pPr>
    </w:p>
    <w:p w14:paraId="5DBE4F7B">
      <w:pPr>
        <w:pStyle w:val="9"/>
        <w:rPr>
          <w:rFonts w:hint="eastAsia"/>
        </w:rPr>
      </w:pPr>
    </w:p>
    <w:p w14:paraId="16512770">
      <w:pPr>
        <w:pStyle w:val="9"/>
        <w:ind w:firstLine="482"/>
        <w:rPr>
          <w:rFonts w:hint="eastAsia" w:ascii="仿宋" w:hAnsi="仿宋" w:eastAsia="仿宋"/>
          <w:b/>
          <w:bCs/>
          <w:sz w:val="28"/>
        </w:rPr>
      </w:pPr>
      <w:r>
        <w:rPr>
          <w:rFonts w:hint="eastAsia" w:ascii="仿宋" w:hAnsi="仿宋" w:eastAsia="仿宋" w:cs="仿宋"/>
          <w:b/>
          <w:kern w:val="0"/>
          <w:sz w:val="24"/>
          <w:szCs w:val="32"/>
        </w:rPr>
        <w:t>注：供应商自行打印该踏勘证明，完善信息并盖章。踏勘现场时带到现场由</w:t>
      </w:r>
      <w:r>
        <w:rPr>
          <w:rFonts w:hint="eastAsia" w:ascii="仿宋" w:hAnsi="仿宋" w:eastAsia="仿宋" w:cs="仿宋"/>
          <w:b/>
          <w:kern w:val="0"/>
          <w:sz w:val="24"/>
          <w:szCs w:val="32"/>
          <w:lang w:val="en-US" w:eastAsia="zh-CN"/>
        </w:rPr>
        <w:t>现场负责人</w:t>
      </w:r>
      <w:r>
        <w:rPr>
          <w:rFonts w:hint="eastAsia" w:ascii="仿宋" w:hAnsi="仿宋" w:eastAsia="仿宋" w:cs="仿宋"/>
          <w:b/>
          <w:kern w:val="0"/>
          <w:sz w:val="24"/>
          <w:szCs w:val="32"/>
        </w:rPr>
        <w:t>签字或盖章，原件胶装于响应文件正本中。</w:t>
      </w:r>
      <w:r>
        <w:rPr>
          <w:rFonts w:hint="eastAsia" w:ascii="仿宋" w:hAnsi="仿宋" w:eastAsia="仿宋"/>
          <w:b/>
          <w:bCs/>
          <w:sz w:val="28"/>
        </w:rPr>
        <w:br w:type="page"/>
      </w:r>
    </w:p>
    <w:p w14:paraId="56A6EBFD">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6" w:name="_Toc353881012"/>
      <w:bookmarkStart w:id="17" w:name="_Toc25811"/>
      <w:bookmarkStart w:id="18" w:name="_Toc639004"/>
      <w:bookmarkStart w:id="19" w:name="_Toc212369550"/>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6"/>
      <w:bookmarkEnd w:id="17"/>
      <w:bookmarkEnd w:id="18"/>
      <w:bookmarkEnd w:id="19"/>
    </w:p>
    <w:p w14:paraId="6E4810B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w:t>
      </w:r>
      <w:r>
        <w:rPr>
          <w:rFonts w:hint="eastAsia" w:ascii="宋体" w:hAnsi="宋体" w:cs="Times New Roman"/>
          <w:color w:val="000000"/>
          <w:sz w:val="24"/>
          <w:szCs w:val="24"/>
          <w:lang w:eastAsia="zh-CN"/>
        </w:rPr>
        <w:t>中国重汽集团</w:t>
      </w:r>
      <w:r>
        <w:rPr>
          <w:rFonts w:hint="eastAsia" w:ascii="宋体" w:hAnsi="宋体" w:cs="Times New Roman"/>
          <w:color w:val="000000"/>
          <w:sz w:val="24"/>
          <w:szCs w:val="24"/>
          <w:lang w:val="en-US" w:eastAsia="zh-CN"/>
        </w:rPr>
        <w:t>济南动力有限公司</w:t>
      </w:r>
      <w:r>
        <w:rPr>
          <w:rFonts w:hint="eastAsia" w:ascii="宋体" w:hAnsi="宋体" w:eastAsia="宋体" w:cs="Times New Roman"/>
          <w:color w:val="000000"/>
          <w:sz w:val="24"/>
          <w:szCs w:val="24"/>
        </w:rPr>
        <w:t>：</w:t>
      </w:r>
    </w:p>
    <w:p w14:paraId="4295EF46">
      <w:pPr>
        <w:spacing w:line="360" w:lineRule="auto"/>
        <w:ind w:firstLine="480" w:firstLineChars="200"/>
        <w:rPr>
          <w:rFonts w:hint="eastAsia" w:ascii="宋体" w:hAnsi="宋体" w:eastAsia="宋体" w:cs="Times New Roman"/>
          <w:color w:val="000000"/>
          <w:sz w:val="24"/>
          <w:szCs w:val="24"/>
          <w:lang w:eastAsia="zh-CN"/>
        </w:rPr>
      </w:pPr>
      <w:r>
        <w:rPr>
          <w:rFonts w:hint="eastAsia" w:ascii="宋体" w:hAnsi="宋体" w:eastAsia="宋体" w:cs="Times New Roman"/>
          <w:color w:val="000000"/>
          <w:sz w:val="24"/>
          <w:szCs w:val="24"/>
        </w:rPr>
        <w:t>根据贵方</w:t>
      </w:r>
      <w:r>
        <w:rPr>
          <w:rFonts w:hint="eastAsia" w:ascii="宋体" w:hAnsi="宋体" w:cs="宋体"/>
          <w:b/>
          <w:bCs/>
          <w:sz w:val="24"/>
          <w:szCs w:val="24"/>
          <w:highlight w:val="none"/>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bCs/>
          <w:snapToGrid w:val="0"/>
          <w:color w:val="000000"/>
          <w:kern w:val="0"/>
          <w:sz w:val="24"/>
          <w:szCs w:val="24"/>
          <w:lang w:eastAsia="zh-CN"/>
        </w:rPr>
        <w:t>，</w:t>
      </w:r>
      <w:r>
        <w:rPr>
          <w:rFonts w:hint="eastAsia" w:ascii="宋体" w:hAnsi="宋体" w:cs="Times New Roman"/>
          <w:bCs/>
          <w:snapToGrid w:val="0"/>
          <w:color w:val="000000"/>
          <w:kern w:val="0"/>
          <w:sz w:val="24"/>
          <w:szCs w:val="24"/>
          <w:u w:val="single"/>
          <w:lang w:val="en-US" w:eastAsia="zh-CN"/>
        </w:rPr>
        <w:t xml:space="preserve">    </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提交投标文件：资质证明文件、商务文件和技术文件</w:t>
      </w:r>
      <w:r>
        <w:rPr>
          <w:rFonts w:hint="eastAsia" w:ascii="宋体" w:hAnsi="宋体" w:eastAsia="宋体" w:cs="Times New Roman"/>
          <w:color w:val="000000"/>
          <w:sz w:val="24"/>
          <w:szCs w:val="24"/>
          <w:lang w:eastAsia="zh-CN"/>
        </w:rPr>
        <w:t>。</w:t>
      </w:r>
    </w:p>
    <w:p w14:paraId="471EB92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2DEF39A6">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D2EEC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480640A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7046ACF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1761ED67">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29630F8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7F4C498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35031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0496EBF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339A2CF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5E3B7A8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43CDA59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5B9FF45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685795E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3B9632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82FE251">
      <w:pPr>
        <w:rPr>
          <w:rFonts w:ascii="黑体" w:hAnsi="Calibri" w:eastAsia="黑体" w:cs="Times New Roman"/>
          <w:color w:val="000000"/>
          <w:sz w:val="24"/>
          <w:szCs w:val="24"/>
        </w:rPr>
      </w:pPr>
    </w:p>
    <w:p w14:paraId="7CADBD8E">
      <w:pPr>
        <w:pStyle w:val="25"/>
        <w:rPr>
          <w:rFonts w:ascii="黑体" w:hAnsi="Calibri" w:eastAsia="黑体" w:cs="Times New Roman"/>
          <w:color w:val="000000"/>
          <w:sz w:val="24"/>
          <w:szCs w:val="24"/>
        </w:rPr>
      </w:pPr>
    </w:p>
    <w:p w14:paraId="4CA7A370">
      <w:pPr>
        <w:pStyle w:val="25"/>
        <w:rPr>
          <w:rFonts w:ascii="黑体" w:hAnsi="Calibri" w:eastAsia="黑体" w:cs="Times New Roman"/>
          <w:color w:val="000000"/>
          <w:sz w:val="24"/>
          <w:szCs w:val="24"/>
        </w:rPr>
      </w:pPr>
    </w:p>
    <w:p w14:paraId="28AE6C52">
      <w:pPr>
        <w:pStyle w:val="25"/>
        <w:rPr>
          <w:rFonts w:ascii="黑体" w:hAnsi="Calibri" w:eastAsia="黑体" w:cs="Times New Roman"/>
          <w:color w:val="000000"/>
          <w:sz w:val="24"/>
          <w:szCs w:val="24"/>
        </w:rPr>
      </w:pPr>
    </w:p>
    <w:p w14:paraId="44A19F45">
      <w:pPr>
        <w:pStyle w:val="25"/>
        <w:rPr>
          <w:rFonts w:ascii="黑体" w:hAnsi="Calibri" w:eastAsia="黑体" w:cs="Times New Roman"/>
          <w:color w:val="000000"/>
          <w:sz w:val="24"/>
          <w:szCs w:val="24"/>
        </w:rPr>
      </w:pPr>
    </w:p>
    <w:p w14:paraId="7F655D9A">
      <w:pPr>
        <w:rPr>
          <w:rFonts w:ascii="黑体" w:hAnsi="Calibri" w:eastAsia="黑体" w:cs="Times New Roman"/>
          <w:color w:val="000000"/>
          <w:sz w:val="24"/>
          <w:szCs w:val="24"/>
        </w:rPr>
      </w:pPr>
    </w:p>
    <w:p w14:paraId="3C93828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0D1A60D8">
      <w:pPr>
        <w:adjustRightInd w:val="0"/>
        <w:snapToGrid w:val="0"/>
        <w:spacing w:before="93" w:beforeLines="30" w:line="240" w:lineRule="exact"/>
        <w:jc w:val="center"/>
        <w:rPr>
          <w:rFonts w:ascii="宋体" w:hAnsi="Calibri" w:eastAsia="宋体" w:cs="Times New Roman"/>
          <w:sz w:val="24"/>
          <w:szCs w:val="20"/>
        </w:rPr>
      </w:pPr>
    </w:p>
    <w:p w14:paraId="430A164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cs="宋体"/>
          <w:b/>
          <w:bCs/>
          <w:sz w:val="24"/>
          <w:szCs w:val="24"/>
          <w:highlight w:val="none"/>
          <w:u w:val="single"/>
          <w:lang w:val="en-US" w:eastAsia="zh-CN"/>
        </w:rPr>
        <w:t>豪沃客车园区消防泵房维修项目</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24430C2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8"/>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4D6BED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57E4DF9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sz w:val="24"/>
                <w:szCs w:val="20"/>
              </w:rPr>
              <w:t>正反面）</w:t>
            </w:r>
          </w:p>
          <w:p w14:paraId="23DC1A65">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5B7E48C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114C084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72159C3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67C91A2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62450F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35E602C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365BA077">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36DB774">
      <w:pPr>
        <w:rPr>
          <w:rFonts w:ascii="Calibri" w:hAnsi="Calibri" w:eastAsia="黑体" w:cs="Times New Roman"/>
          <w:b/>
          <w:bCs/>
          <w:color w:val="000000"/>
          <w:sz w:val="28"/>
          <w:szCs w:val="20"/>
        </w:rPr>
      </w:pPr>
    </w:p>
    <w:p w14:paraId="6E561798">
      <w:pPr>
        <w:pStyle w:val="25"/>
        <w:rPr>
          <w:rFonts w:ascii="Calibri" w:hAnsi="Calibri" w:eastAsia="黑体" w:cs="Times New Roman"/>
          <w:b/>
          <w:bCs/>
          <w:color w:val="000000"/>
          <w:sz w:val="28"/>
          <w:szCs w:val="20"/>
        </w:rPr>
        <w:sectPr>
          <w:footerReference r:id="rId5" w:type="first"/>
          <w:headerReference r:id="rId3" w:type="default"/>
          <w:footerReference r:id="rId4" w:type="default"/>
          <w:pgSz w:w="11906" w:h="16838"/>
          <w:pgMar w:top="1588" w:right="1418" w:bottom="1134" w:left="1418" w:header="851" w:footer="992" w:gutter="0"/>
          <w:cols w:space="720" w:num="1"/>
          <w:titlePg/>
          <w:docGrid w:type="lines" w:linePitch="312" w:charSpace="0"/>
        </w:sectPr>
      </w:pPr>
    </w:p>
    <w:p w14:paraId="396A5D81">
      <w:pPr>
        <w:keepNext/>
        <w:keepLines/>
        <w:outlineLvl w:val="2"/>
        <w:rPr>
          <w:rFonts w:hint="eastAsia" w:ascii="宋体" w:hAnsi="宋体" w:eastAsia="宋体" w:cs="宋体"/>
          <w:b w:val="0"/>
          <w:bCs w:val="0"/>
          <w:spacing w:val="-9"/>
          <w:sz w:val="24"/>
          <w:szCs w:val="24"/>
          <w14:textOutline w14:w="4356" w14:cap="flat" w14:cmpd="sng">
            <w14:solidFill>
              <w14:srgbClr w14:val="000000"/>
            </w14:solidFill>
            <w14:prstDash w14:val="solid"/>
            <w14:miter w14:val="0"/>
          </w14:textOutline>
        </w:rPr>
      </w:pPr>
      <w:r>
        <w:rPr>
          <w:rFonts w:hint="eastAsia" w:ascii="宋体" w:hAnsi="宋体" w:eastAsia="宋体" w:cs="宋体"/>
          <w:b w:val="0"/>
          <w:bCs w:val="0"/>
          <w:spacing w:val="-17"/>
          <w:sz w:val="24"/>
          <w:szCs w:val="24"/>
          <w14:textOutline w14:w="4356" w14:cap="sq" w14:cmpd="sng">
            <w14:solidFill>
              <w14:srgbClr w14:val="000000"/>
            </w14:solidFill>
            <w14:prstDash w14:val="solid"/>
            <w14:bevel/>
          </w14:textOutline>
        </w:rPr>
        <w:t>附</w:t>
      </w:r>
      <w:r>
        <w:rPr>
          <w:rFonts w:hint="eastAsia" w:ascii="宋体" w:hAnsi="宋体" w:eastAsia="宋体" w:cs="宋体"/>
          <w:b w:val="0"/>
          <w:bCs w:val="0"/>
          <w:spacing w:val="-14"/>
          <w:sz w:val="24"/>
          <w:szCs w:val="24"/>
          <w14:textOutline w14:w="4356" w14:cap="sq" w14:cmpd="sng">
            <w14:solidFill>
              <w14:srgbClr w14:val="000000"/>
            </w14:solidFill>
            <w14:prstDash w14:val="solid"/>
            <w14:bevel/>
          </w14:textOutline>
        </w:rPr>
        <w:t>件</w:t>
      </w:r>
      <w:r>
        <w:rPr>
          <w:rFonts w:hint="eastAsia" w:ascii="宋体" w:hAnsi="宋体" w:eastAsia="宋体" w:cs="宋体"/>
          <w:b w:val="0"/>
          <w:bCs w:val="0"/>
          <w:spacing w:val="-17"/>
          <w:sz w:val="24"/>
          <w:szCs w:val="24"/>
          <w14:textOutline w14:w="4356" w14:cap="sq" w14:cmpd="sng">
            <w14:solidFill>
              <w14:srgbClr w14:val="000000"/>
            </w14:solidFill>
            <w14:prstDash w14:val="solid"/>
            <w14:bevel/>
          </w14:textOutline>
        </w:rPr>
        <w:t xml:space="preserve">3 </w:t>
      </w:r>
      <w:r>
        <w:rPr>
          <w:rFonts w:hint="eastAsia" w:ascii="宋体" w:hAnsi="宋体" w:eastAsia="宋体" w:cs="宋体"/>
          <w:b w:val="0"/>
          <w:bCs w:val="0"/>
          <w:spacing w:val="15"/>
          <w:position w:val="3"/>
          <w:sz w:val="24"/>
          <w:szCs w:val="24"/>
          <w14:textOutline w14:w="4356" w14:cap="sq" w14:cmpd="sng">
            <w14:solidFill>
              <w14:srgbClr w14:val="000000"/>
            </w14:solidFill>
            <w14:prstDash w14:val="solid"/>
            <w14:bevel/>
          </w14:textOutline>
        </w:rPr>
        <w:t>投</w:t>
      </w:r>
      <w:r>
        <w:rPr>
          <w:rFonts w:hint="eastAsia" w:ascii="宋体" w:hAnsi="宋体" w:eastAsia="宋体" w:cs="宋体"/>
          <w:b w:val="0"/>
          <w:bCs w:val="0"/>
          <w:spacing w:val="8"/>
          <w:position w:val="3"/>
          <w:sz w:val="24"/>
          <w:szCs w:val="24"/>
          <w14:textOutline w14:w="4356" w14:cap="sq" w14:cmpd="sng">
            <w14:solidFill>
              <w14:srgbClr w14:val="000000"/>
            </w14:solidFill>
            <w14:prstDash w14:val="solid"/>
            <w14:bevel/>
          </w14:textOutline>
        </w:rPr>
        <w:t>标人基本情况及</w:t>
      </w:r>
      <w:r>
        <w:rPr>
          <w:rFonts w:hint="eastAsia" w:ascii="宋体" w:hAnsi="宋体" w:eastAsia="宋体" w:cs="宋体"/>
          <w:b w:val="0"/>
          <w:bCs w:val="0"/>
          <w:spacing w:val="8"/>
          <w:sz w:val="24"/>
          <w:szCs w:val="24"/>
          <w14:textOutline w14:w="4356" w14:cap="sq" w14:cmpd="sng">
            <w14:solidFill>
              <w14:srgbClr w14:val="000000"/>
            </w14:solidFill>
            <w14:prstDash w14:val="solid"/>
            <w14:bevel/>
          </w14:textOutline>
        </w:rPr>
        <w:t>资产情况汇总</w:t>
      </w:r>
      <w:r>
        <w:rPr>
          <w:rFonts w:hint="eastAsia" w:ascii="宋体" w:hAnsi="宋体" w:eastAsia="宋体" w:cs="宋体"/>
          <w:b w:val="0"/>
          <w:bCs w:val="0"/>
          <w:spacing w:val="7"/>
          <w:sz w:val="24"/>
          <w:szCs w:val="24"/>
          <w14:textOutline w14:w="4356" w14:cap="sq" w14:cmpd="sng">
            <w14:solidFill>
              <w14:srgbClr w14:val="000000"/>
            </w14:solidFill>
            <w14:prstDash w14:val="solid"/>
            <w14:bevel/>
          </w14:textOutline>
        </w:rPr>
        <w:t>表</w:t>
      </w:r>
    </w:p>
    <w:p w14:paraId="0144CA54">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232"/>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4DE003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1" w:hRule="atLeast"/>
        </w:trPr>
        <w:tc>
          <w:tcPr>
            <w:tcW w:w="1956" w:type="dxa"/>
          </w:tcPr>
          <w:p w14:paraId="467A997E">
            <w:pPr>
              <w:pStyle w:val="231"/>
              <w:spacing w:before="114"/>
              <w:ind w:left="720"/>
            </w:pPr>
            <w:r>
              <w:t xml:space="preserve">企业名称 </w:t>
            </w:r>
          </w:p>
        </w:tc>
        <w:tc>
          <w:tcPr>
            <w:tcW w:w="4680" w:type="dxa"/>
            <w:gridSpan w:val="4"/>
            <w:vAlign w:val="center"/>
          </w:tcPr>
          <w:p w14:paraId="095B8201">
            <w:pPr>
              <w:widowControl/>
              <w:jc w:val="center"/>
              <w:textAlignment w:val="center"/>
              <w:rPr>
                <w:rFonts w:ascii="宋体" w:hAnsi="宋体" w:eastAsia="宋体" w:cs="宋体"/>
                <w:color w:val="000000"/>
              </w:rPr>
            </w:pPr>
          </w:p>
        </w:tc>
        <w:tc>
          <w:tcPr>
            <w:tcW w:w="1310" w:type="dxa"/>
          </w:tcPr>
          <w:p w14:paraId="57DCA48F">
            <w:pPr>
              <w:pStyle w:val="231"/>
              <w:spacing w:before="106"/>
              <w:ind w:left="154" w:right="26"/>
              <w:jc w:val="center"/>
              <w:rPr>
                <w:color w:val="000000"/>
              </w:rPr>
            </w:pPr>
            <w:r>
              <w:rPr>
                <w:color w:val="000000"/>
              </w:rPr>
              <w:t xml:space="preserve">联系人 </w:t>
            </w:r>
          </w:p>
        </w:tc>
        <w:tc>
          <w:tcPr>
            <w:tcW w:w="1510" w:type="dxa"/>
            <w:vAlign w:val="center"/>
          </w:tcPr>
          <w:p w14:paraId="4819903C">
            <w:pPr>
              <w:widowControl/>
              <w:jc w:val="center"/>
              <w:textAlignment w:val="center"/>
              <w:rPr>
                <w:rFonts w:ascii="宋体" w:hAnsi="宋体" w:eastAsia="宋体" w:cs="宋体"/>
                <w:color w:val="000000"/>
                <w:szCs w:val="21"/>
              </w:rPr>
            </w:pPr>
          </w:p>
        </w:tc>
      </w:tr>
      <w:tr w14:paraId="54F0B9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1A13248D">
            <w:pPr>
              <w:pStyle w:val="231"/>
              <w:spacing w:before="114"/>
              <w:ind w:left="720"/>
            </w:pPr>
            <w:r>
              <w:t xml:space="preserve">企业地址 </w:t>
            </w:r>
          </w:p>
        </w:tc>
        <w:tc>
          <w:tcPr>
            <w:tcW w:w="4680" w:type="dxa"/>
            <w:gridSpan w:val="4"/>
            <w:vAlign w:val="center"/>
          </w:tcPr>
          <w:p w14:paraId="4009A84D">
            <w:pPr>
              <w:widowControl/>
              <w:jc w:val="center"/>
              <w:textAlignment w:val="center"/>
              <w:rPr>
                <w:rFonts w:ascii="宋体" w:hAnsi="宋体" w:eastAsia="宋体" w:cs="宋体"/>
                <w:color w:val="000000"/>
              </w:rPr>
            </w:pPr>
          </w:p>
        </w:tc>
        <w:tc>
          <w:tcPr>
            <w:tcW w:w="1310" w:type="dxa"/>
          </w:tcPr>
          <w:p w14:paraId="0BA48AC5">
            <w:pPr>
              <w:pStyle w:val="231"/>
              <w:spacing w:before="106"/>
              <w:ind w:left="154" w:right="26"/>
              <w:jc w:val="center"/>
              <w:rPr>
                <w:color w:val="000000"/>
              </w:rPr>
            </w:pPr>
            <w:r>
              <w:rPr>
                <w:color w:val="000000"/>
              </w:rPr>
              <w:t xml:space="preserve">联系人电话 </w:t>
            </w:r>
          </w:p>
        </w:tc>
        <w:tc>
          <w:tcPr>
            <w:tcW w:w="1510" w:type="dxa"/>
            <w:vAlign w:val="center"/>
          </w:tcPr>
          <w:p w14:paraId="7E3EEDA2">
            <w:pPr>
              <w:widowControl/>
              <w:jc w:val="center"/>
              <w:textAlignment w:val="center"/>
              <w:rPr>
                <w:rFonts w:ascii="宋体" w:hAnsi="宋体" w:eastAsia="宋体" w:cs="宋体"/>
                <w:color w:val="000000"/>
                <w:szCs w:val="21"/>
              </w:rPr>
            </w:pPr>
          </w:p>
        </w:tc>
      </w:tr>
      <w:tr w14:paraId="16B4E5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4551FB39">
            <w:pPr>
              <w:pStyle w:val="231"/>
              <w:spacing w:before="111"/>
              <w:ind w:left="720"/>
            </w:pPr>
            <w:r>
              <w:t xml:space="preserve">企业性质 </w:t>
            </w:r>
          </w:p>
        </w:tc>
        <w:tc>
          <w:tcPr>
            <w:tcW w:w="4680" w:type="dxa"/>
            <w:gridSpan w:val="4"/>
            <w:vAlign w:val="center"/>
          </w:tcPr>
          <w:p w14:paraId="5B648FE9">
            <w:pPr>
              <w:widowControl/>
              <w:jc w:val="center"/>
              <w:textAlignment w:val="center"/>
              <w:rPr>
                <w:rFonts w:ascii="宋体" w:hAnsi="宋体" w:eastAsia="宋体" w:cs="宋体"/>
                <w:color w:val="000000"/>
              </w:rPr>
            </w:pPr>
          </w:p>
        </w:tc>
        <w:tc>
          <w:tcPr>
            <w:tcW w:w="1310" w:type="dxa"/>
          </w:tcPr>
          <w:p w14:paraId="022012E2">
            <w:pPr>
              <w:pStyle w:val="231"/>
              <w:spacing w:before="103"/>
              <w:ind w:left="154" w:right="26"/>
              <w:jc w:val="center"/>
              <w:rPr>
                <w:color w:val="000000"/>
              </w:rPr>
            </w:pPr>
            <w:r>
              <w:rPr>
                <w:rFonts w:hint="eastAsia"/>
                <w:color w:val="000000"/>
              </w:rPr>
              <w:t>注册时间</w:t>
            </w:r>
            <w:r>
              <w:rPr>
                <w:color w:val="000000"/>
              </w:rPr>
              <w:t xml:space="preserve"> </w:t>
            </w:r>
          </w:p>
        </w:tc>
        <w:tc>
          <w:tcPr>
            <w:tcW w:w="1510" w:type="dxa"/>
            <w:vAlign w:val="center"/>
          </w:tcPr>
          <w:p w14:paraId="3FA7830C">
            <w:pPr>
              <w:widowControl/>
              <w:jc w:val="center"/>
              <w:textAlignment w:val="center"/>
              <w:rPr>
                <w:rFonts w:ascii="宋体" w:hAnsi="宋体" w:eastAsia="宋体" w:cs="宋体"/>
                <w:color w:val="000000"/>
                <w:szCs w:val="21"/>
              </w:rPr>
            </w:pPr>
          </w:p>
        </w:tc>
      </w:tr>
      <w:tr w14:paraId="7E91A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17C1A7A9">
            <w:pPr>
              <w:pStyle w:val="231"/>
              <w:spacing w:before="111"/>
              <w:ind w:left="509"/>
              <w:rPr>
                <w:highlight w:val="yellow"/>
              </w:rPr>
            </w:pPr>
            <w:r>
              <w:t xml:space="preserve">企业法人代表  </w:t>
            </w:r>
          </w:p>
        </w:tc>
        <w:tc>
          <w:tcPr>
            <w:tcW w:w="4680" w:type="dxa"/>
            <w:gridSpan w:val="4"/>
          </w:tcPr>
          <w:p w14:paraId="4B5F8599">
            <w:pPr>
              <w:pStyle w:val="6"/>
              <w:keepNext w:val="0"/>
              <w:keepLines w:val="0"/>
              <w:widowControl/>
              <w:shd w:val="clear" w:color="auto" w:fill="FFFFFF"/>
              <w:spacing w:before="0" w:after="0" w:line="450" w:lineRule="atLeast"/>
              <w:rPr>
                <w:rFonts w:ascii="宋体" w:hAnsi="宋体" w:cs="宋体"/>
                <w:color w:val="000000"/>
              </w:rPr>
            </w:pPr>
          </w:p>
        </w:tc>
        <w:tc>
          <w:tcPr>
            <w:tcW w:w="1310" w:type="dxa"/>
          </w:tcPr>
          <w:p w14:paraId="6D04B196">
            <w:pPr>
              <w:pStyle w:val="231"/>
              <w:spacing w:before="103"/>
              <w:ind w:right="26"/>
              <w:jc w:val="center"/>
              <w:rPr>
                <w:color w:val="000000"/>
              </w:rPr>
            </w:pPr>
            <w:r>
              <w:rPr>
                <w:color w:val="000000"/>
              </w:rPr>
              <w:t>企业资质</w:t>
            </w:r>
          </w:p>
        </w:tc>
        <w:tc>
          <w:tcPr>
            <w:tcW w:w="1510" w:type="dxa"/>
            <w:vAlign w:val="center"/>
          </w:tcPr>
          <w:p w14:paraId="475B8BC0">
            <w:pPr>
              <w:widowControl/>
              <w:jc w:val="center"/>
              <w:textAlignment w:val="center"/>
              <w:rPr>
                <w:rFonts w:ascii="宋体" w:hAnsi="宋体" w:eastAsia="宋体" w:cs="宋体"/>
                <w:color w:val="000000"/>
                <w:szCs w:val="21"/>
              </w:rPr>
            </w:pPr>
          </w:p>
        </w:tc>
      </w:tr>
      <w:tr w14:paraId="55A7F6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619303D">
            <w:pPr>
              <w:pStyle w:val="231"/>
              <w:spacing w:before="114"/>
              <w:ind w:left="720"/>
            </w:pPr>
            <w:r>
              <w:t xml:space="preserve">品牌区分 </w:t>
            </w:r>
          </w:p>
        </w:tc>
        <w:tc>
          <w:tcPr>
            <w:tcW w:w="7500" w:type="dxa"/>
            <w:gridSpan w:val="6"/>
          </w:tcPr>
          <w:p w14:paraId="3BAE0FF2">
            <w:pPr>
              <w:pStyle w:val="231"/>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1E4532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D05C8BF">
            <w:pPr>
              <w:pStyle w:val="231"/>
              <w:spacing w:before="178"/>
              <w:ind w:left="720"/>
            </w:pPr>
            <w:r>
              <w:t xml:space="preserve">品牌名称 </w:t>
            </w:r>
          </w:p>
        </w:tc>
        <w:tc>
          <w:tcPr>
            <w:tcW w:w="3583" w:type="dxa"/>
            <w:gridSpan w:val="3"/>
            <w:vAlign w:val="center"/>
          </w:tcPr>
          <w:p w14:paraId="454E744B">
            <w:pPr>
              <w:widowControl/>
              <w:rPr>
                <w:rFonts w:ascii="宋体" w:hAnsi="宋体" w:eastAsia="仿宋_GB2312"/>
                <w:kern w:val="0"/>
                <w:szCs w:val="21"/>
              </w:rPr>
            </w:pPr>
          </w:p>
        </w:tc>
        <w:tc>
          <w:tcPr>
            <w:tcW w:w="1097" w:type="dxa"/>
          </w:tcPr>
          <w:p w14:paraId="089ADBEF">
            <w:pPr>
              <w:pStyle w:val="231"/>
              <w:spacing w:before="15"/>
              <w:ind w:left="279"/>
            </w:pPr>
            <w:r>
              <w:rPr>
                <w:spacing w:val="-2"/>
              </w:rPr>
              <w:t>质量</w:t>
            </w:r>
            <w:r>
              <w:t xml:space="preserve"> </w:t>
            </w:r>
          </w:p>
          <w:p w14:paraId="38F7D920">
            <w:pPr>
              <w:pStyle w:val="231"/>
              <w:spacing w:before="30" w:line="277" w:lineRule="exact"/>
              <w:ind w:left="279"/>
            </w:pPr>
            <w:r>
              <w:rPr>
                <w:rFonts w:hint="eastAsia"/>
              </w:rPr>
              <w:t>体系</w:t>
            </w:r>
          </w:p>
        </w:tc>
        <w:tc>
          <w:tcPr>
            <w:tcW w:w="2820" w:type="dxa"/>
            <w:gridSpan w:val="2"/>
          </w:tcPr>
          <w:p w14:paraId="53E9DAB1">
            <w:pPr>
              <w:pStyle w:val="231"/>
              <w:spacing w:before="158"/>
              <w:jc w:val="center"/>
              <w:rPr>
                <w:sz w:val="24"/>
              </w:rPr>
            </w:pPr>
          </w:p>
        </w:tc>
      </w:tr>
      <w:tr w14:paraId="335D32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0063BA57">
            <w:pPr>
              <w:pStyle w:val="231"/>
              <w:spacing w:before="149"/>
              <w:ind w:left="3345" w:right="3223"/>
              <w:jc w:val="center"/>
            </w:pPr>
            <w:r>
              <w:rPr>
                <w:rFonts w:hint="eastAsia"/>
                <w:szCs w:val="21"/>
              </w:rPr>
              <w:t>单位概况</w:t>
            </w:r>
          </w:p>
        </w:tc>
      </w:tr>
      <w:tr w14:paraId="6ECE50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1A7F5E61">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516C369F">
            <w:pPr>
              <w:widowControl/>
              <w:textAlignment w:val="center"/>
              <w:rPr>
                <w:rFonts w:ascii="宋体" w:hAnsi="宋体" w:eastAsia="宋体" w:cs="宋体"/>
                <w:szCs w:val="21"/>
              </w:rPr>
            </w:pPr>
          </w:p>
        </w:tc>
        <w:tc>
          <w:tcPr>
            <w:tcW w:w="1530" w:type="dxa"/>
            <w:vAlign w:val="center"/>
          </w:tcPr>
          <w:p w14:paraId="4DE1BDA9">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590EE67E">
            <w:pPr>
              <w:widowControl/>
              <w:jc w:val="center"/>
              <w:textAlignment w:val="center"/>
              <w:rPr>
                <w:rFonts w:ascii="宋体" w:hAnsi="宋体" w:eastAsia="宋体" w:cs="宋体"/>
                <w:szCs w:val="21"/>
              </w:rPr>
            </w:pPr>
          </w:p>
        </w:tc>
        <w:tc>
          <w:tcPr>
            <w:tcW w:w="1097" w:type="dxa"/>
            <w:vAlign w:val="center"/>
          </w:tcPr>
          <w:p w14:paraId="7957444F">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4637678A">
            <w:pPr>
              <w:widowControl/>
              <w:jc w:val="center"/>
              <w:textAlignment w:val="center"/>
              <w:rPr>
                <w:rFonts w:ascii="宋体" w:hAnsi="宋体" w:eastAsia="宋体" w:cs="宋体"/>
                <w:szCs w:val="21"/>
              </w:rPr>
            </w:pPr>
          </w:p>
        </w:tc>
      </w:tr>
      <w:tr w14:paraId="45DD2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2A1B389F">
            <w:pPr>
              <w:widowControl/>
              <w:jc w:val="center"/>
              <w:textAlignment w:val="center"/>
              <w:rPr>
                <w:rFonts w:ascii="宋体" w:hAnsi="宋体" w:eastAsia="宋体" w:cs="宋体"/>
                <w:szCs w:val="21"/>
              </w:rPr>
            </w:pPr>
            <w:r>
              <w:rPr>
                <w:rFonts w:hint="eastAsia" w:ascii="宋体" w:hAnsi="宋体" w:eastAsia="宋体" w:cs="宋体"/>
                <w:kern w:val="0"/>
                <w:szCs w:val="21"/>
              </w:rPr>
              <w:t>企业优势、关键产品特点</w:t>
            </w:r>
          </w:p>
        </w:tc>
        <w:tc>
          <w:tcPr>
            <w:tcW w:w="7500" w:type="dxa"/>
            <w:gridSpan w:val="6"/>
            <w:vAlign w:val="center"/>
          </w:tcPr>
          <w:p w14:paraId="0DDABFCC">
            <w:pPr>
              <w:widowControl/>
              <w:jc w:val="left"/>
              <w:rPr>
                <w:rFonts w:ascii="宋体" w:hAnsi="宋体" w:eastAsia="宋体" w:cs="宋体"/>
                <w:szCs w:val="21"/>
              </w:rPr>
            </w:pPr>
            <w:r>
              <w:rPr>
                <w:rFonts w:hint="eastAsia" w:ascii="宋体" w:hAnsi="宋体" w:eastAsia="宋体" w:cs="宋体"/>
                <w:kern w:val="0"/>
                <w:szCs w:val="21"/>
              </w:rPr>
              <w:t>　</w:t>
            </w:r>
          </w:p>
        </w:tc>
      </w:tr>
      <w:tr w14:paraId="14197E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60569FD2">
            <w:pPr>
              <w:widowControl/>
              <w:jc w:val="center"/>
              <w:textAlignment w:val="center"/>
              <w:rPr>
                <w:rFonts w:ascii="宋体" w:hAnsi="宋体" w:eastAsia="宋体" w:cs="宋体"/>
                <w:szCs w:val="21"/>
              </w:rPr>
            </w:pPr>
            <w:r>
              <w:rPr>
                <w:rFonts w:hint="eastAsia" w:ascii="宋体" w:hAnsi="宋体" w:eastAsia="宋体" w:cs="宋体"/>
                <w:color w:val="000000"/>
                <w:kern w:val="0"/>
                <w:szCs w:val="21"/>
              </w:rPr>
              <w:t>企业行业水平及行业口碑</w:t>
            </w:r>
          </w:p>
        </w:tc>
        <w:tc>
          <w:tcPr>
            <w:tcW w:w="7500" w:type="dxa"/>
            <w:gridSpan w:val="6"/>
            <w:vAlign w:val="center"/>
          </w:tcPr>
          <w:p w14:paraId="2D9B58CA">
            <w:pPr>
              <w:widowControl/>
              <w:jc w:val="left"/>
              <w:rPr>
                <w:rFonts w:ascii="宋体" w:hAnsi="宋体" w:eastAsia="宋体" w:cs="宋体"/>
                <w:szCs w:val="21"/>
              </w:rPr>
            </w:pPr>
            <w:r>
              <w:rPr>
                <w:rFonts w:hint="eastAsia" w:ascii="宋体" w:hAnsi="宋体" w:eastAsia="宋体" w:cs="宋体"/>
                <w:kern w:val="0"/>
                <w:szCs w:val="21"/>
              </w:rPr>
              <w:t>　</w:t>
            </w:r>
          </w:p>
        </w:tc>
      </w:tr>
      <w:tr w14:paraId="0FE723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1B730ABC">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1C36C38C">
            <w:pPr>
              <w:widowControl/>
              <w:jc w:val="left"/>
              <w:rPr>
                <w:rFonts w:ascii="宋体" w:hAnsi="宋体" w:eastAsia="宋体" w:cs="宋体"/>
                <w:szCs w:val="21"/>
              </w:rPr>
            </w:pPr>
            <w:r>
              <w:rPr>
                <w:rFonts w:hint="eastAsia" w:ascii="宋体" w:hAnsi="宋体" w:eastAsia="宋体" w:cs="宋体"/>
                <w:kern w:val="0"/>
                <w:szCs w:val="21"/>
              </w:rPr>
              <w:t>　</w:t>
            </w:r>
          </w:p>
        </w:tc>
      </w:tr>
      <w:tr w14:paraId="27D5C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5E0FED42">
            <w:pPr>
              <w:widowControl/>
              <w:jc w:val="center"/>
              <w:textAlignment w:val="center"/>
              <w:rPr>
                <w:rFonts w:ascii="宋体" w:hAnsi="宋体" w:eastAsia="宋体" w:cs="宋体"/>
                <w:szCs w:val="21"/>
              </w:rPr>
            </w:pPr>
            <w:r>
              <w:rPr>
                <w:rFonts w:hint="eastAsia" w:ascii="宋体" w:hAnsi="宋体" w:eastAsia="宋体" w:cs="宋体"/>
                <w:kern w:val="0"/>
                <w:szCs w:val="21"/>
              </w:rPr>
              <w:t>近三或五年企业类似业绩及履约情况</w:t>
            </w:r>
          </w:p>
        </w:tc>
        <w:tc>
          <w:tcPr>
            <w:tcW w:w="7500" w:type="dxa"/>
            <w:gridSpan w:val="6"/>
            <w:vAlign w:val="center"/>
          </w:tcPr>
          <w:p w14:paraId="37D8D7C4">
            <w:pPr>
              <w:widowControl/>
              <w:jc w:val="left"/>
              <w:rPr>
                <w:rFonts w:ascii="宋体" w:hAnsi="宋体" w:eastAsia="宋体" w:cs="宋体"/>
                <w:szCs w:val="21"/>
              </w:rPr>
            </w:pPr>
            <w:r>
              <w:rPr>
                <w:rFonts w:hint="eastAsia" w:ascii="宋体" w:hAnsi="宋体" w:eastAsia="宋体" w:cs="宋体"/>
                <w:kern w:val="0"/>
                <w:szCs w:val="21"/>
              </w:rPr>
              <w:t>　</w:t>
            </w:r>
          </w:p>
        </w:tc>
      </w:tr>
      <w:tr w14:paraId="65BFB2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62E87F0">
            <w:pPr>
              <w:widowControl/>
              <w:jc w:val="center"/>
              <w:textAlignment w:val="center"/>
              <w:rPr>
                <w:rFonts w:ascii="宋体" w:hAnsi="宋体" w:eastAsia="宋体" w:cs="宋体"/>
                <w:szCs w:val="21"/>
              </w:rPr>
            </w:pPr>
            <w:r>
              <w:rPr>
                <w:rFonts w:hint="eastAsia" w:ascii="宋体" w:hAnsi="宋体" w:eastAsia="宋体" w:cs="宋体"/>
                <w:kern w:val="0"/>
                <w:szCs w:val="21"/>
              </w:rPr>
              <w:t>售后服务及质量</w:t>
            </w:r>
          </w:p>
        </w:tc>
        <w:tc>
          <w:tcPr>
            <w:tcW w:w="7500" w:type="dxa"/>
            <w:gridSpan w:val="6"/>
            <w:vAlign w:val="center"/>
          </w:tcPr>
          <w:p w14:paraId="2F1DFF56">
            <w:pPr>
              <w:widowControl/>
              <w:jc w:val="left"/>
              <w:rPr>
                <w:rFonts w:ascii="宋体" w:hAnsi="宋体" w:eastAsia="宋体" w:cs="宋体"/>
                <w:szCs w:val="21"/>
              </w:rPr>
            </w:pPr>
            <w:r>
              <w:rPr>
                <w:rFonts w:hint="eastAsia" w:ascii="宋体" w:hAnsi="宋体" w:eastAsia="宋体" w:cs="宋体"/>
                <w:kern w:val="0"/>
                <w:szCs w:val="21"/>
              </w:rPr>
              <w:t>　</w:t>
            </w:r>
          </w:p>
        </w:tc>
      </w:tr>
      <w:tr w14:paraId="451609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21206BEF">
            <w:pPr>
              <w:widowControl/>
              <w:textAlignment w:val="center"/>
              <w:rPr>
                <w:rFonts w:ascii="宋体" w:hAnsi="宋体" w:eastAsia="宋体" w:cs="宋体"/>
                <w:kern w:val="0"/>
                <w:szCs w:val="21"/>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4107F0DC">
            <w:pPr>
              <w:widowControl/>
              <w:jc w:val="left"/>
              <w:rPr>
                <w:rFonts w:ascii="宋体" w:hAnsi="宋体" w:eastAsia="宋体" w:cs="宋体"/>
                <w:kern w:val="0"/>
                <w:szCs w:val="21"/>
              </w:rPr>
            </w:pPr>
          </w:p>
        </w:tc>
      </w:tr>
    </w:tbl>
    <w:p w14:paraId="108F8C63">
      <w:pPr>
        <w:pStyle w:val="25"/>
        <w:rPr>
          <w:rFonts w:ascii="Times New Roman" w:hAnsi="Times New Roman" w:eastAsia="宋体" w:cs="Times New Roman"/>
          <w:b/>
          <w:bCs/>
          <w:color w:val="000000"/>
          <w:sz w:val="24"/>
          <w:szCs w:val="24"/>
        </w:rPr>
      </w:pPr>
    </w:p>
    <w:p w14:paraId="37100778">
      <w:pPr>
        <w:pStyle w:val="25"/>
        <w:rPr>
          <w:rFonts w:ascii="Times New Roman" w:hAnsi="Times New Roman" w:eastAsia="宋体" w:cs="Times New Roman"/>
          <w:b/>
          <w:bCs/>
          <w:color w:val="000000"/>
          <w:sz w:val="24"/>
          <w:szCs w:val="24"/>
        </w:rPr>
      </w:pPr>
    </w:p>
    <w:p w14:paraId="39756F36">
      <w:pPr>
        <w:pStyle w:val="25"/>
        <w:rPr>
          <w:rFonts w:ascii="Times New Roman" w:hAnsi="Times New Roman" w:eastAsia="宋体" w:cs="Times New Roman"/>
          <w:b/>
          <w:bCs/>
          <w:color w:val="000000"/>
          <w:sz w:val="24"/>
          <w:szCs w:val="24"/>
        </w:rPr>
      </w:pPr>
    </w:p>
    <w:p w14:paraId="73D8D3DE">
      <w:pPr>
        <w:pStyle w:val="25"/>
        <w:rPr>
          <w:rFonts w:ascii="Times New Roman" w:hAnsi="Times New Roman" w:eastAsia="宋体" w:cs="Times New Roman"/>
          <w:b/>
          <w:bCs/>
          <w:color w:val="000000"/>
          <w:sz w:val="24"/>
          <w:szCs w:val="24"/>
        </w:rPr>
      </w:pPr>
    </w:p>
    <w:p w14:paraId="527F4C72">
      <w:pPr>
        <w:pStyle w:val="25"/>
        <w:rPr>
          <w:rFonts w:ascii="Times New Roman" w:hAnsi="Times New Roman" w:eastAsia="宋体" w:cs="Times New Roman"/>
          <w:b/>
          <w:bCs/>
          <w:color w:val="000000"/>
          <w:sz w:val="24"/>
          <w:szCs w:val="24"/>
        </w:rPr>
      </w:pPr>
    </w:p>
    <w:p w14:paraId="792B9788">
      <w:pPr>
        <w:pStyle w:val="25"/>
        <w:rPr>
          <w:rFonts w:ascii="Times New Roman" w:hAnsi="Times New Roman" w:eastAsia="宋体" w:cs="Times New Roman"/>
          <w:b/>
          <w:bCs/>
          <w:color w:val="000000"/>
          <w:sz w:val="24"/>
          <w:szCs w:val="24"/>
        </w:rPr>
      </w:pPr>
    </w:p>
    <w:p w14:paraId="54D6387F">
      <w:pPr>
        <w:pStyle w:val="25"/>
        <w:outlineLvl w:val="3"/>
        <w:rPr>
          <w:rFonts w:hint="eastAsia"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solidFill>
              <w14:srgbClr w14:val="000000"/>
            </w14:solidFill>
            <w14:prstDash w14:val="solid"/>
            <w14:miter w14:val="0"/>
          </w14:textOutline>
        </w:rPr>
        <w:t>2</w:t>
      </w:r>
      <w:r>
        <w:rPr>
          <w:rFonts w:hint="eastAsia" w:hAnsi="宋体" w:eastAsia="宋体" w:cs="宋体"/>
          <w:spacing w:val="-7"/>
          <w:sz w:val="24"/>
          <w:szCs w:val="24"/>
          <w14:textOutline w14:w="4356" w14:cap="flat" w14:cmpd="sng">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14935736">
      <w:pPr>
        <w:pStyle w:val="25"/>
        <w:outlineLvl w:val="3"/>
        <w:rPr>
          <w:rFonts w:hint="eastAsia" w:ascii="Times New Roman" w:hAnsi="Times New Roman" w:eastAsia="宋体" w:cs="Times New Roman"/>
          <w:b/>
          <w:bCs/>
          <w:color w:val="000000"/>
          <w:sz w:val="24"/>
          <w:szCs w:val="24"/>
        </w:rPr>
      </w:pPr>
    </w:p>
    <w:tbl>
      <w:tblPr>
        <w:tblStyle w:val="4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2928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36F67D10">
            <w:pPr>
              <w:spacing w:line="440" w:lineRule="exact"/>
              <w:jc w:val="center"/>
              <w:rPr>
                <w:rFonts w:ascii="宋体" w:hAnsi="宋体"/>
                <w:szCs w:val="24"/>
                <w:highlight w:val="none"/>
              </w:rPr>
            </w:pPr>
            <w:r>
              <w:rPr>
                <w:rFonts w:ascii="宋体" w:hAnsi="宋体" w:eastAsia="宋体"/>
                <w:color w:val="000000"/>
                <w:sz w:val="24"/>
                <w:szCs w:val="24"/>
                <w:highlight w:val="none"/>
                <w:u w:val="single"/>
              </w:rPr>
              <w:t xml:space="preserve">                   </w:t>
            </w:r>
            <w:r>
              <w:rPr>
                <w:rFonts w:hint="eastAsia" w:ascii="宋体" w:hAnsi="宋体" w:eastAsia="宋体"/>
                <w:color w:val="000000"/>
                <w:sz w:val="24"/>
                <w:szCs w:val="24"/>
                <w:highlight w:val="none"/>
              </w:rPr>
              <w:t>公司资产情况汇总表</w:t>
            </w:r>
          </w:p>
        </w:tc>
      </w:tr>
      <w:tr w14:paraId="727B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3AD9074">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注册资金（万元）</w:t>
            </w:r>
          </w:p>
        </w:tc>
        <w:tc>
          <w:tcPr>
            <w:tcW w:w="3865" w:type="dxa"/>
            <w:gridSpan w:val="3"/>
          </w:tcPr>
          <w:p w14:paraId="048B63AC">
            <w:pPr>
              <w:spacing w:line="440" w:lineRule="exact"/>
              <w:jc w:val="center"/>
              <w:rPr>
                <w:rFonts w:ascii="宋体" w:hAnsi="宋体"/>
                <w:color w:val="000000"/>
                <w:sz w:val="24"/>
                <w:szCs w:val="24"/>
                <w:highlight w:val="none"/>
              </w:rPr>
            </w:pPr>
          </w:p>
        </w:tc>
      </w:tr>
      <w:tr w14:paraId="1271D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5083AC6">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实收资金（万元）</w:t>
            </w:r>
          </w:p>
        </w:tc>
        <w:tc>
          <w:tcPr>
            <w:tcW w:w="3865" w:type="dxa"/>
            <w:gridSpan w:val="3"/>
          </w:tcPr>
          <w:p w14:paraId="27C3827E">
            <w:pPr>
              <w:spacing w:line="440" w:lineRule="exact"/>
              <w:jc w:val="center"/>
              <w:rPr>
                <w:rFonts w:ascii="宋体" w:hAnsi="宋体"/>
                <w:color w:val="000000"/>
                <w:sz w:val="24"/>
                <w:szCs w:val="24"/>
                <w:highlight w:val="none"/>
              </w:rPr>
            </w:pPr>
          </w:p>
        </w:tc>
      </w:tr>
      <w:tr w14:paraId="4390B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450AE9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年度资产情况</w:t>
            </w:r>
          </w:p>
        </w:tc>
        <w:tc>
          <w:tcPr>
            <w:tcW w:w="1287" w:type="dxa"/>
            <w:vAlign w:val="center"/>
          </w:tcPr>
          <w:p w14:paraId="164720DD">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2</w:t>
            </w:r>
            <w:r>
              <w:rPr>
                <w:rFonts w:hint="eastAsia" w:ascii="宋体" w:hAnsi="宋体" w:eastAsia="宋体"/>
                <w:color w:val="000000"/>
                <w:sz w:val="24"/>
                <w:szCs w:val="24"/>
                <w:highlight w:val="none"/>
              </w:rPr>
              <w:t>年</w:t>
            </w:r>
          </w:p>
        </w:tc>
        <w:tc>
          <w:tcPr>
            <w:tcW w:w="1288" w:type="dxa"/>
            <w:vAlign w:val="center"/>
          </w:tcPr>
          <w:p w14:paraId="41C48CB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3</w:t>
            </w:r>
            <w:r>
              <w:rPr>
                <w:rFonts w:hint="eastAsia" w:ascii="宋体" w:hAnsi="宋体" w:eastAsia="宋体"/>
                <w:color w:val="000000"/>
                <w:sz w:val="24"/>
                <w:szCs w:val="24"/>
                <w:highlight w:val="none"/>
              </w:rPr>
              <w:t>年</w:t>
            </w:r>
          </w:p>
        </w:tc>
        <w:tc>
          <w:tcPr>
            <w:tcW w:w="1288" w:type="dxa"/>
            <w:vAlign w:val="center"/>
          </w:tcPr>
          <w:p w14:paraId="2C57E8F5">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4</w:t>
            </w:r>
            <w:r>
              <w:rPr>
                <w:rFonts w:hint="eastAsia" w:ascii="宋体" w:hAnsi="宋体" w:eastAsia="宋体"/>
                <w:color w:val="000000"/>
                <w:sz w:val="24"/>
                <w:szCs w:val="24"/>
                <w:highlight w:val="none"/>
              </w:rPr>
              <w:t>年</w:t>
            </w:r>
          </w:p>
        </w:tc>
      </w:tr>
      <w:tr w14:paraId="08B3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2ED956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流动资产（万元）</w:t>
            </w:r>
          </w:p>
        </w:tc>
        <w:tc>
          <w:tcPr>
            <w:tcW w:w="1287" w:type="dxa"/>
          </w:tcPr>
          <w:p w14:paraId="0F8980BD">
            <w:pPr>
              <w:spacing w:line="440" w:lineRule="exact"/>
              <w:jc w:val="center"/>
              <w:rPr>
                <w:rFonts w:ascii="宋体" w:hAnsi="宋体"/>
                <w:color w:val="000000"/>
                <w:sz w:val="24"/>
                <w:szCs w:val="24"/>
                <w:highlight w:val="none"/>
              </w:rPr>
            </w:pPr>
          </w:p>
        </w:tc>
        <w:tc>
          <w:tcPr>
            <w:tcW w:w="1288" w:type="dxa"/>
          </w:tcPr>
          <w:p w14:paraId="291C90DA">
            <w:pPr>
              <w:spacing w:line="440" w:lineRule="exact"/>
              <w:jc w:val="center"/>
              <w:rPr>
                <w:rFonts w:ascii="宋体" w:hAnsi="宋体"/>
                <w:color w:val="000000"/>
                <w:sz w:val="24"/>
                <w:szCs w:val="24"/>
                <w:highlight w:val="none"/>
              </w:rPr>
            </w:pPr>
          </w:p>
        </w:tc>
        <w:tc>
          <w:tcPr>
            <w:tcW w:w="1288" w:type="dxa"/>
          </w:tcPr>
          <w:p w14:paraId="47EDCBE5">
            <w:pPr>
              <w:spacing w:line="440" w:lineRule="exact"/>
              <w:jc w:val="center"/>
              <w:rPr>
                <w:rFonts w:ascii="宋体" w:hAnsi="宋体"/>
                <w:color w:val="000000"/>
                <w:sz w:val="24"/>
                <w:szCs w:val="24"/>
                <w:highlight w:val="none"/>
              </w:rPr>
            </w:pPr>
          </w:p>
        </w:tc>
      </w:tr>
      <w:tr w14:paraId="7D7D4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700FF47">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非流动资产（万元）</w:t>
            </w:r>
          </w:p>
        </w:tc>
        <w:tc>
          <w:tcPr>
            <w:tcW w:w="1287" w:type="dxa"/>
          </w:tcPr>
          <w:p w14:paraId="7C4E3409">
            <w:pPr>
              <w:spacing w:line="440" w:lineRule="exact"/>
              <w:jc w:val="center"/>
              <w:rPr>
                <w:rFonts w:ascii="宋体" w:hAnsi="宋体"/>
                <w:color w:val="000000"/>
                <w:sz w:val="24"/>
                <w:szCs w:val="24"/>
                <w:highlight w:val="none"/>
              </w:rPr>
            </w:pPr>
          </w:p>
        </w:tc>
        <w:tc>
          <w:tcPr>
            <w:tcW w:w="1288" w:type="dxa"/>
          </w:tcPr>
          <w:p w14:paraId="5F2F372D">
            <w:pPr>
              <w:spacing w:line="440" w:lineRule="exact"/>
              <w:jc w:val="center"/>
              <w:rPr>
                <w:rFonts w:ascii="宋体" w:hAnsi="宋体"/>
                <w:color w:val="000000"/>
                <w:sz w:val="24"/>
                <w:szCs w:val="24"/>
                <w:highlight w:val="none"/>
              </w:rPr>
            </w:pPr>
          </w:p>
        </w:tc>
        <w:tc>
          <w:tcPr>
            <w:tcW w:w="1288" w:type="dxa"/>
          </w:tcPr>
          <w:p w14:paraId="3164A792">
            <w:pPr>
              <w:spacing w:line="440" w:lineRule="exact"/>
              <w:jc w:val="center"/>
              <w:rPr>
                <w:rFonts w:ascii="宋体" w:hAnsi="宋体"/>
                <w:color w:val="000000"/>
                <w:sz w:val="24"/>
                <w:szCs w:val="24"/>
                <w:highlight w:val="none"/>
              </w:rPr>
            </w:pPr>
          </w:p>
        </w:tc>
      </w:tr>
      <w:tr w14:paraId="3784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A170FD2">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营业收入（万元）</w:t>
            </w:r>
          </w:p>
        </w:tc>
        <w:tc>
          <w:tcPr>
            <w:tcW w:w="1287" w:type="dxa"/>
          </w:tcPr>
          <w:p w14:paraId="71C6D2C3">
            <w:pPr>
              <w:spacing w:line="440" w:lineRule="exact"/>
              <w:jc w:val="center"/>
              <w:rPr>
                <w:rFonts w:ascii="宋体" w:hAnsi="宋体"/>
                <w:color w:val="000000"/>
                <w:sz w:val="24"/>
                <w:szCs w:val="24"/>
                <w:highlight w:val="none"/>
              </w:rPr>
            </w:pPr>
          </w:p>
        </w:tc>
        <w:tc>
          <w:tcPr>
            <w:tcW w:w="1288" w:type="dxa"/>
          </w:tcPr>
          <w:p w14:paraId="73907D1F">
            <w:pPr>
              <w:spacing w:line="440" w:lineRule="exact"/>
              <w:jc w:val="center"/>
              <w:rPr>
                <w:rFonts w:ascii="宋体" w:hAnsi="宋体"/>
                <w:color w:val="000000"/>
                <w:sz w:val="24"/>
                <w:szCs w:val="24"/>
                <w:highlight w:val="none"/>
              </w:rPr>
            </w:pPr>
          </w:p>
        </w:tc>
        <w:tc>
          <w:tcPr>
            <w:tcW w:w="1288" w:type="dxa"/>
          </w:tcPr>
          <w:p w14:paraId="091CF8E3">
            <w:pPr>
              <w:spacing w:line="440" w:lineRule="exact"/>
              <w:jc w:val="center"/>
              <w:rPr>
                <w:rFonts w:ascii="宋体" w:hAnsi="宋体"/>
                <w:color w:val="000000"/>
                <w:sz w:val="24"/>
                <w:szCs w:val="24"/>
                <w:highlight w:val="none"/>
              </w:rPr>
            </w:pPr>
          </w:p>
        </w:tc>
      </w:tr>
      <w:tr w14:paraId="4294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FE782A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年底资产总值（万元）</w:t>
            </w:r>
          </w:p>
        </w:tc>
        <w:tc>
          <w:tcPr>
            <w:tcW w:w="1287" w:type="dxa"/>
          </w:tcPr>
          <w:p w14:paraId="6F8CAB6A">
            <w:pPr>
              <w:spacing w:line="440" w:lineRule="exact"/>
              <w:jc w:val="center"/>
              <w:rPr>
                <w:rFonts w:ascii="宋体" w:hAnsi="宋体"/>
                <w:color w:val="000000"/>
                <w:sz w:val="24"/>
                <w:szCs w:val="24"/>
                <w:highlight w:val="none"/>
              </w:rPr>
            </w:pPr>
          </w:p>
        </w:tc>
        <w:tc>
          <w:tcPr>
            <w:tcW w:w="1288" w:type="dxa"/>
          </w:tcPr>
          <w:p w14:paraId="029904DC">
            <w:pPr>
              <w:spacing w:line="440" w:lineRule="exact"/>
              <w:jc w:val="center"/>
              <w:rPr>
                <w:rFonts w:ascii="宋体" w:hAnsi="宋体"/>
                <w:color w:val="000000"/>
                <w:sz w:val="24"/>
                <w:szCs w:val="24"/>
                <w:highlight w:val="none"/>
              </w:rPr>
            </w:pPr>
          </w:p>
        </w:tc>
        <w:tc>
          <w:tcPr>
            <w:tcW w:w="1288" w:type="dxa"/>
          </w:tcPr>
          <w:p w14:paraId="435C2F6F">
            <w:pPr>
              <w:spacing w:line="440" w:lineRule="exact"/>
              <w:jc w:val="center"/>
              <w:rPr>
                <w:rFonts w:ascii="宋体" w:hAnsi="宋体"/>
                <w:color w:val="000000"/>
                <w:sz w:val="24"/>
                <w:szCs w:val="24"/>
                <w:highlight w:val="none"/>
              </w:rPr>
            </w:pPr>
          </w:p>
        </w:tc>
      </w:tr>
      <w:tr w14:paraId="078DE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64E1D90">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年底负债总值（万元）</w:t>
            </w:r>
          </w:p>
        </w:tc>
        <w:tc>
          <w:tcPr>
            <w:tcW w:w="1287" w:type="dxa"/>
          </w:tcPr>
          <w:p w14:paraId="0DD10C49">
            <w:pPr>
              <w:spacing w:line="440" w:lineRule="exact"/>
              <w:jc w:val="center"/>
              <w:rPr>
                <w:rFonts w:ascii="宋体" w:hAnsi="宋体"/>
                <w:color w:val="000000"/>
                <w:sz w:val="24"/>
                <w:szCs w:val="24"/>
                <w:highlight w:val="none"/>
              </w:rPr>
            </w:pPr>
          </w:p>
        </w:tc>
        <w:tc>
          <w:tcPr>
            <w:tcW w:w="1288" w:type="dxa"/>
          </w:tcPr>
          <w:p w14:paraId="27D1005F">
            <w:pPr>
              <w:spacing w:line="440" w:lineRule="exact"/>
              <w:jc w:val="center"/>
              <w:rPr>
                <w:rFonts w:ascii="宋体" w:hAnsi="宋体"/>
                <w:color w:val="000000"/>
                <w:sz w:val="24"/>
                <w:szCs w:val="24"/>
                <w:highlight w:val="none"/>
              </w:rPr>
            </w:pPr>
          </w:p>
        </w:tc>
        <w:tc>
          <w:tcPr>
            <w:tcW w:w="1288" w:type="dxa"/>
          </w:tcPr>
          <w:p w14:paraId="18080AAA">
            <w:pPr>
              <w:spacing w:line="440" w:lineRule="exact"/>
              <w:jc w:val="center"/>
              <w:rPr>
                <w:rFonts w:ascii="宋体" w:hAnsi="宋体"/>
                <w:color w:val="000000"/>
                <w:sz w:val="24"/>
                <w:szCs w:val="24"/>
                <w:highlight w:val="none"/>
              </w:rPr>
            </w:pPr>
          </w:p>
        </w:tc>
      </w:tr>
      <w:tr w14:paraId="6AE33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8EC0498">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资产负债率</w:t>
            </w:r>
            <w:r>
              <w:rPr>
                <w:rFonts w:hint="eastAsia" w:ascii="宋体" w:hAnsi="宋体" w:eastAsia="宋体"/>
                <w:color w:val="000000"/>
                <w:sz w:val="24"/>
                <w:szCs w:val="24"/>
                <w:highlight w:val="none"/>
              </w:rPr>
              <w:t>（  %）</w:t>
            </w:r>
          </w:p>
        </w:tc>
        <w:tc>
          <w:tcPr>
            <w:tcW w:w="1287" w:type="dxa"/>
          </w:tcPr>
          <w:p w14:paraId="41791BBA">
            <w:pPr>
              <w:spacing w:line="440" w:lineRule="exact"/>
              <w:jc w:val="center"/>
              <w:rPr>
                <w:rFonts w:ascii="宋体" w:hAnsi="宋体"/>
                <w:color w:val="000000"/>
                <w:sz w:val="24"/>
                <w:szCs w:val="24"/>
                <w:highlight w:val="none"/>
              </w:rPr>
            </w:pPr>
          </w:p>
        </w:tc>
        <w:tc>
          <w:tcPr>
            <w:tcW w:w="1288" w:type="dxa"/>
          </w:tcPr>
          <w:p w14:paraId="5E29869C">
            <w:pPr>
              <w:spacing w:line="440" w:lineRule="exact"/>
              <w:jc w:val="center"/>
              <w:rPr>
                <w:rFonts w:ascii="宋体" w:hAnsi="宋体"/>
                <w:color w:val="000000"/>
                <w:sz w:val="24"/>
                <w:szCs w:val="24"/>
                <w:highlight w:val="none"/>
              </w:rPr>
            </w:pPr>
          </w:p>
        </w:tc>
        <w:tc>
          <w:tcPr>
            <w:tcW w:w="1288" w:type="dxa"/>
          </w:tcPr>
          <w:p w14:paraId="7A1DF8EB">
            <w:pPr>
              <w:spacing w:line="440" w:lineRule="exact"/>
              <w:jc w:val="center"/>
              <w:rPr>
                <w:rFonts w:ascii="宋体" w:hAnsi="宋体"/>
                <w:color w:val="000000"/>
                <w:sz w:val="24"/>
                <w:szCs w:val="24"/>
                <w:highlight w:val="none"/>
              </w:rPr>
            </w:pPr>
          </w:p>
        </w:tc>
      </w:tr>
      <w:tr w14:paraId="6A65B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AF268D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净利润（万元）</w:t>
            </w:r>
          </w:p>
        </w:tc>
        <w:tc>
          <w:tcPr>
            <w:tcW w:w="1287" w:type="dxa"/>
          </w:tcPr>
          <w:p w14:paraId="30AD9A83">
            <w:pPr>
              <w:spacing w:line="440" w:lineRule="exact"/>
              <w:jc w:val="center"/>
              <w:rPr>
                <w:rFonts w:ascii="宋体" w:hAnsi="宋体"/>
                <w:color w:val="000000"/>
                <w:sz w:val="24"/>
                <w:szCs w:val="24"/>
                <w:highlight w:val="none"/>
              </w:rPr>
            </w:pPr>
          </w:p>
        </w:tc>
        <w:tc>
          <w:tcPr>
            <w:tcW w:w="1288" w:type="dxa"/>
          </w:tcPr>
          <w:p w14:paraId="0F0D5E39">
            <w:pPr>
              <w:spacing w:line="440" w:lineRule="exact"/>
              <w:jc w:val="center"/>
              <w:rPr>
                <w:rFonts w:ascii="宋体" w:hAnsi="宋体"/>
                <w:color w:val="000000"/>
                <w:sz w:val="24"/>
                <w:szCs w:val="24"/>
                <w:highlight w:val="none"/>
              </w:rPr>
            </w:pPr>
          </w:p>
        </w:tc>
        <w:tc>
          <w:tcPr>
            <w:tcW w:w="1288" w:type="dxa"/>
          </w:tcPr>
          <w:p w14:paraId="0EE460E4">
            <w:pPr>
              <w:spacing w:line="440" w:lineRule="exact"/>
              <w:jc w:val="center"/>
              <w:rPr>
                <w:rFonts w:ascii="宋体" w:hAnsi="宋体"/>
                <w:color w:val="000000"/>
                <w:sz w:val="24"/>
                <w:szCs w:val="24"/>
                <w:highlight w:val="none"/>
              </w:rPr>
            </w:pPr>
          </w:p>
        </w:tc>
      </w:tr>
      <w:tr w14:paraId="0A60F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B14B596">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未分配利润（万元）</w:t>
            </w:r>
          </w:p>
        </w:tc>
        <w:tc>
          <w:tcPr>
            <w:tcW w:w="1287" w:type="dxa"/>
          </w:tcPr>
          <w:p w14:paraId="44871F99">
            <w:pPr>
              <w:spacing w:line="440" w:lineRule="exact"/>
              <w:jc w:val="center"/>
              <w:rPr>
                <w:rFonts w:ascii="宋体" w:hAnsi="宋体"/>
                <w:color w:val="000000"/>
                <w:sz w:val="24"/>
                <w:szCs w:val="24"/>
                <w:highlight w:val="none"/>
              </w:rPr>
            </w:pPr>
          </w:p>
        </w:tc>
        <w:tc>
          <w:tcPr>
            <w:tcW w:w="1288" w:type="dxa"/>
          </w:tcPr>
          <w:p w14:paraId="0ED3FDD6">
            <w:pPr>
              <w:spacing w:line="440" w:lineRule="exact"/>
              <w:jc w:val="center"/>
              <w:rPr>
                <w:rFonts w:ascii="宋体" w:hAnsi="宋体"/>
                <w:color w:val="000000"/>
                <w:sz w:val="24"/>
                <w:szCs w:val="24"/>
                <w:highlight w:val="none"/>
              </w:rPr>
            </w:pPr>
          </w:p>
        </w:tc>
        <w:tc>
          <w:tcPr>
            <w:tcW w:w="1288" w:type="dxa"/>
          </w:tcPr>
          <w:p w14:paraId="75BDB8A1">
            <w:pPr>
              <w:spacing w:line="440" w:lineRule="exact"/>
              <w:jc w:val="center"/>
              <w:rPr>
                <w:rFonts w:ascii="宋体" w:hAnsi="宋体"/>
                <w:color w:val="000000"/>
                <w:sz w:val="24"/>
                <w:szCs w:val="24"/>
                <w:highlight w:val="none"/>
              </w:rPr>
            </w:pPr>
          </w:p>
        </w:tc>
      </w:tr>
      <w:tr w14:paraId="46E3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5652DB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营运</w:t>
            </w:r>
            <w:r>
              <w:rPr>
                <w:rFonts w:ascii="宋体" w:hAnsi="宋体" w:eastAsia="宋体"/>
                <w:color w:val="000000"/>
                <w:sz w:val="24"/>
                <w:szCs w:val="24"/>
                <w:highlight w:val="none"/>
              </w:rPr>
              <w:t>资</w:t>
            </w:r>
            <w:r>
              <w:rPr>
                <w:rFonts w:hint="eastAsia" w:ascii="宋体" w:hAnsi="宋体" w:eastAsia="宋体"/>
                <w:color w:val="000000"/>
                <w:sz w:val="24"/>
                <w:szCs w:val="24"/>
                <w:highlight w:val="none"/>
              </w:rPr>
              <w:t>金</w:t>
            </w:r>
          </w:p>
        </w:tc>
        <w:tc>
          <w:tcPr>
            <w:tcW w:w="1287" w:type="dxa"/>
          </w:tcPr>
          <w:p w14:paraId="5597CEC0">
            <w:pPr>
              <w:spacing w:line="440" w:lineRule="exact"/>
              <w:jc w:val="center"/>
              <w:rPr>
                <w:rFonts w:ascii="宋体" w:hAnsi="宋体"/>
                <w:color w:val="000000"/>
                <w:sz w:val="24"/>
                <w:szCs w:val="24"/>
                <w:highlight w:val="none"/>
              </w:rPr>
            </w:pPr>
          </w:p>
        </w:tc>
        <w:tc>
          <w:tcPr>
            <w:tcW w:w="1288" w:type="dxa"/>
          </w:tcPr>
          <w:p w14:paraId="3BE36C99">
            <w:pPr>
              <w:spacing w:line="440" w:lineRule="exact"/>
              <w:jc w:val="center"/>
              <w:rPr>
                <w:rFonts w:ascii="宋体" w:hAnsi="宋体"/>
                <w:color w:val="000000"/>
                <w:sz w:val="24"/>
                <w:szCs w:val="24"/>
                <w:highlight w:val="none"/>
              </w:rPr>
            </w:pPr>
          </w:p>
        </w:tc>
        <w:tc>
          <w:tcPr>
            <w:tcW w:w="1288" w:type="dxa"/>
          </w:tcPr>
          <w:p w14:paraId="1ECA030C">
            <w:pPr>
              <w:spacing w:line="440" w:lineRule="exact"/>
              <w:jc w:val="center"/>
              <w:rPr>
                <w:rFonts w:ascii="宋体" w:hAnsi="宋体"/>
                <w:color w:val="000000"/>
                <w:sz w:val="24"/>
                <w:szCs w:val="24"/>
                <w:highlight w:val="none"/>
              </w:rPr>
            </w:pPr>
          </w:p>
        </w:tc>
      </w:tr>
      <w:tr w14:paraId="4009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92BE73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（本年营业收入-上年营业收入）÷上年营业收入</w:t>
            </w:r>
          </w:p>
        </w:tc>
        <w:tc>
          <w:tcPr>
            <w:tcW w:w="1287" w:type="dxa"/>
          </w:tcPr>
          <w:p w14:paraId="14521BB3">
            <w:pPr>
              <w:spacing w:line="440" w:lineRule="exact"/>
              <w:jc w:val="center"/>
              <w:rPr>
                <w:rFonts w:ascii="宋体" w:hAnsi="宋体"/>
                <w:color w:val="000000"/>
                <w:sz w:val="24"/>
                <w:szCs w:val="24"/>
                <w:highlight w:val="none"/>
              </w:rPr>
            </w:pPr>
          </w:p>
        </w:tc>
        <w:tc>
          <w:tcPr>
            <w:tcW w:w="1288" w:type="dxa"/>
          </w:tcPr>
          <w:p w14:paraId="2CFD5907">
            <w:pPr>
              <w:spacing w:line="440" w:lineRule="exact"/>
              <w:jc w:val="center"/>
              <w:rPr>
                <w:rFonts w:ascii="宋体" w:hAnsi="宋体"/>
                <w:color w:val="000000"/>
                <w:sz w:val="24"/>
                <w:szCs w:val="24"/>
                <w:highlight w:val="none"/>
              </w:rPr>
            </w:pPr>
          </w:p>
        </w:tc>
        <w:tc>
          <w:tcPr>
            <w:tcW w:w="1288" w:type="dxa"/>
          </w:tcPr>
          <w:p w14:paraId="0E4D2176">
            <w:pPr>
              <w:spacing w:line="440" w:lineRule="exact"/>
              <w:jc w:val="center"/>
              <w:rPr>
                <w:rFonts w:ascii="宋体" w:hAnsi="宋体"/>
                <w:color w:val="000000"/>
                <w:sz w:val="24"/>
                <w:szCs w:val="24"/>
                <w:highlight w:val="none"/>
              </w:rPr>
            </w:pPr>
          </w:p>
        </w:tc>
      </w:tr>
    </w:tbl>
    <w:p w14:paraId="31D18E00">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4DAB8C93">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64188AE">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9057203">
      <w:pPr>
        <w:rPr>
          <w:rFonts w:ascii="宋体" w:hAnsi="Calibri" w:eastAsia="宋体" w:cs="宋体"/>
          <w:b/>
          <w:bCs/>
          <w:color w:val="000000"/>
          <w:sz w:val="28"/>
          <w:szCs w:val="20"/>
        </w:rPr>
        <w:sectPr>
          <w:footerReference r:id="rId7" w:type="first"/>
          <w:footerReference r:id="rId6" w:type="default"/>
          <w:pgSz w:w="11906" w:h="16838"/>
          <w:pgMar w:top="1588" w:right="1418" w:bottom="1134" w:left="1418" w:header="851" w:footer="992" w:gutter="0"/>
          <w:cols w:space="720" w:num="1"/>
          <w:titlePg/>
          <w:docGrid w:type="lines" w:linePitch="312" w:charSpace="0"/>
        </w:sectPr>
      </w:pPr>
    </w:p>
    <w:p w14:paraId="153D75E7">
      <w:pPr>
        <w:pStyle w:val="4"/>
        <w:numPr>
          <w:ilvl w:val="0"/>
          <w:numId w:val="0"/>
        </w:numPr>
        <w:adjustRightInd w:val="0"/>
        <w:snapToGrid w:val="0"/>
        <w:spacing w:before="0" w:after="0" w:line="540" w:lineRule="exact"/>
        <w:jc w:val="center"/>
        <w:rPr>
          <w:rFonts w:hint="eastAsia" w:ascii="仿宋" w:hAnsi="仿宋" w:eastAsia="仿宋"/>
          <w:sz w:val="40"/>
        </w:rPr>
      </w:pPr>
      <w:r>
        <w:rPr>
          <w:rFonts w:hint="eastAsia" w:ascii="仿宋" w:hAnsi="仿宋" w:eastAsia="仿宋"/>
          <w:sz w:val="40"/>
          <w:lang w:val="en-US" w:eastAsia="zh-CN"/>
        </w:rPr>
        <w:t>商务</w:t>
      </w:r>
      <w:r>
        <w:rPr>
          <w:rFonts w:hint="eastAsia" w:ascii="仿宋" w:hAnsi="仿宋" w:eastAsia="仿宋"/>
          <w:sz w:val="40"/>
        </w:rPr>
        <w:t>要求</w:t>
      </w:r>
    </w:p>
    <w:p w14:paraId="041AF2B1"/>
    <w:p w14:paraId="6E03E88B">
      <w:pPr>
        <w:adjustRightInd w:val="0"/>
        <w:snapToGrid w:val="0"/>
        <w:spacing w:line="540" w:lineRule="exact"/>
        <w:jc w:val="center"/>
        <w:rPr>
          <w:rFonts w:hint="eastAsia" w:ascii="仿宋" w:hAnsi="仿宋" w:eastAsia="仿宋"/>
          <w:b/>
          <w:sz w:val="40"/>
          <w:szCs w:val="44"/>
        </w:rPr>
      </w:pPr>
      <w:r>
        <w:rPr>
          <w:rFonts w:hint="eastAsia" w:ascii="仿宋" w:hAnsi="仿宋" w:eastAsia="仿宋"/>
          <w:b/>
          <w:sz w:val="40"/>
          <w:szCs w:val="44"/>
          <w:lang w:val="en-US" w:eastAsia="zh-CN"/>
        </w:rPr>
        <w:t>开标一览</w:t>
      </w:r>
      <w:r>
        <w:rPr>
          <w:rFonts w:hint="eastAsia" w:ascii="仿宋" w:hAnsi="仿宋" w:eastAsia="仿宋"/>
          <w:b/>
          <w:sz w:val="40"/>
          <w:szCs w:val="44"/>
        </w:rPr>
        <w:t>表</w:t>
      </w:r>
    </w:p>
    <w:p w14:paraId="14D600CD">
      <w:pPr>
        <w:adjustRightInd w:val="0"/>
        <w:snapToGrid w:val="0"/>
        <w:spacing w:line="540" w:lineRule="exact"/>
        <w:ind w:firstLine="480" w:firstLineChars="200"/>
        <w:jc w:val="left"/>
        <w:rPr>
          <w:rFonts w:hint="eastAsia" w:ascii="仿宋" w:hAnsi="仿宋" w:eastAsia="仿宋"/>
          <w:sz w:val="24"/>
          <w:szCs w:val="28"/>
        </w:rPr>
      </w:pPr>
      <w:r>
        <w:rPr>
          <w:rFonts w:hint="eastAsia" w:ascii="仿宋" w:hAnsi="仿宋" w:eastAsia="仿宋"/>
          <w:sz w:val="24"/>
          <w:szCs w:val="28"/>
        </w:rPr>
        <w:t>投标单位</w:t>
      </w:r>
      <w:r>
        <w:rPr>
          <w:rFonts w:ascii="仿宋" w:hAnsi="仿宋" w:eastAsia="仿宋"/>
          <w:sz w:val="24"/>
          <w:szCs w:val="28"/>
        </w:rPr>
        <w:t>(</w:t>
      </w:r>
      <w:r>
        <w:rPr>
          <w:rFonts w:hint="eastAsia" w:ascii="仿宋" w:hAnsi="仿宋" w:eastAsia="仿宋"/>
          <w:sz w:val="24"/>
          <w:szCs w:val="28"/>
        </w:rPr>
        <w:t>章</w:t>
      </w:r>
      <w:r>
        <w:rPr>
          <w:rFonts w:ascii="仿宋" w:hAnsi="仿宋" w:eastAsia="仿宋"/>
          <w:sz w:val="24"/>
          <w:szCs w:val="28"/>
        </w:rPr>
        <w:t>)</w:t>
      </w:r>
      <w:r>
        <w:rPr>
          <w:rFonts w:hint="eastAsia" w:ascii="仿宋" w:hAnsi="仿宋" w:eastAsia="仿宋"/>
          <w:sz w:val="24"/>
          <w:szCs w:val="28"/>
        </w:rPr>
        <w:t>：                                                     项目名称：</w:t>
      </w:r>
      <w:r>
        <w:rPr>
          <w:rFonts w:hint="eastAsia" w:ascii="仿宋" w:hAnsi="仿宋" w:eastAsia="仿宋"/>
          <w:sz w:val="24"/>
          <w:szCs w:val="28"/>
          <w:lang w:val="en-US" w:eastAsia="zh-CN"/>
        </w:rPr>
        <w:t>豪沃客车园区消防泵房维修项目</w:t>
      </w:r>
    </w:p>
    <w:tbl>
      <w:tblPr>
        <w:tblStyle w:val="48"/>
        <w:tblW w:w="15250" w:type="dxa"/>
        <w:tblInd w:w="118" w:type="dxa"/>
        <w:tblLayout w:type="autofit"/>
        <w:tblCellMar>
          <w:top w:w="0" w:type="dxa"/>
          <w:left w:w="108" w:type="dxa"/>
          <w:bottom w:w="0" w:type="dxa"/>
          <w:right w:w="108" w:type="dxa"/>
        </w:tblCellMar>
      </w:tblPr>
      <w:tblGrid>
        <w:gridCol w:w="597"/>
        <w:gridCol w:w="1890"/>
        <w:gridCol w:w="598"/>
        <w:gridCol w:w="598"/>
        <w:gridCol w:w="1303"/>
        <w:gridCol w:w="1303"/>
        <w:gridCol w:w="1304"/>
        <w:gridCol w:w="599"/>
        <w:gridCol w:w="7058"/>
      </w:tblGrid>
      <w:tr w14:paraId="5747AD79">
        <w:tblPrEx>
          <w:tblCellMar>
            <w:top w:w="0" w:type="dxa"/>
            <w:left w:w="108" w:type="dxa"/>
            <w:bottom w:w="0" w:type="dxa"/>
            <w:right w:w="108" w:type="dxa"/>
          </w:tblCellMar>
        </w:tblPrEx>
        <w:trPr>
          <w:gridAfter w:val="1"/>
          <w:wAfter w:w="7049" w:type="dxa"/>
          <w:trHeight w:val="1005" w:hRule="atLeast"/>
        </w:trPr>
        <w:tc>
          <w:tcPr>
            <w:tcW w:w="597" w:type="dxa"/>
            <w:tcBorders>
              <w:top w:val="single" w:color="auto" w:sz="8" w:space="0"/>
              <w:left w:val="single" w:color="auto" w:sz="8" w:space="0"/>
              <w:bottom w:val="single" w:color="auto" w:sz="8" w:space="0"/>
              <w:right w:val="single" w:color="auto" w:sz="8" w:space="0"/>
            </w:tcBorders>
            <w:noWrap w:val="0"/>
            <w:vAlign w:val="center"/>
          </w:tcPr>
          <w:p w14:paraId="776C2D85">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序号</w:t>
            </w:r>
          </w:p>
        </w:tc>
        <w:tc>
          <w:tcPr>
            <w:tcW w:w="1888" w:type="dxa"/>
            <w:tcBorders>
              <w:top w:val="single" w:color="auto" w:sz="8" w:space="0"/>
              <w:left w:val="nil"/>
              <w:bottom w:val="single" w:color="auto" w:sz="8" w:space="0"/>
              <w:right w:val="nil"/>
            </w:tcBorders>
            <w:noWrap w:val="0"/>
            <w:vAlign w:val="center"/>
          </w:tcPr>
          <w:p w14:paraId="598C86C4">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项目名称</w:t>
            </w:r>
          </w:p>
        </w:tc>
        <w:tc>
          <w:tcPr>
            <w:tcW w:w="597" w:type="dxa"/>
            <w:tcBorders>
              <w:top w:val="single" w:color="auto" w:sz="8" w:space="0"/>
              <w:left w:val="single" w:color="auto" w:sz="8" w:space="0"/>
              <w:bottom w:val="single" w:color="auto" w:sz="8" w:space="0"/>
              <w:right w:val="single" w:color="auto" w:sz="8" w:space="0"/>
            </w:tcBorders>
            <w:noWrap w:val="0"/>
            <w:vAlign w:val="center"/>
          </w:tcPr>
          <w:p w14:paraId="6FB1428B">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单位</w:t>
            </w:r>
          </w:p>
        </w:tc>
        <w:tc>
          <w:tcPr>
            <w:tcW w:w="597" w:type="dxa"/>
            <w:tcBorders>
              <w:top w:val="single" w:color="auto" w:sz="8" w:space="0"/>
              <w:left w:val="nil"/>
              <w:bottom w:val="single" w:color="auto" w:sz="8" w:space="0"/>
              <w:right w:val="single" w:color="auto" w:sz="8" w:space="0"/>
            </w:tcBorders>
            <w:noWrap w:val="0"/>
            <w:vAlign w:val="center"/>
          </w:tcPr>
          <w:p w14:paraId="0AC5DA17">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数量</w:t>
            </w:r>
          </w:p>
        </w:tc>
        <w:tc>
          <w:tcPr>
            <w:tcW w:w="1301" w:type="dxa"/>
            <w:tcBorders>
              <w:top w:val="single" w:color="auto" w:sz="8" w:space="0"/>
              <w:left w:val="nil"/>
              <w:bottom w:val="single" w:color="auto" w:sz="8" w:space="0"/>
              <w:right w:val="single" w:color="auto" w:sz="8" w:space="0"/>
            </w:tcBorders>
            <w:noWrap w:val="0"/>
            <w:vAlign w:val="center"/>
          </w:tcPr>
          <w:p w14:paraId="309C89E7">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单价（含税）</w:t>
            </w:r>
          </w:p>
        </w:tc>
        <w:tc>
          <w:tcPr>
            <w:tcW w:w="1301" w:type="dxa"/>
            <w:tcBorders>
              <w:top w:val="single" w:color="auto" w:sz="8" w:space="0"/>
              <w:left w:val="nil"/>
              <w:bottom w:val="single" w:color="auto" w:sz="8" w:space="0"/>
              <w:right w:val="single" w:color="auto" w:sz="8" w:space="0"/>
            </w:tcBorders>
            <w:noWrap w:val="0"/>
            <w:vAlign w:val="center"/>
          </w:tcPr>
          <w:p w14:paraId="28FD60BC">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单价（未税）</w:t>
            </w:r>
          </w:p>
        </w:tc>
        <w:tc>
          <w:tcPr>
            <w:tcW w:w="1302" w:type="dxa"/>
            <w:tcBorders>
              <w:top w:val="single" w:color="auto" w:sz="8" w:space="0"/>
              <w:left w:val="nil"/>
              <w:bottom w:val="single" w:color="auto" w:sz="8" w:space="0"/>
              <w:right w:val="single" w:color="auto" w:sz="8" w:space="0"/>
            </w:tcBorders>
            <w:noWrap w:val="0"/>
            <w:vAlign w:val="center"/>
          </w:tcPr>
          <w:p w14:paraId="54315806">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总价（含税）</w:t>
            </w:r>
          </w:p>
        </w:tc>
        <w:tc>
          <w:tcPr>
            <w:tcW w:w="598" w:type="dxa"/>
            <w:tcBorders>
              <w:top w:val="single" w:color="auto" w:sz="8" w:space="0"/>
              <w:left w:val="nil"/>
              <w:bottom w:val="single" w:color="auto" w:sz="8" w:space="0"/>
              <w:right w:val="single" w:color="auto" w:sz="8" w:space="0"/>
            </w:tcBorders>
            <w:noWrap w:val="0"/>
            <w:vAlign w:val="center"/>
          </w:tcPr>
          <w:p w14:paraId="42A35FCA">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备注</w:t>
            </w:r>
          </w:p>
        </w:tc>
      </w:tr>
      <w:tr w14:paraId="08FAA28F">
        <w:tblPrEx>
          <w:tblCellMar>
            <w:top w:w="0" w:type="dxa"/>
            <w:left w:w="108" w:type="dxa"/>
            <w:bottom w:w="0" w:type="dxa"/>
            <w:right w:w="108" w:type="dxa"/>
          </w:tblCellMar>
        </w:tblPrEx>
        <w:trPr>
          <w:gridAfter w:val="1"/>
          <w:wAfter w:w="7049" w:type="dxa"/>
          <w:trHeight w:val="660" w:hRule="atLeast"/>
        </w:trPr>
        <w:tc>
          <w:tcPr>
            <w:tcW w:w="597" w:type="dxa"/>
            <w:vMerge w:val="restart"/>
            <w:tcBorders>
              <w:top w:val="nil"/>
              <w:left w:val="single" w:color="auto" w:sz="8" w:space="0"/>
              <w:bottom w:val="single" w:color="000000" w:sz="8" w:space="0"/>
              <w:right w:val="single" w:color="auto" w:sz="8" w:space="0"/>
            </w:tcBorders>
            <w:noWrap w:val="0"/>
            <w:vAlign w:val="center"/>
          </w:tcPr>
          <w:p w14:paraId="4F7078C2">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w:t>
            </w:r>
          </w:p>
        </w:tc>
        <w:tc>
          <w:tcPr>
            <w:tcW w:w="1888" w:type="dxa"/>
            <w:vMerge w:val="restart"/>
            <w:tcBorders>
              <w:top w:val="nil"/>
              <w:left w:val="single" w:color="auto" w:sz="8" w:space="0"/>
              <w:bottom w:val="single" w:color="000000" w:sz="8" w:space="0"/>
              <w:right w:val="single" w:color="auto" w:sz="8" w:space="0"/>
            </w:tcBorders>
            <w:noWrap w:val="0"/>
            <w:vAlign w:val="center"/>
          </w:tcPr>
          <w:p w14:paraId="380418BB">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lang w:val="en-US" w:eastAsia="zh-CN"/>
              </w:rPr>
              <w:t>豪沃客车园区消防泵房维修项目</w:t>
            </w:r>
          </w:p>
        </w:tc>
        <w:tc>
          <w:tcPr>
            <w:tcW w:w="597" w:type="dxa"/>
            <w:vMerge w:val="restart"/>
            <w:tcBorders>
              <w:top w:val="nil"/>
              <w:left w:val="single" w:color="auto" w:sz="8" w:space="0"/>
              <w:bottom w:val="single" w:color="000000" w:sz="8" w:space="0"/>
              <w:right w:val="single" w:color="auto" w:sz="8" w:space="0"/>
            </w:tcBorders>
            <w:noWrap w:val="0"/>
            <w:vAlign w:val="center"/>
          </w:tcPr>
          <w:p w14:paraId="34F26392">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项</w:t>
            </w:r>
          </w:p>
        </w:tc>
        <w:tc>
          <w:tcPr>
            <w:tcW w:w="597" w:type="dxa"/>
            <w:vMerge w:val="restart"/>
            <w:tcBorders>
              <w:top w:val="nil"/>
              <w:left w:val="single" w:color="auto" w:sz="8" w:space="0"/>
              <w:bottom w:val="single" w:color="000000" w:sz="8" w:space="0"/>
              <w:right w:val="single" w:color="auto" w:sz="8" w:space="0"/>
            </w:tcBorders>
            <w:noWrap w:val="0"/>
            <w:vAlign w:val="center"/>
          </w:tcPr>
          <w:p w14:paraId="57993FCF">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w:t>
            </w:r>
          </w:p>
        </w:tc>
        <w:tc>
          <w:tcPr>
            <w:tcW w:w="1301" w:type="dxa"/>
            <w:vMerge w:val="restart"/>
            <w:tcBorders>
              <w:top w:val="nil"/>
              <w:left w:val="single" w:color="auto" w:sz="8" w:space="0"/>
              <w:bottom w:val="single" w:color="000000" w:sz="8" w:space="0"/>
              <w:right w:val="single" w:color="auto" w:sz="8" w:space="0"/>
            </w:tcBorders>
            <w:noWrap w:val="0"/>
            <w:vAlign w:val="center"/>
          </w:tcPr>
          <w:p w14:paraId="235B70CB">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　</w:t>
            </w:r>
          </w:p>
        </w:tc>
        <w:tc>
          <w:tcPr>
            <w:tcW w:w="1301" w:type="dxa"/>
            <w:vMerge w:val="restart"/>
            <w:tcBorders>
              <w:top w:val="nil"/>
              <w:left w:val="single" w:color="auto" w:sz="8" w:space="0"/>
              <w:bottom w:val="single" w:color="000000" w:sz="8" w:space="0"/>
              <w:right w:val="single" w:color="auto" w:sz="8" w:space="0"/>
            </w:tcBorders>
            <w:noWrap w:val="0"/>
            <w:vAlign w:val="center"/>
          </w:tcPr>
          <w:p w14:paraId="2351DC13">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　</w:t>
            </w:r>
          </w:p>
        </w:tc>
        <w:tc>
          <w:tcPr>
            <w:tcW w:w="1302" w:type="dxa"/>
            <w:vMerge w:val="restart"/>
            <w:tcBorders>
              <w:top w:val="nil"/>
              <w:left w:val="single" w:color="auto" w:sz="8" w:space="0"/>
              <w:bottom w:val="single" w:color="000000" w:sz="8" w:space="0"/>
              <w:right w:val="single" w:color="auto" w:sz="8" w:space="0"/>
            </w:tcBorders>
            <w:noWrap w:val="0"/>
            <w:vAlign w:val="center"/>
          </w:tcPr>
          <w:p w14:paraId="755AC6D4">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　</w:t>
            </w:r>
          </w:p>
        </w:tc>
        <w:tc>
          <w:tcPr>
            <w:tcW w:w="598" w:type="dxa"/>
            <w:vMerge w:val="restart"/>
            <w:tcBorders>
              <w:top w:val="nil"/>
              <w:left w:val="single" w:color="auto" w:sz="8" w:space="0"/>
              <w:right w:val="single" w:color="auto" w:sz="8" w:space="0"/>
            </w:tcBorders>
            <w:noWrap w:val="0"/>
            <w:vAlign w:val="center"/>
          </w:tcPr>
          <w:p w14:paraId="4370E1AA">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　</w:t>
            </w:r>
          </w:p>
        </w:tc>
      </w:tr>
      <w:tr w14:paraId="5E57442B">
        <w:tblPrEx>
          <w:tblCellMar>
            <w:top w:w="0" w:type="dxa"/>
            <w:left w:w="108" w:type="dxa"/>
            <w:bottom w:w="0" w:type="dxa"/>
            <w:right w:w="108" w:type="dxa"/>
          </w:tblCellMar>
        </w:tblPrEx>
        <w:trPr>
          <w:trHeight w:val="675" w:hRule="atLeast"/>
        </w:trPr>
        <w:tc>
          <w:tcPr>
            <w:tcW w:w="597" w:type="dxa"/>
            <w:vMerge w:val="continue"/>
            <w:tcBorders>
              <w:top w:val="nil"/>
              <w:left w:val="single" w:color="auto" w:sz="8" w:space="0"/>
              <w:bottom w:val="single" w:color="000000" w:sz="8" w:space="0"/>
              <w:right w:val="single" w:color="auto" w:sz="8" w:space="0"/>
            </w:tcBorders>
            <w:noWrap w:val="0"/>
            <w:vAlign w:val="center"/>
          </w:tcPr>
          <w:p w14:paraId="6E2F0F9A">
            <w:pPr>
              <w:widowControl/>
              <w:jc w:val="left"/>
              <w:rPr>
                <w:rFonts w:ascii="仿宋" w:hAnsi="仿宋" w:eastAsia="仿宋" w:cs="宋体"/>
                <w:color w:val="000000"/>
                <w:kern w:val="0"/>
                <w:sz w:val="22"/>
                <w:szCs w:val="22"/>
              </w:rPr>
            </w:pPr>
          </w:p>
        </w:tc>
        <w:tc>
          <w:tcPr>
            <w:tcW w:w="1888" w:type="dxa"/>
            <w:vMerge w:val="continue"/>
            <w:tcBorders>
              <w:top w:val="nil"/>
              <w:left w:val="single" w:color="auto" w:sz="8" w:space="0"/>
              <w:bottom w:val="single" w:color="000000" w:sz="8" w:space="0"/>
              <w:right w:val="single" w:color="auto" w:sz="8" w:space="0"/>
            </w:tcBorders>
            <w:noWrap w:val="0"/>
            <w:vAlign w:val="center"/>
          </w:tcPr>
          <w:p w14:paraId="57AAF2C6">
            <w:pPr>
              <w:widowControl/>
              <w:jc w:val="left"/>
              <w:rPr>
                <w:rFonts w:ascii="仿宋" w:hAnsi="仿宋" w:eastAsia="仿宋" w:cs="宋体"/>
                <w:color w:val="000000"/>
                <w:kern w:val="0"/>
                <w:sz w:val="22"/>
                <w:szCs w:val="22"/>
              </w:rPr>
            </w:pPr>
          </w:p>
        </w:tc>
        <w:tc>
          <w:tcPr>
            <w:tcW w:w="597" w:type="dxa"/>
            <w:vMerge w:val="continue"/>
            <w:tcBorders>
              <w:top w:val="nil"/>
              <w:left w:val="single" w:color="auto" w:sz="8" w:space="0"/>
              <w:bottom w:val="single" w:color="000000" w:sz="8" w:space="0"/>
              <w:right w:val="single" w:color="auto" w:sz="8" w:space="0"/>
            </w:tcBorders>
            <w:noWrap w:val="0"/>
            <w:vAlign w:val="center"/>
          </w:tcPr>
          <w:p w14:paraId="475102A8">
            <w:pPr>
              <w:widowControl/>
              <w:jc w:val="left"/>
              <w:rPr>
                <w:rFonts w:ascii="仿宋" w:hAnsi="仿宋" w:eastAsia="仿宋" w:cs="宋体"/>
                <w:color w:val="000000"/>
                <w:kern w:val="0"/>
                <w:sz w:val="22"/>
                <w:szCs w:val="22"/>
              </w:rPr>
            </w:pPr>
          </w:p>
        </w:tc>
        <w:tc>
          <w:tcPr>
            <w:tcW w:w="597" w:type="dxa"/>
            <w:vMerge w:val="continue"/>
            <w:tcBorders>
              <w:top w:val="nil"/>
              <w:left w:val="single" w:color="auto" w:sz="8" w:space="0"/>
              <w:bottom w:val="single" w:color="000000" w:sz="8" w:space="0"/>
              <w:right w:val="single" w:color="auto" w:sz="8" w:space="0"/>
            </w:tcBorders>
            <w:noWrap w:val="0"/>
            <w:vAlign w:val="center"/>
          </w:tcPr>
          <w:p w14:paraId="1DC6F55D">
            <w:pPr>
              <w:widowControl/>
              <w:jc w:val="left"/>
              <w:rPr>
                <w:rFonts w:ascii="仿宋" w:hAnsi="仿宋" w:eastAsia="仿宋" w:cs="宋体"/>
                <w:color w:val="000000"/>
                <w:kern w:val="0"/>
                <w:sz w:val="22"/>
                <w:szCs w:val="22"/>
              </w:rPr>
            </w:pPr>
          </w:p>
        </w:tc>
        <w:tc>
          <w:tcPr>
            <w:tcW w:w="1301" w:type="dxa"/>
            <w:vMerge w:val="continue"/>
            <w:tcBorders>
              <w:top w:val="nil"/>
              <w:left w:val="single" w:color="auto" w:sz="8" w:space="0"/>
              <w:bottom w:val="single" w:color="000000" w:sz="8" w:space="0"/>
              <w:right w:val="single" w:color="auto" w:sz="8" w:space="0"/>
            </w:tcBorders>
            <w:noWrap w:val="0"/>
            <w:vAlign w:val="center"/>
          </w:tcPr>
          <w:p w14:paraId="521CCB40">
            <w:pPr>
              <w:widowControl/>
              <w:jc w:val="left"/>
              <w:rPr>
                <w:rFonts w:ascii="仿宋" w:hAnsi="仿宋" w:eastAsia="仿宋" w:cs="宋体"/>
                <w:color w:val="000000"/>
                <w:kern w:val="0"/>
                <w:sz w:val="22"/>
                <w:szCs w:val="22"/>
              </w:rPr>
            </w:pPr>
          </w:p>
        </w:tc>
        <w:tc>
          <w:tcPr>
            <w:tcW w:w="1301" w:type="dxa"/>
            <w:vMerge w:val="continue"/>
            <w:tcBorders>
              <w:top w:val="nil"/>
              <w:left w:val="single" w:color="auto" w:sz="8" w:space="0"/>
              <w:bottom w:val="single" w:color="000000" w:sz="8" w:space="0"/>
              <w:right w:val="single" w:color="auto" w:sz="8" w:space="0"/>
            </w:tcBorders>
            <w:noWrap w:val="0"/>
            <w:vAlign w:val="center"/>
          </w:tcPr>
          <w:p w14:paraId="6B476EF2">
            <w:pPr>
              <w:widowControl/>
              <w:jc w:val="left"/>
              <w:rPr>
                <w:rFonts w:ascii="仿宋" w:hAnsi="仿宋" w:eastAsia="仿宋" w:cs="宋体"/>
                <w:color w:val="000000"/>
                <w:kern w:val="0"/>
                <w:sz w:val="22"/>
                <w:szCs w:val="22"/>
              </w:rPr>
            </w:pPr>
          </w:p>
        </w:tc>
        <w:tc>
          <w:tcPr>
            <w:tcW w:w="1302" w:type="dxa"/>
            <w:vMerge w:val="continue"/>
            <w:tcBorders>
              <w:top w:val="nil"/>
              <w:left w:val="single" w:color="auto" w:sz="8" w:space="0"/>
              <w:bottom w:val="single" w:color="000000" w:sz="8" w:space="0"/>
              <w:right w:val="single" w:color="auto" w:sz="8" w:space="0"/>
            </w:tcBorders>
            <w:noWrap w:val="0"/>
            <w:vAlign w:val="center"/>
          </w:tcPr>
          <w:p w14:paraId="09B39280">
            <w:pPr>
              <w:widowControl/>
              <w:jc w:val="left"/>
              <w:rPr>
                <w:rFonts w:ascii="仿宋" w:hAnsi="仿宋" w:eastAsia="仿宋" w:cs="宋体"/>
                <w:color w:val="000000"/>
                <w:kern w:val="0"/>
                <w:sz w:val="22"/>
                <w:szCs w:val="22"/>
              </w:rPr>
            </w:pPr>
          </w:p>
        </w:tc>
        <w:tc>
          <w:tcPr>
            <w:tcW w:w="598" w:type="dxa"/>
            <w:vMerge w:val="continue"/>
            <w:tcBorders>
              <w:left w:val="single" w:color="auto" w:sz="8" w:space="0"/>
              <w:bottom w:val="single" w:color="000000" w:sz="8" w:space="0"/>
              <w:right w:val="single" w:color="auto" w:sz="8" w:space="0"/>
            </w:tcBorders>
            <w:noWrap w:val="0"/>
            <w:vAlign w:val="center"/>
          </w:tcPr>
          <w:p w14:paraId="4072A108">
            <w:pPr>
              <w:widowControl/>
              <w:jc w:val="left"/>
              <w:rPr>
                <w:rFonts w:ascii="仿宋" w:hAnsi="仿宋" w:eastAsia="仿宋" w:cs="宋体"/>
                <w:color w:val="000000"/>
                <w:kern w:val="0"/>
                <w:sz w:val="22"/>
                <w:szCs w:val="22"/>
              </w:rPr>
            </w:pPr>
          </w:p>
        </w:tc>
        <w:tc>
          <w:tcPr>
            <w:tcW w:w="223" w:type="dxa"/>
            <w:tcBorders>
              <w:top w:val="nil"/>
              <w:left w:val="nil"/>
              <w:bottom w:val="nil"/>
              <w:right w:val="nil"/>
            </w:tcBorders>
            <w:noWrap/>
            <w:vAlign w:val="bottom"/>
          </w:tcPr>
          <w:p w14:paraId="2C8E0C16">
            <w:pPr>
              <w:widowControl/>
              <w:jc w:val="center"/>
              <w:rPr>
                <w:rFonts w:hint="eastAsia" w:ascii="仿宋" w:hAnsi="仿宋" w:eastAsia="仿宋" w:cs="宋体"/>
                <w:color w:val="000000"/>
                <w:kern w:val="0"/>
                <w:sz w:val="22"/>
                <w:szCs w:val="22"/>
              </w:rPr>
            </w:pPr>
          </w:p>
        </w:tc>
      </w:tr>
      <w:tr w14:paraId="5930CB01">
        <w:tblPrEx>
          <w:tblCellMar>
            <w:top w:w="0" w:type="dxa"/>
            <w:left w:w="108" w:type="dxa"/>
            <w:bottom w:w="0" w:type="dxa"/>
            <w:right w:w="108" w:type="dxa"/>
          </w:tblCellMar>
        </w:tblPrEx>
        <w:trPr>
          <w:trHeight w:val="923" w:hRule="atLeast"/>
        </w:trPr>
        <w:tc>
          <w:tcPr>
            <w:tcW w:w="8181" w:type="dxa"/>
            <w:gridSpan w:val="8"/>
            <w:tcBorders>
              <w:top w:val="single" w:color="auto" w:sz="8" w:space="0"/>
              <w:left w:val="single" w:color="auto" w:sz="8" w:space="0"/>
              <w:bottom w:val="single" w:color="auto" w:sz="8" w:space="0"/>
              <w:right w:val="single" w:color="000000" w:sz="8" w:space="0"/>
            </w:tcBorders>
            <w:noWrap w:val="0"/>
            <w:vAlign w:val="center"/>
          </w:tcPr>
          <w:p w14:paraId="61827E55">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合  计：               （含税）</w:t>
            </w:r>
          </w:p>
        </w:tc>
        <w:tc>
          <w:tcPr>
            <w:tcW w:w="223" w:type="dxa"/>
            <w:noWrap w:val="0"/>
            <w:vAlign w:val="center"/>
          </w:tcPr>
          <w:p w14:paraId="5228EB84">
            <w:pPr>
              <w:widowControl/>
              <w:jc w:val="left"/>
              <w:rPr>
                <w:rFonts w:eastAsia="Times New Roman"/>
                <w:kern w:val="0"/>
                <w:sz w:val="20"/>
                <w:szCs w:val="20"/>
              </w:rPr>
            </w:pPr>
          </w:p>
        </w:tc>
      </w:tr>
      <w:tr w14:paraId="3A892C65">
        <w:tblPrEx>
          <w:tblCellMar>
            <w:top w:w="0" w:type="dxa"/>
            <w:left w:w="108" w:type="dxa"/>
            <w:bottom w:w="0" w:type="dxa"/>
            <w:right w:w="108" w:type="dxa"/>
          </w:tblCellMar>
        </w:tblPrEx>
        <w:trPr>
          <w:trHeight w:val="932" w:hRule="atLeast"/>
        </w:trPr>
        <w:tc>
          <w:tcPr>
            <w:tcW w:w="8181" w:type="dxa"/>
            <w:gridSpan w:val="8"/>
            <w:tcBorders>
              <w:top w:val="single" w:color="auto" w:sz="8" w:space="0"/>
              <w:left w:val="single" w:color="auto" w:sz="8" w:space="0"/>
              <w:bottom w:val="single" w:color="auto" w:sz="8" w:space="0"/>
              <w:right w:val="single" w:color="000000" w:sz="8" w:space="0"/>
            </w:tcBorders>
            <w:noWrap w:val="0"/>
            <w:vAlign w:val="center"/>
          </w:tcPr>
          <w:p w14:paraId="0C7E0624">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投标总价(大写)：</w:t>
            </w:r>
          </w:p>
        </w:tc>
        <w:tc>
          <w:tcPr>
            <w:tcW w:w="223" w:type="dxa"/>
            <w:noWrap w:val="0"/>
            <w:vAlign w:val="center"/>
          </w:tcPr>
          <w:p w14:paraId="72FC3A9C">
            <w:pPr>
              <w:widowControl/>
              <w:jc w:val="left"/>
              <w:rPr>
                <w:rFonts w:eastAsia="Times New Roman"/>
                <w:kern w:val="0"/>
                <w:sz w:val="20"/>
                <w:szCs w:val="20"/>
              </w:rPr>
            </w:pPr>
          </w:p>
        </w:tc>
      </w:tr>
    </w:tbl>
    <w:p w14:paraId="17BE2950"/>
    <w:p w14:paraId="46A27536">
      <w:pPr>
        <w:rPr>
          <w:rFonts w:hint="eastAsia" w:ascii="仿宋" w:hAnsi="仿宋" w:eastAsia="仿宋"/>
          <w:b/>
          <w:sz w:val="40"/>
          <w:szCs w:val="44"/>
          <w:lang w:val="en-US" w:eastAsia="zh-CN"/>
        </w:rPr>
      </w:pPr>
      <w:r>
        <w:rPr>
          <w:rFonts w:hint="eastAsia" w:ascii="仿宋" w:hAnsi="仿宋" w:eastAsia="仿宋"/>
          <w:b/>
          <w:sz w:val="40"/>
          <w:szCs w:val="44"/>
          <w:lang w:val="en-US" w:eastAsia="zh-CN"/>
        </w:rPr>
        <w:br w:type="page"/>
      </w:r>
    </w:p>
    <w:p w14:paraId="1149FA79">
      <w:pPr>
        <w:adjustRightInd w:val="0"/>
        <w:snapToGrid w:val="0"/>
        <w:spacing w:line="540" w:lineRule="exact"/>
        <w:jc w:val="center"/>
        <w:rPr>
          <w:rFonts w:hint="eastAsia" w:ascii="仿宋" w:hAnsi="仿宋" w:eastAsia="仿宋"/>
          <w:b/>
          <w:sz w:val="40"/>
          <w:szCs w:val="44"/>
          <w:lang w:val="en-US" w:eastAsia="zh-CN"/>
        </w:rPr>
      </w:pPr>
      <w:r>
        <w:rPr>
          <w:rFonts w:hint="eastAsia" w:ascii="仿宋" w:hAnsi="仿宋" w:eastAsia="仿宋"/>
          <w:b/>
          <w:sz w:val="40"/>
          <w:szCs w:val="44"/>
          <w:lang w:val="en-US" w:eastAsia="zh-CN"/>
        </w:rPr>
        <w:t>报价明细表</w:t>
      </w:r>
    </w:p>
    <w:tbl>
      <w:tblPr>
        <w:tblStyle w:val="48"/>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12"/>
        <w:gridCol w:w="2052"/>
        <w:gridCol w:w="2688"/>
        <w:gridCol w:w="803"/>
        <w:gridCol w:w="510"/>
        <w:gridCol w:w="412"/>
        <w:gridCol w:w="803"/>
        <w:gridCol w:w="803"/>
        <w:gridCol w:w="803"/>
      </w:tblGrid>
      <w:tr w14:paraId="35984A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A74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179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名称</w:t>
            </w:r>
          </w:p>
        </w:tc>
        <w:tc>
          <w:tcPr>
            <w:tcW w:w="1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7EA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规格型号</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626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品牌</w:t>
            </w:r>
          </w:p>
        </w:tc>
        <w:tc>
          <w:tcPr>
            <w:tcW w:w="3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3C0E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D42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数量</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1E0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单价（未税）</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9E941">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合计（未税）</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BC572">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合计（含税）</w:t>
            </w:r>
          </w:p>
        </w:tc>
      </w:tr>
      <w:tr w14:paraId="12712E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486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BAC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消防水池防水</w:t>
            </w:r>
          </w:p>
        </w:tc>
        <w:tc>
          <w:tcPr>
            <w:tcW w:w="1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B7C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聚氨酯防水涂料</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C61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东方雨虹</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B56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平方米</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F46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355</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E2011">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FA5C4">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4423B">
            <w:pPr>
              <w:jc w:val="center"/>
              <w:rPr>
                <w:rFonts w:hint="eastAsia" w:ascii="宋体" w:hAnsi="宋体" w:eastAsia="宋体" w:cs="宋体"/>
                <w:i w:val="0"/>
                <w:iCs w:val="0"/>
                <w:color w:val="000000"/>
                <w:sz w:val="22"/>
                <w:szCs w:val="22"/>
                <w:u w:val="none"/>
              </w:rPr>
            </w:pPr>
          </w:p>
        </w:tc>
      </w:tr>
      <w:tr w14:paraId="0FD9A8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2EA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961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消防水池及泵房抽水</w:t>
            </w:r>
          </w:p>
        </w:tc>
        <w:tc>
          <w:tcPr>
            <w:tcW w:w="1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48E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潜水泵抽水、人工及机械</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FDA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现场原有设备</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425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3E7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2D879">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1478A">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6C3A6">
            <w:pPr>
              <w:jc w:val="center"/>
              <w:rPr>
                <w:rFonts w:hint="eastAsia" w:ascii="宋体" w:hAnsi="宋体" w:eastAsia="宋体" w:cs="宋体"/>
                <w:i w:val="0"/>
                <w:iCs w:val="0"/>
                <w:color w:val="000000"/>
                <w:sz w:val="22"/>
                <w:szCs w:val="22"/>
                <w:u w:val="none"/>
              </w:rPr>
            </w:pPr>
          </w:p>
        </w:tc>
      </w:tr>
      <w:tr w14:paraId="66C671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0B0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941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水池清淤及烘干</w:t>
            </w:r>
          </w:p>
        </w:tc>
        <w:tc>
          <w:tcPr>
            <w:tcW w:w="1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FC1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人工清淤，机械清运</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D3E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现场原有设备</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A29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0F8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50FE4">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CD188">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384AE">
            <w:pPr>
              <w:jc w:val="center"/>
              <w:rPr>
                <w:rFonts w:hint="eastAsia" w:ascii="宋体" w:hAnsi="宋体" w:eastAsia="宋体" w:cs="宋体"/>
                <w:i w:val="0"/>
                <w:iCs w:val="0"/>
                <w:color w:val="000000"/>
                <w:sz w:val="22"/>
                <w:szCs w:val="22"/>
                <w:u w:val="none"/>
              </w:rPr>
            </w:pPr>
          </w:p>
        </w:tc>
      </w:tr>
      <w:tr w14:paraId="64DD16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992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436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消火栓泵拆除</w:t>
            </w:r>
          </w:p>
        </w:tc>
        <w:tc>
          <w:tcPr>
            <w:tcW w:w="1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C62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45KW</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850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现场原有设备</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B64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462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E23BC">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5E5DB">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C9CD9">
            <w:pPr>
              <w:jc w:val="center"/>
              <w:rPr>
                <w:rFonts w:hint="eastAsia" w:ascii="宋体" w:hAnsi="宋体" w:eastAsia="宋体" w:cs="宋体"/>
                <w:i w:val="0"/>
                <w:iCs w:val="0"/>
                <w:color w:val="000000"/>
                <w:sz w:val="22"/>
                <w:szCs w:val="22"/>
                <w:u w:val="none"/>
              </w:rPr>
            </w:pPr>
          </w:p>
        </w:tc>
      </w:tr>
      <w:tr w14:paraId="7354B4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7DA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2BF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闸阀拆除及更换</w:t>
            </w:r>
          </w:p>
        </w:tc>
        <w:tc>
          <w:tcPr>
            <w:tcW w:w="1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345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DN200</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FE8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上海申建</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A65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26B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1C640">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C29A2">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8FD4A">
            <w:pPr>
              <w:jc w:val="center"/>
              <w:rPr>
                <w:rFonts w:hint="eastAsia" w:ascii="宋体" w:hAnsi="宋体" w:eastAsia="宋体" w:cs="宋体"/>
                <w:i w:val="0"/>
                <w:iCs w:val="0"/>
                <w:color w:val="000000"/>
                <w:sz w:val="22"/>
                <w:szCs w:val="22"/>
                <w:u w:val="none"/>
              </w:rPr>
            </w:pPr>
          </w:p>
        </w:tc>
      </w:tr>
      <w:tr w14:paraId="587F5C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B07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232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止回阀拆除更换</w:t>
            </w:r>
          </w:p>
        </w:tc>
        <w:tc>
          <w:tcPr>
            <w:tcW w:w="1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19D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DN65</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851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上海申建</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049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只</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131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73AEF">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557F7">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8E5D4">
            <w:pPr>
              <w:jc w:val="center"/>
              <w:rPr>
                <w:rFonts w:hint="eastAsia" w:ascii="宋体" w:hAnsi="宋体" w:eastAsia="宋体" w:cs="宋体"/>
                <w:i w:val="0"/>
                <w:iCs w:val="0"/>
                <w:color w:val="000000"/>
                <w:sz w:val="22"/>
                <w:szCs w:val="22"/>
                <w:u w:val="none"/>
              </w:rPr>
            </w:pPr>
          </w:p>
        </w:tc>
      </w:tr>
      <w:tr w14:paraId="415CBB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4B8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9B3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止回阀拆除及更换</w:t>
            </w:r>
          </w:p>
        </w:tc>
        <w:tc>
          <w:tcPr>
            <w:tcW w:w="1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202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DN200</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F15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上海申建</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7F2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53F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5D7C8">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1939A">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64570">
            <w:pPr>
              <w:jc w:val="center"/>
              <w:rPr>
                <w:rFonts w:hint="eastAsia" w:ascii="宋体" w:hAnsi="宋体" w:eastAsia="宋体" w:cs="宋体"/>
                <w:i w:val="0"/>
                <w:iCs w:val="0"/>
                <w:color w:val="000000"/>
                <w:sz w:val="22"/>
                <w:szCs w:val="22"/>
                <w:u w:val="none"/>
              </w:rPr>
            </w:pPr>
          </w:p>
        </w:tc>
      </w:tr>
      <w:tr w14:paraId="010EA7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35B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3DA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消火栓给水泵</w:t>
            </w:r>
          </w:p>
        </w:tc>
        <w:tc>
          <w:tcPr>
            <w:tcW w:w="1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CA7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XBD10.0/20-W  45KW</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121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上海卓全</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3B0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7BD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EE98D">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4C360">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86339">
            <w:pPr>
              <w:jc w:val="center"/>
              <w:rPr>
                <w:rFonts w:hint="eastAsia" w:ascii="宋体" w:hAnsi="宋体" w:eastAsia="宋体" w:cs="宋体"/>
                <w:i w:val="0"/>
                <w:iCs w:val="0"/>
                <w:color w:val="000000"/>
                <w:sz w:val="22"/>
                <w:szCs w:val="22"/>
                <w:u w:val="none"/>
              </w:rPr>
            </w:pPr>
          </w:p>
        </w:tc>
      </w:tr>
      <w:tr w14:paraId="6545F1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403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791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双电源控制柜</w:t>
            </w:r>
          </w:p>
        </w:tc>
        <w:tc>
          <w:tcPr>
            <w:tcW w:w="1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041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MHK-3XF-45-KQ</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BC3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上海卓全</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17B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1F9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81B2A">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AF4DF">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53CF0">
            <w:pPr>
              <w:jc w:val="center"/>
              <w:rPr>
                <w:rFonts w:hint="eastAsia" w:ascii="宋体" w:hAnsi="宋体" w:eastAsia="宋体" w:cs="宋体"/>
                <w:i w:val="0"/>
                <w:iCs w:val="0"/>
                <w:color w:val="000000"/>
                <w:sz w:val="22"/>
                <w:szCs w:val="22"/>
                <w:u w:val="none"/>
              </w:rPr>
            </w:pPr>
          </w:p>
        </w:tc>
      </w:tr>
      <w:tr w14:paraId="11A6B6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DCF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C05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水池法兰式遥控浮球阀</w:t>
            </w:r>
          </w:p>
        </w:tc>
        <w:tc>
          <w:tcPr>
            <w:tcW w:w="1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E51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X-DN100</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17A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上海申建</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BAE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只</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AD2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F922B">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13172">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3E8D9">
            <w:pPr>
              <w:jc w:val="center"/>
              <w:rPr>
                <w:rFonts w:hint="eastAsia" w:ascii="宋体" w:hAnsi="宋体" w:eastAsia="宋体" w:cs="宋体"/>
                <w:i w:val="0"/>
                <w:iCs w:val="0"/>
                <w:color w:val="000000"/>
                <w:sz w:val="22"/>
                <w:szCs w:val="22"/>
                <w:u w:val="none"/>
              </w:rPr>
            </w:pPr>
          </w:p>
        </w:tc>
      </w:tr>
      <w:tr w14:paraId="6DDA22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4CF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BA3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明杆铜芯闸阀</w:t>
            </w:r>
          </w:p>
        </w:tc>
        <w:tc>
          <w:tcPr>
            <w:tcW w:w="1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2EB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DN65</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A88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上海申建</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05D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只</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F8E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C0829">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F9563">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59274">
            <w:pPr>
              <w:jc w:val="center"/>
              <w:rPr>
                <w:rFonts w:hint="eastAsia" w:ascii="宋体" w:hAnsi="宋体" w:eastAsia="宋体" w:cs="宋体"/>
                <w:i w:val="0"/>
                <w:iCs w:val="0"/>
                <w:color w:val="000000"/>
                <w:sz w:val="22"/>
                <w:szCs w:val="22"/>
                <w:u w:val="none"/>
              </w:rPr>
            </w:pPr>
          </w:p>
        </w:tc>
      </w:tr>
      <w:tr w14:paraId="2AF763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11D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670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明杆铜芯闸阀</w:t>
            </w:r>
          </w:p>
        </w:tc>
        <w:tc>
          <w:tcPr>
            <w:tcW w:w="1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ED2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DN100</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B17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上海申建</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591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只</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660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66F89">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5F58D">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B305E">
            <w:pPr>
              <w:jc w:val="center"/>
              <w:rPr>
                <w:rFonts w:hint="eastAsia" w:ascii="宋体" w:hAnsi="宋体" w:eastAsia="宋体" w:cs="宋体"/>
                <w:i w:val="0"/>
                <w:iCs w:val="0"/>
                <w:color w:val="000000"/>
                <w:sz w:val="22"/>
                <w:szCs w:val="22"/>
                <w:u w:val="none"/>
              </w:rPr>
            </w:pPr>
          </w:p>
        </w:tc>
      </w:tr>
      <w:tr w14:paraId="7E0E53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07F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28B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明杆铜芯闸阀</w:t>
            </w:r>
          </w:p>
        </w:tc>
        <w:tc>
          <w:tcPr>
            <w:tcW w:w="1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315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DN150</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D98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上海申建</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CE1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只</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12A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3F7EE">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E56AF">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A1199">
            <w:pPr>
              <w:jc w:val="center"/>
              <w:rPr>
                <w:rFonts w:hint="eastAsia" w:ascii="宋体" w:hAnsi="宋体" w:eastAsia="宋体" w:cs="宋体"/>
                <w:i w:val="0"/>
                <w:iCs w:val="0"/>
                <w:color w:val="000000"/>
                <w:sz w:val="22"/>
                <w:szCs w:val="22"/>
                <w:u w:val="none"/>
              </w:rPr>
            </w:pPr>
          </w:p>
        </w:tc>
      </w:tr>
      <w:tr w14:paraId="672205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0B5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08A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明杆铜芯闸阀</w:t>
            </w:r>
          </w:p>
        </w:tc>
        <w:tc>
          <w:tcPr>
            <w:tcW w:w="1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229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DN200</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EF5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上海申建</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B5C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只</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FC2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E3388">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766D4">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7D303">
            <w:pPr>
              <w:jc w:val="center"/>
              <w:rPr>
                <w:rFonts w:hint="eastAsia" w:ascii="宋体" w:hAnsi="宋体" w:eastAsia="宋体" w:cs="宋体"/>
                <w:i w:val="0"/>
                <w:iCs w:val="0"/>
                <w:color w:val="000000"/>
                <w:sz w:val="22"/>
                <w:szCs w:val="22"/>
                <w:u w:val="none"/>
              </w:rPr>
            </w:pPr>
          </w:p>
        </w:tc>
      </w:tr>
      <w:tr w14:paraId="073806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F48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526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安全泄压阀</w:t>
            </w:r>
          </w:p>
        </w:tc>
        <w:tc>
          <w:tcPr>
            <w:tcW w:w="1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AA2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DN100</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A41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上海申建</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0BF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只</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D91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1A481">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5DA17">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75DE5">
            <w:pPr>
              <w:jc w:val="center"/>
              <w:rPr>
                <w:rFonts w:hint="eastAsia" w:ascii="宋体" w:hAnsi="宋体" w:eastAsia="宋体" w:cs="宋体"/>
                <w:i w:val="0"/>
                <w:iCs w:val="0"/>
                <w:color w:val="000000"/>
                <w:sz w:val="22"/>
                <w:szCs w:val="22"/>
                <w:u w:val="none"/>
              </w:rPr>
            </w:pPr>
          </w:p>
        </w:tc>
      </w:tr>
      <w:tr w14:paraId="1EDE0D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053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60B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静音止回阀</w:t>
            </w:r>
          </w:p>
        </w:tc>
        <w:tc>
          <w:tcPr>
            <w:tcW w:w="1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AFE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DN150</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E8C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上海申建</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D7A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只</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EF7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EBB05">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95C47">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5416C">
            <w:pPr>
              <w:jc w:val="center"/>
              <w:rPr>
                <w:rFonts w:hint="eastAsia" w:ascii="宋体" w:hAnsi="宋体" w:eastAsia="宋体" w:cs="宋体"/>
                <w:i w:val="0"/>
                <w:iCs w:val="0"/>
                <w:color w:val="000000"/>
                <w:sz w:val="22"/>
                <w:szCs w:val="22"/>
                <w:u w:val="none"/>
              </w:rPr>
            </w:pPr>
          </w:p>
        </w:tc>
      </w:tr>
      <w:tr w14:paraId="2B8817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8D2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542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过滤阀</w:t>
            </w:r>
          </w:p>
        </w:tc>
        <w:tc>
          <w:tcPr>
            <w:tcW w:w="1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741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DN150</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CC8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上海申建</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12A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只</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F1C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374B9">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D01CB">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9A5CC">
            <w:pPr>
              <w:jc w:val="center"/>
              <w:rPr>
                <w:rFonts w:hint="eastAsia" w:ascii="宋体" w:hAnsi="宋体" w:eastAsia="宋体" w:cs="宋体"/>
                <w:i w:val="0"/>
                <w:iCs w:val="0"/>
                <w:color w:val="000000"/>
                <w:sz w:val="22"/>
                <w:szCs w:val="22"/>
                <w:u w:val="none"/>
              </w:rPr>
            </w:pPr>
          </w:p>
        </w:tc>
      </w:tr>
      <w:tr w14:paraId="1DD24B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AE9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043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流量计</w:t>
            </w:r>
          </w:p>
        </w:tc>
        <w:tc>
          <w:tcPr>
            <w:tcW w:w="1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13B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DN100</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566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河北橡塑</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9AF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只</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323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46145">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2EA4F">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93019">
            <w:pPr>
              <w:jc w:val="center"/>
              <w:rPr>
                <w:rFonts w:hint="eastAsia" w:ascii="宋体" w:hAnsi="宋体" w:eastAsia="宋体" w:cs="宋体"/>
                <w:i w:val="0"/>
                <w:iCs w:val="0"/>
                <w:color w:val="000000"/>
                <w:sz w:val="22"/>
                <w:szCs w:val="22"/>
                <w:u w:val="none"/>
              </w:rPr>
            </w:pPr>
          </w:p>
        </w:tc>
      </w:tr>
      <w:tr w14:paraId="5E0A72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BD8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998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阀用橡胶垫片</w:t>
            </w:r>
          </w:p>
        </w:tc>
        <w:tc>
          <w:tcPr>
            <w:tcW w:w="1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DA3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DN65</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C50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河北橡塑</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436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片</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690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3D5C0">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43743">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3AFEC">
            <w:pPr>
              <w:jc w:val="center"/>
              <w:rPr>
                <w:rFonts w:hint="eastAsia" w:ascii="宋体" w:hAnsi="宋体" w:eastAsia="宋体" w:cs="宋体"/>
                <w:i w:val="0"/>
                <w:iCs w:val="0"/>
                <w:color w:val="000000"/>
                <w:sz w:val="22"/>
                <w:szCs w:val="22"/>
                <w:u w:val="none"/>
              </w:rPr>
            </w:pPr>
          </w:p>
        </w:tc>
      </w:tr>
      <w:tr w14:paraId="421090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054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FC6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阀用橡胶垫片</w:t>
            </w:r>
          </w:p>
        </w:tc>
        <w:tc>
          <w:tcPr>
            <w:tcW w:w="1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87C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DN100</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C5B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河北橡塑</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675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片</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106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2EC8C">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07E90">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0A8B3">
            <w:pPr>
              <w:jc w:val="center"/>
              <w:rPr>
                <w:rFonts w:hint="eastAsia" w:ascii="宋体" w:hAnsi="宋体" w:eastAsia="宋体" w:cs="宋体"/>
                <w:i w:val="0"/>
                <w:iCs w:val="0"/>
                <w:color w:val="000000"/>
                <w:sz w:val="22"/>
                <w:szCs w:val="22"/>
                <w:u w:val="none"/>
              </w:rPr>
            </w:pPr>
          </w:p>
        </w:tc>
      </w:tr>
      <w:tr w14:paraId="1842E7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35F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E79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阀用橡胶垫片</w:t>
            </w:r>
          </w:p>
        </w:tc>
        <w:tc>
          <w:tcPr>
            <w:tcW w:w="1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F83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DN150</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C6C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上海申建</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049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片</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7EB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F7993">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FAFD0">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F9570">
            <w:pPr>
              <w:jc w:val="center"/>
              <w:rPr>
                <w:rFonts w:hint="eastAsia" w:ascii="宋体" w:hAnsi="宋体" w:eastAsia="宋体" w:cs="宋体"/>
                <w:i w:val="0"/>
                <w:iCs w:val="0"/>
                <w:color w:val="000000"/>
                <w:sz w:val="22"/>
                <w:szCs w:val="22"/>
                <w:u w:val="none"/>
              </w:rPr>
            </w:pPr>
          </w:p>
        </w:tc>
      </w:tr>
      <w:tr w14:paraId="01E409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30E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B6A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阀用橡胶垫片</w:t>
            </w:r>
          </w:p>
        </w:tc>
        <w:tc>
          <w:tcPr>
            <w:tcW w:w="1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1E9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DN200</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ED6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上海申建</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76D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片</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EDA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69287">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81B46">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9B038">
            <w:pPr>
              <w:jc w:val="center"/>
              <w:rPr>
                <w:rFonts w:hint="eastAsia" w:ascii="宋体" w:hAnsi="宋体" w:eastAsia="宋体" w:cs="宋体"/>
                <w:i w:val="0"/>
                <w:iCs w:val="0"/>
                <w:color w:val="000000"/>
                <w:sz w:val="22"/>
                <w:szCs w:val="22"/>
                <w:u w:val="none"/>
              </w:rPr>
            </w:pPr>
          </w:p>
        </w:tc>
      </w:tr>
      <w:tr w14:paraId="5BAA8D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1BA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97F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热镀锌钢管</w:t>
            </w:r>
          </w:p>
        </w:tc>
        <w:tc>
          <w:tcPr>
            <w:tcW w:w="1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266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DN200</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66C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天津友发</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CF7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EE9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44B57">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DEAA0">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398DF">
            <w:pPr>
              <w:jc w:val="center"/>
              <w:rPr>
                <w:rFonts w:hint="eastAsia" w:ascii="宋体" w:hAnsi="宋体" w:eastAsia="宋体" w:cs="宋体"/>
                <w:i w:val="0"/>
                <w:iCs w:val="0"/>
                <w:color w:val="000000"/>
                <w:sz w:val="22"/>
                <w:szCs w:val="22"/>
                <w:u w:val="none"/>
              </w:rPr>
            </w:pPr>
          </w:p>
        </w:tc>
      </w:tr>
      <w:tr w14:paraId="512C77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1E2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136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热镀锌钢管</w:t>
            </w:r>
          </w:p>
        </w:tc>
        <w:tc>
          <w:tcPr>
            <w:tcW w:w="1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120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DN150</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A9A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天津友发</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0AC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569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45835">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0C9AF">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1E5F0">
            <w:pPr>
              <w:jc w:val="center"/>
              <w:rPr>
                <w:rFonts w:hint="eastAsia" w:ascii="宋体" w:hAnsi="宋体" w:eastAsia="宋体" w:cs="宋体"/>
                <w:i w:val="0"/>
                <w:iCs w:val="0"/>
                <w:color w:val="000000"/>
                <w:sz w:val="22"/>
                <w:szCs w:val="22"/>
                <w:u w:val="none"/>
              </w:rPr>
            </w:pPr>
          </w:p>
        </w:tc>
      </w:tr>
      <w:tr w14:paraId="6097B2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4ED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96C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热镀锌钢管</w:t>
            </w:r>
          </w:p>
        </w:tc>
        <w:tc>
          <w:tcPr>
            <w:tcW w:w="1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9D5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DN50</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9BF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天津友发</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895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DF6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06C46">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A3129">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C544F">
            <w:pPr>
              <w:jc w:val="center"/>
              <w:rPr>
                <w:rFonts w:hint="eastAsia" w:ascii="宋体" w:hAnsi="宋体" w:eastAsia="宋体" w:cs="宋体"/>
                <w:i w:val="0"/>
                <w:iCs w:val="0"/>
                <w:color w:val="000000"/>
                <w:sz w:val="22"/>
                <w:szCs w:val="22"/>
                <w:u w:val="none"/>
              </w:rPr>
            </w:pPr>
          </w:p>
        </w:tc>
      </w:tr>
      <w:tr w14:paraId="6C9856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AA8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459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沟槽卡箍</w:t>
            </w:r>
          </w:p>
        </w:tc>
        <w:tc>
          <w:tcPr>
            <w:tcW w:w="1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360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DN76</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3A0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潍坊明峰</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8EE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C92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962AD">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59C31">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33176">
            <w:pPr>
              <w:jc w:val="center"/>
              <w:rPr>
                <w:rFonts w:hint="eastAsia" w:ascii="宋体" w:hAnsi="宋体" w:eastAsia="宋体" w:cs="宋体"/>
                <w:i w:val="0"/>
                <w:iCs w:val="0"/>
                <w:color w:val="000000"/>
                <w:sz w:val="22"/>
                <w:szCs w:val="22"/>
                <w:u w:val="none"/>
              </w:rPr>
            </w:pPr>
          </w:p>
        </w:tc>
      </w:tr>
      <w:tr w14:paraId="665977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D10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E2A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沟槽卡箍</w:t>
            </w:r>
          </w:p>
        </w:tc>
        <w:tc>
          <w:tcPr>
            <w:tcW w:w="1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180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DN114</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7AF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潍坊明峰</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6E4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574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39788">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89E2F">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20DE9">
            <w:pPr>
              <w:jc w:val="center"/>
              <w:rPr>
                <w:rFonts w:hint="eastAsia" w:ascii="宋体" w:hAnsi="宋体" w:eastAsia="宋体" w:cs="宋体"/>
                <w:i w:val="0"/>
                <w:iCs w:val="0"/>
                <w:color w:val="000000"/>
                <w:sz w:val="22"/>
                <w:szCs w:val="22"/>
                <w:u w:val="none"/>
              </w:rPr>
            </w:pPr>
          </w:p>
        </w:tc>
      </w:tr>
      <w:tr w14:paraId="183F1C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A3A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A60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沟槽卡箍</w:t>
            </w:r>
          </w:p>
        </w:tc>
        <w:tc>
          <w:tcPr>
            <w:tcW w:w="1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C88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DN165</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026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潍坊明峰</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D54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711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11064">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AD23F">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D3A99">
            <w:pPr>
              <w:jc w:val="center"/>
              <w:rPr>
                <w:rFonts w:hint="eastAsia" w:ascii="宋体" w:hAnsi="宋体" w:eastAsia="宋体" w:cs="宋体"/>
                <w:i w:val="0"/>
                <w:iCs w:val="0"/>
                <w:color w:val="000000"/>
                <w:sz w:val="22"/>
                <w:szCs w:val="22"/>
                <w:u w:val="none"/>
              </w:rPr>
            </w:pPr>
          </w:p>
        </w:tc>
      </w:tr>
      <w:tr w14:paraId="4674C5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CC9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076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沟槽卡箍</w:t>
            </w:r>
          </w:p>
        </w:tc>
        <w:tc>
          <w:tcPr>
            <w:tcW w:w="1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0F2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DN219</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E4E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潍坊明峰</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5DF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8A7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8509C">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CB2E5">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78D6E">
            <w:pPr>
              <w:jc w:val="center"/>
              <w:rPr>
                <w:rFonts w:hint="eastAsia" w:ascii="宋体" w:hAnsi="宋体" w:eastAsia="宋体" w:cs="宋体"/>
                <w:i w:val="0"/>
                <w:iCs w:val="0"/>
                <w:color w:val="000000"/>
                <w:sz w:val="22"/>
                <w:szCs w:val="22"/>
                <w:u w:val="none"/>
              </w:rPr>
            </w:pPr>
          </w:p>
        </w:tc>
      </w:tr>
      <w:tr w14:paraId="7F40F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7C4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623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沟槽三通</w:t>
            </w:r>
          </w:p>
        </w:tc>
        <w:tc>
          <w:tcPr>
            <w:tcW w:w="1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AAA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DN219*165</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66B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潍坊明峰</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97C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2E9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5AB21">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B2149">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7FCF3">
            <w:pPr>
              <w:jc w:val="center"/>
              <w:rPr>
                <w:rFonts w:hint="eastAsia" w:ascii="宋体" w:hAnsi="宋体" w:eastAsia="宋体" w:cs="宋体"/>
                <w:i w:val="0"/>
                <w:iCs w:val="0"/>
                <w:color w:val="000000"/>
                <w:sz w:val="22"/>
                <w:szCs w:val="22"/>
                <w:u w:val="none"/>
              </w:rPr>
            </w:pPr>
          </w:p>
        </w:tc>
      </w:tr>
      <w:tr w14:paraId="63797C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19F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CC2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沟槽三通</w:t>
            </w:r>
          </w:p>
        </w:tc>
        <w:tc>
          <w:tcPr>
            <w:tcW w:w="1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704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DN76*76</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403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潍坊明峰</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465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F1F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F6641">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F71B7">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FEDBC">
            <w:pPr>
              <w:jc w:val="center"/>
              <w:rPr>
                <w:rFonts w:hint="eastAsia" w:ascii="宋体" w:hAnsi="宋体" w:eastAsia="宋体" w:cs="宋体"/>
                <w:i w:val="0"/>
                <w:iCs w:val="0"/>
                <w:color w:val="000000"/>
                <w:sz w:val="22"/>
                <w:szCs w:val="22"/>
                <w:u w:val="none"/>
              </w:rPr>
            </w:pPr>
          </w:p>
        </w:tc>
      </w:tr>
      <w:tr w14:paraId="618CB9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2C6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9A9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沟槽弯头</w:t>
            </w:r>
          </w:p>
        </w:tc>
        <w:tc>
          <w:tcPr>
            <w:tcW w:w="1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01C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DN165</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089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潍坊明峰</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9E2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066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A73A9">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5D5D0">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2DA55">
            <w:pPr>
              <w:jc w:val="center"/>
              <w:rPr>
                <w:rFonts w:hint="eastAsia" w:ascii="宋体" w:hAnsi="宋体" w:eastAsia="宋体" w:cs="宋体"/>
                <w:i w:val="0"/>
                <w:iCs w:val="0"/>
                <w:color w:val="000000"/>
                <w:sz w:val="22"/>
                <w:szCs w:val="22"/>
                <w:u w:val="none"/>
              </w:rPr>
            </w:pPr>
          </w:p>
        </w:tc>
      </w:tr>
      <w:tr w14:paraId="342682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7DB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CE5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沟槽弯头</w:t>
            </w:r>
          </w:p>
        </w:tc>
        <w:tc>
          <w:tcPr>
            <w:tcW w:w="1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AD8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DN219</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70D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潍坊明峰</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06F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624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A11A2">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22B36">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77E16">
            <w:pPr>
              <w:jc w:val="center"/>
              <w:rPr>
                <w:rFonts w:hint="eastAsia" w:ascii="宋体" w:hAnsi="宋体" w:eastAsia="宋体" w:cs="宋体"/>
                <w:i w:val="0"/>
                <w:iCs w:val="0"/>
                <w:color w:val="000000"/>
                <w:sz w:val="22"/>
                <w:szCs w:val="22"/>
                <w:u w:val="none"/>
              </w:rPr>
            </w:pPr>
          </w:p>
        </w:tc>
      </w:tr>
      <w:tr w14:paraId="30A756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43F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72D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沟槽短管法兰</w:t>
            </w:r>
          </w:p>
        </w:tc>
        <w:tc>
          <w:tcPr>
            <w:tcW w:w="1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266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DN76</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49D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潍坊明峰</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AEC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42B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7B9B6">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949E8">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E6ED6">
            <w:pPr>
              <w:jc w:val="center"/>
              <w:rPr>
                <w:rFonts w:hint="eastAsia" w:ascii="宋体" w:hAnsi="宋体" w:eastAsia="宋体" w:cs="宋体"/>
                <w:i w:val="0"/>
                <w:iCs w:val="0"/>
                <w:color w:val="000000"/>
                <w:sz w:val="22"/>
                <w:szCs w:val="22"/>
                <w:u w:val="none"/>
              </w:rPr>
            </w:pPr>
          </w:p>
        </w:tc>
      </w:tr>
      <w:tr w14:paraId="6C1D73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959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A0B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沟槽短管法兰</w:t>
            </w:r>
          </w:p>
        </w:tc>
        <w:tc>
          <w:tcPr>
            <w:tcW w:w="1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65A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DN114</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DBB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潍坊明峰</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2EE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A6B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5D01F">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1B4A6">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7D3D8">
            <w:pPr>
              <w:jc w:val="center"/>
              <w:rPr>
                <w:rFonts w:hint="eastAsia" w:ascii="宋体" w:hAnsi="宋体" w:eastAsia="宋体" w:cs="宋体"/>
                <w:i w:val="0"/>
                <w:iCs w:val="0"/>
                <w:color w:val="000000"/>
                <w:sz w:val="22"/>
                <w:szCs w:val="22"/>
                <w:u w:val="none"/>
              </w:rPr>
            </w:pPr>
          </w:p>
        </w:tc>
      </w:tr>
      <w:tr w14:paraId="7B18D4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670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497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沟槽短管法兰</w:t>
            </w:r>
          </w:p>
        </w:tc>
        <w:tc>
          <w:tcPr>
            <w:tcW w:w="1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DB0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DN165</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6B2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潍坊明峰</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043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FA5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3AB51">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F562C">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AD78A">
            <w:pPr>
              <w:jc w:val="center"/>
              <w:rPr>
                <w:rFonts w:hint="eastAsia" w:ascii="宋体" w:hAnsi="宋体" w:eastAsia="宋体" w:cs="宋体"/>
                <w:i w:val="0"/>
                <w:iCs w:val="0"/>
                <w:color w:val="000000"/>
                <w:sz w:val="22"/>
                <w:szCs w:val="22"/>
                <w:u w:val="none"/>
              </w:rPr>
            </w:pPr>
          </w:p>
        </w:tc>
      </w:tr>
      <w:tr w14:paraId="79D467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115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747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沟槽短管法兰</w:t>
            </w:r>
          </w:p>
        </w:tc>
        <w:tc>
          <w:tcPr>
            <w:tcW w:w="1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BE6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DN219</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89E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潍坊明峰</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4FF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281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9D91A">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C8F2A">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422BB">
            <w:pPr>
              <w:jc w:val="center"/>
              <w:rPr>
                <w:rFonts w:hint="eastAsia" w:ascii="宋体" w:hAnsi="宋体" w:eastAsia="宋体" w:cs="宋体"/>
                <w:i w:val="0"/>
                <w:iCs w:val="0"/>
                <w:color w:val="000000"/>
                <w:sz w:val="22"/>
                <w:szCs w:val="22"/>
                <w:u w:val="none"/>
              </w:rPr>
            </w:pPr>
          </w:p>
        </w:tc>
      </w:tr>
      <w:tr w14:paraId="36EB82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A61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3F3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螺栓</w:t>
            </w:r>
          </w:p>
        </w:tc>
        <w:tc>
          <w:tcPr>
            <w:tcW w:w="1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51F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DN20*75</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B66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河北宏厚</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010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007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380</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3EA18">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483B2">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4E939">
            <w:pPr>
              <w:jc w:val="center"/>
              <w:rPr>
                <w:rFonts w:hint="eastAsia" w:ascii="宋体" w:hAnsi="宋体" w:eastAsia="宋体" w:cs="宋体"/>
                <w:i w:val="0"/>
                <w:iCs w:val="0"/>
                <w:color w:val="000000"/>
                <w:sz w:val="22"/>
                <w:szCs w:val="22"/>
                <w:u w:val="none"/>
              </w:rPr>
            </w:pPr>
          </w:p>
        </w:tc>
      </w:tr>
      <w:tr w14:paraId="3CF150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32F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FB4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镀锌U型槽钢</w:t>
            </w:r>
          </w:p>
        </w:tc>
        <w:tc>
          <w:tcPr>
            <w:tcW w:w="1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9E1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E06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天津友发</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F85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BDC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6BF68">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A6883">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AE7CC">
            <w:pPr>
              <w:jc w:val="center"/>
              <w:rPr>
                <w:rFonts w:hint="eastAsia" w:ascii="宋体" w:hAnsi="宋体" w:eastAsia="宋体" w:cs="宋体"/>
                <w:i w:val="0"/>
                <w:iCs w:val="0"/>
                <w:color w:val="000000"/>
                <w:sz w:val="22"/>
                <w:szCs w:val="22"/>
                <w:u w:val="none"/>
              </w:rPr>
            </w:pPr>
          </w:p>
        </w:tc>
      </w:tr>
      <w:tr w14:paraId="2C40CC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BC9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E9F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镀锌角钢</w:t>
            </w:r>
          </w:p>
        </w:tc>
        <w:tc>
          <w:tcPr>
            <w:tcW w:w="1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524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2D6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天津友发</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7BA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255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D6C18">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1BC6F">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35EC3">
            <w:pPr>
              <w:jc w:val="center"/>
              <w:rPr>
                <w:rFonts w:hint="eastAsia" w:ascii="宋体" w:hAnsi="宋体" w:eastAsia="宋体" w:cs="宋体"/>
                <w:i w:val="0"/>
                <w:iCs w:val="0"/>
                <w:color w:val="000000"/>
                <w:sz w:val="22"/>
                <w:szCs w:val="22"/>
                <w:u w:val="none"/>
              </w:rPr>
            </w:pPr>
          </w:p>
        </w:tc>
      </w:tr>
      <w:tr w14:paraId="363D07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284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EC2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真空压力表组</w:t>
            </w:r>
          </w:p>
        </w:tc>
        <w:tc>
          <w:tcPr>
            <w:tcW w:w="1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EE7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0.1mpa</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92C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上海仪表</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9F7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D22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4C790">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98F8D">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FF2A8">
            <w:pPr>
              <w:jc w:val="center"/>
              <w:rPr>
                <w:rFonts w:hint="eastAsia" w:ascii="宋体" w:hAnsi="宋体" w:eastAsia="宋体" w:cs="宋体"/>
                <w:i w:val="0"/>
                <w:iCs w:val="0"/>
                <w:color w:val="000000"/>
                <w:sz w:val="22"/>
                <w:szCs w:val="22"/>
                <w:u w:val="none"/>
              </w:rPr>
            </w:pPr>
          </w:p>
        </w:tc>
      </w:tr>
      <w:tr w14:paraId="7CF7A8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901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801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压力表组</w:t>
            </w:r>
          </w:p>
        </w:tc>
        <w:tc>
          <w:tcPr>
            <w:tcW w:w="1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76A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1.6mpa</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56D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上海仪表</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5C4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C93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B59F9">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37FF0">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2FB46">
            <w:pPr>
              <w:jc w:val="center"/>
              <w:rPr>
                <w:rFonts w:hint="eastAsia" w:ascii="宋体" w:hAnsi="宋体" w:eastAsia="宋体" w:cs="宋体"/>
                <w:i w:val="0"/>
                <w:iCs w:val="0"/>
                <w:color w:val="000000"/>
                <w:sz w:val="22"/>
                <w:szCs w:val="22"/>
                <w:u w:val="none"/>
              </w:rPr>
            </w:pPr>
          </w:p>
        </w:tc>
      </w:tr>
      <w:tr w14:paraId="795135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4E5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0D5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排污泵</w:t>
            </w:r>
          </w:p>
        </w:tc>
        <w:tc>
          <w:tcPr>
            <w:tcW w:w="1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BEA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2.2KW 一主一备</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AFC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上海卓全</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472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0A5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D0DD2">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89C16">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1D902">
            <w:pPr>
              <w:jc w:val="center"/>
              <w:rPr>
                <w:rFonts w:hint="eastAsia" w:ascii="宋体" w:hAnsi="宋体" w:eastAsia="宋体" w:cs="宋体"/>
                <w:i w:val="0"/>
                <w:iCs w:val="0"/>
                <w:color w:val="000000"/>
                <w:sz w:val="22"/>
                <w:szCs w:val="22"/>
                <w:u w:val="none"/>
              </w:rPr>
            </w:pPr>
          </w:p>
        </w:tc>
      </w:tr>
      <w:tr w14:paraId="06CB9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70A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280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排污泵控制箱</w:t>
            </w:r>
          </w:p>
        </w:tc>
        <w:tc>
          <w:tcPr>
            <w:tcW w:w="1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188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2.2KW</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A9B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上海卓全</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42F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E1E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B1808">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01B3A">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47F16">
            <w:pPr>
              <w:jc w:val="center"/>
              <w:rPr>
                <w:rFonts w:hint="eastAsia" w:ascii="宋体" w:hAnsi="宋体" w:eastAsia="宋体" w:cs="宋体"/>
                <w:i w:val="0"/>
                <w:iCs w:val="0"/>
                <w:color w:val="000000"/>
                <w:sz w:val="22"/>
                <w:szCs w:val="22"/>
                <w:u w:val="none"/>
              </w:rPr>
            </w:pPr>
          </w:p>
        </w:tc>
      </w:tr>
      <w:tr w14:paraId="636044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9F0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C2C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泵房液位显示器</w:t>
            </w:r>
          </w:p>
        </w:tc>
        <w:tc>
          <w:tcPr>
            <w:tcW w:w="1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85A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300*400*140</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1C0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上海卓全</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A16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82D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AECE1">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31B4A">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0B24F">
            <w:pPr>
              <w:jc w:val="center"/>
              <w:rPr>
                <w:rFonts w:hint="eastAsia" w:ascii="宋体" w:hAnsi="宋体" w:eastAsia="宋体" w:cs="宋体"/>
                <w:i w:val="0"/>
                <w:iCs w:val="0"/>
                <w:color w:val="000000"/>
                <w:sz w:val="22"/>
                <w:szCs w:val="22"/>
                <w:u w:val="none"/>
              </w:rPr>
            </w:pPr>
          </w:p>
        </w:tc>
      </w:tr>
      <w:tr w14:paraId="0F0C0A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14E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7D1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消火栓泵电源电缆</w:t>
            </w:r>
          </w:p>
        </w:tc>
        <w:tc>
          <w:tcPr>
            <w:tcW w:w="1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0FA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NH-KVV5*16</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EA7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绿灯行</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52D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E2C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58</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BFD2C">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72355">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2D0A4">
            <w:pPr>
              <w:jc w:val="center"/>
              <w:rPr>
                <w:rFonts w:hint="eastAsia" w:ascii="宋体" w:hAnsi="宋体" w:eastAsia="宋体" w:cs="宋体"/>
                <w:i w:val="0"/>
                <w:iCs w:val="0"/>
                <w:color w:val="000000"/>
                <w:sz w:val="22"/>
                <w:szCs w:val="22"/>
                <w:u w:val="none"/>
              </w:rPr>
            </w:pPr>
          </w:p>
        </w:tc>
      </w:tr>
      <w:tr w14:paraId="71C7DE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75C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A90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信号线</w:t>
            </w:r>
          </w:p>
        </w:tc>
        <w:tc>
          <w:tcPr>
            <w:tcW w:w="1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991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NH-RVVP12*1.5</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661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绿灯行</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CB5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A7C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C21DB">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38694">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00076">
            <w:pPr>
              <w:jc w:val="center"/>
              <w:rPr>
                <w:rFonts w:hint="eastAsia" w:ascii="宋体" w:hAnsi="宋体" w:eastAsia="宋体" w:cs="宋体"/>
                <w:i w:val="0"/>
                <w:iCs w:val="0"/>
                <w:color w:val="000000"/>
                <w:sz w:val="22"/>
                <w:szCs w:val="22"/>
                <w:u w:val="none"/>
              </w:rPr>
            </w:pPr>
          </w:p>
        </w:tc>
      </w:tr>
      <w:tr w14:paraId="4C29D0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233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BB7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钢制防火门拆除更换</w:t>
            </w:r>
          </w:p>
        </w:tc>
        <w:tc>
          <w:tcPr>
            <w:tcW w:w="1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0A1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1600*2200</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A74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河北贵合</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FE5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樘</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442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FA2FF">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44F79">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AA3A0">
            <w:pPr>
              <w:jc w:val="center"/>
              <w:rPr>
                <w:rFonts w:hint="eastAsia" w:ascii="宋体" w:hAnsi="宋体" w:eastAsia="宋体" w:cs="宋体"/>
                <w:i w:val="0"/>
                <w:iCs w:val="0"/>
                <w:color w:val="000000"/>
                <w:sz w:val="22"/>
                <w:szCs w:val="22"/>
                <w:u w:val="none"/>
              </w:rPr>
            </w:pPr>
          </w:p>
        </w:tc>
      </w:tr>
      <w:tr w14:paraId="289033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E61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49</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361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塑钢窗拆除更换</w:t>
            </w:r>
          </w:p>
        </w:tc>
        <w:tc>
          <w:tcPr>
            <w:tcW w:w="1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5DE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1450*1900</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FB6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河北贵和</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C07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樘</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88D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416FA">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AFF05">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F2B32">
            <w:pPr>
              <w:jc w:val="center"/>
              <w:rPr>
                <w:rFonts w:hint="eastAsia" w:ascii="宋体" w:hAnsi="宋体" w:eastAsia="宋体" w:cs="宋体"/>
                <w:i w:val="0"/>
                <w:iCs w:val="0"/>
                <w:color w:val="000000"/>
                <w:sz w:val="22"/>
                <w:szCs w:val="22"/>
                <w:u w:val="none"/>
              </w:rPr>
            </w:pPr>
          </w:p>
        </w:tc>
      </w:tr>
      <w:tr w14:paraId="7DFB54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647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852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不锈钢消防水箱漏水维修</w:t>
            </w:r>
          </w:p>
        </w:tc>
        <w:tc>
          <w:tcPr>
            <w:tcW w:w="1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FEC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36m³  不锈钢材质</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443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现场原有设备</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A02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2B9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85D87">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7A1DC">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D4FAC">
            <w:pPr>
              <w:jc w:val="center"/>
              <w:rPr>
                <w:rFonts w:hint="eastAsia" w:ascii="宋体" w:hAnsi="宋体" w:eastAsia="宋体" w:cs="宋体"/>
                <w:i w:val="0"/>
                <w:iCs w:val="0"/>
                <w:color w:val="000000"/>
                <w:sz w:val="22"/>
                <w:szCs w:val="22"/>
                <w:u w:val="none"/>
              </w:rPr>
            </w:pPr>
          </w:p>
        </w:tc>
      </w:tr>
      <w:tr w14:paraId="5C8B76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8A1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7C1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稳压设备维修</w:t>
            </w:r>
          </w:p>
        </w:tc>
        <w:tc>
          <w:tcPr>
            <w:tcW w:w="1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BDE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现场原有设备</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B4E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现场原有设备</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B3C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9FE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CE287">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3FDC4">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D245B">
            <w:pPr>
              <w:jc w:val="center"/>
              <w:rPr>
                <w:rFonts w:hint="eastAsia" w:ascii="宋体" w:hAnsi="宋体" w:eastAsia="宋体" w:cs="宋体"/>
                <w:i w:val="0"/>
                <w:iCs w:val="0"/>
                <w:color w:val="000000"/>
                <w:sz w:val="22"/>
                <w:szCs w:val="22"/>
                <w:u w:val="none"/>
              </w:rPr>
            </w:pPr>
          </w:p>
        </w:tc>
      </w:tr>
      <w:tr w14:paraId="5A51E2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671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007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泵房墙面粉刷</w:t>
            </w:r>
          </w:p>
        </w:tc>
        <w:tc>
          <w:tcPr>
            <w:tcW w:w="1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C42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腻子 型号：N型（耐水型）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粘结强度：≥0.25MPa、乳胶漆 5升/桶        施工两遍</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5A0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立邦</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9D3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平方</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409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255</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78527">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41FA4">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E8F8E">
            <w:pPr>
              <w:jc w:val="center"/>
              <w:rPr>
                <w:rFonts w:hint="eastAsia" w:ascii="宋体" w:hAnsi="宋体" w:eastAsia="宋体" w:cs="宋体"/>
                <w:i w:val="0"/>
                <w:iCs w:val="0"/>
                <w:color w:val="000000"/>
                <w:sz w:val="22"/>
                <w:szCs w:val="22"/>
                <w:u w:val="none"/>
              </w:rPr>
            </w:pPr>
          </w:p>
        </w:tc>
      </w:tr>
      <w:tr w14:paraId="198046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70D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89A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泵房照明灯LED三防灯()</w:t>
            </w:r>
          </w:p>
        </w:tc>
        <w:tc>
          <w:tcPr>
            <w:tcW w:w="1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562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LED30W</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BD6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敏华</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AF8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只</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7A5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FD8F3">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94300">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E278A">
            <w:pPr>
              <w:jc w:val="center"/>
              <w:rPr>
                <w:rFonts w:hint="eastAsia" w:ascii="宋体" w:hAnsi="宋体" w:eastAsia="宋体" w:cs="宋体"/>
                <w:i w:val="0"/>
                <w:iCs w:val="0"/>
                <w:color w:val="000000"/>
                <w:sz w:val="22"/>
                <w:szCs w:val="22"/>
                <w:u w:val="none"/>
              </w:rPr>
            </w:pPr>
          </w:p>
        </w:tc>
      </w:tr>
      <w:tr w14:paraId="51EFE8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33C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336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泵房应急灯及安全出口</w:t>
            </w:r>
          </w:p>
        </w:tc>
        <w:tc>
          <w:tcPr>
            <w:tcW w:w="1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475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3W～5W</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6E7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敏华</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209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只</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CF1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788A1">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8E6FB">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BBBC1">
            <w:pPr>
              <w:jc w:val="center"/>
              <w:rPr>
                <w:rFonts w:hint="eastAsia" w:ascii="宋体" w:hAnsi="宋体" w:eastAsia="宋体" w:cs="宋体"/>
                <w:i w:val="0"/>
                <w:iCs w:val="0"/>
                <w:color w:val="000000"/>
                <w:sz w:val="22"/>
                <w:szCs w:val="22"/>
                <w:u w:val="none"/>
              </w:rPr>
            </w:pPr>
          </w:p>
        </w:tc>
      </w:tr>
      <w:tr w14:paraId="44794C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6D5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9BA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标牌标识、304不锈钢档鼠板</w:t>
            </w:r>
          </w:p>
        </w:tc>
        <w:tc>
          <w:tcPr>
            <w:tcW w:w="1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33A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定制</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B8D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慧客</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2F5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0E9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90CFB">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9C55B">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E7107">
            <w:pPr>
              <w:jc w:val="center"/>
              <w:rPr>
                <w:rFonts w:hint="eastAsia" w:ascii="宋体" w:hAnsi="宋体" w:eastAsia="宋体" w:cs="宋体"/>
                <w:i w:val="0"/>
                <w:iCs w:val="0"/>
                <w:color w:val="000000"/>
                <w:sz w:val="22"/>
                <w:szCs w:val="22"/>
                <w:u w:val="none"/>
              </w:rPr>
            </w:pPr>
          </w:p>
        </w:tc>
      </w:tr>
      <w:tr w14:paraId="237F20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C76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56</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0D1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垃圾清运</w:t>
            </w:r>
          </w:p>
        </w:tc>
        <w:tc>
          <w:tcPr>
            <w:tcW w:w="1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6AA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40车</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609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租赁</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732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车</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69A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56A13">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CF536">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1786B">
            <w:pPr>
              <w:jc w:val="center"/>
              <w:rPr>
                <w:rFonts w:hint="eastAsia" w:ascii="宋体" w:hAnsi="宋体" w:eastAsia="宋体" w:cs="宋体"/>
                <w:i w:val="0"/>
                <w:iCs w:val="0"/>
                <w:color w:val="000000"/>
                <w:sz w:val="22"/>
                <w:szCs w:val="22"/>
                <w:u w:val="none"/>
              </w:rPr>
            </w:pPr>
          </w:p>
        </w:tc>
      </w:tr>
      <w:tr w14:paraId="1F8BFE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825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99F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室外官网测试漏点</w:t>
            </w:r>
          </w:p>
        </w:tc>
        <w:tc>
          <w:tcPr>
            <w:tcW w:w="1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123B8">
            <w:pPr>
              <w:jc w:val="center"/>
              <w:rPr>
                <w:rFonts w:hint="eastAsia" w:ascii="宋体" w:hAnsi="宋体" w:eastAsia="宋体" w:cs="宋体"/>
                <w:i w:val="0"/>
                <w:iCs w:val="0"/>
                <w:color w:val="000000"/>
                <w:sz w:val="22"/>
                <w:szCs w:val="22"/>
                <w:u w:val="none"/>
              </w:rPr>
            </w:pP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E80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现场原有管道</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951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处</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75B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4AF1F">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21350">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33966">
            <w:pPr>
              <w:jc w:val="center"/>
              <w:rPr>
                <w:rFonts w:hint="eastAsia" w:ascii="宋体" w:hAnsi="宋体" w:eastAsia="宋体" w:cs="宋体"/>
                <w:i w:val="0"/>
                <w:iCs w:val="0"/>
                <w:color w:val="000000"/>
                <w:sz w:val="22"/>
                <w:szCs w:val="22"/>
                <w:u w:val="none"/>
              </w:rPr>
            </w:pPr>
          </w:p>
        </w:tc>
      </w:tr>
      <w:tr w14:paraId="1EEC23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549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58</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5B4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室外管道维修更换</w:t>
            </w:r>
          </w:p>
        </w:tc>
        <w:tc>
          <w:tcPr>
            <w:tcW w:w="1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6C5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钢丝网骨架复合管 DN200,含管件</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646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淄博鼎昌</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0F3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F12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230</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E7216">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80A4D">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2310E">
            <w:pPr>
              <w:jc w:val="center"/>
              <w:rPr>
                <w:rFonts w:hint="eastAsia" w:ascii="宋体" w:hAnsi="宋体" w:eastAsia="宋体" w:cs="宋体"/>
                <w:i w:val="0"/>
                <w:iCs w:val="0"/>
                <w:color w:val="000000"/>
                <w:sz w:val="22"/>
                <w:szCs w:val="22"/>
                <w:u w:val="none"/>
              </w:rPr>
            </w:pPr>
          </w:p>
        </w:tc>
      </w:tr>
      <w:tr w14:paraId="56421F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D3F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59</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509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室外挖沟槽土方</w:t>
            </w:r>
          </w:p>
        </w:tc>
        <w:tc>
          <w:tcPr>
            <w:tcW w:w="1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2D6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宽1.2米*长200米</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A70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机械开挖</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F17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立方米</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6BD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355</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AB23D">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89129">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7CCCD">
            <w:pPr>
              <w:jc w:val="center"/>
              <w:rPr>
                <w:rFonts w:hint="eastAsia" w:ascii="宋体" w:hAnsi="宋体" w:eastAsia="宋体" w:cs="宋体"/>
                <w:i w:val="0"/>
                <w:iCs w:val="0"/>
                <w:color w:val="000000"/>
                <w:sz w:val="22"/>
                <w:szCs w:val="22"/>
                <w:u w:val="none"/>
              </w:rPr>
            </w:pPr>
          </w:p>
        </w:tc>
      </w:tr>
      <w:tr w14:paraId="22AFB9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900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B99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室外土方回填</w:t>
            </w:r>
          </w:p>
        </w:tc>
        <w:tc>
          <w:tcPr>
            <w:tcW w:w="1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A60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素土回填</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F12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素土回填</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419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立方米</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6C3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355</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5A6E6">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5B42F">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28DE4">
            <w:pPr>
              <w:jc w:val="center"/>
              <w:rPr>
                <w:rFonts w:hint="eastAsia" w:ascii="宋体" w:hAnsi="宋体" w:eastAsia="宋体" w:cs="宋体"/>
                <w:i w:val="0"/>
                <w:iCs w:val="0"/>
                <w:color w:val="000000"/>
                <w:sz w:val="22"/>
                <w:szCs w:val="22"/>
                <w:u w:val="none"/>
              </w:rPr>
            </w:pPr>
          </w:p>
        </w:tc>
      </w:tr>
      <w:tr w14:paraId="1D898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010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61</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5D8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室外官网闸阀更换</w:t>
            </w:r>
          </w:p>
        </w:tc>
        <w:tc>
          <w:tcPr>
            <w:tcW w:w="1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45E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DN150</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309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上海申建</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115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只</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0F7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685FF">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2AC71">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43C48">
            <w:pPr>
              <w:jc w:val="center"/>
              <w:rPr>
                <w:rFonts w:hint="eastAsia" w:ascii="宋体" w:hAnsi="宋体" w:eastAsia="宋体" w:cs="宋体"/>
                <w:i w:val="0"/>
                <w:iCs w:val="0"/>
                <w:color w:val="000000"/>
                <w:sz w:val="22"/>
                <w:szCs w:val="22"/>
                <w:u w:val="none"/>
              </w:rPr>
            </w:pPr>
          </w:p>
        </w:tc>
      </w:tr>
      <w:tr w14:paraId="1741F0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FD5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92A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室外官网闸阀更换</w:t>
            </w:r>
          </w:p>
        </w:tc>
        <w:tc>
          <w:tcPr>
            <w:tcW w:w="1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D89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DN200</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27A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上海申建</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E3F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只</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961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E44E6">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9B3C7">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87C77">
            <w:pPr>
              <w:jc w:val="center"/>
              <w:rPr>
                <w:rFonts w:hint="eastAsia" w:ascii="宋体" w:hAnsi="宋体" w:eastAsia="宋体" w:cs="宋体"/>
                <w:i w:val="0"/>
                <w:iCs w:val="0"/>
                <w:color w:val="000000"/>
                <w:sz w:val="22"/>
                <w:szCs w:val="22"/>
                <w:u w:val="none"/>
              </w:rPr>
            </w:pPr>
          </w:p>
        </w:tc>
      </w:tr>
      <w:tr w14:paraId="5F8DE0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9FE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147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机械租赁费</w:t>
            </w:r>
          </w:p>
        </w:tc>
        <w:tc>
          <w:tcPr>
            <w:tcW w:w="1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FAD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机械租赁</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9D2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机械租赁</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28F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台班</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C7F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4A19A">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02A4D">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96FEC">
            <w:pPr>
              <w:jc w:val="center"/>
              <w:rPr>
                <w:rFonts w:hint="eastAsia" w:ascii="宋体" w:hAnsi="宋体" w:eastAsia="宋体" w:cs="宋体"/>
                <w:i w:val="0"/>
                <w:iCs w:val="0"/>
                <w:color w:val="000000"/>
                <w:sz w:val="22"/>
                <w:szCs w:val="22"/>
                <w:u w:val="none"/>
              </w:rPr>
            </w:pPr>
          </w:p>
        </w:tc>
      </w:tr>
      <w:tr w14:paraId="6C3FE0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532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29E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室内消火栓更换</w:t>
            </w:r>
          </w:p>
        </w:tc>
        <w:tc>
          <w:tcPr>
            <w:tcW w:w="1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03C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DN65</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F20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福建闵安</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8D5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574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10D69">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6B8CF">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9CEEF">
            <w:pPr>
              <w:jc w:val="center"/>
              <w:rPr>
                <w:rFonts w:hint="eastAsia" w:ascii="宋体" w:hAnsi="宋体" w:eastAsia="宋体" w:cs="宋体"/>
                <w:i w:val="0"/>
                <w:iCs w:val="0"/>
                <w:color w:val="000000"/>
                <w:sz w:val="22"/>
                <w:szCs w:val="22"/>
                <w:u w:val="none"/>
              </w:rPr>
            </w:pPr>
          </w:p>
        </w:tc>
      </w:tr>
      <w:tr w14:paraId="02BC5F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DCB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49A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室外消火栓更换</w:t>
            </w:r>
          </w:p>
        </w:tc>
        <w:tc>
          <w:tcPr>
            <w:tcW w:w="1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6DC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DN150</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185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福建闵安</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717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只</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761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B7B68">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1955C">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CADB2">
            <w:pPr>
              <w:jc w:val="center"/>
              <w:rPr>
                <w:rFonts w:hint="eastAsia" w:ascii="宋体" w:hAnsi="宋体" w:eastAsia="宋体" w:cs="宋体"/>
                <w:i w:val="0"/>
                <w:iCs w:val="0"/>
                <w:color w:val="000000"/>
                <w:sz w:val="22"/>
                <w:szCs w:val="22"/>
                <w:u w:val="none"/>
              </w:rPr>
            </w:pPr>
          </w:p>
        </w:tc>
      </w:tr>
      <w:tr w14:paraId="6B5A4A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239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66</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848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沥青路面恢复</w:t>
            </w:r>
          </w:p>
        </w:tc>
        <w:tc>
          <w:tcPr>
            <w:tcW w:w="1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CC8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AC-16mm</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DCB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济南华森</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8CD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平方米</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8F7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660EF">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07BC4">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1E9E5">
            <w:pPr>
              <w:jc w:val="center"/>
              <w:rPr>
                <w:rFonts w:hint="eastAsia" w:ascii="宋体" w:hAnsi="宋体" w:eastAsia="宋体" w:cs="宋体"/>
                <w:i w:val="0"/>
                <w:iCs w:val="0"/>
                <w:color w:val="000000"/>
                <w:sz w:val="22"/>
                <w:szCs w:val="22"/>
                <w:u w:val="none"/>
              </w:rPr>
            </w:pPr>
          </w:p>
        </w:tc>
      </w:tr>
      <w:tr w14:paraId="1928E6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4FB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67</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325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多余土方及施工垃圾清运费</w:t>
            </w:r>
          </w:p>
        </w:tc>
        <w:tc>
          <w:tcPr>
            <w:tcW w:w="1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146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40车</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852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租赁</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B6F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车</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1A1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34C56">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450FD">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BB425">
            <w:pPr>
              <w:jc w:val="center"/>
              <w:rPr>
                <w:rFonts w:hint="eastAsia" w:ascii="宋体" w:hAnsi="宋体" w:eastAsia="宋体" w:cs="宋体"/>
                <w:i w:val="0"/>
                <w:iCs w:val="0"/>
                <w:color w:val="000000"/>
                <w:sz w:val="22"/>
                <w:szCs w:val="22"/>
                <w:u w:val="none"/>
              </w:rPr>
            </w:pPr>
          </w:p>
        </w:tc>
      </w:tr>
      <w:tr w14:paraId="417B0C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8F3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68</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410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室外官网系统试压、冲洗等调试</w:t>
            </w:r>
          </w:p>
        </w:tc>
        <w:tc>
          <w:tcPr>
            <w:tcW w:w="1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1DD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先用真空泵气压试压、24h无降压泄露，在冲水冲压</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814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A13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5B5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81D9F">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DE364">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97BD6">
            <w:pPr>
              <w:jc w:val="center"/>
              <w:rPr>
                <w:rFonts w:hint="eastAsia" w:ascii="宋体" w:hAnsi="宋体" w:eastAsia="宋体" w:cs="宋体"/>
                <w:i w:val="0"/>
                <w:iCs w:val="0"/>
                <w:color w:val="000000"/>
                <w:sz w:val="22"/>
                <w:szCs w:val="22"/>
                <w:u w:val="none"/>
              </w:rPr>
            </w:pPr>
          </w:p>
        </w:tc>
      </w:tr>
      <w:tr w14:paraId="618FAF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616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69</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41C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火灾报警控制器/消防联动控制器(3200点)</w:t>
            </w:r>
          </w:p>
        </w:tc>
        <w:tc>
          <w:tcPr>
            <w:tcW w:w="1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A76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JB-QT-GST5000H</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F2B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秦皇岛海湾等</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CB3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40C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CEC2A">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6C0EA">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7FB46">
            <w:pPr>
              <w:jc w:val="center"/>
              <w:rPr>
                <w:rFonts w:hint="eastAsia" w:ascii="宋体" w:hAnsi="宋体" w:eastAsia="宋体" w:cs="宋体"/>
                <w:i w:val="0"/>
                <w:iCs w:val="0"/>
                <w:color w:val="000000"/>
                <w:sz w:val="22"/>
                <w:szCs w:val="22"/>
                <w:u w:val="none"/>
              </w:rPr>
            </w:pPr>
          </w:p>
        </w:tc>
      </w:tr>
      <w:tr w14:paraId="2A6E0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0C6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3EE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总线制操作盘</w:t>
            </w:r>
          </w:p>
        </w:tc>
        <w:tc>
          <w:tcPr>
            <w:tcW w:w="1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E42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GST-LD-SD128H</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C2E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秦皇岛海湾等</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AC1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776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359FC">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A221D">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97DE6">
            <w:pPr>
              <w:jc w:val="center"/>
              <w:rPr>
                <w:rFonts w:hint="eastAsia" w:ascii="宋体" w:hAnsi="宋体" w:eastAsia="宋体" w:cs="宋体"/>
                <w:i w:val="0"/>
                <w:iCs w:val="0"/>
                <w:color w:val="000000"/>
                <w:sz w:val="22"/>
                <w:szCs w:val="22"/>
                <w:u w:val="none"/>
              </w:rPr>
            </w:pPr>
          </w:p>
        </w:tc>
      </w:tr>
      <w:tr w14:paraId="784D25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55E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71</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22E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多线控制盘</w:t>
            </w:r>
          </w:p>
        </w:tc>
        <w:tc>
          <w:tcPr>
            <w:tcW w:w="1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995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GST-LD-KZ08H</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2B3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秦皇岛海湾等</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A71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7FF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8C879">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F74B6">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10FFA">
            <w:pPr>
              <w:jc w:val="center"/>
              <w:rPr>
                <w:rFonts w:hint="eastAsia" w:ascii="宋体" w:hAnsi="宋体" w:eastAsia="宋体" w:cs="宋体"/>
                <w:i w:val="0"/>
                <w:iCs w:val="0"/>
                <w:color w:val="000000"/>
                <w:sz w:val="22"/>
                <w:szCs w:val="22"/>
                <w:u w:val="none"/>
              </w:rPr>
            </w:pPr>
          </w:p>
        </w:tc>
      </w:tr>
      <w:tr w14:paraId="42150C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8A8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72</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4A1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非标单节立柜</w:t>
            </w:r>
          </w:p>
        </w:tc>
        <w:tc>
          <w:tcPr>
            <w:tcW w:w="1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5FF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LD-FB-1101</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A52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秦皇岛海湾等</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726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F04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600F2">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82E58">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5D487">
            <w:pPr>
              <w:jc w:val="center"/>
              <w:rPr>
                <w:rFonts w:hint="eastAsia" w:ascii="宋体" w:hAnsi="宋体" w:eastAsia="宋体" w:cs="宋体"/>
                <w:i w:val="0"/>
                <w:iCs w:val="0"/>
                <w:color w:val="000000"/>
                <w:sz w:val="22"/>
                <w:szCs w:val="22"/>
                <w:u w:val="none"/>
              </w:rPr>
            </w:pPr>
          </w:p>
        </w:tc>
      </w:tr>
      <w:tr w14:paraId="4CFC2C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621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73</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D1E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智能电源盘</w:t>
            </w:r>
          </w:p>
        </w:tc>
        <w:tc>
          <w:tcPr>
            <w:tcW w:w="1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FA0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GST-LD-D02H</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47E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秦皇岛海湾等</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9C9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561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BCF9B">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37726">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CF6FB">
            <w:pPr>
              <w:jc w:val="center"/>
              <w:rPr>
                <w:rFonts w:hint="eastAsia" w:ascii="宋体" w:hAnsi="宋体" w:eastAsia="宋体" w:cs="宋体"/>
                <w:i w:val="0"/>
                <w:iCs w:val="0"/>
                <w:color w:val="000000"/>
                <w:sz w:val="22"/>
                <w:szCs w:val="22"/>
                <w:u w:val="none"/>
              </w:rPr>
            </w:pPr>
          </w:p>
        </w:tc>
      </w:tr>
      <w:tr w14:paraId="496273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F1B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74</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2BB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CAN联网接口卡</w:t>
            </w:r>
          </w:p>
        </w:tc>
        <w:tc>
          <w:tcPr>
            <w:tcW w:w="1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F9B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GST-LWK5000H</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87F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秦皇岛海湾等</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5CB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A5B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23BAB">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F532E">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27B9E">
            <w:pPr>
              <w:jc w:val="center"/>
              <w:rPr>
                <w:rFonts w:hint="eastAsia" w:ascii="宋体" w:hAnsi="宋体" w:eastAsia="宋体" w:cs="宋体"/>
                <w:i w:val="0"/>
                <w:iCs w:val="0"/>
                <w:color w:val="000000"/>
                <w:sz w:val="22"/>
                <w:szCs w:val="22"/>
                <w:u w:val="none"/>
              </w:rPr>
            </w:pPr>
          </w:p>
        </w:tc>
      </w:tr>
      <w:tr w14:paraId="0E1251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568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E3E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消防应急广播设备</w:t>
            </w:r>
          </w:p>
        </w:tc>
        <w:tc>
          <w:tcPr>
            <w:tcW w:w="1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109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GST-XG9000S/T</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BF8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秦皇岛海湾等</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356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0FD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4272A">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A5C20">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2C6F1">
            <w:pPr>
              <w:jc w:val="center"/>
              <w:rPr>
                <w:rFonts w:hint="eastAsia" w:ascii="宋体" w:hAnsi="宋体" w:eastAsia="宋体" w:cs="宋体"/>
                <w:i w:val="0"/>
                <w:iCs w:val="0"/>
                <w:color w:val="000000"/>
                <w:sz w:val="22"/>
                <w:szCs w:val="22"/>
                <w:u w:val="none"/>
              </w:rPr>
            </w:pPr>
          </w:p>
        </w:tc>
      </w:tr>
      <w:tr w14:paraId="0147C3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5C2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76</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17A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广播功率放大器</w:t>
            </w:r>
          </w:p>
        </w:tc>
        <w:tc>
          <w:tcPr>
            <w:tcW w:w="1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632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GST-GF300WA</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6AB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秦皇岛海湾等</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064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25F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87B8A">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F01B2">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7C74B">
            <w:pPr>
              <w:jc w:val="center"/>
              <w:rPr>
                <w:rFonts w:hint="eastAsia" w:ascii="宋体" w:hAnsi="宋体" w:eastAsia="宋体" w:cs="宋体"/>
                <w:i w:val="0"/>
                <w:iCs w:val="0"/>
                <w:color w:val="000000"/>
                <w:sz w:val="22"/>
                <w:szCs w:val="22"/>
                <w:u w:val="none"/>
              </w:rPr>
            </w:pPr>
          </w:p>
        </w:tc>
      </w:tr>
      <w:tr w14:paraId="6B35A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5AB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77</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DE1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消防电话主机</w:t>
            </w:r>
          </w:p>
        </w:tc>
        <w:tc>
          <w:tcPr>
            <w:tcW w:w="1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E1B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TS-GSTN60</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EAE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秦皇岛海湾等</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D44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FB8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6921E">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D364B">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4ED71">
            <w:pPr>
              <w:jc w:val="center"/>
              <w:rPr>
                <w:rFonts w:hint="eastAsia" w:ascii="宋体" w:hAnsi="宋体" w:eastAsia="宋体" w:cs="宋体"/>
                <w:i w:val="0"/>
                <w:iCs w:val="0"/>
                <w:color w:val="000000"/>
                <w:sz w:val="22"/>
                <w:szCs w:val="22"/>
                <w:u w:val="none"/>
              </w:rPr>
            </w:pPr>
          </w:p>
        </w:tc>
      </w:tr>
      <w:tr w14:paraId="036DE6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F4B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78</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DFD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消防控制室图形显示装置</w:t>
            </w:r>
          </w:p>
        </w:tc>
        <w:tc>
          <w:tcPr>
            <w:tcW w:w="1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846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GST-QT-GM9200T</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CBD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秦皇岛海湾等</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0D5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D6A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8D4E6">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B538C">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E6222">
            <w:pPr>
              <w:jc w:val="center"/>
              <w:rPr>
                <w:rFonts w:hint="eastAsia" w:ascii="宋体" w:hAnsi="宋体" w:eastAsia="宋体" w:cs="宋体"/>
                <w:i w:val="0"/>
                <w:iCs w:val="0"/>
                <w:color w:val="000000"/>
                <w:sz w:val="22"/>
                <w:szCs w:val="22"/>
                <w:u w:val="none"/>
              </w:rPr>
            </w:pPr>
          </w:p>
        </w:tc>
      </w:tr>
      <w:tr w14:paraId="19BEAF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9F8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79</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C76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原有海湾设备接入调试费</w:t>
            </w:r>
          </w:p>
        </w:tc>
        <w:tc>
          <w:tcPr>
            <w:tcW w:w="1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03F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秦皇岛海湾</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184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秦皇岛海湾等</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93F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456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ADE9A">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3F8BC">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63FE6">
            <w:pPr>
              <w:jc w:val="center"/>
              <w:rPr>
                <w:rFonts w:hint="eastAsia" w:ascii="宋体" w:hAnsi="宋体" w:eastAsia="宋体" w:cs="宋体"/>
                <w:i w:val="0"/>
                <w:iCs w:val="0"/>
                <w:color w:val="000000"/>
                <w:sz w:val="22"/>
                <w:szCs w:val="22"/>
                <w:u w:val="none"/>
              </w:rPr>
            </w:pPr>
          </w:p>
        </w:tc>
      </w:tr>
      <w:tr w14:paraId="17A4A9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E1A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A6B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室外控制电缆</w:t>
            </w:r>
          </w:p>
        </w:tc>
        <w:tc>
          <w:tcPr>
            <w:tcW w:w="1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60E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NH-KVV-16*1.5</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BBF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绿灯行</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DDC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C62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440</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00B62">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200DB">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A6807">
            <w:pPr>
              <w:jc w:val="center"/>
              <w:rPr>
                <w:rFonts w:hint="eastAsia" w:ascii="宋体" w:hAnsi="宋体" w:eastAsia="宋体" w:cs="宋体"/>
                <w:i w:val="0"/>
                <w:iCs w:val="0"/>
                <w:color w:val="000000"/>
                <w:sz w:val="22"/>
                <w:szCs w:val="22"/>
                <w:u w:val="none"/>
              </w:rPr>
            </w:pPr>
          </w:p>
        </w:tc>
      </w:tr>
      <w:tr w14:paraId="595078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B54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81</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096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室外线路挖沟埋管</w:t>
            </w:r>
          </w:p>
        </w:tc>
        <w:tc>
          <w:tcPr>
            <w:tcW w:w="1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423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PVC100*2</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9C8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绿灯行</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AEF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808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510</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511E3">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86214">
            <w:pPr>
              <w:jc w:val="center"/>
              <w:rPr>
                <w:rFonts w:hint="eastAsia" w:ascii="宋体" w:hAnsi="宋体" w:eastAsia="宋体" w:cs="宋体"/>
                <w:i w:val="0"/>
                <w:iCs w:val="0"/>
                <w:color w:val="000000"/>
                <w:sz w:val="22"/>
                <w:szCs w:val="22"/>
                <w:u w:val="none"/>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00767">
            <w:pPr>
              <w:jc w:val="center"/>
              <w:rPr>
                <w:rFonts w:hint="eastAsia" w:ascii="宋体" w:hAnsi="宋体" w:eastAsia="宋体" w:cs="宋体"/>
                <w:i w:val="0"/>
                <w:iCs w:val="0"/>
                <w:color w:val="000000"/>
                <w:sz w:val="22"/>
                <w:szCs w:val="22"/>
                <w:u w:val="none"/>
              </w:rPr>
            </w:pPr>
          </w:p>
        </w:tc>
      </w:tr>
    </w:tbl>
    <w:p w14:paraId="4A6D1A57">
      <w:pPr>
        <w:jc w:val="center"/>
        <w:rPr>
          <w:rFonts w:hint="eastAsia" w:eastAsia="黑体"/>
          <w:b/>
          <w:bCs/>
          <w:sz w:val="28"/>
        </w:rPr>
      </w:pPr>
    </w:p>
    <w:p w14:paraId="1C9AE857">
      <w:pPr>
        <w:rPr>
          <w:rFonts w:hint="eastAsia" w:eastAsia="黑体"/>
          <w:b/>
          <w:bCs/>
          <w:sz w:val="28"/>
        </w:rPr>
      </w:pPr>
      <w:r>
        <w:rPr>
          <w:rFonts w:hint="eastAsia" w:eastAsia="黑体"/>
          <w:b/>
          <w:bCs/>
          <w:sz w:val="28"/>
        </w:rPr>
        <w:br w:type="page"/>
      </w:r>
    </w:p>
    <w:p w14:paraId="6616D12C">
      <w:pPr>
        <w:jc w:val="center"/>
        <w:rPr>
          <w:rFonts w:eastAsia="黑体"/>
          <w:b/>
          <w:bCs/>
          <w:sz w:val="28"/>
        </w:rPr>
      </w:pPr>
      <w:r>
        <w:rPr>
          <w:rFonts w:hint="eastAsia" w:eastAsia="黑体"/>
          <w:b/>
          <w:bCs/>
          <w:sz w:val="28"/>
        </w:rPr>
        <w:t>相关条款偏离表（含商务偏离及技术偏离）</w:t>
      </w:r>
    </w:p>
    <w:tbl>
      <w:tblPr>
        <w:tblStyle w:val="4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62965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00AAF023">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序号</w:t>
            </w:r>
          </w:p>
        </w:tc>
        <w:tc>
          <w:tcPr>
            <w:tcW w:w="4140" w:type="dxa"/>
            <w:gridSpan w:val="2"/>
            <w:vAlign w:val="center"/>
          </w:tcPr>
          <w:p w14:paraId="72CAAA69">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招标文件条款</w:t>
            </w:r>
          </w:p>
        </w:tc>
        <w:tc>
          <w:tcPr>
            <w:tcW w:w="3554" w:type="dxa"/>
            <w:vMerge w:val="restart"/>
            <w:vAlign w:val="center"/>
          </w:tcPr>
          <w:p w14:paraId="77296F8D">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偏离内容</w:t>
            </w:r>
          </w:p>
        </w:tc>
      </w:tr>
      <w:tr w14:paraId="01371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72BCB8BD">
            <w:pPr>
              <w:rPr>
                <w:rFonts w:hint="eastAsia" w:ascii="仿宋_GB2312" w:hAnsi="仿宋_GB2312" w:eastAsia="仿宋_GB2312" w:cs="仿宋_GB2312"/>
                <w:i w:val="0"/>
                <w:iCs w:val="0"/>
                <w:color w:val="000000"/>
                <w:kern w:val="0"/>
                <w:sz w:val="24"/>
                <w:szCs w:val="24"/>
                <w:u w:val="none"/>
                <w:lang w:val="en-US" w:eastAsia="zh-CN" w:bidi="ar"/>
              </w:rPr>
            </w:pPr>
          </w:p>
        </w:tc>
        <w:tc>
          <w:tcPr>
            <w:tcW w:w="1080" w:type="dxa"/>
            <w:vAlign w:val="center"/>
          </w:tcPr>
          <w:p w14:paraId="20962E7C">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条款号</w:t>
            </w:r>
          </w:p>
        </w:tc>
        <w:tc>
          <w:tcPr>
            <w:tcW w:w="3060" w:type="dxa"/>
            <w:vAlign w:val="center"/>
          </w:tcPr>
          <w:p w14:paraId="38264424">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条款要求</w:t>
            </w:r>
          </w:p>
        </w:tc>
        <w:tc>
          <w:tcPr>
            <w:tcW w:w="3554" w:type="dxa"/>
            <w:vMerge w:val="continue"/>
            <w:vAlign w:val="center"/>
          </w:tcPr>
          <w:p w14:paraId="696C849D">
            <w:pPr>
              <w:rPr>
                <w:rFonts w:hint="eastAsia" w:ascii="仿宋_GB2312" w:hAnsi="仿宋_GB2312" w:eastAsia="仿宋_GB2312" w:cs="仿宋_GB2312"/>
                <w:i w:val="0"/>
                <w:iCs w:val="0"/>
                <w:color w:val="000000"/>
                <w:kern w:val="0"/>
                <w:sz w:val="24"/>
                <w:szCs w:val="24"/>
                <w:u w:val="none"/>
                <w:lang w:val="en-US" w:eastAsia="zh-CN" w:bidi="ar"/>
              </w:rPr>
            </w:pPr>
          </w:p>
        </w:tc>
      </w:tr>
      <w:tr w14:paraId="038A1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3EA633C">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w:t>
            </w:r>
          </w:p>
        </w:tc>
        <w:tc>
          <w:tcPr>
            <w:tcW w:w="1080" w:type="dxa"/>
            <w:vAlign w:val="center"/>
          </w:tcPr>
          <w:p w14:paraId="320820E0">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14:paraId="5F82F0CB">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14:paraId="382FD772">
            <w:pPr>
              <w:rPr>
                <w:rFonts w:hint="eastAsia" w:ascii="仿宋_GB2312" w:hAnsi="仿宋_GB2312" w:eastAsia="仿宋_GB2312" w:cs="仿宋_GB2312"/>
                <w:i w:val="0"/>
                <w:iCs w:val="0"/>
                <w:color w:val="000000"/>
                <w:kern w:val="0"/>
                <w:sz w:val="24"/>
                <w:szCs w:val="24"/>
                <w:u w:val="none"/>
                <w:lang w:val="en-US" w:eastAsia="zh-CN" w:bidi="ar"/>
              </w:rPr>
            </w:pPr>
          </w:p>
        </w:tc>
      </w:tr>
      <w:tr w14:paraId="0C9FD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354ABA6">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w:t>
            </w:r>
          </w:p>
        </w:tc>
        <w:tc>
          <w:tcPr>
            <w:tcW w:w="1080" w:type="dxa"/>
            <w:vAlign w:val="center"/>
          </w:tcPr>
          <w:p w14:paraId="38315D9E">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14:paraId="5BFE9E5D">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14:paraId="4A0496EF">
            <w:pPr>
              <w:rPr>
                <w:rFonts w:hint="eastAsia" w:ascii="仿宋_GB2312" w:hAnsi="仿宋_GB2312" w:eastAsia="仿宋_GB2312" w:cs="仿宋_GB2312"/>
                <w:i w:val="0"/>
                <w:iCs w:val="0"/>
                <w:color w:val="000000"/>
                <w:kern w:val="0"/>
                <w:sz w:val="24"/>
                <w:szCs w:val="24"/>
                <w:u w:val="none"/>
                <w:lang w:val="en-US" w:eastAsia="zh-CN" w:bidi="ar"/>
              </w:rPr>
            </w:pPr>
          </w:p>
        </w:tc>
      </w:tr>
      <w:tr w14:paraId="0730C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C6A605F">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3</w:t>
            </w:r>
          </w:p>
        </w:tc>
        <w:tc>
          <w:tcPr>
            <w:tcW w:w="1080" w:type="dxa"/>
            <w:vAlign w:val="center"/>
          </w:tcPr>
          <w:p w14:paraId="23804881">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14:paraId="736E5DD2">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14:paraId="2DF1702F">
            <w:pPr>
              <w:rPr>
                <w:rFonts w:hint="eastAsia" w:ascii="仿宋_GB2312" w:hAnsi="仿宋_GB2312" w:eastAsia="仿宋_GB2312" w:cs="仿宋_GB2312"/>
                <w:i w:val="0"/>
                <w:iCs w:val="0"/>
                <w:color w:val="000000"/>
                <w:kern w:val="0"/>
                <w:sz w:val="24"/>
                <w:szCs w:val="24"/>
                <w:u w:val="none"/>
                <w:lang w:val="en-US" w:eastAsia="zh-CN" w:bidi="ar"/>
              </w:rPr>
            </w:pPr>
          </w:p>
        </w:tc>
      </w:tr>
      <w:tr w14:paraId="34A85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AD4BFDF">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4</w:t>
            </w:r>
          </w:p>
        </w:tc>
        <w:tc>
          <w:tcPr>
            <w:tcW w:w="1080" w:type="dxa"/>
            <w:vAlign w:val="center"/>
          </w:tcPr>
          <w:p w14:paraId="779D5045">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14:paraId="49072825">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14:paraId="24F0080B">
            <w:pPr>
              <w:rPr>
                <w:rFonts w:hint="eastAsia" w:ascii="仿宋_GB2312" w:hAnsi="仿宋_GB2312" w:eastAsia="仿宋_GB2312" w:cs="仿宋_GB2312"/>
                <w:i w:val="0"/>
                <w:iCs w:val="0"/>
                <w:color w:val="000000"/>
                <w:kern w:val="0"/>
                <w:sz w:val="24"/>
                <w:szCs w:val="24"/>
                <w:u w:val="none"/>
                <w:lang w:val="en-US" w:eastAsia="zh-CN" w:bidi="ar"/>
              </w:rPr>
            </w:pPr>
          </w:p>
        </w:tc>
      </w:tr>
      <w:tr w14:paraId="0F29B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5607EA8">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5</w:t>
            </w:r>
          </w:p>
        </w:tc>
        <w:tc>
          <w:tcPr>
            <w:tcW w:w="1080" w:type="dxa"/>
            <w:vAlign w:val="center"/>
          </w:tcPr>
          <w:p w14:paraId="75381E2C">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14:paraId="304AE35A">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14:paraId="3A23051C">
            <w:pPr>
              <w:rPr>
                <w:rFonts w:hint="eastAsia" w:ascii="仿宋_GB2312" w:hAnsi="仿宋_GB2312" w:eastAsia="仿宋_GB2312" w:cs="仿宋_GB2312"/>
                <w:i w:val="0"/>
                <w:iCs w:val="0"/>
                <w:color w:val="000000"/>
                <w:kern w:val="0"/>
                <w:sz w:val="24"/>
                <w:szCs w:val="24"/>
                <w:u w:val="none"/>
                <w:lang w:val="en-US" w:eastAsia="zh-CN" w:bidi="ar"/>
              </w:rPr>
            </w:pPr>
          </w:p>
        </w:tc>
      </w:tr>
      <w:tr w14:paraId="5B9B4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BA15282">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6</w:t>
            </w:r>
          </w:p>
        </w:tc>
        <w:tc>
          <w:tcPr>
            <w:tcW w:w="1080" w:type="dxa"/>
            <w:vAlign w:val="center"/>
          </w:tcPr>
          <w:p w14:paraId="0A2F0B17">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14:paraId="456F295B">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14:paraId="4E79B2E8">
            <w:pPr>
              <w:rPr>
                <w:rFonts w:hint="eastAsia" w:ascii="仿宋_GB2312" w:hAnsi="仿宋_GB2312" w:eastAsia="仿宋_GB2312" w:cs="仿宋_GB2312"/>
                <w:i w:val="0"/>
                <w:iCs w:val="0"/>
                <w:color w:val="000000"/>
                <w:kern w:val="0"/>
                <w:sz w:val="24"/>
                <w:szCs w:val="24"/>
                <w:u w:val="none"/>
                <w:lang w:val="en-US" w:eastAsia="zh-CN" w:bidi="ar"/>
              </w:rPr>
            </w:pPr>
          </w:p>
        </w:tc>
      </w:tr>
      <w:tr w14:paraId="1C5EE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522C42F">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7</w:t>
            </w:r>
          </w:p>
        </w:tc>
        <w:tc>
          <w:tcPr>
            <w:tcW w:w="1080" w:type="dxa"/>
            <w:vAlign w:val="center"/>
          </w:tcPr>
          <w:p w14:paraId="06E568F4">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14:paraId="1B60B3BF">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14:paraId="3CD61318">
            <w:pPr>
              <w:rPr>
                <w:rFonts w:hint="eastAsia" w:ascii="仿宋_GB2312" w:hAnsi="仿宋_GB2312" w:eastAsia="仿宋_GB2312" w:cs="仿宋_GB2312"/>
                <w:i w:val="0"/>
                <w:iCs w:val="0"/>
                <w:color w:val="000000"/>
                <w:kern w:val="0"/>
                <w:sz w:val="24"/>
                <w:szCs w:val="24"/>
                <w:u w:val="none"/>
                <w:lang w:val="en-US" w:eastAsia="zh-CN" w:bidi="ar"/>
              </w:rPr>
            </w:pPr>
          </w:p>
        </w:tc>
      </w:tr>
      <w:tr w14:paraId="0AB78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8541696">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8</w:t>
            </w:r>
          </w:p>
        </w:tc>
        <w:tc>
          <w:tcPr>
            <w:tcW w:w="1080" w:type="dxa"/>
            <w:vAlign w:val="center"/>
          </w:tcPr>
          <w:p w14:paraId="055DA0E5">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14:paraId="25A945D7">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14:paraId="46D6A932">
            <w:pPr>
              <w:rPr>
                <w:rFonts w:hint="eastAsia" w:ascii="仿宋_GB2312" w:hAnsi="仿宋_GB2312" w:eastAsia="仿宋_GB2312" w:cs="仿宋_GB2312"/>
                <w:i w:val="0"/>
                <w:iCs w:val="0"/>
                <w:color w:val="000000"/>
                <w:kern w:val="0"/>
                <w:sz w:val="24"/>
                <w:szCs w:val="24"/>
                <w:u w:val="none"/>
                <w:lang w:val="en-US" w:eastAsia="zh-CN" w:bidi="ar"/>
              </w:rPr>
            </w:pPr>
          </w:p>
        </w:tc>
      </w:tr>
      <w:tr w14:paraId="1A224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39694CE">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9</w:t>
            </w:r>
          </w:p>
        </w:tc>
        <w:tc>
          <w:tcPr>
            <w:tcW w:w="1080" w:type="dxa"/>
            <w:vAlign w:val="center"/>
          </w:tcPr>
          <w:p w14:paraId="380101BD">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14:paraId="50358E18">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14:paraId="6A4B67DF">
            <w:pPr>
              <w:rPr>
                <w:rFonts w:hint="eastAsia" w:ascii="仿宋_GB2312" w:hAnsi="仿宋_GB2312" w:eastAsia="仿宋_GB2312" w:cs="仿宋_GB2312"/>
                <w:i w:val="0"/>
                <w:iCs w:val="0"/>
                <w:color w:val="000000"/>
                <w:kern w:val="0"/>
                <w:sz w:val="24"/>
                <w:szCs w:val="24"/>
                <w:u w:val="none"/>
                <w:lang w:val="en-US" w:eastAsia="zh-CN" w:bidi="ar"/>
              </w:rPr>
            </w:pPr>
          </w:p>
        </w:tc>
      </w:tr>
      <w:tr w14:paraId="5C67F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826C2BE">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10</w:t>
            </w:r>
          </w:p>
        </w:tc>
        <w:tc>
          <w:tcPr>
            <w:tcW w:w="1080" w:type="dxa"/>
            <w:vAlign w:val="center"/>
          </w:tcPr>
          <w:p w14:paraId="45C4E038">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14:paraId="0F4D4478">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14:paraId="6D1C68AE">
            <w:pPr>
              <w:rPr>
                <w:rFonts w:hint="eastAsia" w:ascii="仿宋_GB2312" w:hAnsi="仿宋_GB2312" w:eastAsia="仿宋_GB2312" w:cs="仿宋_GB2312"/>
                <w:i w:val="0"/>
                <w:iCs w:val="0"/>
                <w:color w:val="000000"/>
                <w:kern w:val="0"/>
                <w:sz w:val="24"/>
                <w:szCs w:val="24"/>
                <w:u w:val="none"/>
                <w:lang w:val="en-US" w:eastAsia="zh-CN" w:bidi="ar"/>
              </w:rPr>
            </w:pPr>
          </w:p>
        </w:tc>
      </w:tr>
    </w:tbl>
    <w:p w14:paraId="1CA78D45">
      <w:pPr>
        <w:rPr>
          <w:rFonts w:hint="eastAsia" w:ascii="仿宋_GB2312" w:hAnsi="仿宋_GB2312" w:eastAsia="仿宋_GB2312" w:cs="仿宋_GB2312"/>
          <w:i w:val="0"/>
          <w:iCs w:val="0"/>
          <w:color w:val="000000"/>
          <w:kern w:val="0"/>
          <w:sz w:val="24"/>
          <w:szCs w:val="24"/>
          <w:u w:val="none"/>
          <w:lang w:val="en-US" w:eastAsia="zh-CN" w:bidi="ar"/>
        </w:rPr>
      </w:pPr>
    </w:p>
    <w:p w14:paraId="427B7697">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投标人名称（盖章）：              法定代表人或授权代表签字：</w:t>
      </w:r>
    </w:p>
    <w:p w14:paraId="19B10CE0">
      <w:pPr>
        <w:rPr>
          <w:rFonts w:hint="eastAsia" w:ascii="仿宋_GB2312" w:hAnsi="仿宋_GB2312" w:eastAsia="仿宋_GB2312" w:cs="仿宋_GB2312"/>
          <w:i w:val="0"/>
          <w:iCs w:val="0"/>
          <w:color w:val="000000"/>
          <w:kern w:val="0"/>
          <w:sz w:val="24"/>
          <w:szCs w:val="24"/>
          <w:u w:val="none"/>
          <w:lang w:val="en-US" w:eastAsia="zh-CN" w:bidi="ar"/>
        </w:rPr>
      </w:pPr>
    </w:p>
    <w:p w14:paraId="22EDEB97">
      <w:pPr>
        <w:rPr>
          <w:rFonts w:hint="eastAsia" w:ascii="仿宋_GB2312" w:hAnsi="仿宋_GB2312" w:eastAsia="仿宋_GB2312" w:cs="仿宋_GB2312"/>
          <w:i w:val="0"/>
          <w:iCs w:val="0"/>
          <w:color w:val="000000"/>
          <w:kern w:val="0"/>
          <w:sz w:val="24"/>
          <w:szCs w:val="24"/>
          <w:u w:val="none"/>
          <w:lang w:val="en-US" w:eastAsia="zh-CN" w:bidi="ar"/>
        </w:rPr>
      </w:pPr>
    </w:p>
    <w:p w14:paraId="2F6FC544">
      <w:pPr>
        <w:rPr>
          <w:rFonts w:hint="eastAsia" w:hAnsi="宋体" w:eastAsia="宋体" w:cs="宋体"/>
          <w:b/>
          <w:bCs/>
          <w:color w:val="000000"/>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注：为避免歧义，无偏离也应要提报该表，并注明“无”字。如无该表则即使在其它部分已反映，将也被视为“无偏离”。</w:t>
      </w:r>
    </w:p>
    <w:p w14:paraId="2EC6DF5B">
      <w:pPr>
        <w:rPr>
          <w:rFonts w:hint="eastAsia" w:hAnsi="宋体" w:eastAsia="宋体" w:cs="宋体"/>
          <w:b/>
          <w:bCs/>
          <w:color w:val="000000"/>
          <w:sz w:val="24"/>
          <w:szCs w:val="24"/>
          <w:highlight w:val="none"/>
        </w:rPr>
      </w:pPr>
      <w:r>
        <w:rPr>
          <w:rFonts w:hint="eastAsia" w:hAnsi="宋体" w:eastAsia="宋体" w:cs="宋体"/>
          <w:b/>
          <w:bCs/>
          <w:color w:val="000000"/>
          <w:sz w:val="24"/>
          <w:szCs w:val="24"/>
          <w:highlight w:val="none"/>
        </w:rPr>
        <w:br w:type="page"/>
      </w:r>
    </w:p>
    <w:p w14:paraId="0B13CA40">
      <w:pPr>
        <w:pStyle w:val="25"/>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1F340AF8">
      <w:pPr>
        <w:adjustRightInd w:val="0"/>
        <w:snapToGrid w:val="0"/>
        <w:jc w:val="left"/>
        <w:rPr>
          <w:rFonts w:ascii="宋体" w:hAnsi="宋体" w:eastAsia="宋体" w:cs="宋体"/>
          <w:sz w:val="24"/>
          <w:szCs w:val="24"/>
        </w:rPr>
      </w:pPr>
    </w:p>
    <w:p w14:paraId="4428661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53F35A8F">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5FE81A02">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5"/>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06AC02F9">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43E0CCFD">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16" cstate="print"/>
                    <a:srcRect/>
                    <a:stretch>
                      <a:fillRect/>
                    </a:stretch>
                  </pic:blipFill>
                  <pic:spPr>
                    <a:xfrm>
                      <a:off x="0" y="0"/>
                      <a:ext cx="5760085" cy="2933065"/>
                    </a:xfrm>
                    <a:prstGeom prst="rect">
                      <a:avLst/>
                    </a:prstGeom>
                  </pic:spPr>
                </pic:pic>
              </a:graphicData>
            </a:graphic>
          </wp:inline>
        </w:drawing>
      </w:r>
    </w:p>
    <w:p w14:paraId="38147027">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0C3D2B1B">
      <w:pPr>
        <w:spacing w:line="360" w:lineRule="auto"/>
        <w:rPr>
          <w:rFonts w:ascii="宋体" w:hAnsi="宋体" w:eastAsia="宋体" w:cs="宋体"/>
          <w:sz w:val="24"/>
          <w:szCs w:val="28"/>
        </w:rPr>
      </w:pPr>
    </w:p>
    <w:p w14:paraId="73620843">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17" cstate="print"/>
                    <a:srcRect/>
                    <a:stretch>
                      <a:fillRect/>
                    </a:stretch>
                  </pic:blipFill>
                  <pic:spPr>
                    <a:xfrm>
                      <a:off x="0" y="0"/>
                      <a:ext cx="5760085" cy="2766695"/>
                    </a:xfrm>
                    <a:prstGeom prst="rect">
                      <a:avLst/>
                    </a:prstGeom>
                  </pic:spPr>
                </pic:pic>
              </a:graphicData>
            </a:graphic>
          </wp:inline>
        </w:drawing>
      </w:r>
    </w:p>
    <w:p w14:paraId="1DF6345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71D49BE">
      <w:pPr>
        <w:snapToGrid w:val="0"/>
        <w:spacing w:line="312" w:lineRule="auto"/>
      </w:pPr>
      <w: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18" cstate="print"/>
                    <a:srcRect/>
                    <a:stretch>
                      <a:fillRect/>
                    </a:stretch>
                  </pic:blipFill>
                  <pic:spPr>
                    <a:xfrm>
                      <a:off x="0" y="0"/>
                      <a:ext cx="5760085" cy="2869565"/>
                    </a:xfrm>
                    <a:prstGeom prst="rect">
                      <a:avLst/>
                    </a:prstGeom>
                  </pic:spPr>
                </pic:pic>
              </a:graphicData>
            </a:graphic>
          </wp:inline>
        </w:drawing>
      </w:r>
    </w:p>
    <w:p w14:paraId="258F46E5">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EC3BF17">
      <w:pPr>
        <w:snapToGrid w:val="0"/>
        <w:spacing w:line="312" w:lineRule="auto"/>
      </w:pPr>
      <w: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9" cstate="print"/>
                    <a:srcRect/>
                    <a:stretch>
                      <a:fillRect/>
                    </a:stretch>
                  </pic:blipFill>
                  <pic:spPr>
                    <a:xfrm>
                      <a:off x="0" y="0"/>
                      <a:ext cx="5760085" cy="2853055"/>
                    </a:xfrm>
                    <a:prstGeom prst="rect">
                      <a:avLst/>
                    </a:prstGeom>
                  </pic:spPr>
                </pic:pic>
              </a:graphicData>
            </a:graphic>
          </wp:inline>
        </w:drawing>
      </w:r>
    </w:p>
    <w:p w14:paraId="619779B8">
      <w:pPr>
        <w:numPr>
          <w:ilvl w:val="0"/>
          <w:numId w:val="10"/>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0"/>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3A98D68D">
      <w: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21" cstate="print"/>
                    <a:srcRect/>
                    <a:stretch>
                      <a:fillRect/>
                    </a:stretch>
                  </pic:blipFill>
                  <pic:spPr>
                    <a:xfrm>
                      <a:off x="0" y="0"/>
                      <a:ext cx="5760085" cy="2809875"/>
                    </a:xfrm>
                    <a:prstGeom prst="rect">
                      <a:avLst/>
                    </a:prstGeom>
                  </pic:spPr>
                </pic:pic>
              </a:graphicData>
            </a:graphic>
          </wp:inline>
        </w:drawing>
      </w:r>
    </w:p>
    <w:p w14:paraId="43BDB6C9">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377A2D12">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65FE416">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5E34F900">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货物 / 安全消防</w:t>
      </w:r>
      <w:r>
        <w:rPr>
          <w:rFonts w:hint="eastAsia" w:ascii="宋体" w:hAnsi="宋体" w:eastAsia="宋体" w:cs="宋体"/>
          <w:b/>
          <w:bCs/>
          <w:color w:val="000000"/>
          <w:sz w:val="24"/>
          <w:szCs w:val="28"/>
          <w:highlight w:val="none"/>
        </w:rPr>
        <w:t>”，业务主管部门选择“</w:t>
      </w:r>
      <w:r>
        <w:rPr>
          <w:rFonts w:hint="eastAsia" w:ascii="宋体" w:hAnsi="宋体" w:eastAsia="宋体" w:cs="宋体"/>
          <w:b/>
          <w:bCs/>
          <w:color w:val="000000"/>
          <w:sz w:val="24"/>
          <w:szCs w:val="28"/>
          <w:highlight w:val="yellow"/>
        </w:rPr>
        <w:t>安全环保部</w:t>
      </w:r>
      <w:r>
        <w:rPr>
          <w:rFonts w:hint="eastAsia" w:ascii="宋体" w:hAnsi="宋体" w:eastAsia="宋体" w:cs="宋体"/>
          <w:b/>
          <w:bCs/>
          <w:color w:val="000000"/>
          <w:sz w:val="24"/>
          <w:szCs w:val="28"/>
          <w:highlight w:val="none"/>
        </w:rPr>
        <w:t>”。</w:t>
      </w:r>
    </w:p>
    <w:p w14:paraId="1D2D9672">
      <w:pPr>
        <w:keepNext w:val="0"/>
        <w:keepLines w:val="0"/>
        <w:pageBreakBefore w:val="0"/>
        <w:widowControl w:val="0"/>
        <w:numPr>
          <w:ilvl w:val="0"/>
          <w:numId w:val="12"/>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26286373">
      <w:pPr>
        <w:outlineLvl w:val="9"/>
        <w:rPr>
          <w:rFonts w:hint="default"/>
          <w:lang w:val="en-US" w:eastAsia="zh-CN"/>
        </w:rPr>
        <w:sectPr>
          <w:headerReference r:id="rId9" w:type="first"/>
          <w:footerReference r:id="rId11" w:type="first"/>
          <w:headerReference r:id="rId8" w:type="default"/>
          <w:footerReference r:id="rId10"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2"/>
                    <a:stretch>
                      <a:fillRect/>
                    </a:stretch>
                  </pic:blipFill>
                  <pic:spPr>
                    <a:xfrm>
                      <a:off x="0" y="0"/>
                      <a:ext cx="5486400" cy="2661285"/>
                    </a:xfrm>
                    <a:prstGeom prst="rect">
                      <a:avLst/>
                    </a:prstGeom>
                    <a:noFill/>
                    <a:ln>
                      <a:noFill/>
                    </a:ln>
                  </pic:spPr>
                </pic:pic>
              </a:graphicData>
            </a:graphic>
          </wp:inline>
        </w:drawing>
      </w:r>
    </w:p>
    <w:p w14:paraId="1D419B5D">
      <w:pPr>
        <w:pStyle w:val="234"/>
        <w:numPr>
          <w:ilvl w:val="0"/>
          <w:numId w:val="0"/>
        </w:numPr>
        <w:ind w:leftChars="0"/>
        <w:outlineLvl w:val="2"/>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附件二 SRM系统供应商用户手册</w:t>
      </w:r>
    </w:p>
    <w:p w14:paraId="4014C854">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54"/>
          <w:rFonts w:hint="eastAsia" w:ascii="宋体" w:hAnsi="宋体" w:eastAsia="宋体" w:cs="宋体"/>
          <w:sz w:val="24"/>
          <w:szCs w:val="24"/>
        </w:rPr>
        <w:t>http</w:t>
      </w:r>
      <w:r>
        <w:rPr>
          <w:rStyle w:val="54"/>
          <w:rFonts w:hint="eastAsia" w:ascii="宋体" w:hAnsi="宋体" w:eastAsia="宋体" w:cs="宋体"/>
          <w:sz w:val="24"/>
          <w:szCs w:val="24"/>
          <w:lang w:val="en-US" w:eastAsia="zh-CN"/>
        </w:rPr>
        <w:t>s</w:t>
      </w:r>
      <w:r>
        <w:rPr>
          <w:rStyle w:val="54"/>
          <w:rFonts w:hint="eastAsia" w:ascii="宋体" w:hAnsi="宋体" w:eastAsia="宋体" w:cs="宋体"/>
          <w:sz w:val="24"/>
          <w:szCs w:val="24"/>
        </w:rPr>
        <w:t>://ecaitong.sinotruk.com:8012/</w:t>
      </w:r>
      <w:r>
        <w:rPr>
          <w:rStyle w:val="54"/>
          <w:rFonts w:hint="eastAsia" w:ascii="宋体" w:hAnsi="宋体" w:eastAsia="宋体" w:cs="宋体"/>
          <w:sz w:val="24"/>
          <w:szCs w:val="24"/>
        </w:rPr>
        <w:fldChar w:fldCharType="end"/>
      </w:r>
    </w:p>
    <w:p w14:paraId="0224AA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60FE9C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9D800F0">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92809BF">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23" cstate="print"/>
                    <a:srcRect/>
                    <a:stretch>
                      <a:fillRect/>
                    </a:stretch>
                  </pic:blipFill>
                  <pic:spPr>
                    <a:xfrm>
                      <a:off x="0" y="0"/>
                      <a:ext cx="5760085" cy="2269490"/>
                    </a:xfrm>
                    <a:prstGeom prst="rect">
                      <a:avLst/>
                    </a:prstGeom>
                  </pic:spPr>
                </pic:pic>
              </a:graphicData>
            </a:graphic>
          </wp:inline>
        </w:drawing>
      </w:r>
    </w:p>
    <w:p w14:paraId="7F5F97E1">
      <w:pPr>
        <w:pStyle w:val="25"/>
      </w:pPr>
    </w:p>
    <w:p w14:paraId="44F04E35">
      <w:pPr>
        <w:pStyle w:val="25"/>
      </w:pPr>
      <w:r>
        <w:rPr>
          <w:rFonts w:hint="eastAsia" w:cs="Times New Roman"/>
          <w:b/>
          <w:bCs/>
          <w:highlight w:val="none"/>
          <w:lang w:val="en-US" w:eastAsia="zh-CN"/>
        </w:rPr>
        <w:t>2、应标页面否为代理商请如实选择，若为代理商应标，请在应标后联系商务联系人</w:t>
      </w:r>
    </w:p>
    <w:p w14:paraId="253C2BE3"/>
    <w:p w14:paraId="4049123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A173815">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2833D22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4" cstate="print"/>
                    <a:srcRect/>
                    <a:stretch>
                      <a:fillRect/>
                    </a:stretch>
                  </pic:blipFill>
                  <pic:spPr>
                    <a:xfrm>
                      <a:off x="0" y="0"/>
                      <a:ext cx="5760085" cy="2125345"/>
                    </a:xfrm>
                    <a:prstGeom prst="rect">
                      <a:avLst/>
                    </a:prstGeom>
                  </pic:spPr>
                </pic:pic>
              </a:graphicData>
            </a:graphic>
          </wp:inline>
        </w:drawing>
      </w:r>
    </w:p>
    <w:p w14:paraId="6B3098E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4AE5A03E">
      <w:pPr>
        <w:pStyle w:val="25"/>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2D8BBF64">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5" cstate="print"/>
                    <a:srcRect/>
                    <a:stretch>
                      <a:fillRect/>
                    </a:stretch>
                  </pic:blipFill>
                  <pic:spPr>
                    <a:xfrm>
                      <a:off x="0" y="0"/>
                      <a:ext cx="5490210" cy="2668905"/>
                    </a:xfrm>
                    <a:prstGeom prst="rect">
                      <a:avLst/>
                    </a:prstGeom>
                  </pic:spPr>
                </pic:pic>
              </a:graphicData>
            </a:graphic>
          </wp:inline>
        </w:drawing>
      </w:r>
    </w:p>
    <w:p w14:paraId="5FC6BCB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260FDD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84113DA">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B91C314">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6" cstate="print"/>
                    <a:srcRect/>
                    <a:stretch>
                      <a:fillRect/>
                    </a:stretch>
                  </pic:blipFill>
                  <pic:spPr>
                    <a:xfrm>
                      <a:off x="0" y="0"/>
                      <a:ext cx="5490210" cy="1992629"/>
                    </a:xfrm>
                    <a:prstGeom prst="rect">
                      <a:avLst/>
                    </a:prstGeom>
                  </pic:spPr>
                </pic:pic>
              </a:graphicData>
            </a:graphic>
          </wp:inline>
        </w:drawing>
      </w:r>
    </w:p>
    <w:p w14:paraId="626AAE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1B0F8D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1028E20B">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44583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C35D62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24B52E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1529799">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7" cstate="print"/>
                    <a:srcRect/>
                    <a:stretch>
                      <a:fillRect/>
                    </a:stretch>
                  </pic:blipFill>
                  <pic:spPr>
                    <a:xfrm>
                      <a:off x="0" y="0"/>
                      <a:ext cx="5490210" cy="2544445"/>
                    </a:xfrm>
                    <a:prstGeom prst="rect">
                      <a:avLst/>
                    </a:prstGeom>
                  </pic:spPr>
                </pic:pic>
              </a:graphicData>
            </a:graphic>
          </wp:inline>
        </w:drawing>
      </w:r>
    </w:p>
    <w:p w14:paraId="352E2EE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845FF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902E253">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DF53F64">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8" cstate="print"/>
                    <a:srcRect/>
                    <a:stretch>
                      <a:fillRect/>
                    </a:stretch>
                  </pic:blipFill>
                  <pic:spPr>
                    <a:xfrm>
                      <a:off x="0" y="0"/>
                      <a:ext cx="5760085" cy="1956435"/>
                    </a:xfrm>
                    <a:prstGeom prst="rect">
                      <a:avLst/>
                    </a:prstGeom>
                  </pic:spPr>
                </pic:pic>
              </a:graphicData>
            </a:graphic>
          </wp:inline>
        </w:drawing>
      </w:r>
    </w:p>
    <w:p w14:paraId="3FF7DF5D">
      <w:pPr>
        <w:pStyle w:val="25"/>
        <w:rPr>
          <w:rFonts w:hAnsi="宋体" w:eastAsia="宋体" w:cs="Times New Roman"/>
          <w:b/>
          <w:color w:val="000000"/>
          <w:sz w:val="24"/>
          <w:szCs w:val="24"/>
        </w:rPr>
      </w:pPr>
    </w:p>
    <w:p w14:paraId="3CEE3B78">
      <w:pPr>
        <w:pStyle w:val="25"/>
        <w:rPr>
          <w:rFonts w:hAnsi="宋体" w:eastAsia="宋体" w:cs="Times New Roman"/>
          <w:b/>
          <w:color w:val="000000"/>
          <w:sz w:val="24"/>
          <w:szCs w:val="24"/>
        </w:rPr>
      </w:pPr>
    </w:p>
    <w:p w14:paraId="67DF5B41">
      <w:pPr>
        <w:rPr>
          <w:rFonts w:hint="default" w:ascii="宋体" w:hAnsi="宋体" w:eastAsia="宋体" w:cs="宋体"/>
          <w:sz w:val="24"/>
          <w:szCs w:val="24"/>
          <w:lang w:val="en-US"/>
        </w:rPr>
      </w:pPr>
    </w:p>
    <w:p w14:paraId="3A5EB836">
      <w:pPr>
        <w:pStyle w:val="223"/>
        <w:ind w:left="0" w:leftChars="0" w:right="960" w:firstLine="0" w:firstLineChars="0"/>
        <w:jc w:val="both"/>
        <w:rPr>
          <w:rFonts w:hint="eastAsia" w:asciiTheme="minorEastAsia" w:hAnsiTheme="minorEastAsia" w:eastAsiaTheme="minorEastAsia" w:cstheme="minorEastAsia"/>
        </w:rPr>
      </w:pPr>
    </w:p>
    <w:sectPr>
      <w:headerReference r:id="rId12" w:type="default"/>
      <w:footerReference r:id="rId13" w:type="default"/>
      <w:pgSz w:w="11906" w:h="16838"/>
      <w:pgMar w:top="1134" w:right="1134" w:bottom="1134" w:left="1134" w:header="737" w:footer="573"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
    <w:altName w:val="等线"/>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楷体_GB2312">
    <w:panose1 w:val="02010609030101010101"/>
    <w:charset w:val="86"/>
    <w:family w:val="modern"/>
    <w:pitch w:val="default"/>
    <w:sig w:usb0="00000001" w:usb1="080E0000" w:usb2="00000000" w:usb3="00000000" w:csb0="00040000" w:csb1="0000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S Gothic">
    <w:panose1 w:val="020B0609070205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AE670">
    <w:pPr>
      <w:pStyle w:val="31"/>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7EC07BB">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7EC07BB">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6EDD5">
    <w:pPr>
      <w:pStyle w:val="31"/>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14137EB">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214137EB">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84C72">
    <w:pPr>
      <w:pStyle w:val="31"/>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4" name="文本框 10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F383292">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2"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0knKMwBAACUAwAADgAAAAAAAAABACAAAAAfAQAAZHJzL2Uy&#10;b0RvYy54bWxQSwUGAAAAAAYABgBZAQAAXQUAAAAA&#10;">
              <v:fill on="f" focussize="0,0"/>
              <v:stroke on="f"/>
              <v:imagedata o:title=""/>
              <o:lock v:ext="edit" aspectratio="f"/>
              <v:textbox inset="0mm,0mm,0mm,0mm" style="mso-fit-shape-to-text:t;">
                <w:txbxContent>
                  <w:p w14:paraId="0F383292">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4BB72">
    <w:pPr>
      <w:pStyle w:val="31"/>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5" name="文本框 10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2C7F0CB">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3"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HSZgMwBAACUAwAADgAAAAAAAAABACAAAAAfAQAAZHJzL2Uy&#10;b0RvYy54bWxQSwUGAAAAAAYABgBZAQAAXQUAAAAA&#10;">
              <v:fill on="f" focussize="0,0"/>
              <v:stroke on="f"/>
              <v:imagedata o:title=""/>
              <o:lock v:ext="edit" aspectratio="f"/>
              <v:textbox inset="0mm,0mm,0mm,0mm" style="mso-fit-shape-to-text:t;">
                <w:txbxContent>
                  <w:p w14:paraId="42C7F0CB">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5DE4B">
    <w:pPr>
      <w:pStyle w:val="31"/>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5F8E294">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14:paraId="25F8E294">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80EE6">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A8C882">
                          <w:pPr>
                            <w:pStyle w:val="31"/>
                          </w:pPr>
                          <w:r>
                            <w:t xml:space="preserve">第 </w:t>
                          </w:r>
                          <w:r>
                            <w:fldChar w:fldCharType="begin"/>
                          </w:r>
                          <w:r>
                            <w:instrText xml:space="preserve"> PAGE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BA8C882">
                    <w:pPr>
                      <w:pStyle w:val="31"/>
                    </w:pPr>
                    <w:r>
                      <w:t xml:space="preserve">第 </w:t>
                    </w:r>
                    <w:r>
                      <w:fldChar w:fldCharType="begin"/>
                    </w:r>
                    <w:r>
                      <w:instrText xml:space="preserve"> PAGE  \* MERGEFORMAT </w:instrText>
                    </w:r>
                    <w:r>
                      <w:fldChar w:fldCharType="separate"/>
                    </w:r>
                    <w:r>
                      <w:t>40</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3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32"/>
    </w:pPr>
  </w:p>
  <w:p w14:paraId="75DC59E1">
    <w:pPr>
      <w:pStyle w:val="3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39094">
    <w:pPr>
      <w:pStyle w:val="3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B7FDD">
    <w:pPr>
      <w:pStyle w:val="32"/>
      <w:pBdr>
        <w:bottom w:val="single" w:color="auto" w:sz="6" w:space="0"/>
      </w:pBdr>
      <w:jc w:val="both"/>
      <w:rPr>
        <w:rFonts w:hint="eastAsia" w:eastAsia="宋体"/>
        <w:sz w:val="16"/>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569400B"/>
    <w:multiLevelType w:val="singleLevel"/>
    <w:tmpl w:val="D569400B"/>
    <w:lvl w:ilvl="0" w:tentative="0">
      <w:start w:val="1"/>
      <w:numFmt w:val="decimal"/>
      <w:suff w:val="nothing"/>
      <w:lvlText w:val="%1．"/>
      <w:lvlJc w:val="left"/>
      <w:pPr>
        <w:ind w:left="0" w:firstLine="400"/>
      </w:pPr>
      <w:rPr>
        <w:rFonts w:hint="default"/>
      </w:rPr>
    </w:lvl>
  </w:abstractNum>
  <w:abstractNum w:abstractNumId="1">
    <w:nsid w:val="F54BF83F"/>
    <w:multiLevelType w:val="singleLevel"/>
    <w:tmpl w:val="F54BF83F"/>
    <w:lvl w:ilvl="0" w:tentative="0">
      <w:start w:val="1"/>
      <w:numFmt w:val="decimal"/>
      <w:suff w:val="space"/>
      <w:lvlText w:val="%1."/>
      <w:lvlJc w:val="left"/>
      <w:pPr>
        <w:ind w:left="0" w:firstLine="0"/>
      </w:pPr>
    </w:lvl>
  </w:abstractNum>
  <w:abstractNum w:abstractNumId="2">
    <w:nsid w:val="FDE192CE"/>
    <w:multiLevelType w:val="singleLevel"/>
    <w:tmpl w:val="FDE192CE"/>
    <w:lvl w:ilvl="0" w:tentative="0">
      <w:start w:val="4"/>
      <w:numFmt w:val="decimal"/>
      <w:suff w:val="nothing"/>
      <w:lvlText w:val="（%1）"/>
      <w:lvlJc w:val="left"/>
    </w:lvl>
  </w:abstractNum>
  <w:abstractNum w:abstractNumId="3">
    <w:nsid w:val="00000003"/>
    <w:multiLevelType w:val="singleLevel"/>
    <w:tmpl w:val="00000003"/>
    <w:lvl w:ilvl="0" w:tentative="0">
      <w:start w:val="5"/>
      <w:numFmt w:val="decimal"/>
      <w:lvlText w:val="%1."/>
      <w:lvlJc w:val="left"/>
      <w:pPr>
        <w:tabs>
          <w:tab w:val="left" w:pos="312"/>
        </w:tabs>
      </w:pPr>
    </w:lvl>
  </w:abstractNum>
  <w:abstractNum w:abstractNumId="4">
    <w:nsid w:val="06882CE3"/>
    <w:multiLevelType w:val="multilevel"/>
    <w:tmpl w:val="06882CE3"/>
    <w:lvl w:ilvl="0" w:tentative="0">
      <w:start w:val="1"/>
      <w:numFmt w:val="decimal"/>
      <w:pStyle w:val="230"/>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5">
    <w:nsid w:val="16DF253D"/>
    <w:multiLevelType w:val="multilevel"/>
    <w:tmpl w:val="16DF253D"/>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36C7309A"/>
    <w:multiLevelType w:val="multilevel"/>
    <w:tmpl w:val="36C7309A"/>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4AF0723E"/>
    <w:multiLevelType w:val="singleLevel"/>
    <w:tmpl w:val="4AF0723E"/>
    <w:lvl w:ilvl="0" w:tentative="0">
      <w:start w:val="2"/>
      <w:numFmt w:val="chineseCounting"/>
      <w:suff w:val="nothing"/>
      <w:lvlText w:val="%1、"/>
      <w:lvlJc w:val="left"/>
      <w:rPr>
        <w:rFonts w:hint="eastAsia"/>
      </w:rPr>
    </w:lvl>
  </w:abstractNum>
  <w:abstractNum w:abstractNumId="8">
    <w:nsid w:val="56D20133"/>
    <w:multiLevelType w:val="multilevel"/>
    <w:tmpl w:val="56D20133"/>
    <w:lvl w:ilvl="0" w:tentative="0">
      <w:start w:val="1"/>
      <w:numFmt w:val="chineseCountingThousand"/>
      <w:pStyle w:val="228"/>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9">
    <w:nsid w:val="656A6EAE"/>
    <w:multiLevelType w:val="multilevel"/>
    <w:tmpl w:val="656A6EAE"/>
    <w:lvl w:ilvl="0" w:tentative="0">
      <w:start w:val="1"/>
      <w:numFmt w:val="chineseCountingThousand"/>
      <w:pStyle w:val="23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0">
    <w:nsid w:val="7623664E"/>
    <w:multiLevelType w:val="multilevel"/>
    <w:tmpl w:val="7623664E"/>
    <w:lvl w:ilvl="0" w:tentative="0">
      <w:start w:val="1"/>
      <w:numFmt w:val="decimal"/>
      <w:lvlText w:val="%1."/>
      <w:lvlJc w:val="left"/>
      <w:pPr>
        <w:ind w:left="900" w:hanging="420"/>
      </w:pPr>
      <w:rPr>
        <w:rFonts w:hint="default"/>
        <w:b w:val="0"/>
        <w:bCs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77315800"/>
    <w:multiLevelType w:val="multilevel"/>
    <w:tmpl w:val="77315800"/>
    <w:lvl w:ilvl="0" w:tentative="0">
      <w:start w:val="1"/>
      <w:numFmt w:val="decimal"/>
      <w:lvlText w:val="%1."/>
      <w:lvlJc w:val="left"/>
      <w:pPr>
        <w:ind w:left="900" w:hanging="420"/>
      </w:pPr>
      <w:rPr>
        <w:rFonts w:hint="eastAsia"/>
      </w:r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8"/>
  </w:num>
  <w:num w:numId="2">
    <w:abstractNumId w:val="4"/>
  </w:num>
  <w:num w:numId="3">
    <w:abstractNumId w:val="9"/>
  </w:num>
  <w:num w:numId="4">
    <w:abstractNumId w:val="0"/>
  </w:num>
  <w:num w:numId="5">
    <w:abstractNumId w:val="11"/>
  </w:num>
  <w:num w:numId="6">
    <w:abstractNumId w:val="2"/>
  </w:num>
  <w:num w:numId="7">
    <w:abstractNumId w:val="6"/>
  </w:num>
  <w:num w:numId="8">
    <w:abstractNumId w:val="5"/>
  </w:num>
  <w:num w:numId="9">
    <w:abstractNumId w:val="10"/>
  </w:num>
  <w:num w:numId="10">
    <w:abstractNumId w:val="3"/>
  </w:num>
  <w:num w:numId="11">
    <w:abstractNumId w:val="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displayHorizontalDrawingGridEvery w:val="1"/>
  <w:displayVerticalDrawingGridEvery w:val="1"/>
  <w:noPunctuationKerning w:val="1"/>
  <w:characterSpacingControl w:val="doNotCompress"/>
  <w:doNotValidateAgainstSchema/>
  <w:doNotDemarcateInvalidXml/>
  <w:compat>
    <w:spaceForUL/>
    <w:doNotLeaveBackslashAlon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7434"/>
    <w:rsid w:val="000A7B57"/>
    <w:rsid w:val="000B0B7C"/>
    <w:rsid w:val="000B2DE5"/>
    <w:rsid w:val="000B4F69"/>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99F"/>
    <w:rsid w:val="002A580F"/>
    <w:rsid w:val="002A7A04"/>
    <w:rsid w:val="002A7D01"/>
    <w:rsid w:val="002A7D64"/>
    <w:rsid w:val="002B0589"/>
    <w:rsid w:val="002B0603"/>
    <w:rsid w:val="002B0848"/>
    <w:rsid w:val="002B3414"/>
    <w:rsid w:val="002B54AE"/>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8C"/>
    <w:rsid w:val="004E6388"/>
    <w:rsid w:val="004F05CB"/>
    <w:rsid w:val="004F39EF"/>
    <w:rsid w:val="004F4063"/>
    <w:rsid w:val="004F55EE"/>
    <w:rsid w:val="004F5A7E"/>
    <w:rsid w:val="004F5CDB"/>
    <w:rsid w:val="004F6E85"/>
    <w:rsid w:val="004F70E8"/>
    <w:rsid w:val="00502DA9"/>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6056C"/>
    <w:rsid w:val="00560C52"/>
    <w:rsid w:val="0056148B"/>
    <w:rsid w:val="005626C3"/>
    <w:rsid w:val="005630EA"/>
    <w:rsid w:val="00563DFC"/>
    <w:rsid w:val="0056438D"/>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A95"/>
    <w:rsid w:val="00CD592E"/>
    <w:rsid w:val="00CD74A9"/>
    <w:rsid w:val="00CE0898"/>
    <w:rsid w:val="00CE1C46"/>
    <w:rsid w:val="00CE2EC0"/>
    <w:rsid w:val="00CE4C5F"/>
    <w:rsid w:val="00CE5C7C"/>
    <w:rsid w:val="00CE78BA"/>
    <w:rsid w:val="00CE79C7"/>
    <w:rsid w:val="00CF0C9E"/>
    <w:rsid w:val="00CF0DA7"/>
    <w:rsid w:val="00CF2036"/>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4BE6"/>
    <w:rsid w:val="00DF689B"/>
    <w:rsid w:val="00DF7DA8"/>
    <w:rsid w:val="00DF7F45"/>
    <w:rsid w:val="00E004BB"/>
    <w:rsid w:val="00E00695"/>
    <w:rsid w:val="00E0176C"/>
    <w:rsid w:val="00E01847"/>
    <w:rsid w:val="00E0443E"/>
    <w:rsid w:val="00E0476C"/>
    <w:rsid w:val="00E04E1C"/>
    <w:rsid w:val="00E04FF0"/>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69E2"/>
    <w:rsid w:val="00FB7480"/>
    <w:rsid w:val="00FC0EAC"/>
    <w:rsid w:val="00FC11CE"/>
    <w:rsid w:val="00FC2A41"/>
    <w:rsid w:val="00FC4DED"/>
    <w:rsid w:val="00FC5711"/>
    <w:rsid w:val="00FC57D4"/>
    <w:rsid w:val="00FD016D"/>
    <w:rsid w:val="00FD09A9"/>
    <w:rsid w:val="00FD1115"/>
    <w:rsid w:val="00FD274D"/>
    <w:rsid w:val="00FD2C75"/>
    <w:rsid w:val="00FD30BE"/>
    <w:rsid w:val="00FD43FB"/>
    <w:rsid w:val="00FD46D9"/>
    <w:rsid w:val="00FD50A0"/>
    <w:rsid w:val="00FE0053"/>
    <w:rsid w:val="00FE07EC"/>
    <w:rsid w:val="00FE1CFD"/>
    <w:rsid w:val="00FE3BAB"/>
    <w:rsid w:val="00FE52CD"/>
    <w:rsid w:val="00FE5A39"/>
    <w:rsid w:val="00FF14C4"/>
    <w:rsid w:val="00FF1EB0"/>
    <w:rsid w:val="00FF221F"/>
    <w:rsid w:val="00FF3101"/>
    <w:rsid w:val="00FF3B34"/>
    <w:rsid w:val="00FF551E"/>
    <w:rsid w:val="00FF7885"/>
    <w:rsid w:val="02E74D14"/>
    <w:rsid w:val="02FC5AB3"/>
    <w:rsid w:val="035E6B0B"/>
    <w:rsid w:val="04B15209"/>
    <w:rsid w:val="04D70225"/>
    <w:rsid w:val="05160EF2"/>
    <w:rsid w:val="068F55E3"/>
    <w:rsid w:val="09756E61"/>
    <w:rsid w:val="0BEB0202"/>
    <w:rsid w:val="0D326CC2"/>
    <w:rsid w:val="0EA03360"/>
    <w:rsid w:val="10FE7942"/>
    <w:rsid w:val="1378147A"/>
    <w:rsid w:val="13D35827"/>
    <w:rsid w:val="1868332D"/>
    <w:rsid w:val="1DA82577"/>
    <w:rsid w:val="1E1170AC"/>
    <w:rsid w:val="22A44CDF"/>
    <w:rsid w:val="25F44B01"/>
    <w:rsid w:val="29C928E7"/>
    <w:rsid w:val="2A7C02EC"/>
    <w:rsid w:val="2A8F7CD5"/>
    <w:rsid w:val="2B3F4DD2"/>
    <w:rsid w:val="2B9654FA"/>
    <w:rsid w:val="2E7345D1"/>
    <w:rsid w:val="353F5A8C"/>
    <w:rsid w:val="36DE1355"/>
    <w:rsid w:val="393D26BB"/>
    <w:rsid w:val="3A5B7C10"/>
    <w:rsid w:val="3C3170AD"/>
    <w:rsid w:val="3D9C2881"/>
    <w:rsid w:val="3F801B0E"/>
    <w:rsid w:val="413C1020"/>
    <w:rsid w:val="41A55A6F"/>
    <w:rsid w:val="429D2840"/>
    <w:rsid w:val="48A82A9E"/>
    <w:rsid w:val="4A082E0A"/>
    <w:rsid w:val="4AC268B8"/>
    <w:rsid w:val="4CC51E60"/>
    <w:rsid w:val="4CD949FD"/>
    <w:rsid w:val="4F4A4FC8"/>
    <w:rsid w:val="50D74B46"/>
    <w:rsid w:val="51654692"/>
    <w:rsid w:val="54D67D81"/>
    <w:rsid w:val="54D7260C"/>
    <w:rsid w:val="57E02431"/>
    <w:rsid w:val="58055C15"/>
    <w:rsid w:val="58AE4B70"/>
    <w:rsid w:val="5AA3574A"/>
    <w:rsid w:val="5B316C0F"/>
    <w:rsid w:val="5F377063"/>
    <w:rsid w:val="5FF411EE"/>
    <w:rsid w:val="62E50A5D"/>
    <w:rsid w:val="633A3E82"/>
    <w:rsid w:val="673F2C72"/>
    <w:rsid w:val="68C06BDA"/>
    <w:rsid w:val="69F8009E"/>
    <w:rsid w:val="6AB76068"/>
    <w:rsid w:val="6C9132F0"/>
    <w:rsid w:val="6D5B701C"/>
    <w:rsid w:val="736A2597"/>
    <w:rsid w:val="74995770"/>
    <w:rsid w:val="75CD3E17"/>
    <w:rsid w:val="76683156"/>
    <w:rsid w:val="7A8F4EBB"/>
    <w:rsid w:val="7B802C44"/>
    <w:rsid w:val="7FC912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link w:val="61"/>
    <w:qFormat/>
    <w:uiPriority w:val="0"/>
    <w:pPr>
      <w:keepNext/>
      <w:keepLines/>
      <w:spacing w:before="340" w:after="330" w:line="576" w:lineRule="auto"/>
      <w:outlineLvl w:val="0"/>
    </w:pPr>
    <w:rPr>
      <w:b/>
      <w:kern w:val="44"/>
      <w:sz w:val="44"/>
      <w:lang w:val="zh-CN"/>
    </w:rPr>
  </w:style>
  <w:style w:type="paragraph" w:styleId="5">
    <w:name w:val="heading 2"/>
    <w:basedOn w:val="1"/>
    <w:next w:val="1"/>
    <w:link w:val="62"/>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6">
    <w:name w:val="heading 3"/>
    <w:basedOn w:val="1"/>
    <w:next w:val="1"/>
    <w:link w:val="63"/>
    <w:qFormat/>
    <w:uiPriority w:val="0"/>
    <w:pPr>
      <w:keepNext/>
      <w:keepLines/>
      <w:adjustRightInd w:val="0"/>
      <w:spacing w:before="260" w:after="260" w:line="416" w:lineRule="atLeast"/>
      <w:textAlignment w:val="baseline"/>
      <w:outlineLvl w:val="2"/>
    </w:pPr>
    <w:rPr>
      <w:b/>
      <w:kern w:val="0"/>
      <w:sz w:val="32"/>
      <w:lang w:val="zh-CN"/>
    </w:rPr>
  </w:style>
  <w:style w:type="paragraph" w:styleId="7">
    <w:name w:val="heading 4"/>
    <w:basedOn w:val="1"/>
    <w:next w:val="1"/>
    <w:link w:val="65"/>
    <w:qFormat/>
    <w:uiPriority w:val="0"/>
    <w:pPr>
      <w:keepNext/>
      <w:keepLines/>
      <w:spacing w:before="280" w:after="290" w:line="372" w:lineRule="auto"/>
      <w:outlineLvl w:val="3"/>
    </w:pPr>
    <w:rPr>
      <w:rFonts w:ascii="Arial" w:hAnsi="Arial" w:eastAsia="黑体"/>
      <w:b/>
      <w:sz w:val="28"/>
      <w:lang w:val="zh-CN"/>
    </w:rPr>
  </w:style>
  <w:style w:type="paragraph" w:styleId="8">
    <w:name w:val="heading 5"/>
    <w:basedOn w:val="1"/>
    <w:next w:val="9"/>
    <w:link w:val="66"/>
    <w:qFormat/>
    <w:uiPriority w:val="0"/>
    <w:pPr>
      <w:keepNext/>
      <w:keepLines/>
      <w:spacing w:before="280" w:after="290" w:line="372" w:lineRule="auto"/>
      <w:outlineLvl w:val="4"/>
    </w:pPr>
    <w:rPr>
      <w:b/>
      <w:sz w:val="28"/>
      <w:lang w:val="zh-CN"/>
    </w:rPr>
  </w:style>
  <w:style w:type="paragraph" w:styleId="10">
    <w:name w:val="heading 6"/>
    <w:basedOn w:val="1"/>
    <w:next w:val="9"/>
    <w:link w:val="67"/>
    <w:qFormat/>
    <w:uiPriority w:val="0"/>
    <w:pPr>
      <w:keepNext/>
      <w:keepLines/>
      <w:spacing w:before="240" w:after="64" w:line="317" w:lineRule="auto"/>
      <w:outlineLvl w:val="5"/>
    </w:pPr>
    <w:rPr>
      <w:rFonts w:ascii="Arial" w:hAnsi="Arial" w:eastAsia="黑体"/>
      <w:b/>
      <w:sz w:val="24"/>
      <w:lang w:val="zh-CN"/>
    </w:rPr>
  </w:style>
  <w:style w:type="paragraph" w:styleId="11">
    <w:name w:val="heading 7"/>
    <w:basedOn w:val="1"/>
    <w:next w:val="9"/>
    <w:link w:val="68"/>
    <w:qFormat/>
    <w:uiPriority w:val="0"/>
    <w:pPr>
      <w:keepNext/>
      <w:keepLines/>
      <w:spacing w:before="240" w:after="64" w:line="317" w:lineRule="auto"/>
      <w:outlineLvl w:val="6"/>
    </w:pPr>
    <w:rPr>
      <w:b/>
      <w:sz w:val="24"/>
      <w:lang w:val="zh-CN"/>
    </w:rPr>
  </w:style>
  <w:style w:type="paragraph" w:styleId="12">
    <w:name w:val="heading 8"/>
    <w:basedOn w:val="1"/>
    <w:next w:val="9"/>
    <w:link w:val="69"/>
    <w:qFormat/>
    <w:uiPriority w:val="0"/>
    <w:pPr>
      <w:keepNext/>
      <w:keepLines/>
      <w:spacing w:before="240" w:after="64" w:line="317" w:lineRule="auto"/>
      <w:outlineLvl w:val="7"/>
    </w:pPr>
    <w:rPr>
      <w:rFonts w:ascii="Arial" w:hAnsi="Arial" w:eastAsia="黑体"/>
      <w:sz w:val="24"/>
      <w:lang w:val="zh-CN"/>
    </w:rPr>
  </w:style>
  <w:style w:type="paragraph" w:styleId="13">
    <w:name w:val="heading 9"/>
    <w:basedOn w:val="1"/>
    <w:next w:val="9"/>
    <w:link w:val="70"/>
    <w:qFormat/>
    <w:uiPriority w:val="0"/>
    <w:pPr>
      <w:keepNext/>
      <w:keepLines/>
      <w:spacing w:before="240" w:after="64" w:line="317" w:lineRule="auto"/>
      <w:outlineLvl w:val="8"/>
    </w:pPr>
    <w:rPr>
      <w:rFonts w:ascii="Arial" w:hAnsi="Arial" w:eastAsia="黑体"/>
      <w:lang w:val="zh-CN"/>
    </w:rPr>
  </w:style>
  <w:style w:type="character" w:default="1" w:styleId="50">
    <w:name w:val="Default Paragraph Font"/>
    <w:semiHidden/>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link w:val="109"/>
    <w:qFormat/>
    <w:uiPriority w:val="0"/>
    <w:pPr>
      <w:spacing w:after="120"/>
      <w:ind w:left="420" w:leftChars="200" w:firstLine="420" w:firstLineChars="200"/>
    </w:pPr>
    <w:rPr>
      <w:kern w:val="2"/>
      <w:sz w:val="21"/>
    </w:rPr>
  </w:style>
  <w:style w:type="paragraph" w:styleId="3">
    <w:name w:val="Body Text Indent"/>
    <w:basedOn w:val="1"/>
    <w:link w:val="110"/>
    <w:qFormat/>
    <w:uiPriority w:val="0"/>
    <w:pPr>
      <w:ind w:firstLine="360"/>
    </w:pPr>
    <w:rPr>
      <w:kern w:val="0"/>
      <w:sz w:val="28"/>
      <w:szCs w:val="24"/>
    </w:rPr>
  </w:style>
  <w:style w:type="paragraph" w:styleId="9">
    <w:name w:val="Normal Indent"/>
    <w:basedOn w:val="1"/>
    <w:link w:val="64"/>
    <w:qFormat/>
    <w:uiPriority w:val="0"/>
    <w:pPr>
      <w:ind w:firstLine="420"/>
    </w:pPr>
    <w:rPr>
      <w:kern w:val="0"/>
      <w:sz w:val="20"/>
    </w:rPr>
  </w:style>
  <w:style w:type="paragraph" w:styleId="14">
    <w:name w:val="toc 7"/>
    <w:basedOn w:val="1"/>
    <w:next w:val="1"/>
    <w:qFormat/>
    <w:uiPriority w:val="0"/>
    <w:pPr>
      <w:ind w:left="2520" w:leftChars="1200"/>
    </w:pPr>
  </w:style>
  <w:style w:type="paragraph" w:styleId="15">
    <w:name w:val="Note Heading"/>
    <w:basedOn w:val="1"/>
    <w:next w:val="1"/>
    <w:link w:val="115"/>
    <w:qFormat/>
    <w:uiPriority w:val="0"/>
    <w:pPr>
      <w:adjustRightInd w:val="0"/>
      <w:snapToGrid w:val="0"/>
      <w:jc w:val="center"/>
    </w:pPr>
    <w:rPr>
      <w:lang w:val="zh-CN" w:eastAsia="zh-TW"/>
    </w:rPr>
  </w:style>
  <w:style w:type="paragraph" w:styleId="16">
    <w:name w:val="caption"/>
    <w:basedOn w:val="1"/>
    <w:next w:val="1"/>
    <w:qFormat/>
    <w:uiPriority w:val="0"/>
    <w:rPr>
      <w:rFonts w:ascii="Cambria" w:hAnsi="Cambria" w:eastAsia="黑体"/>
    </w:rPr>
  </w:style>
  <w:style w:type="paragraph" w:styleId="17">
    <w:name w:val="Document Map"/>
    <w:basedOn w:val="1"/>
    <w:link w:val="111"/>
    <w:qFormat/>
    <w:uiPriority w:val="0"/>
    <w:pPr>
      <w:shd w:val="clear" w:color="auto" w:fill="000080"/>
    </w:pPr>
    <w:rPr>
      <w:kern w:val="0"/>
      <w:sz w:val="20"/>
    </w:rPr>
  </w:style>
  <w:style w:type="paragraph" w:styleId="18">
    <w:name w:val="toa heading"/>
    <w:basedOn w:val="1"/>
    <w:next w:val="1"/>
    <w:qFormat/>
    <w:uiPriority w:val="0"/>
    <w:pPr>
      <w:adjustRightInd w:val="0"/>
      <w:spacing w:before="120" w:line="312" w:lineRule="atLeast"/>
      <w:textAlignment w:val="baseline"/>
    </w:pPr>
    <w:rPr>
      <w:rFonts w:ascii="Arial" w:hAnsi="Arial"/>
      <w:sz w:val="24"/>
    </w:rPr>
  </w:style>
  <w:style w:type="paragraph" w:styleId="19">
    <w:name w:val="annotation text"/>
    <w:basedOn w:val="1"/>
    <w:link w:val="105"/>
    <w:qFormat/>
    <w:uiPriority w:val="0"/>
    <w:pPr>
      <w:adjustRightInd w:val="0"/>
      <w:spacing w:line="360" w:lineRule="atLeast"/>
      <w:textAlignment w:val="baseline"/>
    </w:pPr>
    <w:rPr>
      <w:kern w:val="0"/>
      <w:sz w:val="24"/>
      <w:lang w:val="zh-CN"/>
    </w:rPr>
  </w:style>
  <w:style w:type="paragraph" w:styleId="20">
    <w:name w:val="Body Text 3"/>
    <w:basedOn w:val="1"/>
    <w:link w:val="82"/>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21">
    <w:name w:val="Body Text"/>
    <w:basedOn w:val="1"/>
    <w:link w:val="77"/>
    <w:qFormat/>
    <w:uiPriority w:val="99"/>
    <w:rPr>
      <w:sz w:val="24"/>
    </w:rPr>
  </w:style>
  <w:style w:type="paragraph" w:styleId="22">
    <w:name w:val="Block Text"/>
    <w:basedOn w:val="1"/>
    <w:qFormat/>
    <w:uiPriority w:val="0"/>
    <w:pPr>
      <w:ind w:left="-540" w:right="-1054"/>
    </w:pPr>
    <w:rPr>
      <w:sz w:val="28"/>
    </w:rPr>
  </w:style>
  <w:style w:type="paragraph" w:styleId="23">
    <w:name w:val="toc 5"/>
    <w:basedOn w:val="1"/>
    <w:next w:val="1"/>
    <w:qFormat/>
    <w:uiPriority w:val="0"/>
    <w:pPr>
      <w:ind w:left="1680" w:leftChars="800"/>
    </w:pPr>
  </w:style>
  <w:style w:type="paragraph" w:styleId="24">
    <w:name w:val="toc 3"/>
    <w:basedOn w:val="1"/>
    <w:next w:val="1"/>
    <w:qFormat/>
    <w:uiPriority w:val="39"/>
    <w:pPr>
      <w:ind w:left="840" w:leftChars="400"/>
    </w:pPr>
  </w:style>
  <w:style w:type="paragraph" w:styleId="25">
    <w:name w:val="Plain Text"/>
    <w:basedOn w:val="1"/>
    <w:link w:val="88"/>
    <w:qFormat/>
    <w:uiPriority w:val="99"/>
    <w:pPr>
      <w:overflowPunct w:val="0"/>
      <w:spacing w:line="360" w:lineRule="auto"/>
    </w:pPr>
    <w:rPr>
      <w:rFonts w:ascii="宋体" w:hAnsi="Courier New" w:eastAsia="仿宋_GB2312"/>
      <w:sz w:val="24"/>
      <w:lang w:val="zh-CN"/>
    </w:rPr>
  </w:style>
  <w:style w:type="paragraph" w:styleId="26">
    <w:name w:val="toc 8"/>
    <w:basedOn w:val="1"/>
    <w:next w:val="1"/>
    <w:qFormat/>
    <w:uiPriority w:val="0"/>
    <w:pPr>
      <w:ind w:left="2940" w:leftChars="1400"/>
    </w:pPr>
  </w:style>
  <w:style w:type="paragraph" w:styleId="27">
    <w:name w:val="Date"/>
    <w:basedOn w:val="1"/>
    <w:next w:val="1"/>
    <w:link w:val="126"/>
    <w:qFormat/>
    <w:uiPriority w:val="99"/>
    <w:rPr>
      <w:kern w:val="0"/>
      <w:sz w:val="24"/>
    </w:rPr>
  </w:style>
  <w:style w:type="paragraph" w:styleId="28">
    <w:name w:val="Body Text Indent 2"/>
    <w:basedOn w:val="1"/>
    <w:link w:val="76"/>
    <w:qFormat/>
    <w:uiPriority w:val="0"/>
    <w:pPr>
      <w:spacing w:before="60" w:after="60"/>
      <w:ind w:left="720" w:hanging="720"/>
    </w:pPr>
    <w:rPr>
      <w:color w:val="000000"/>
      <w:kern w:val="0"/>
      <w:sz w:val="24"/>
    </w:rPr>
  </w:style>
  <w:style w:type="paragraph" w:styleId="29">
    <w:name w:val="endnote text"/>
    <w:basedOn w:val="1"/>
    <w:link w:val="206"/>
    <w:semiHidden/>
    <w:unhideWhenUsed/>
    <w:qFormat/>
    <w:uiPriority w:val="0"/>
    <w:pPr>
      <w:snapToGrid w:val="0"/>
      <w:jc w:val="left"/>
    </w:pPr>
    <w:rPr>
      <w:rFonts w:eastAsia="??"/>
      <w:color w:val="000000"/>
      <w:kern w:val="0"/>
      <w:sz w:val="24"/>
      <w:szCs w:val="24"/>
      <w:lang w:val="zh-CN"/>
    </w:rPr>
  </w:style>
  <w:style w:type="paragraph" w:styleId="30">
    <w:name w:val="Balloon Text"/>
    <w:basedOn w:val="1"/>
    <w:link w:val="107"/>
    <w:qFormat/>
    <w:uiPriority w:val="0"/>
    <w:rPr>
      <w:sz w:val="18"/>
      <w:szCs w:val="18"/>
      <w:lang w:val="zh-CN"/>
    </w:rPr>
  </w:style>
  <w:style w:type="paragraph" w:styleId="31">
    <w:name w:val="footer"/>
    <w:basedOn w:val="1"/>
    <w:link w:val="175"/>
    <w:qFormat/>
    <w:uiPriority w:val="99"/>
    <w:pPr>
      <w:tabs>
        <w:tab w:val="center" w:pos="4153"/>
        <w:tab w:val="right" w:pos="8306"/>
      </w:tabs>
      <w:snapToGrid w:val="0"/>
    </w:pPr>
    <w:rPr>
      <w:sz w:val="18"/>
      <w:lang w:val="zh-CN"/>
    </w:rPr>
  </w:style>
  <w:style w:type="paragraph" w:styleId="32">
    <w:name w:val="header"/>
    <w:basedOn w:val="1"/>
    <w:link w:val="162"/>
    <w:qFormat/>
    <w:uiPriority w:val="99"/>
    <w:pPr>
      <w:pBdr>
        <w:bottom w:val="single" w:color="auto" w:sz="6" w:space="1"/>
      </w:pBdr>
      <w:tabs>
        <w:tab w:val="center" w:pos="4153"/>
        <w:tab w:val="right" w:pos="8306"/>
      </w:tabs>
      <w:snapToGrid w:val="0"/>
      <w:jc w:val="center"/>
    </w:pPr>
    <w:rPr>
      <w:sz w:val="18"/>
      <w:lang w:val="zh-CN"/>
    </w:rPr>
  </w:style>
  <w:style w:type="paragraph" w:styleId="33">
    <w:name w:val="toc 1"/>
    <w:basedOn w:val="1"/>
    <w:next w:val="1"/>
    <w:qFormat/>
    <w:uiPriority w:val="39"/>
  </w:style>
  <w:style w:type="paragraph" w:styleId="34">
    <w:name w:val="toc 4"/>
    <w:basedOn w:val="1"/>
    <w:next w:val="1"/>
    <w:qFormat/>
    <w:uiPriority w:val="0"/>
    <w:pPr>
      <w:ind w:left="1260" w:leftChars="600"/>
    </w:pPr>
  </w:style>
  <w:style w:type="paragraph" w:styleId="35">
    <w:name w:val="Subtitle"/>
    <w:basedOn w:val="1"/>
    <w:next w:val="1"/>
    <w:link w:val="99"/>
    <w:qFormat/>
    <w:uiPriority w:val="0"/>
    <w:pPr>
      <w:spacing w:before="240" w:after="60" w:line="312" w:lineRule="auto"/>
      <w:jc w:val="center"/>
      <w:outlineLvl w:val="1"/>
    </w:pPr>
    <w:rPr>
      <w:rFonts w:ascii="Cambria" w:hAnsi="Cambria"/>
      <w:b/>
      <w:bCs/>
      <w:kern w:val="28"/>
      <w:sz w:val="32"/>
      <w:szCs w:val="32"/>
    </w:rPr>
  </w:style>
  <w:style w:type="paragraph" w:styleId="36">
    <w:name w:val="footnote text"/>
    <w:basedOn w:val="1"/>
    <w:link w:val="129"/>
    <w:qFormat/>
    <w:uiPriority w:val="0"/>
    <w:pPr>
      <w:snapToGrid w:val="0"/>
    </w:pPr>
    <w:rPr>
      <w:sz w:val="18"/>
      <w:szCs w:val="18"/>
      <w:lang w:val="zh-CN"/>
    </w:rPr>
  </w:style>
  <w:style w:type="paragraph" w:styleId="37">
    <w:name w:val="toc 6"/>
    <w:basedOn w:val="1"/>
    <w:next w:val="1"/>
    <w:qFormat/>
    <w:uiPriority w:val="0"/>
    <w:pPr>
      <w:ind w:left="2100" w:leftChars="1000"/>
    </w:pPr>
  </w:style>
  <w:style w:type="paragraph" w:styleId="38">
    <w:name w:val="Body Text Indent 3"/>
    <w:basedOn w:val="1"/>
    <w:link w:val="83"/>
    <w:qFormat/>
    <w:uiPriority w:val="0"/>
    <w:pPr>
      <w:ind w:firstLine="720"/>
    </w:pPr>
    <w:rPr>
      <w:kern w:val="0"/>
      <w:sz w:val="24"/>
    </w:rPr>
  </w:style>
  <w:style w:type="paragraph" w:styleId="39">
    <w:name w:val="table of figures"/>
    <w:basedOn w:val="1"/>
    <w:next w:val="1"/>
    <w:qFormat/>
    <w:uiPriority w:val="0"/>
    <w:pPr>
      <w:ind w:left="440" w:hanging="440"/>
    </w:pPr>
    <w:rPr>
      <w:rFonts w:ascii="Arial" w:hAnsi="Arial"/>
      <w:sz w:val="22"/>
      <w:lang w:val="en-GB" w:eastAsia="en-US"/>
    </w:rPr>
  </w:style>
  <w:style w:type="paragraph" w:styleId="40">
    <w:name w:val="toc 2"/>
    <w:basedOn w:val="1"/>
    <w:next w:val="1"/>
    <w:qFormat/>
    <w:uiPriority w:val="39"/>
    <w:pPr>
      <w:ind w:left="420" w:leftChars="200"/>
    </w:pPr>
  </w:style>
  <w:style w:type="paragraph" w:styleId="41">
    <w:name w:val="toc 9"/>
    <w:basedOn w:val="1"/>
    <w:next w:val="1"/>
    <w:qFormat/>
    <w:uiPriority w:val="0"/>
    <w:pPr>
      <w:ind w:left="3360" w:leftChars="1600"/>
    </w:pPr>
  </w:style>
  <w:style w:type="paragraph" w:styleId="42">
    <w:name w:val="Body Text 2"/>
    <w:basedOn w:val="1"/>
    <w:link w:val="100"/>
    <w:qFormat/>
    <w:uiPriority w:val="0"/>
    <w:pPr>
      <w:spacing w:before="60" w:after="60"/>
    </w:pPr>
    <w:rPr>
      <w:color w:val="0000FF"/>
      <w:kern w:val="0"/>
      <w:sz w:val="24"/>
    </w:rPr>
  </w:style>
  <w:style w:type="paragraph" w:styleId="43">
    <w:name w:val="HTML Preformatted"/>
    <w:basedOn w:val="1"/>
    <w:link w:val="132"/>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4">
    <w:name w:val="Normal (Web)"/>
    <w:basedOn w:val="1"/>
    <w:qFormat/>
    <w:uiPriority w:val="99"/>
    <w:rPr>
      <w:rFonts w:ascii="宋体" w:hAnsi="宋体" w:cs="宋体"/>
      <w:sz w:val="24"/>
      <w:szCs w:val="24"/>
    </w:rPr>
  </w:style>
  <w:style w:type="paragraph" w:styleId="45">
    <w:name w:val="Title"/>
    <w:basedOn w:val="1"/>
    <w:next w:val="1"/>
    <w:link w:val="96"/>
    <w:qFormat/>
    <w:uiPriority w:val="0"/>
    <w:pPr>
      <w:spacing w:before="240" w:after="60"/>
      <w:jc w:val="center"/>
      <w:outlineLvl w:val="0"/>
    </w:pPr>
    <w:rPr>
      <w:rFonts w:ascii="Cambria" w:hAnsi="Cambria"/>
      <w:b/>
      <w:bCs/>
      <w:kern w:val="0"/>
      <w:sz w:val="32"/>
      <w:szCs w:val="32"/>
      <w:lang w:val="zh-CN"/>
    </w:rPr>
  </w:style>
  <w:style w:type="paragraph" w:styleId="46">
    <w:name w:val="annotation subject"/>
    <w:basedOn w:val="19"/>
    <w:next w:val="19"/>
    <w:link w:val="120"/>
    <w:qFormat/>
    <w:uiPriority w:val="0"/>
    <w:pPr>
      <w:adjustRightInd/>
      <w:spacing w:line="240" w:lineRule="auto"/>
      <w:textAlignment w:val="auto"/>
    </w:pPr>
  </w:style>
  <w:style w:type="paragraph" w:styleId="47">
    <w:name w:val="Body Text First Indent"/>
    <w:basedOn w:val="21"/>
    <w:link w:val="121"/>
    <w:qFormat/>
    <w:uiPriority w:val="0"/>
    <w:pPr>
      <w:spacing w:after="120"/>
      <w:ind w:firstLine="420" w:firstLineChars="100"/>
    </w:pPr>
    <w:rPr>
      <w:rFonts w:ascii="宋体" w:hAnsi="宋体"/>
      <w:color w:val="000000"/>
      <w:lang w:val="zh-CN"/>
    </w:rPr>
  </w:style>
  <w:style w:type="table" w:styleId="49">
    <w:name w:val="Table Grid"/>
    <w:basedOn w:val="48"/>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1">
    <w:name w:val="Strong"/>
    <w:qFormat/>
    <w:uiPriority w:val="0"/>
    <w:rPr>
      <w:b/>
      <w:bCs/>
    </w:rPr>
  </w:style>
  <w:style w:type="character" w:styleId="52">
    <w:name w:val="page number"/>
    <w:basedOn w:val="50"/>
    <w:qFormat/>
    <w:uiPriority w:val="0"/>
  </w:style>
  <w:style w:type="character" w:styleId="53">
    <w:name w:val="Emphasis"/>
    <w:qFormat/>
    <w:uiPriority w:val="0"/>
    <w:rPr>
      <w:i/>
      <w:iCs/>
    </w:rPr>
  </w:style>
  <w:style w:type="character" w:styleId="54">
    <w:name w:val="Hyperlink"/>
    <w:basedOn w:val="50"/>
    <w:qFormat/>
    <w:uiPriority w:val="99"/>
    <w:rPr>
      <w:color w:val="0000FF"/>
      <w:u w:val="single"/>
    </w:rPr>
  </w:style>
  <w:style w:type="character" w:styleId="55">
    <w:name w:val="annotation reference"/>
    <w:qFormat/>
    <w:uiPriority w:val="0"/>
    <w:rPr>
      <w:sz w:val="21"/>
      <w:szCs w:val="21"/>
    </w:rPr>
  </w:style>
  <w:style w:type="character" w:styleId="56">
    <w:name w:val="footnote reference"/>
    <w:qFormat/>
    <w:uiPriority w:val="0"/>
    <w:rPr>
      <w:vertAlign w:val="superscript"/>
    </w:rPr>
  </w:style>
  <w:style w:type="paragraph" w:customStyle="1" w:styleId="57">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58">
    <w:name w:val="一级条标题"/>
    <w:basedOn w:val="59"/>
    <w:next w:val="60"/>
    <w:qFormat/>
    <w:uiPriority w:val="0"/>
    <w:pPr>
      <w:ind w:hanging="840"/>
    </w:pPr>
  </w:style>
  <w:style w:type="paragraph" w:customStyle="1" w:styleId="59">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0">
    <w:name w:val="段"/>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1">
    <w:name w:val="标题 1 字符"/>
    <w:link w:val="4"/>
    <w:qFormat/>
    <w:uiPriority w:val="0"/>
    <w:rPr>
      <w:b/>
      <w:kern w:val="44"/>
      <w:sz w:val="44"/>
      <w:lang w:val="zh-CN" w:eastAsia="zh-CN"/>
    </w:rPr>
  </w:style>
  <w:style w:type="character" w:customStyle="1" w:styleId="62">
    <w:name w:val="标题 2 字符"/>
    <w:link w:val="5"/>
    <w:qFormat/>
    <w:uiPriority w:val="0"/>
    <w:rPr>
      <w:rFonts w:ascii="Arial" w:hAnsi="Arial" w:eastAsia="黑体"/>
      <w:b/>
      <w:sz w:val="32"/>
      <w:lang w:val="zh-CN" w:eastAsia="zh-CN"/>
    </w:rPr>
  </w:style>
  <w:style w:type="character" w:customStyle="1" w:styleId="63">
    <w:name w:val="标题 3 字符"/>
    <w:link w:val="6"/>
    <w:qFormat/>
    <w:uiPriority w:val="0"/>
    <w:rPr>
      <w:b/>
      <w:sz w:val="32"/>
      <w:lang w:val="zh-CN" w:eastAsia="zh-CN"/>
    </w:rPr>
  </w:style>
  <w:style w:type="character" w:customStyle="1" w:styleId="64">
    <w:name w:val="正文缩进 字符"/>
    <w:link w:val="9"/>
    <w:qFormat/>
    <w:uiPriority w:val="0"/>
    <w:rPr>
      <w:rFonts w:eastAsia="宋体"/>
      <w:lang w:val="en-US" w:eastAsia="zh-CN" w:bidi="ar-SA"/>
    </w:rPr>
  </w:style>
  <w:style w:type="character" w:customStyle="1" w:styleId="65">
    <w:name w:val="标题 4 字符"/>
    <w:link w:val="7"/>
    <w:qFormat/>
    <w:uiPriority w:val="0"/>
    <w:rPr>
      <w:rFonts w:ascii="Arial" w:hAnsi="Arial" w:eastAsia="黑体"/>
      <w:b/>
      <w:kern w:val="2"/>
      <w:sz w:val="28"/>
      <w:lang w:val="zh-CN" w:eastAsia="zh-CN"/>
    </w:rPr>
  </w:style>
  <w:style w:type="character" w:customStyle="1" w:styleId="66">
    <w:name w:val="标题 5 字符"/>
    <w:link w:val="8"/>
    <w:qFormat/>
    <w:uiPriority w:val="0"/>
    <w:rPr>
      <w:b/>
      <w:kern w:val="2"/>
      <w:sz w:val="28"/>
      <w:lang w:val="zh-CN" w:eastAsia="zh-CN"/>
    </w:rPr>
  </w:style>
  <w:style w:type="character" w:customStyle="1" w:styleId="67">
    <w:name w:val="标题 6 字符"/>
    <w:link w:val="10"/>
    <w:qFormat/>
    <w:uiPriority w:val="0"/>
    <w:rPr>
      <w:rFonts w:ascii="Arial" w:hAnsi="Arial" w:eastAsia="黑体"/>
      <w:b/>
      <w:kern w:val="2"/>
      <w:sz w:val="24"/>
      <w:lang w:val="zh-CN" w:eastAsia="zh-CN"/>
    </w:rPr>
  </w:style>
  <w:style w:type="character" w:customStyle="1" w:styleId="68">
    <w:name w:val="标题 7 字符"/>
    <w:link w:val="11"/>
    <w:qFormat/>
    <w:uiPriority w:val="0"/>
    <w:rPr>
      <w:b/>
      <w:kern w:val="2"/>
      <w:sz w:val="24"/>
      <w:lang w:val="zh-CN" w:eastAsia="zh-CN"/>
    </w:rPr>
  </w:style>
  <w:style w:type="character" w:customStyle="1" w:styleId="69">
    <w:name w:val="标题 8 字符"/>
    <w:link w:val="12"/>
    <w:qFormat/>
    <w:uiPriority w:val="0"/>
    <w:rPr>
      <w:rFonts w:ascii="Arial" w:hAnsi="Arial" w:eastAsia="黑体"/>
      <w:kern w:val="2"/>
      <w:sz w:val="24"/>
      <w:lang w:val="zh-CN" w:eastAsia="zh-CN"/>
    </w:rPr>
  </w:style>
  <w:style w:type="character" w:customStyle="1" w:styleId="70">
    <w:name w:val="标题 9 字符"/>
    <w:link w:val="13"/>
    <w:qFormat/>
    <w:uiPriority w:val="0"/>
    <w:rPr>
      <w:rFonts w:ascii="Arial" w:hAnsi="Arial" w:eastAsia="黑体"/>
      <w:kern w:val="2"/>
      <w:sz w:val="21"/>
      <w:lang w:val="zh-CN" w:eastAsia="zh-CN"/>
    </w:rPr>
  </w:style>
  <w:style w:type="character" w:customStyle="1" w:styleId="71">
    <w:name w:val="已访问的超链接1"/>
    <w:qFormat/>
    <w:uiPriority w:val="99"/>
    <w:rPr>
      <w:color w:val="800080"/>
      <w:u w:val="single"/>
    </w:rPr>
  </w:style>
  <w:style w:type="character" w:customStyle="1" w:styleId="72">
    <w:name w:val="Char Char9"/>
    <w:qFormat/>
    <w:uiPriority w:val="0"/>
    <w:rPr>
      <w:rFonts w:ascii="Arial" w:hAnsi="Arial" w:eastAsia="黑体"/>
      <w:sz w:val="21"/>
      <w:lang w:val="en-US" w:eastAsia="zh-CN" w:bidi="ar-SA"/>
    </w:rPr>
  </w:style>
  <w:style w:type="character" w:customStyle="1" w:styleId="73">
    <w:name w:val="页脚 Char Char"/>
    <w:qFormat/>
    <w:uiPriority w:val="0"/>
    <w:rPr>
      <w:sz w:val="18"/>
    </w:rPr>
  </w:style>
  <w:style w:type="character" w:customStyle="1" w:styleId="74">
    <w:name w:val="Char Char14"/>
    <w:qFormat/>
    <w:uiPriority w:val="0"/>
    <w:rPr>
      <w:kern w:val="2"/>
      <w:sz w:val="18"/>
      <w:szCs w:val="18"/>
      <w:lang w:bidi="ar-SA"/>
    </w:rPr>
  </w:style>
  <w:style w:type="character" w:customStyle="1" w:styleId="75">
    <w:name w:val="Comment Text Char"/>
    <w:qFormat/>
    <w:uiPriority w:val="0"/>
    <w:rPr>
      <w:rFonts w:cs="Times New Roman"/>
      <w:kern w:val="2"/>
      <w:sz w:val="28"/>
      <w:szCs w:val="28"/>
    </w:rPr>
  </w:style>
  <w:style w:type="character" w:customStyle="1" w:styleId="76">
    <w:name w:val="正文文本缩进 2 字符"/>
    <w:link w:val="28"/>
    <w:qFormat/>
    <w:uiPriority w:val="0"/>
    <w:rPr>
      <w:rFonts w:eastAsia="宋体"/>
      <w:color w:val="000000"/>
      <w:sz w:val="24"/>
      <w:lang w:val="en-US" w:eastAsia="zh-CN" w:bidi="ar-SA"/>
    </w:rPr>
  </w:style>
  <w:style w:type="character" w:customStyle="1" w:styleId="77">
    <w:name w:val="正文文本 字符"/>
    <w:link w:val="21"/>
    <w:qFormat/>
    <w:uiPriority w:val="99"/>
    <w:rPr>
      <w:rFonts w:eastAsia="宋体"/>
      <w:kern w:val="2"/>
      <w:sz w:val="24"/>
      <w:lang w:val="en-US" w:eastAsia="zh-CN" w:bidi="ar-SA"/>
    </w:rPr>
  </w:style>
  <w:style w:type="character" w:customStyle="1" w:styleId="78">
    <w:name w:val="No Spacing Char"/>
    <w:link w:val="79"/>
    <w:qFormat/>
    <w:uiPriority w:val="0"/>
    <w:rPr>
      <w:rFonts w:ascii="Calibri" w:hAnsi="Calibri"/>
      <w:sz w:val="22"/>
      <w:szCs w:val="22"/>
      <w:lang w:val="en-US" w:eastAsia="zh-CN" w:bidi="ar-SA"/>
    </w:rPr>
  </w:style>
  <w:style w:type="paragraph" w:customStyle="1" w:styleId="79">
    <w:name w:val="无间隔1"/>
    <w:link w:val="78"/>
    <w:qFormat/>
    <w:uiPriority w:val="0"/>
    <w:rPr>
      <w:rFonts w:ascii="Calibri" w:hAnsi="Calibri" w:eastAsia="宋体" w:cs="Times New Roman"/>
      <w:sz w:val="22"/>
      <w:szCs w:val="22"/>
      <w:lang w:val="en-US" w:eastAsia="zh-CN" w:bidi="ar-SA"/>
    </w:rPr>
  </w:style>
  <w:style w:type="character" w:customStyle="1" w:styleId="80">
    <w:name w:val="Char Char111"/>
    <w:qFormat/>
    <w:uiPriority w:val="0"/>
    <w:rPr>
      <w:rFonts w:eastAsia="黑体"/>
      <w:kern w:val="2"/>
      <w:sz w:val="44"/>
      <w:szCs w:val="44"/>
      <w:lang w:val="en-US" w:eastAsia="zh-CN" w:bidi="ar-SA"/>
    </w:rPr>
  </w:style>
  <w:style w:type="character" w:customStyle="1" w:styleId="81">
    <w:name w:val="Char Char26"/>
    <w:qFormat/>
    <w:uiPriority w:val="0"/>
    <w:rPr>
      <w:rFonts w:eastAsia="宋体"/>
      <w:b/>
      <w:bCs/>
      <w:kern w:val="44"/>
      <w:sz w:val="44"/>
      <w:szCs w:val="44"/>
      <w:lang w:val="en-US" w:eastAsia="zh-CN" w:bidi="ar-SA"/>
    </w:rPr>
  </w:style>
  <w:style w:type="character" w:customStyle="1" w:styleId="82">
    <w:name w:val="正文文本 3 字符"/>
    <w:link w:val="20"/>
    <w:qFormat/>
    <w:uiPriority w:val="0"/>
    <w:rPr>
      <w:rFonts w:ascii="Arial" w:hAnsi="Arial"/>
      <w:color w:val="FF0000"/>
      <w:spacing w:val="-3"/>
      <w:sz w:val="22"/>
      <w:lang w:val="en-GB" w:eastAsia="en-US" w:bidi="ar-SA"/>
    </w:rPr>
  </w:style>
  <w:style w:type="character" w:customStyle="1" w:styleId="83">
    <w:name w:val="正文文本缩进 3 字符"/>
    <w:link w:val="38"/>
    <w:qFormat/>
    <w:uiPriority w:val="0"/>
    <w:rPr>
      <w:rFonts w:eastAsia="宋体"/>
      <w:sz w:val="24"/>
      <w:lang w:val="en-US" w:eastAsia="zh-CN" w:bidi="ar-SA"/>
    </w:rPr>
  </w:style>
  <w:style w:type="character" w:customStyle="1" w:styleId="84">
    <w:name w:val="正文缩进 Char2"/>
    <w:qFormat/>
    <w:uiPriority w:val="0"/>
    <w:rPr>
      <w:rFonts w:eastAsia="楷体_GB2312"/>
      <w:kern w:val="2"/>
      <w:sz w:val="28"/>
    </w:rPr>
  </w:style>
  <w:style w:type="character" w:customStyle="1" w:styleId="85">
    <w:name w:val="apple-style-span"/>
    <w:basedOn w:val="50"/>
    <w:qFormat/>
    <w:uiPriority w:val="0"/>
  </w:style>
  <w:style w:type="character" w:customStyle="1" w:styleId="86">
    <w:name w:val="Char Char15"/>
    <w:qFormat/>
    <w:uiPriority w:val="0"/>
    <w:rPr>
      <w:rFonts w:eastAsia="宋体"/>
      <w:b/>
      <w:sz w:val="28"/>
      <w:lang w:val="en-US" w:eastAsia="zh-CN" w:bidi="ar-SA"/>
    </w:rPr>
  </w:style>
  <w:style w:type="character" w:customStyle="1" w:styleId="87">
    <w:name w:val="Char Char19"/>
    <w:qFormat/>
    <w:uiPriority w:val="0"/>
    <w:rPr>
      <w:rFonts w:ascii="仿宋_GB2312" w:eastAsia="仿宋_GB2312" w:cs="MingLiU"/>
      <w:b/>
      <w:spacing w:val="1"/>
      <w:w w:val="99"/>
      <w:sz w:val="28"/>
      <w:szCs w:val="32"/>
    </w:rPr>
  </w:style>
  <w:style w:type="character" w:customStyle="1" w:styleId="88">
    <w:name w:val="纯文本 字符"/>
    <w:link w:val="25"/>
    <w:qFormat/>
    <w:uiPriority w:val="99"/>
    <w:rPr>
      <w:rFonts w:ascii="宋体" w:hAnsi="Courier New" w:eastAsia="仿宋_GB2312"/>
      <w:kern w:val="2"/>
      <w:sz w:val="24"/>
    </w:rPr>
  </w:style>
  <w:style w:type="character" w:customStyle="1" w:styleId="89">
    <w:name w:val="批注主题 Char1"/>
    <w:qFormat/>
    <w:uiPriority w:val="0"/>
    <w:rPr>
      <w:rFonts w:cs="Times New Roman"/>
      <w:b/>
      <w:bCs/>
      <w:kern w:val="2"/>
      <w:sz w:val="21"/>
      <w:szCs w:val="24"/>
      <w:lang w:val="en-US" w:eastAsia="zh-CN"/>
    </w:rPr>
  </w:style>
  <w:style w:type="character" w:customStyle="1" w:styleId="90">
    <w:name w:val="正文文字2 Char Char Char"/>
    <w:qFormat/>
    <w:uiPriority w:val="0"/>
    <w:rPr>
      <w:rFonts w:ascii="Arial" w:eastAsia="黑体"/>
      <w:sz w:val="21"/>
    </w:rPr>
  </w:style>
  <w:style w:type="character" w:customStyle="1" w:styleId="91">
    <w:name w:val="Char Char6"/>
    <w:qFormat/>
    <w:uiPriority w:val="0"/>
    <w:rPr>
      <w:kern w:val="2"/>
      <w:sz w:val="18"/>
      <w:szCs w:val="18"/>
    </w:rPr>
  </w:style>
  <w:style w:type="character" w:customStyle="1" w:styleId="92">
    <w:name w:val="cucd-0 Char Char Char"/>
    <w:qFormat/>
    <w:uiPriority w:val="0"/>
    <w:rPr>
      <w:kern w:val="2"/>
      <w:sz w:val="24"/>
      <w:szCs w:val="24"/>
      <w:lang w:bidi="ar-SA"/>
    </w:rPr>
  </w:style>
  <w:style w:type="character" w:customStyle="1" w:styleId="93">
    <w:name w:val="页脚 Char Char Char"/>
    <w:qFormat/>
    <w:uiPriority w:val="0"/>
    <w:rPr>
      <w:sz w:val="18"/>
    </w:rPr>
  </w:style>
  <w:style w:type="character" w:customStyle="1" w:styleId="94">
    <w:name w:val="无间隔 字符"/>
    <w:link w:val="95"/>
    <w:qFormat/>
    <w:uiPriority w:val="0"/>
    <w:rPr>
      <w:rFonts w:ascii="Calibri" w:hAnsi="Calibri"/>
      <w:sz w:val="22"/>
      <w:szCs w:val="22"/>
      <w:lang w:val="en-US" w:eastAsia="zh-CN" w:bidi="ar-SA"/>
    </w:rPr>
  </w:style>
  <w:style w:type="paragraph" w:styleId="95">
    <w:name w:val="No Spacing"/>
    <w:link w:val="94"/>
    <w:qFormat/>
    <w:uiPriority w:val="0"/>
    <w:rPr>
      <w:rFonts w:ascii="Calibri" w:hAnsi="Calibri" w:eastAsia="宋体" w:cs="Times New Roman"/>
      <w:sz w:val="22"/>
      <w:szCs w:val="22"/>
      <w:lang w:val="en-US" w:eastAsia="zh-CN" w:bidi="ar-SA"/>
    </w:rPr>
  </w:style>
  <w:style w:type="character" w:customStyle="1" w:styleId="96">
    <w:name w:val="标题 字符"/>
    <w:link w:val="45"/>
    <w:qFormat/>
    <w:uiPriority w:val="0"/>
    <w:rPr>
      <w:rFonts w:ascii="Cambria" w:hAnsi="Cambria" w:cs="Times New Roman"/>
      <w:b/>
      <w:bCs/>
      <w:sz w:val="32"/>
      <w:szCs w:val="32"/>
    </w:rPr>
  </w:style>
  <w:style w:type="character" w:customStyle="1" w:styleId="97">
    <w:name w:val="页脚 Char1"/>
    <w:qFormat/>
    <w:uiPriority w:val="0"/>
    <w:rPr>
      <w:sz w:val="18"/>
    </w:rPr>
  </w:style>
  <w:style w:type="character" w:customStyle="1" w:styleId="98">
    <w:name w:val="正文文本缩进 Char1"/>
    <w:qFormat/>
    <w:uiPriority w:val="0"/>
    <w:rPr>
      <w:rFonts w:ascii="宋体" w:hAnsi="宋体"/>
      <w:color w:val="000000"/>
      <w:sz w:val="24"/>
      <w:szCs w:val="24"/>
      <w:lang w:val="en-US" w:eastAsia="zh-CN"/>
    </w:rPr>
  </w:style>
  <w:style w:type="character" w:customStyle="1" w:styleId="99">
    <w:name w:val="副标题 字符"/>
    <w:link w:val="35"/>
    <w:qFormat/>
    <w:uiPriority w:val="0"/>
    <w:rPr>
      <w:rFonts w:ascii="Cambria" w:hAnsi="Cambria"/>
      <w:b/>
      <w:bCs/>
      <w:kern w:val="28"/>
      <w:sz w:val="32"/>
      <w:szCs w:val="32"/>
      <w:lang w:val="en-US" w:eastAsia="zh-CN"/>
    </w:rPr>
  </w:style>
  <w:style w:type="character" w:customStyle="1" w:styleId="100">
    <w:name w:val="正文文本 2 字符"/>
    <w:link w:val="42"/>
    <w:qFormat/>
    <w:uiPriority w:val="0"/>
    <w:rPr>
      <w:rFonts w:eastAsia="宋体"/>
      <w:color w:val="0000FF"/>
      <w:sz w:val="24"/>
      <w:lang w:val="en-US" w:eastAsia="zh-CN" w:bidi="ar-SA"/>
    </w:rPr>
  </w:style>
  <w:style w:type="character" w:customStyle="1" w:styleId="101">
    <w:name w:val="h4 Char Char1"/>
    <w:qFormat/>
    <w:uiPriority w:val="0"/>
    <w:rPr>
      <w:rFonts w:ascii="仿宋_GB2312" w:eastAsia="仿宋_GB2312" w:cs="MingLiU"/>
      <w:b/>
      <w:sz w:val="24"/>
      <w:szCs w:val="28"/>
    </w:rPr>
  </w:style>
  <w:style w:type="character" w:customStyle="1" w:styleId="102">
    <w:name w:val="Char Char24"/>
    <w:qFormat/>
    <w:uiPriority w:val="0"/>
    <w:rPr>
      <w:rFonts w:eastAsia="宋体"/>
      <w:b/>
      <w:bCs/>
      <w:kern w:val="2"/>
      <w:sz w:val="28"/>
      <w:szCs w:val="32"/>
      <w:lang w:val="en-US" w:eastAsia="zh-CN" w:bidi="ar-SA"/>
    </w:rPr>
  </w:style>
  <w:style w:type="character" w:customStyle="1" w:styleId="103">
    <w:name w:val="Char Char13"/>
    <w:qFormat/>
    <w:uiPriority w:val="0"/>
    <w:rPr>
      <w:rFonts w:ascii="Arial" w:hAnsi="Arial"/>
      <w:spacing w:val="-3"/>
      <w:sz w:val="22"/>
      <w:lang w:val="en-GB" w:eastAsia="en-US" w:bidi="ar-SA"/>
    </w:rPr>
  </w:style>
  <w:style w:type="character" w:customStyle="1" w:styleId="104">
    <w:name w:val="Char Char23"/>
    <w:qFormat/>
    <w:uiPriority w:val="0"/>
    <w:rPr>
      <w:rFonts w:ascii="Arial" w:hAnsi="Arial" w:eastAsia="黑体"/>
      <w:b/>
      <w:bCs/>
      <w:kern w:val="2"/>
      <w:sz w:val="28"/>
      <w:szCs w:val="28"/>
      <w:lang w:val="en-US" w:eastAsia="zh-CN" w:bidi="ar-SA"/>
    </w:rPr>
  </w:style>
  <w:style w:type="character" w:customStyle="1" w:styleId="105">
    <w:name w:val="批注文字 字符"/>
    <w:link w:val="19"/>
    <w:qFormat/>
    <w:uiPriority w:val="0"/>
    <w:rPr>
      <w:sz w:val="24"/>
    </w:rPr>
  </w:style>
  <w:style w:type="character" w:customStyle="1" w:styleId="106">
    <w:name w:val="Char Char12"/>
    <w:qFormat/>
    <w:uiPriority w:val="0"/>
    <w:rPr>
      <w:rFonts w:ascii="Arial" w:hAnsi="Arial" w:eastAsia="黑体"/>
      <w:b/>
      <w:sz w:val="24"/>
      <w:lang w:val="en-US" w:eastAsia="zh-CN" w:bidi="ar-SA"/>
    </w:rPr>
  </w:style>
  <w:style w:type="character" w:customStyle="1" w:styleId="107">
    <w:name w:val="批注框文本 字符"/>
    <w:link w:val="30"/>
    <w:qFormat/>
    <w:uiPriority w:val="0"/>
    <w:rPr>
      <w:kern w:val="2"/>
      <w:sz w:val="18"/>
      <w:szCs w:val="18"/>
    </w:rPr>
  </w:style>
  <w:style w:type="character" w:customStyle="1" w:styleId="108">
    <w:name w:val="Char Char16"/>
    <w:qFormat/>
    <w:uiPriority w:val="0"/>
    <w:rPr>
      <w:rFonts w:ascii="Calibri" w:hAnsi="Calibri" w:eastAsia="宋体"/>
      <w:kern w:val="2"/>
      <w:sz w:val="18"/>
      <w:szCs w:val="18"/>
      <w:lang w:val="en-US" w:eastAsia="zh-CN" w:bidi="ar-SA"/>
    </w:rPr>
  </w:style>
  <w:style w:type="character" w:customStyle="1" w:styleId="109">
    <w:name w:val="正文首行缩进 2 字符"/>
    <w:link w:val="2"/>
    <w:qFormat/>
    <w:uiPriority w:val="0"/>
    <w:rPr>
      <w:rFonts w:eastAsia="宋体"/>
      <w:kern w:val="2"/>
      <w:sz w:val="21"/>
      <w:szCs w:val="24"/>
      <w:lang w:val="en-US" w:eastAsia="zh-CN" w:bidi="ar-SA"/>
    </w:rPr>
  </w:style>
  <w:style w:type="character" w:customStyle="1" w:styleId="110">
    <w:name w:val="正文文本缩进 字符"/>
    <w:link w:val="3"/>
    <w:qFormat/>
    <w:uiPriority w:val="0"/>
    <w:rPr>
      <w:rFonts w:eastAsia="宋体"/>
      <w:sz w:val="28"/>
      <w:szCs w:val="24"/>
      <w:lang w:val="en-US" w:eastAsia="zh-CN" w:bidi="ar-SA"/>
    </w:rPr>
  </w:style>
  <w:style w:type="character" w:customStyle="1" w:styleId="111">
    <w:name w:val="文档结构图 字符"/>
    <w:link w:val="17"/>
    <w:qFormat/>
    <w:uiPriority w:val="0"/>
    <w:rPr>
      <w:rFonts w:eastAsia="宋体"/>
      <w:lang w:val="en-US" w:eastAsia="zh-CN" w:bidi="ar-SA"/>
    </w:rPr>
  </w:style>
  <w:style w:type="character" w:customStyle="1" w:styleId="112">
    <w:name w:val="Char Char17"/>
    <w:qFormat/>
    <w:uiPriority w:val="0"/>
    <w:rPr>
      <w:rFonts w:ascii="Calibri" w:hAnsi="Calibri" w:eastAsia="宋体"/>
      <w:kern w:val="2"/>
      <w:sz w:val="18"/>
      <w:szCs w:val="18"/>
      <w:lang w:val="en-US" w:eastAsia="zh-CN" w:bidi="ar-SA"/>
    </w:rPr>
  </w:style>
  <w:style w:type="character" w:customStyle="1" w:styleId="113">
    <w:name w:val="Char Char10"/>
    <w:qFormat/>
    <w:uiPriority w:val="0"/>
    <w:rPr>
      <w:rFonts w:ascii="Arial" w:hAnsi="Arial" w:eastAsia="黑体"/>
      <w:sz w:val="24"/>
      <w:lang w:val="en-US" w:eastAsia="zh-CN" w:bidi="ar-SA"/>
    </w:rPr>
  </w:style>
  <w:style w:type="character" w:customStyle="1" w:styleId="114">
    <w:name w:val="Char Char18"/>
    <w:qFormat/>
    <w:uiPriority w:val="0"/>
    <w:rPr>
      <w:rFonts w:ascii="仿宋_GB2312" w:eastAsia="仿宋_GB2312" w:cs="MingLiU"/>
      <w:b/>
      <w:sz w:val="24"/>
      <w:szCs w:val="28"/>
    </w:rPr>
  </w:style>
  <w:style w:type="character" w:customStyle="1" w:styleId="115">
    <w:name w:val="注释标题 字符"/>
    <w:link w:val="15"/>
    <w:qFormat/>
    <w:uiPriority w:val="0"/>
    <w:rPr>
      <w:kern w:val="2"/>
      <w:sz w:val="21"/>
      <w:lang w:eastAsia="zh-TW"/>
    </w:rPr>
  </w:style>
  <w:style w:type="character" w:customStyle="1" w:styleId="116">
    <w:name w:val="h4 Char Char"/>
    <w:qFormat/>
    <w:uiPriority w:val="0"/>
    <w:rPr>
      <w:rFonts w:ascii="仿宋_GB2312" w:eastAsia="仿宋_GB2312" w:cs="MingLiU"/>
      <w:b/>
      <w:sz w:val="24"/>
      <w:szCs w:val="28"/>
    </w:rPr>
  </w:style>
  <w:style w:type="character" w:customStyle="1" w:styleId="117">
    <w:name w:val="纯文本 Char1"/>
    <w:qFormat/>
    <w:uiPriority w:val="0"/>
    <w:rPr>
      <w:rFonts w:ascii="宋体" w:hAnsi="Courier New"/>
      <w:kern w:val="2"/>
      <w:sz w:val="21"/>
      <w:lang w:val="en-US" w:eastAsia="zh-CN"/>
    </w:rPr>
  </w:style>
  <w:style w:type="character" w:customStyle="1" w:styleId="118">
    <w:name w:val="Char Char11"/>
    <w:qFormat/>
    <w:uiPriority w:val="0"/>
    <w:rPr>
      <w:rFonts w:eastAsia="宋体"/>
      <w:b/>
      <w:sz w:val="24"/>
      <w:lang w:val="en-US" w:eastAsia="zh-CN" w:bidi="ar-SA"/>
    </w:rPr>
  </w:style>
  <w:style w:type="character" w:customStyle="1" w:styleId="119">
    <w:name w:val="页眉 Char1"/>
    <w:qFormat/>
    <w:uiPriority w:val="0"/>
    <w:rPr>
      <w:sz w:val="18"/>
    </w:rPr>
  </w:style>
  <w:style w:type="character" w:customStyle="1" w:styleId="120">
    <w:name w:val="批注主题 字符"/>
    <w:basedOn w:val="105"/>
    <w:link w:val="46"/>
    <w:qFormat/>
    <w:uiPriority w:val="0"/>
    <w:rPr>
      <w:sz w:val="24"/>
    </w:rPr>
  </w:style>
  <w:style w:type="character" w:customStyle="1" w:styleId="121">
    <w:name w:val="正文首行缩进 字符"/>
    <w:link w:val="47"/>
    <w:qFormat/>
    <w:uiPriority w:val="0"/>
    <w:rPr>
      <w:rFonts w:ascii="宋体" w:hAnsi="宋体"/>
      <w:color w:val="000000"/>
      <w:kern w:val="2"/>
      <w:sz w:val="24"/>
    </w:rPr>
  </w:style>
  <w:style w:type="character" w:customStyle="1" w:styleId="122">
    <w:name w:val="Char Char8"/>
    <w:qFormat/>
    <w:uiPriority w:val="0"/>
    <w:rPr>
      <w:kern w:val="2"/>
      <w:sz w:val="18"/>
      <w:szCs w:val="18"/>
    </w:rPr>
  </w:style>
  <w:style w:type="character" w:customStyle="1" w:styleId="123">
    <w:name w:val="页脚2 Char Char Char"/>
    <w:qFormat/>
    <w:uiPriority w:val="0"/>
    <w:rPr>
      <w:rFonts w:ascii="宋体" w:hAnsi="宋体"/>
      <w:sz w:val="18"/>
      <w:szCs w:val="18"/>
    </w:rPr>
  </w:style>
  <w:style w:type="character" w:customStyle="1" w:styleId="124">
    <w:name w:val="普通文字 Char2"/>
    <w:qFormat/>
    <w:uiPriority w:val="0"/>
    <w:rPr>
      <w:rFonts w:ascii="宋体" w:hAnsi="Courier New"/>
      <w:kern w:val="2"/>
      <w:sz w:val="28"/>
      <w:szCs w:val="28"/>
    </w:rPr>
  </w:style>
  <w:style w:type="character" w:customStyle="1" w:styleId="125">
    <w:name w:val="章 Char"/>
    <w:qFormat/>
    <w:uiPriority w:val="0"/>
    <w:rPr>
      <w:rFonts w:eastAsia="宋体"/>
      <w:b/>
      <w:kern w:val="44"/>
      <w:sz w:val="44"/>
      <w:lang w:val="en-US" w:eastAsia="zh-CN" w:bidi="ar-SA"/>
    </w:rPr>
  </w:style>
  <w:style w:type="character" w:customStyle="1" w:styleId="126">
    <w:name w:val="日期 字符"/>
    <w:link w:val="27"/>
    <w:qFormat/>
    <w:uiPriority w:val="99"/>
    <w:rPr>
      <w:rFonts w:eastAsia="宋体"/>
      <w:sz w:val="24"/>
      <w:lang w:val="en-US" w:eastAsia="zh-CN" w:bidi="ar-SA"/>
    </w:rPr>
  </w:style>
  <w:style w:type="character" w:customStyle="1" w:styleId="127">
    <w:name w:val="Char Char25"/>
    <w:qFormat/>
    <w:uiPriority w:val="0"/>
    <w:rPr>
      <w:rFonts w:ascii="Arial" w:hAnsi="Arial" w:eastAsia="黑体"/>
      <w:b/>
      <w:bCs/>
      <w:kern w:val="2"/>
      <w:sz w:val="30"/>
      <w:szCs w:val="32"/>
      <w:lang w:val="en-US" w:eastAsia="zh-CN" w:bidi="ar-SA"/>
    </w:rPr>
  </w:style>
  <w:style w:type="character" w:customStyle="1" w:styleId="128">
    <w:name w:val="正文文本 3 Char1"/>
    <w:qFormat/>
    <w:uiPriority w:val="0"/>
    <w:rPr>
      <w:kern w:val="2"/>
      <w:sz w:val="16"/>
      <w:szCs w:val="16"/>
      <w:lang w:val="en-US" w:eastAsia="zh-CN"/>
    </w:rPr>
  </w:style>
  <w:style w:type="character" w:customStyle="1" w:styleId="129">
    <w:name w:val="脚注文本 字符"/>
    <w:link w:val="36"/>
    <w:qFormat/>
    <w:uiPriority w:val="0"/>
    <w:rPr>
      <w:kern w:val="2"/>
      <w:sz w:val="18"/>
      <w:szCs w:val="18"/>
    </w:rPr>
  </w:style>
  <w:style w:type="character" w:customStyle="1" w:styleId="130">
    <w:name w:val="Char Char41"/>
    <w:qFormat/>
    <w:uiPriority w:val="0"/>
    <w:rPr>
      <w:rFonts w:ascii="Arial" w:hAnsi="Arial" w:eastAsia="黑体"/>
      <w:b/>
      <w:sz w:val="32"/>
      <w:lang w:val="en-US" w:eastAsia="zh-CN" w:bidi="ar-SA"/>
    </w:rPr>
  </w:style>
  <w:style w:type="character" w:customStyle="1" w:styleId="131">
    <w:name w:val="页眉 Char Char Char"/>
    <w:qFormat/>
    <w:uiPriority w:val="0"/>
    <w:rPr>
      <w:sz w:val="18"/>
    </w:rPr>
  </w:style>
  <w:style w:type="character" w:customStyle="1" w:styleId="132">
    <w:name w:val="HTML 预设格式 字符"/>
    <w:link w:val="43"/>
    <w:qFormat/>
    <w:uiPriority w:val="0"/>
    <w:rPr>
      <w:rFonts w:ascii="Arial" w:hAnsi="Arial" w:eastAsia="宋体" w:cs="Arial"/>
      <w:sz w:val="24"/>
      <w:szCs w:val="24"/>
      <w:lang w:val="en-US" w:eastAsia="zh-CN" w:bidi="ar-SA"/>
    </w:rPr>
  </w:style>
  <w:style w:type="character" w:customStyle="1" w:styleId="133">
    <w:name w:val="页脚2 Char Char"/>
    <w:link w:val="134"/>
    <w:qFormat/>
    <w:uiPriority w:val="0"/>
    <w:rPr>
      <w:rFonts w:ascii="宋体" w:hAnsi="宋体"/>
      <w:sz w:val="18"/>
      <w:szCs w:val="18"/>
    </w:rPr>
  </w:style>
  <w:style w:type="paragraph" w:customStyle="1" w:styleId="134">
    <w:name w:val="页脚2"/>
    <w:basedOn w:val="1"/>
    <w:link w:val="133"/>
    <w:qFormat/>
    <w:uiPriority w:val="0"/>
    <w:pPr>
      <w:pBdr>
        <w:top w:val="single" w:color="auto" w:sz="6" w:space="0"/>
      </w:pBdr>
      <w:jc w:val="right"/>
      <w:textAlignment w:val="center"/>
    </w:pPr>
    <w:rPr>
      <w:rFonts w:ascii="宋体" w:hAnsi="宋体"/>
      <w:kern w:val="0"/>
      <w:sz w:val="18"/>
      <w:szCs w:val="18"/>
      <w:lang w:val="zh-CN"/>
    </w:rPr>
  </w:style>
  <w:style w:type="character" w:customStyle="1" w:styleId="135">
    <w:name w:val="页眉 Char Char"/>
    <w:qFormat/>
    <w:uiPriority w:val="0"/>
    <w:rPr>
      <w:sz w:val="18"/>
    </w:rPr>
  </w:style>
  <w:style w:type="character" w:customStyle="1" w:styleId="136">
    <w:name w:val="Char Char20"/>
    <w:qFormat/>
    <w:uiPriority w:val="0"/>
    <w:rPr>
      <w:rFonts w:eastAsia="黑体"/>
      <w:kern w:val="2"/>
      <w:sz w:val="44"/>
      <w:szCs w:val="44"/>
      <w:lang w:val="en-US" w:eastAsia="zh-CN" w:bidi="ar-SA"/>
    </w:rPr>
  </w:style>
  <w:style w:type="character" w:customStyle="1" w:styleId="137">
    <w:name w:val="cucd-2 Char1"/>
    <w:link w:val="138"/>
    <w:qFormat/>
    <w:uiPriority w:val="0"/>
    <w:rPr>
      <w:rFonts w:ascii="宋体" w:hAnsi="宋体"/>
      <w:b/>
      <w:kern w:val="2"/>
      <w:sz w:val="28"/>
      <w:szCs w:val="28"/>
      <w:lang w:val="en-US" w:eastAsia="zh-CN" w:bidi="ar-SA"/>
    </w:rPr>
  </w:style>
  <w:style w:type="paragraph" w:customStyle="1" w:styleId="138">
    <w:name w:val="cucd-2"/>
    <w:next w:val="1"/>
    <w:link w:val="137"/>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39">
    <w:name w:val="Char Char231"/>
    <w:qFormat/>
    <w:uiPriority w:val="0"/>
    <w:rPr>
      <w:rFonts w:ascii="Arial" w:hAnsi="Arial" w:eastAsia="黑体"/>
      <w:b/>
      <w:sz w:val="32"/>
      <w:lang w:val="en-US" w:eastAsia="zh-CN" w:bidi="ar-SA"/>
    </w:rPr>
  </w:style>
  <w:style w:type="character" w:customStyle="1" w:styleId="140">
    <w:name w:val="cucd-0 Char Char"/>
    <w:link w:val="141"/>
    <w:qFormat/>
    <w:uiPriority w:val="0"/>
    <w:rPr>
      <w:kern w:val="2"/>
      <w:sz w:val="24"/>
      <w:szCs w:val="24"/>
      <w:lang w:val="en-US" w:eastAsia="zh-CN" w:bidi="ar-SA"/>
    </w:rPr>
  </w:style>
  <w:style w:type="paragraph" w:customStyle="1" w:styleId="141">
    <w:name w:val="cucd-0"/>
    <w:link w:val="140"/>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2">
    <w:name w:val="正文文字2 Char Char"/>
    <w:link w:val="143"/>
    <w:qFormat/>
    <w:uiPriority w:val="0"/>
    <w:rPr>
      <w:rFonts w:ascii="Arial" w:eastAsia="黑体"/>
      <w:sz w:val="21"/>
      <w:lang w:val="en-US" w:eastAsia="zh-CN" w:bidi="ar-SA"/>
    </w:rPr>
  </w:style>
  <w:style w:type="paragraph" w:customStyle="1" w:styleId="143">
    <w:name w:val="正文文字2"/>
    <w:basedOn w:val="21"/>
    <w:link w:val="142"/>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4">
    <w:name w:val="CM23"/>
    <w:basedOn w:val="57"/>
    <w:next w:val="57"/>
    <w:qFormat/>
    <w:uiPriority w:val="0"/>
    <w:pPr>
      <w:spacing w:after="120"/>
    </w:pPr>
    <w:rPr>
      <w:color w:val="auto"/>
    </w:rPr>
  </w:style>
  <w:style w:type="paragraph" w:customStyle="1" w:styleId="145">
    <w:name w:val="样式 正文首行缩进 + 首行缩进:  2 字符1 Char Char"/>
    <w:basedOn w:val="47"/>
    <w:qFormat/>
    <w:uiPriority w:val="0"/>
    <w:pPr>
      <w:adjustRightInd w:val="0"/>
      <w:spacing w:after="0" w:line="400" w:lineRule="exact"/>
      <w:ind w:firstLine="480" w:firstLineChars="200"/>
      <w:textAlignment w:val="baseline"/>
    </w:pPr>
    <w:rPr>
      <w:rFonts w:eastAsia="仿宋_GB2312" w:cs="宋体"/>
    </w:rPr>
  </w:style>
  <w:style w:type="paragraph" w:customStyle="1" w:styleId="146">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7">
    <w:name w:val="1"/>
    <w:basedOn w:val="1"/>
    <w:qFormat/>
    <w:uiPriority w:val="0"/>
    <w:pPr>
      <w:spacing w:after="156" w:afterLines="50" w:line="360" w:lineRule="auto"/>
      <w:jc w:val="center"/>
    </w:pPr>
    <w:rPr>
      <w:rFonts w:ascii="宋体" w:hAnsi="宋体"/>
      <w:b/>
      <w:sz w:val="28"/>
      <w:szCs w:val="28"/>
    </w:rPr>
  </w:style>
  <w:style w:type="paragraph" w:customStyle="1" w:styleId="148">
    <w:name w:val="CM24"/>
    <w:basedOn w:val="57"/>
    <w:next w:val="57"/>
    <w:qFormat/>
    <w:uiPriority w:val="0"/>
    <w:pPr>
      <w:spacing w:after="218"/>
    </w:pPr>
    <w:rPr>
      <w:color w:val="auto"/>
    </w:rPr>
  </w:style>
  <w:style w:type="paragraph" w:customStyle="1" w:styleId="149">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0">
    <w:name w:val="正文缩进1"/>
    <w:basedOn w:val="1"/>
    <w:qFormat/>
    <w:uiPriority w:val="0"/>
    <w:pPr>
      <w:ind w:firstLine="420"/>
    </w:pPr>
    <w:rPr>
      <w:szCs w:val="24"/>
    </w:rPr>
  </w:style>
  <w:style w:type="paragraph" w:styleId="151">
    <w:name w:val="List Paragraph"/>
    <w:basedOn w:val="1"/>
    <w:qFormat/>
    <w:uiPriority w:val="34"/>
    <w:pPr>
      <w:ind w:firstLine="420" w:firstLineChars="200"/>
    </w:pPr>
  </w:style>
  <w:style w:type="paragraph" w:customStyle="1" w:styleId="152">
    <w:name w:val="空半行"/>
    <w:basedOn w:val="1"/>
    <w:qFormat/>
    <w:uiPriority w:val="0"/>
    <w:pPr>
      <w:adjustRightInd w:val="0"/>
      <w:spacing w:line="120" w:lineRule="exact"/>
      <w:textAlignment w:val="baseline"/>
    </w:pPr>
    <w:rPr>
      <w:rFonts w:eastAsia="仿宋_GB2312"/>
      <w:color w:val="FFFFFF"/>
      <w:sz w:val="30"/>
    </w:rPr>
  </w:style>
  <w:style w:type="paragraph" w:customStyle="1" w:styleId="153">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4">
    <w:name w:val="普通(Web)23"/>
    <w:basedOn w:val="1"/>
    <w:qFormat/>
    <w:uiPriority w:val="0"/>
    <w:pPr>
      <w:spacing w:after="75" w:line="360" w:lineRule="atLeast"/>
    </w:pPr>
    <w:rPr>
      <w:rFonts w:ascii="宋体" w:hAnsi="宋体" w:cs="宋体"/>
      <w:sz w:val="24"/>
      <w:szCs w:val="24"/>
    </w:rPr>
  </w:style>
  <w:style w:type="paragraph" w:customStyle="1" w:styleId="155">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6">
    <w:name w:val="批注框文本1"/>
    <w:basedOn w:val="1"/>
    <w:qFormat/>
    <w:uiPriority w:val="0"/>
    <w:rPr>
      <w:sz w:val="18"/>
      <w:szCs w:val="18"/>
    </w:rPr>
  </w:style>
  <w:style w:type="paragraph" w:customStyle="1" w:styleId="157">
    <w:name w:val="注"/>
    <w:basedOn w:val="1"/>
    <w:qFormat/>
    <w:uiPriority w:val="0"/>
    <w:pPr>
      <w:adjustRightInd w:val="0"/>
      <w:spacing w:line="360" w:lineRule="atLeast"/>
      <w:ind w:left="840" w:hanging="420"/>
      <w:textAlignment w:val="baseline"/>
    </w:pPr>
  </w:style>
  <w:style w:type="paragraph" w:customStyle="1" w:styleId="158">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59">
    <w:name w:val="表格"/>
    <w:basedOn w:val="1"/>
    <w:qFormat/>
    <w:uiPriority w:val="0"/>
    <w:pPr>
      <w:adjustRightInd w:val="0"/>
      <w:spacing w:before="160" w:line="400" w:lineRule="exact"/>
      <w:jc w:val="center"/>
      <w:textAlignment w:val="baseline"/>
    </w:pPr>
    <w:rPr>
      <w:spacing w:val="20"/>
      <w:sz w:val="24"/>
    </w:rPr>
  </w:style>
  <w:style w:type="paragraph" w:customStyle="1" w:styleId="160">
    <w:name w:val="Zchn Zchn Char Char"/>
    <w:basedOn w:val="1"/>
    <w:qFormat/>
    <w:uiPriority w:val="0"/>
    <w:pPr>
      <w:adjustRightInd w:val="0"/>
      <w:spacing w:line="360" w:lineRule="auto"/>
    </w:pPr>
    <w:rPr>
      <w:sz w:val="24"/>
    </w:rPr>
  </w:style>
  <w:style w:type="paragraph" w:customStyle="1" w:styleId="161">
    <w:name w:val="Char1 Char Char Char1 Char Char Char Char Char Char Char Char Char"/>
    <w:basedOn w:val="17"/>
    <w:qFormat/>
    <w:uiPriority w:val="0"/>
    <w:pPr>
      <w:adjustRightInd w:val="0"/>
      <w:spacing w:line="436" w:lineRule="exact"/>
      <w:ind w:left="357"/>
      <w:outlineLvl w:val="3"/>
    </w:pPr>
    <w:rPr>
      <w:rFonts w:ascii="Tahoma" w:hAnsi="Tahoma"/>
      <w:b/>
      <w:kern w:val="2"/>
      <w:sz w:val="24"/>
      <w:szCs w:val="24"/>
    </w:rPr>
  </w:style>
  <w:style w:type="character" w:customStyle="1" w:styleId="162">
    <w:name w:val="页眉 字符"/>
    <w:link w:val="32"/>
    <w:qFormat/>
    <w:uiPriority w:val="99"/>
    <w:rPr>
      <w:kern w:val="2"/>
      <w:sz w:val="18"/>
    </w:rPr>
  </w:style>
  <w:style w:type="paragraph" w:customStyle="1" w:styleId="163">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4">
    <w:name w:val="panj"/>
    <w:basedOn w:val="1"/>
    <w:qFormat/>
    <w:uiPriority w:val="0"/>
    <w:pPr>
      <w:spacing w:line="440" w:lineRule="exact"/>
      <w:ind w:firstLine="200" w:firstLineChars="200"/>
    </w:pPr>
    <w:rPr>
      <w:sz w:val="24"/>
      <w:szCs w:val="24"/>
    </w:rPr>
  </w:style>
  <w:style w:type="paragraph" w:customStyle="1" w:styleId="165">
    <w:name w:val="Char Char Char Char Char Char Char"/>
    <w:basedOn w:val="1"/>
    <w:qFormat/>
    <w:uiPriority w:val="0"/>
    <w:pPr>
      <w:snapToGrid w:val="0"/>
      <w:spacing w:after="160" w:line="360" w:lineRule="auto"/>
    </w:pPr>
    <w:rPr>
      <w:sz w:val="24"/>
      <w:szCs w:val="24"/>
      <w:lang w:eastAsia="en-US"/>
    </w:rPr>
  </w:style>
  <w:style w:type="paragraph" w:customStyle="1" w:styleId="166">
    <w:name w:val="样式 cucd-0 + 宋体"/>
    <w:basedOn w:val="1"/>
    <w:qFormat/>
    <w:uiPriority w:val="0"/>
    <w:pPr>
      <w:spacing w:line="360" w:lineRule="auto"/>
      <w:ind w:firstLine="480" w:firstLineChars="200"/>
    </w:pPr>
    <w:rPr>
      <w:rFonts w:ascii="宋体" w:hAnsi="宋体"/>
      <w:sz w:val="24"/>
      <w:szCs w:val="24"/>
    </w:rPr>
  </w:style>
  <w:style w:type="paragraph" w:customStyle="1" w:styleId="167">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68">
    <w:name w:val="TOC 标题1"/>
    <w:basedOn w:val="4"/>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69">
    <w:name w:val="标题2.2.1"/>
    <w:basedOn w:val="1"/>
    <w:qFormat/>
    <w:uiPriority w:val="0"/>
    <w:pPr>
      <w:tabs>
        <w:tab w:val="left" w:pos="-164"/>
      </w:tabs>
      <w:ind w:left="1418" w:hanging="1582"/>
    </w:pPr>
    <w:rPr>
      <w:szCs w:val="24"/>
    </w:rPr>
  </w:style>
  <w:style w:type="paragraph" w:customStyle="1" w:styleId="170">
    <w:name w:val="TOC 标题11"/>
    <w:basedOn w:val="4"/>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1">
    <w:name w:val="CM21"/>
    <w:basedOn w:val="57"/>
    <w:next w:val="57"/>
    <w:qFormat/>
    <w:uiPriority w:val="0"/>
    <w:pPr>
      <w:spacing w:line="228" w:lineRule="atLeast"/>
    </w:pPr>
    <w:rPr>
      <w:color w:val="auto"/>
    </w:rPr>
  </w:style>
  <w:style w:type="paragraph" w:customStyle="1" w:styleId="172">
    <w:name w:val="表文字"/>
    <w:basedOn w:val="1"/>
    <w:qFormat/>
    <w:uiPriority w:val="0"/>
    <w:pPr>
      <w:wordWrap w:val="0"/>
      <w:adjustRightInd w:val="0"/>
      <w:snapToGrid w:val="0"/>
    </w:pPr>
  </w:style>
  <w:style w:type="paragraph" w:customStyle="1" w:styleId="173">
    <w:name w:val="列出段落1"/>
    <w:basedOn w:val="1"/>
    <w:qFormat/>
    <w:uiPriority w:val="0"/>
    <w:pPr>
      <w:ind w:firstLine="420" w:firstLineChars="200"/>
    </w:pPr>
    <w:rPr>
      <w:szCs w:val="24"/>
    </w:rPr>
  </w:style>
  <w:style w:type="paragraph" w:customStyle="1" w:styleId="174">
    <w:name w:val="纯文本1"/>
    <w:basedOn w:val="1"/>
    <w:qFormat/>
    <w:uiPriority w:val="0"/>
    <w:pPr>
      <w:adjustRightInd w:val="0"/>
      <w:textAlignment w:val="baseline"/>
    </w:pPr>
    <w:rPr>
      <w:rFonts w:ascii="宋体" w:hAnsi="Courier New"/>
    </w:rPr>
  </w:style>
  <w:style w:type="character" w:customStyle="1" w:styleId="175">
    <w:name w:val="页脚 字符"/>
    <w:link w:val="31"/>
    <w:qFormat/>
    <w:uiPriority w:val="99"/>
    <w:rPr>
      <w:kern w:val="2"/>
      <w:sz w:val="18"/>
    </w:rPr>
  </w:style>
  <w:style w:type="paragraph" w:customStyle="1" w:styleId="176">
    <w:name w:val="Char Char Char Char Char Char Char Char Char"/>
    <w:basedOn w:val="1"/>
    <w:qFormat/>
    <w:uiPriority w:val="0"/>
    <w:pPr>
      <w:spacing w:after="160" w:line="240" w:lineRule="exact"/>
    </w:pPr>
    <w:rPr>
      <w:szCs w:val="24"/>
    </w:rPr>
  </w:style>
  <w:style w:type="paragraph" w:customStyle="1" w:styleId="177">
    <w:name w:val="body 2"/>
    <w:basedOn w:val="5"/>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78">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79">
    <w:name w:val="note 2"/>
    <w:basedOn w:val="177"/>
    <w:qFormat/>
    <w:uiPriority w:val="0"/>
    <w:pPr>
      <w:ind w:left="1260" w:hanging="1080"/>
      <w:jc w:val="left"/>
    </w:pPr>
    <w:rPr>
      <w:b/>
    </w:rPr>
  </w:style>
  <w:style w:type="paragraph" w:customStyle="1" w:styleId="180">
    <w:name w:val="CM1"/>
    <w:basedOn w:val="57"/>
    <w:next w:val="57"/>
    <w:qFormat/>
    <w:uiPriority w:val="0"/>
    <w:pPr>
      <w:spacing w:line="191" w:lineRule="atLeast"/>
    </w:pPr>
    <w:rPr>
      <w:color w:val="auto"/>
    </w:rPr>
  </w:style>
  <w:style w:type="paragraph" w:customStyle="1" w:styleId="181">
    <w:name w:val="Text"/>
    <w:basedOn w:val="1"/>
    <w:qFormat/>
    <w:uiPriority w:val="0"/>
    <w:rPr>
      <w:rFonts w:ascii="Arial" w:hAnsi="Arial"/>
      <w:lang w:val="en-GB" w:eastAsia="de-DE"/>
    </w:rPr>
  </w:style>
  <w:style w:type="paragraph" w:customStyle="1" w:styleId="182">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3">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4">
    <w:name w:val="修订1"/>
    <w:qFormat/>
    <w:uiPriority w:val="99"/>
    <w:rPr>
      <w:rFonts w:ascii="Times New Roman" w:hAnsi="Times New Roman" w:eastAsia="宋体" w:cs="Times New Roman"/>
      <w:kern w:val="2"/>
      <w:sz w:val="21"/>
      <w:szCs w:val="24"/>
      <w:lang w:val="en-US" w:eastAsia="zh-CN" w:bidi="ar-SA"/>
    </w:rPr>
  </w:style>
  <w:style w:type="paragraph" w:customStyle="1" w:styleId="185">
    <w:name w:val="Heading 2a"/>
    <w:basedOn w:val="5"/>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6">
    <w:name w:val="List Paragraph1"/>
    <w:basedOn w:val="1"/>
    <w:qFormat/>
    <w:uiPriority w:val="0"/>
    <w:pPr>
      <w:ind w:firstLine="420" w:firstLineChars="200"/>
    </w:pPr>
    <w:rPr>
      <w:rFonts w:ascii="Calibri" w:hAnsi="Calibri"/>
      <w:szCs w:val="22"/>
    </w:rPr>
  </w:style>
  <w:style w:type="paragraph" w:customStyle="1" w:styleId="187">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88">
    <w:name w:val="Char"/>
    <w:basedOn w:val="1"/>
    <w:qFormat/>
    <w:uiPriority w:val="0"/>
    <w:rPr>
      <w:rFonts w:ascii="Tahoma" w:hAnsi="Tahoma"/>
      <w:sz w:val="24"/>
    </w:rPr>
  </w:style>
  <w:style w:type="paragraph" w:customStyle="1" w:styleId="189">
    <w:name w:val="cucd-1"/>
    <w:next w:val="138"/>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0">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1">
    <w:name w:val="Char11"/>
    <w:basedOn w:val="1"/>
    <w:qFormat/>
    <w:uiPriority w:val="0"/>
    <w:pPr>
      <w:spacing w:after="160" w:line="240" w:lineRule="exact"/>
    </w:pPr>
  </w:style>
  <w:style w:type="paragraph" w:customStyle="1" w:styleId="192">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3">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4">
    <w:name w:val="2"/>
    <w:basedOn w:val="1"/>
    <w:next w:val="9"/>
    <w:qFormat/>
    <w:uiPriority w:val="0"/>
    <w:pPr>
      <w:ind w:left="708"/>
    </w:pPr>
    <w:rPr>
      <w:rFonts w:ascii="CG Times (WN)" w:hAnsi="CG Times (WN)"/>
      <w:sz w:val="24"/>
      <w:lang w:val="de-DE" w:eastAsia="de-DE"/>
    </w:rPr>
  </w:style>
  <w:style w:type="paragraph" w:customStyle="1" w:styleId="195">
    <w:name w:val="Char Char Char1 Char Char Char Char Char Char Char"/>
    <w:basedOn w:val="1"/>
    <w:qFormat/>
    <w:uiPriority w:val="0"/>
    <w:pPr>
      <w:autoSpaceDE w:val="0"/>
      <w:autoSpaceDN w:val="0"/>
    </w:pPr>
    <w:rPr>
      <w:rFonts w:ascii="Tahoma" w:hAnsi="Tahoma"/>
      <w:sz w:val="24"/>
    </w:rPr>
  </w:style>
  <w:style w:type="paragraph" w:customStyle="1" w:styleId="196">
    <w:name w:val="目录文字"/>
    <w:basedOn w:val="1"/>
    <w:qFormat/>
    <w:uiPriority w:val="0"/>
    <w:pPr>
      <w:spacing w:line="480" w:lineRule="auto"/>
    </w:pPr>
    <w:rPr>
      <w:rFonts w:ascii="宋体" w:hAnsi="宋体"/>
      <w:sz w:val="24"/>
    </w:rPr>
  </w:style>
  <w:style w:type="paragraph" w:customStyle="1" w:styleId="197">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198">
    <w:name w:val="Char Char2"/>
    <w:basedOn w:val="1"/>
    <w:qFormat/>
    <w:uiPriority w:val="0"/>
    <w:pPr>
      <w:jc w:val="center"/>
    </w:pPr>
    <w:rPr>
      <w:rFonts w:ascii="宋体"/>
      <w:szCs w:val="21"/>
    </w:rPr>
  </w:style>
  <w:style w:type="paragraph" w:customStyle="1" w:styleId="199">
    <w:name w:val="Robot List Items 2"/>
    <w:basedOn w:val="1"/>
    <w:qFormat/>
    <w:uiPriority w:val="0"/>
    <w:pPr>
      <w:tabs>
        <w:tab w:val="left" w:pos="1068"/>
      </w:tabs>
      <w:ind w:left="1068" w:hanging="360"/>
    </w:pPr>
    <w:rPr>
      <w:rFonts w:ascii="Arial" w:hAnsi="Arial"/>
      <w:sz w:val="18"/>
      <w:lang w:eastAsia="en-US"/>
    </w:rPr>
  </w:style>
  <w:style w:type="paragraph" w:customStyle="1" w:styleId="200">
    <w:name w:val="样式2"/>
    <w:basedOn w:val="1"/>
    <w:qFormat/>
    <w:uiPriority w:val="0"/>
    <w:pPr>
      <w:adjustRightInd w:val="0"/>
      <w:spacing w:line="410" w:lineRule="atLeast"/>
      <w:textAlignment w:val="baseline"/>
    </w:pPr>
  </w:style>
  <w:style w:type="paragraph" w:customStyle="1" w:styleId="201">
    <w:name w:val="Char Char1 Char Char Char Char"/>
    <w:basedOn w:val="1"/>
    <w:qFormat/>
    <w:uiPriority w:val="0"/>
    <w:rPr>
      <w:rFonts w:eastAsia="楷体_GB2312"/>
      <w:sz w:val="32"/>
    </w:rPr>
  </w:style>
  <w:style w:type="paragraph" w:customStyle="1" w:styleId="202">
    <w:name w:val="1 Char Char Char Char"/>
    <w:basedOn w:val="1"/>
    <w:qFormat/>
    <w:uiPriority w:val="0"/>
    <w:rPr>
      <w:rFonts w:ascii="Tahoma" w:hAnsi="Tahoma"/>
      <w:sz w:val="24"/>
    </w:rPr>
  </w:style>
  <w:style w:type="paragraph" w:customStyle="1" w:styleId="203">
    <w:name w:val="Char1"/>
    <w:basedOn w:val="1"/>
    <w:qFormat/>
    <w:uiPriority w:val="0"/>
    <w:rPr>
      <w:rFonts w:ascii="Tahoma" w:hAnsi="Tahoma"/>
      <w:sz w:val="24"/>
    </w:rPr>
  </w:style>
  <w:style w:type="paragraph" w:customStyle="1" w:styleId="204">
    <w:name w:val="Char Char Char Char"/>
    <w:basedOn w:val="1"/>
    <w:qFormat/>
    <w:uiPriority w:val="0"/>
    <w:rPr>
      <w:szCs w:val="24"/>
    </w:rPr>
  </w:style>
  <w:style w:type="paragraph" w:customStyle="1" w:styleId="205">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6">
    <w:name w:val="尾注文本 字符"/>
    <w:link w:val="29"/>
    <w:semiHidden/>
    <w:qFormat/>
    <w:locked/>
    <w:uiPriority w:val="0"/>
    <w:rPr>
      <w:rFonts w:eastAsia="??"/>
      <w:color w:val="000000"/>
      <w:sz w:val="24"/>
      <w:szCs w:val="24"/>
    </w:rPr>
  </w:style>
  <w:style w:type="character" w:customStyle="1" w:styleId="207">
    <w:name w:val="尾注文本 Char"/>
    <w:semiHidden/>
    <w:qFormat/>
    <w:uiPriority w:val="0"/>
    <w:rPr>
      <w:kern w:val="2"/>
      <w:sz w:val="21"/>
    </w:rPr>
  </w:style>
  <w:style w:type="character" w:customStyle="1" w:styleId="208">
    <w:name w:val="签名 Char"/>
    <w:link w:val="209"/>
    <w:qFormat/>
    <w:locked/>
    <w:uiPriority w:val="0"/>
    <w:rPr>
      <w:rFonts w:ascii="??" w:hAnsi="??" w:eastAsia="??"/>
      <w:color w:val="000000"/>
      <w:sz w:val="24"/>
      <w:lang w:eastAsia="en-US"/>
    </w:rPr>
  </w:style>
  <w:style w:type="paragraph" w:customStyle="1" w:styleId="209">
    <w:name w:val="签名1"/>
    <w:basedOn w:val="1"/>
    <w:link w:val="208"/>
    <w:qFormat/>
    <w:uiPriority w:val="0"/>
    <w:pPr>
      <w:widowControl/>
      <w:ind w:left="4410" w:leftChars="2100"/>
      <w:jc w:val="left"/>
    </w:pPr>
    <w:rPr>
      <w:rFonts w:ascii="??" w:hAnsi="??" w:eastAsia="??"/>
      <w:color w:val="000000"/>
      <w:kern w:val="0"/>
      <w:sz w:val="24"/>
      <w:lang w:val="zh-CN" w:eastAsia="en-US"/>
    </w:rPr>
  </w:style>
  <w:style w:type="character" w:customStyle="1" w:styleId="210">
    <w:name w:val="信息标题 Char"/>
    <w:link w:val="211"/>
    <w:qFormat/>
    <w:locked/>
    <w:uiPriority w:val="0"/>
    <w:rPr>
      <w:rFonts w:ascii="Arial" w:hAnsi="Arial" w:eastAsia="??" w:cs="Arial"/>
      <w:color w:val="000000"/>
      <w:sz w:val="24"/>
      <w:szCs w:val="24"/>
      <w:shd w:val="pct20" w:color="auto" w:fill="auto"/>
    </w:rPr>
  </w:style>
  <w:style w:type="paragraph" w:customStyle="1" w:styleId="211">
    <w:name w:val="信息标题1"/>
    <w:basedOn w:val="1"/>
    <w:link w:val="210"/>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2">
    <w:name w:val="正文首行缩进 21"/>
    <w:basedOn w:val="213"/>
    <w:qFormat/>
    <w:uiPriority w:val="0"/>
  </w:style>
  <w:style w:type="paragraph" w:customStyle="1" w:styleId="213">
    <w:name w:val="正文文本缩进1"/>
    <w:basedOn w:val="1"/>
    <w:qFormat/>
    <w:uiPriority w:val="0"/>
    <w:pPr>
      <w:spacing w:after="120"/>
      <w:ind w:left="420" w:leftChars="200"/>
    </w:pPr>
    <w:rPr>
      <w:rFonts w:ascii="??" w:hAnsi="??" w:eastAsia="??"/>
      <w:color w:val="000000"/>
      <w:kern w:val="0"/>
      <w:sz w:val="20"/>
      <w:szCs w:val="24"/>
    </w:rPr>
  </w:style>
  <w:style w:type="character" w:customStyle="1" w:styleId="214">
    <w:name w:val="结束语 Char"/>
    <w:link w:val="215"/>
    <w:qFormat/>
    <w:locked/>
    <w:uiPriority w:val="0"/>
    <w:rPr>
      <w:rFonts w:ascii="??" w:hAnsi="??" w:eastAsia="??"/>
      <w:color w:val="000000"/>
      <w:sz w:val="24"/>
      <w:lang w:eastAsia="en-US"/>
    </w:rPr>
  </w:style>
  <w:style w:type="paragraph" w:customStyle="1" w:styleId="215">
    <w:name w:val="结束语1"/>
    <w:basedOn w:val="1"/>
    <w:link w:val="214"/>
    <w:qFormat/>
    <w:uiPriority w:val="0"/>
    <w:pPr>
      <w:widowControl/>
      <w:ind w:left="4410" w:leftChars="2100"/>
      <w:jc w:val="left"/>
    </w:pPr>
    <w:rPr>
      <w:rFonts w:ascii="??" w:hAnsi="??" w:eastAsia="??"/>
      <w:color w:val="000000"/>
      <w:kern w:val="0"/>
      <w:sz w:val="24"/>
      <w:lang w:val="zh-CN" w:eastAsia="en-US"/>
    </w:rPr>
  </w:style>
  <w:style w:type="paragraph" w:customStyle="1" w:styleId="216">
    <w:name w:val="正文首行缩进1"/>
    <w:basedOn w:val="21"/>
    <w:qFormat/>
    <w:uiPriority w:val="0"/>
  </w:style>
  <w:style w:type="paragraph" w:customStyle="1" w:styleId="217">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18">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19">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0">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1">
    <w:name w:val="潍柴文档正文"/>
    <w:basedOn w:val="1"/>
    <w:qFormat/>
    <w:uiPriority w:val="0"/>
    <w:pPr>
      <w:spacing w:line="360" w:lineRule="auto"/>
      <w:ind w:firstLine="200" w:firstLineChars="200"/>
    </w:pPr>
    <w:rPr>
      <w:sz w:val="24"/>
      <w:szCs w:val="22"/>
    </w:rPr>
  </w:style>
  <w:style w:type="character" w:customStyle="1" w:styleId="222">
    <w:name w:val="ca-141"/>
    <w:qFormat/>
    <w:uiPriority w:val="0"/>
    <w:rPr>
      <w:rFonts w:hint="eastAsia" w:ascii="仿宋_GB2312" w:eastAsia="仿宋_GB2312"/>
      <w:sz w:val="21"/>
      <w:szCs w:val="21"/>
    </w:rPr>
  </w:style>
  <w:style w:type="paragraph" w:customStyle="1" w:styleId="223">
    <w:name w:val="1正文段落"/>
    <w:basedOn w:val="1"/>
    <w:qFormat/>
    <w:uiPriority w:val="0"/>
    <w:pPr>
      <w:spacing w:line="360" w:lineRule="auto"/>
      <w:ind w:firstLine="480" w:firstLineChars="200"/>
      <w:jc w:val="left"/>
    </w:pPr>
    <w:rPr>
      <w:snapToGrid w:val="0"/>
      <w:kern w:val="0"/>
      <w:sz w:val="24"/>
      <w:szCs w:val="24"/>
    </w:rPr>
  </w:style>
  <w:style w:type="character" w:customStyle="1" w:styleId="224">
    <w:name w:val="NormalCharacter"/>
    <w:qFormat/>
    <w:uiPriority w:val="0"/>
  </w:style>
  <w:style w:type="character" w:customStyle="1" w:styleId="225">
    <w:name w:val="font51"/>
    <w:basedOn w:val="50"/>
    <w:qFormat/>
    <w:uiPriority w:val="99"/>
    <w:rPr>
      <w:rFonts w:ascii="Times New Roman" w:hAnsi="Times New Roman" w:cs="Times New Roman"/>
      <w:color w:val="000000"/>
      <w:sz w:val="24"/>
      <w:szCs w:val="24"/>
      <w:u w:val="none"/>
    </w:rPr>
  </w:style>
  <w:style w:type="character" w:customStyle="1" w:styleId="226">
    <w:name w:val="font61"/>
    <w:basedOn w:val="50"/>
    <w:qFormat/>
    <w:uiPriority w:val="99"/>
    <w:rPr>
      <w:rFonts w:ascii="宋体" w:hAnsi="宋体" w:eastAsia="宋体" w:cs="宋体"/>
      <w:color w:val="000000"/>
      <w:sz w:val="24"/>
      <w:szCs w:val="24"/>
      <w:u w:val="none"/>
    </w:rPr>
  </w:style>
  <w:style w:type="character" w:customStyle="1" w:styleId="227">
    <w:name w:val="font31"/>
    <w:basedOn w:val="50"/>
    <w:qFormat/>
    <w:uiPriority w:val="0"/>
    <w:rPr>
      <w:rFonts w:hint="eastAsia" w:ascii="微软雅黑" w:hAnsi="微软雅黑" w:eastAsia="微软雅黑" w:cs="微软雅黑"/>
      <w:color w:val="000000"/>
      <w:sz w:val="16"/>
      <w:szCs w:val="16"/>
      <w:u w:val="none"/>
    </w:rPr>
  </w:style>
  <w:style w:type="paragraph" w:customStyle="1" w:styleId="228">
    <w:name w:val="（二）级标题"/>
    <w:basedOn w:val="25"/>
    <w:qFormat/>
    <w:uiPriority w:val="2"/>
    <w:pPr>
      <w:numPr>
        <w:ilvl w:val="0"/>
        <w:numId w:val="1"/>
      </w:numPr>
      <w:spacing w:line="360" w:lineRule="auto"/>
      <w:outlineLvl w:val="2"/>
    </w:pPr>
    <w:rPr>
      <w:b/>
    </w:rPr>
  </w:style>
  <w:style w:type="paragraph" w:customStyle="1" w:styleId="229">
    <w:name w:val="标书正文格式"/>
    <w:basedOn w:val="25"/>
    <w:qFormat/>
    <w:uiPriority w:val="0"/>
    <w:pPr>
      <w:spacing w:line="360" w:lineRule="auto"/>
      <w:ind w:firstLine="200" w:firstLineChars="200"/>
    </w:pPr>
    <w:rPr>
      <w:rFonts w:hAnsi="宋体"/>
      <w:color w:val="000000"/>
      <w:sz w:val="24"/>
      <w:szCs w:val="24"/>
    </w:rPr>
  </w:style>
  <w:style w:type="paragraph" w:customStyle="1" w:styleId="230">
    <w:name w:val="（4）级标题"/>
    <w:basedOn w:val="25"/>
    <w:qFormat/>
    <w:uiPriority w:val="8"/>
    <w:pPr>
      <w:numPr>
        <w:ilvl w:val="0"/>
        <w:numId w:val="2"/>
      </w:numPr>
      <w:spacing w:line="360" w:lineRule="auto"/>
      <w:outlineLvl w:val="4"/>
    </w:pPr>
  </w:style>
  <w:style w:type="paragraph" w:customStyle="1" w:styleId="231">
    <w:name w:val="Table Paragraph"/>
    <w:basedOn w:val="1"/>
    <w:autoRedefine/>
    <w:qFormat/>
    <w:uiPriority w:val="1"/>
    <w:rPr>
      <w:rFonts w:ascii="宋体" w:hAnsi="宋体" w:eastAsia="宋体" w:cs="宋体"/>
    </w:rPr>
  </w:style>
  <w:style w:type="table" w:customStyle="1" w:styleId="232">
    <w:name w:val="Table Normal"/>
    <w:autoRedefine/>
    <w:qFormat/>
    <w:uiPriority w:val="0"/>
    <w:tblPr>
      <w:tblCellMar>
        <w:top w:w="0" w:type="dxa"/>
        <w:left w:w="0" w:type="dxa"/>
        <w:bottom w:w="0" w:type="dxa"/>
        <w:right w:w="0" w:type="dxa"/>
      </w:tblCellMar>
    </w:tblPr>
  </w:style>
  <w:style w:type="paragraph" w:customStyle="1" w:styleId="233">
    <w:name w:val="HR正文表格"/>
    <w:basedOn w:val="1"/>
    <w:autoRedefine/>
    <w:qFormat/>
    <w:uiPriority w:val="0"/>
    <w:pPr>
      <w:spacing w:beforeLines="25" w:afterLines="25" w:line="300" w:lineRule="auto"/>
    </w:pPr>
    <w:rPr>
      <w:szCs w:val="24"/>
    </w:rPr>
  </w:style>
  <w:style w:type="paragraph" w:customStyle="1" w:styleId="234">
    <w:name w:val="一级标题"/>
    <w:basedOn w:val="25"/>
    <w:qFormat/>
    <w:uiPriority w:val="1"/>
    <w:pPr>
      <w:numPr>
        <w:ilvl w:val="0"/>
        <w:numId w:val="3"/>
      </w:numPr>
      <w:spacing w:line="360" w:lineRule="auto"/>
      <w:ind w:left="420"/>
      <w:outlineLvl w:val="1"/>
    </w:pPr>
    <w:rPr>
      <w:rFonts w:ascii="黑体" w:eastAsia="黑体"/>
      <w:b/>
      <w:bCs/>
      <w:sz w:val="28"/>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40</Pages>
  <Words>9993</Words>
  <Characters>10311</Characters>
  <Lines>52</Lines>
  <Paragraphs>14</Paragraphs>
  <TotalTime>1</TotalTime>
  <ScaleCrop>false</ScaleCrop>
  <LinksUpToDate>false</LinksUpToDate>
  <CharactersWithSpaces>10393</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2025-05-19T02:18:00Z</dcterms:created>
  <dc:creator>zhl</dc:creator>
  <cp:lastModifiedBy>卜剑锋</cp:lastModifiedBy>
  <cp:lastPrinted>2020-01-08T06:44:00Z</cp:lastPrinted>
  <dcterms:modified xsi:type="dcterms:W3CDTF">2025-12-03T05:18:18Z</dcterms:modified>
  <dc:title>招标文件</dc:title>
  <cp:revision>113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Base Target">
    <vt:lpwstr>_blank</vt:lpwstr>
  </property>
  <property fmtid="{D5CDD505-2E9C-101B-9397-08002B2CF9AE}" pid="4" name="ICV">
    <vt:lpwstr>F321509FCE2C40A686A7D5C6B2FA831B</vt:lpwstr>
  </property>
  <property fmtid="{D5CDD505-2E9C-101B-9397-08002B2CF9AE}" pid="5" name="KSOTemplateDocerSaveRecord">
    <vt:lpwstr>eyJoZGlkIjoiYzc3ODk5MWQ2ODkxYjIzNzI1YmVhYjkyYmE4NWMzNGUiLCJ1c2VySWQiOiIyNTA0NTg1ODYifQ==</vt:lpwstr>
  </property>
</Properties>
</file>