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B2DD3B">
      <w:pPr>
        <w:pStyle w:val="94"/>
        <w:rPr>
          <w:rFonts w:hint="eastAsia"/>
        </w:rPr>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4BDE0476">
      <w:pPr>
        <w:ind w:right="280"/>
        <w:jc w:val="center"/>
        <w:rPr>
          <w:rFonts w:hint="eastAsia" w:ascii="宋体" w:hAnsi="宋体"/>
          <w:sz w:val="48"/>
          <w:szCs w:val="48"/>
        </w:rPr>
      </w:pPr>
    </w:p>
    <w:p w14:paraId="1F5E0F84">
      <w:pPr>
        <w:ind w:right="280"/>
        <w:jc w:val="center"/>
        <w:rPr>
          <w:rFonts w:hint="eastAsia" w:ascii="宋体" w:hAnsi="宋体"/>
          <w:sz w:val="48"/>
          <w:szCs w:val="48"/>
        </w:rPr>
      </w:pPr>
    </w:p>
    <w:p w14:paraId="7685FCF6">
      <w:pPr>
        <w:ind w:right="280"/>
        <w:jc w:val="center"/>
        <w:rPr>
          <w:rFonts w:hint="eastAsia" w:ascii="宋体" w:hAnsi="宋体"/>
          <w:sz w:val="48"/>
          <w:szCs w:val="48"/>
        </w:rPr>
      </w:pPr>
    </w:p>
    <w:p w14:paraId="0D466A8C">
      <w:pPr>
        <w:ind w:right="280"/>
        <w:jc w:val="center"/>
        <w:rPr>
          <w:rFonts w:hint="eastAsia" w:ascii="宋体" w:hAnsi="宋体"/>
          <w:sz w:val="48"/>
          <w:szCs w:val="48"/>
        </w:rPr>
      </w:pPr>
    </w:p>
    <w:p w14:paraId="61723607">
      <w:pPr>
        <w:ind w:right="280"/>
        <w:jc w:val="center"/>
        <w:rPr>
          <w:rFonts w:hint="eastAsia" w:ascii="楷体_GB2312" w:hAnsi="宋体" w:eastAsia="楷体_GB2312"/>
          <w:sz w:val="52"/>
          <w:szCs w:val="52"/>
        </w:rPr>
      </w:pPr>
    </w:p>
    <w:p w14:paraId="758F9B15">
      <w:pPr>
        <w:ind w:right="280"/>
        <w:jc w:val="center"/>
        <w:rPr>
          <w:rFonts w:hint="eastAsia" w:ascii="楷体_GB2312" w:hAnsi="宋体" w:eastAsia="楷体_GB2312"/>
          <w:sz w:val="52"/>
          <w:szCs w:val="52"/>
        </w:rPr>
      </w:pPr>
      <w:r>
        <w:rPr>
          <w:rFonts w:hint="eastAsia" w:ascii="楷体_GB2312" w:hAnsi="宋体" w:eastAsia="楷体_GB2312"/>
          <w:sz w:val="52"/>
          <w:szCs w:val="52"/>
          <w:highlight w:val="yellow"/>
        </w:rPr>
        <w:t>部件加工部圆度仪项修</w:t>
      </w:r>
      <w:r>
        <w:rPr>
          <w:rFonts w:hint="eastAsia" w:ascii="楷体_GB2312" w:hAnsi="宋体" w:eastAsia="楷体_GB2312"/>
          <w:sz w:val="52"/>
          <w:szCs w:val="52"/>
        </w:rPr>
        <w:t>招标项目</w:t>
      </w:r>
    </w:p>
    <w:p w14:paraId="213D6E17">
      <w:pPr>
        <w:ind w:right="280"/>
        <w:jc w:val="center"/>
        <w:rPr>
          <w:sz w:val="28"/>
          <w:szCs w:val="28"/>
        </w:rPr>
      </w:pPr>
    </w:p>
    <w:p w14:paraId="4CB52CC4">
      <w:pPr>
        <w:ind w:right="280"/>
        <w:jc w:val="center"/>
        <w:rPr>
          <w:sz w:val="28"/>
          <w:szCs w:val="28"/>
        </w:rPr>
      </w:pPr>
    </w:p>
    <w:p w14:paraId="5D832ED2">
      <w:pPr>
        <w:jc w:val="center"/>
        <w:rPr>
          <w:rFonts w:hint="eastAsia" w:ascii="宋体" w:hAnsi="宋体" w:cs="宋体"/>
          <w:sz w:val="72"/>
          <w:szCs w:val="72"/>
        </w:rPr>
      </w:pPr>
      <w:r>
        <w:rPr>
          <w:rFonts w:hint="eastAsia" w:ascii="宋体" w:hAnsi="宋体" w:cs="宋体"/>
          <w:sz w:val="72"/>
          <w:szCs w:val="72"/>
        </w:rPr>
        <w:t>招标文件</w:t>
      </w:r>
    </w:p>
    <w:p w14:paraId="0CA82368">
      <w:pPr>
        <w:jc w:val="center"/>
        <w:rPr>
          <w:rFonts w:hint="eastAsia" w:ascii="宋体" w:hAnsi="宋体"/>
          <w:sz w:val="48"/>
          <w:szCs w:val="48"/>
        </w:rPr>
      </w:pPr>
    </w:p>
    <w:p w14:paraId="2962FC96">
      <w:pPr>
        <w:jc w:val="center"/>
        <w:rPr>
          <w:rFonts w:hint="eastAsia" w:ascii="宋体" w:hAnsi="宋体"/>
          <w:sz w:val="48"/>
          <w:szCs w:val="48"/>
        </w:rPr>
      </w:pPr>
    </w:p>
    <w:p w14:paraId="5580DBFC">
      <w:pPr>
        <w:widowControl/>
        <w:spacing w:line="360" w:lineRule="auto"/>
        <w:jc w:val="center"/>
        <w:rPr>
          <w:rFonts w:hint="eastAsia"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FSCZB2025110229</w:t>
      </w:r>
    </w:p>
    <w:p w14:paraId="4B84360D">
      <w:pPr>
        <w:jc w:val="center"/>
        <w:rPr>
          <w:rFonts w:hint="eastAsia" w:ascii="宋体" w:hAnsi="宋体"/>
          <w:sz w:val="48"/>
          <w:szCs w:val="48"/>
        </w:rPr>
      </w:pPr>
    </w:p>
    <w:p w14:paraId="2A1A72F5">
      <w:pPr>
        <w:jc w:val="center"/>
        <w:rPr>
          <w:rFonts w:hint="eastAsia" w:ascii="宋体" w:hAnsi="宋体"/>
          <w:sz w:val="48"/>
          <w:szCs w:val="48"/>
        </w:rPr>
      </w:pPr>
    </w:p>
    <w:p w14:paraId="53B8D980">
      <w:pPr>
        <w:jc w:val="center"/>
        <w:rPr>
          <w:rFonts w:hint="eastAsia" w:ascii="宋体" w:hAnsi="宋体"/>
          <w:sz w:val="28"/>
          <w:szCs w:val="28"/>
        </w:rPr>
      </w:pPr>
    </w:p>
    <w:p w14:paraId="757CDBB0">
      <w:pPr>
        <w:jc w:val="center"/>
        <w:rPr>
          <w:rFonts w:hint="eastAsia" w:ascii="宋体" w:hAnsi="宋体"/>
          <w:sz w:val="28"/>
          <w:szCs w:val="28"/>
        </w:rPr>
      </w:pPr>
    </w:p>
    <w:p w14:paraId="5204E71F">
      <w:pPr>
        <w:jc w:val="center"/>
        <w:rPr>
          <w:rFonts w:hint="eastAsia" w:ascii="宋体" w:hAnsi="宋体"/>
          <w:sz w:val="28"/>
          <w:szCs w:val="28"/>
        </w:rPr>
      </w:pPr>
      <w:r>
        <w:rPr>
          <w:rFonts w:hint="eastAsia" w:ascii="宋体" w:hAnsi="宋体"/>
          <w:sz w:val="28"/>
          <w:szCs w:val="28"/>
        </w:rPr>
        <w:t>招 标 人：中国重汽集团济南动力有限公司发动机厂</w:t>
      </w:r>
    </w:p>
    <w:p w14:paraId="21237797">
      <w:pPr>
        <w:jc w:val="center"/>
        <w:rPr>
          <w:rFonts w:hint="eastAsia" w:ascii="宋体" w:hAnsi="宋体"/>
          <w:sz w:val="28"/>
          <w:szCs w:val="28"/>
        </w:rPr>
      </w:pPr>
    </w:p>
    <w:p w14:paraId="68AFA1D6">
      <w:pPr>
        <w:jc w:val="center"/>
        <w:rPr>
          <w:rFonts w:hint="eastAsia" w:ascii="宋体" w:hAnsi="宋体"/>
          <w:sz w:val="28"/>
          <w:szCs w:val="28"/>
          <w:u w:val="single"/>
        </w:rPr>
      </w:pPr>
      <w:r>
        <w:rPr>
          <w:rFonts w:hint="eastAsia" w:ascii="宋体" w:hAnsi="宋体"/>
          <w:sz w:val="28"/>
          <w:szCs w:val="28"/>
          <w:u w:val="single"/>
        </w:rPr>
        <w:t>2025年12月</w:t>
      </w:r>
    </w:p>
    <w:p w14:paraId="34E0819C">
      <w:pPr>
        <w:spacing w:line="480" w:lineRule="auto"/>
        <w:jc w:val="center"/>
        <w:rPr>
          <w:rFonts w:hint="eastAsia" w:ascii="宋体" w:hAnsi="宋体"/>
          <w:b/>
          <w:bCs/>
          <w:sz w:val="48"/>
          <w:szCs w:val="48"/>
        </w:rPr>
      </w:pPr>
    </w:p>
    <w:p w14:paraId="23D9029C">
      <w:pPr>
        <w:spacing w:line="480" w:lineRule="auto"/>
        <w:jc w:val="center"/>
        <w:rPr>
          <w:rFonts w:hint="eastAsia"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b/>
          <w:caps/>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aps/>
          <w:color w:val="auto"/>
          <w:kern w:val="2"/>
          <w:sz w:val="21"/>
          <w:szCs w:val="20"/>
          <w:lang w:val="zh-CN"/>
        </w:rPr>
      </w:sdtEndPr>
      <w:sdtContent>
        <w:p w14:paraId="5745D258">
          <w:pPr>
            <w:pStyle w:val="68"/>
            <w:jc w:val="center"/>
            <w:rPr>
              <w:rFonts w:hint="eastAsia"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2CA3523C">
          <w:pPr>
            <w:pStyle w:val="20"/>
            <w:tabs>
              <w:tab w:val="right" w:leader="middleDot" w:pos="9070"/>
              <w:tab w:val="clear" w:pos="8729"/>
            </w:tabs>
            <w:rPr>
              <w:rFonts w:hint="eastAsia"/>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"_Toc7104" </w:instrText>
          </w:r>
          <w: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fldChar w:fldCharType="end"/>
          </w:r>
        </w:p>
        <w:p w14:paraId="1096A097">
          <w:pPr>
            <w:pStyle w:val="20"/>
            <w:tabs>
              <w:tab w:val="right" w:leader="middleDot" w:pos="9070"/>
              <w:tab w:val="clear" w:pos="8729"/>
            </w:tabs>
            <w:rPr>
              <w:rFonts w:hint="eastAsia"/>
            </w:rPr>
          </w:pPr>
          <w:r>
            <w:fldChar w:fldCharType="begin"/>
          </w:r>
          <w:r>
            <w:instrText xml:space="preserve"> HYPERLINK \l "_Toc7753" </w:instrText>
          </w:r>
          <w: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fldChar w:fldCharType="end"/>
          </w:r>
        </w:p>
        <w:p w14:paraId="7D9B7DB2">
          <w:pPr>
            <w:pStyle w:val="20"/>
            <w:tabs>
              <w:tab w:val="right" w:leader="middleDot" w:pos="9070"/>
              <w:tab w:val="clear" w:pos="8729"/>
            </w:tabs>
            <w:rPr>
              <w:rFonts w:hint="eastAsia"/>
            </w:rPr>
          </w:pPr>
          <w:r>
            <w:fldChar w:fldCharType="begin"/>
          </w:r>
          <w:r>
            <w:instrText xml:space="preserve"> HYPERLINK \l "_Toc1910" </w:instrText>
          </w:r>
          <w:r>
            <w:fldChar w:fldCharType="separate"/>
          </w:r>
          <w:r>
            <w:rPr>
              <w:rFonts w:hint="eastAsia"/>
            </w:rPr>
            <w:t>第二部分　技术标书</w:t>
          </w:r>
          <w:r>
            <w:tab/>
          </w:r>
          <w:r>
            <w:fldChar w:fldCharType="begin"/>
          </w:r>
          <w:r>
            <w:instrText xml:space="preserve"> PAGEREF _Toc1910 \h </w:instrText>
          </w:r>
          <w:r>
            <w:fldChar w:fldCharType="separate"/>
          </w:r>
          <w:r>
            <w:t>- 8 -</w:t>
          </w:r>
          <w:r>
            <w:fldChar w:fldCharType="end"/>
          </w:r>
          <w:r>
            <w:fldChar w:fldCharType="end"/>
          </w:r>
        </w:p>
        <w:p w14:paraId="51320262">
          <w:pPr>
            <w:pStyle w:val="20"/>
            <w:tabs>
              <w:tab w:val="right" w:leader="middleDot" w:pos="9070"/>
              <w:tab w:val="clear" w:pos="8729"/>
            </w:tabs>
            <w:rPr>
              <w:rFonts w:hint="eastAsia"/>
            </w:rPr>
          </w:pPr>
          <w:r>
            <w:fldChar w:fldCharType="begin"/>
          </w:r>
          <w:r>
            <w:instrText xml:space="preserve"> HYPERLINK \l "_Toc20595" </w:instrText>
          </w:r>
          <w: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fldChar w:fldCharType="end"/>
          </w:r>
        </w:p>
        <w:p w14:paraId="06925906">
          <w:pPr>
            <w:pStyle w:val="20"/>
            <w:tabs>
              <w:tab w:val="right" w:leader="middleDot" w:pos="9070"/>
              <w:tab w:val="clear" w:pos="8729"/>
            </w:tabs>
            <w:rPr>
              <w:rFonts w:hint="eastAsia"/>
            </w:rPr>
          </w:pPr>
          <w:r>
            <w:fldChar w:fldCharType="begin"/>
          </w:r>
          <w:r>
            <w:instrText xml:space="preserve"> HYPERLINK \l "_Toc5925" </w:instrText>
          </w:r>
          <w:r>
            <w:fldChar w:fldCharType="separate"/>
          </w:r>
          <w:r>
            <w:rPr>
              <w:rFonts w:hint="eastAsia"/>
            </w:rPr>
            <w:t>第四部分　投标文件附件</w:t>
          </w:r>
          <w:r>
            <w:tab/>
          </w:r>
          <w:r>
            <w:fldChar w:fldCharType="begin"/>
          </w:r>
          <w:r>
            <w:instrText xml:space="preserve"> PAGEREF _Toc5925 \h </w:instrText>
          </w:r>
          <w:r>
            <w:fldChar w:fldCharType="separate"/>
          </w:r>
          <w:r>
            <w:t>- 9 -</w:t>
          </w:r>
          <w:r>
            <w:fldChar w:fldCharType="end"/>
          </w:r>
          <w:r>
            <w:fldChar w:fldCharType="end"/>
          </w:r>
        </w:p>
        <w:p w14:paraId="376DF27A">
          <w:pPr>
            <w:pStyle w:val="20"/>
            <w:rPr>
              <w:rFonts w:hint="eastAsia"/>
            </w:rPr>
          </w:pPr>
          <w:r>
            <w:rPr>
              <w:rFonts w:hint="eastAsia" w:ascii="Calibri" w:hAnsi="Calibri"/>
              <w:bCs/>
              <w:kern w:val="44"/>
              <w:szCs w:val="44"/>
            </w:rPr>
            <w:fldChar w:fldCharType="end"/>
          </w:r>
        </w:p>
      </w:sdtContent>
    </w:sdt>
    <w:p w14:paraId="0FFC0E1C">
      <w:pPr>
        <w:pStyle w:val="14"/>
        <w:tabs>
          <w:tab w:val="left" w:pos="2940"/>
        </w:tabs>
        <w:spacing w:line="360" w:lineRule="auto"/>
      </w:pPr>
      <w:r>
        <w:tab/>
      </w:r>
    </w:p>
    <w:p w14:paraId="53B60F34">
      <w:pPr>
        <w:pStyle w:val="14"/>
        <w:spacing w:line="360" w:lineRule="auto"/>
        <w:jc w:val="center"/>
      </w:pPr>
    </w:p>
    <w:p w14:paraId="0A721F3A">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5724A5AC">
      <w:pPr>
        <w:pStyle w:val="71"/>
        <w:rPr>
          <w:sz w:val="28"/>
        </w:rPr>
      </w:pPr>
      <w:bookmarkStart w:id="0" w:name="_Toc47976587"/>
      <w:bookmarkStart w:id="1" w:name="_Toc7104"/>
      <w:r>
        <w:rPr>
          <w:rFonts w:hint="eastAsia"/>
        </w:rPr>
        <w:t>招标公告</w:t>
      </w:r>
      <w:bookmarkEnd w:id="0"/>
      <w:bookmarkEnd w:id="1"/>
    </w:p>
    <w:p w14:paraId="33F49AC4">
      <w:pPr>
        <w:pStyle w:val="71"/>
      </w:pPr>
    </w:p>
    <w:p w14:paraId="49E21E87">
      <w:pPr>
        <w:pStyle w:val="72"/>
      </w:pPr>
      <w:bookmarkStart w:id="2" w:name="_Toc47976588"/>
      <w:r>
        <w:rPr>
          <w:rFonts w:hint="eastAsia"/>
        </w:rPr>
        <w:t>项目名称及项目编号</w:t>
      </w:r>
      <w:bookmarkEnd w:id="2"/>
    </w:p>
    <w:p w14:paraId="02BA0C45">
      <w:pPr>
        <w:pStyle w:val="73"/>
      </w:pPr>
      <w:r>
        <w:rPr>
          <w:rFonts w:hint="eastAsia"/>
        </w:rPr>
        <w:t>项目名称：</w:t>
      </w:r>
      <w:r>
        <w:rPr>
          <w:rFonts w:hint="eastAsia"/>
          <w:highlight w:val="yellow"/>
        </w:rPr>
        <w:t xml:space="preserve"> 部件加工部圆度仪项修</w:t>
      </w:r>
    </w:p>
    <w:p w14:paraId="367563C5">
      <w:pPr>
        <w:pStyle w:val="73"/>
      </w:pPr>
      <w:r>
        <w:rPr>
          <w:rFonts w:hint="eastAsia"/>
        </w:rPr>
        <w:t>项目编号：</w:t>
      </w:r>
      <w:r>
        <w:rPr>
          <w:rFonts w:hint="eastAsia"/>
          <w:highlight w:val="yellow"/>
        </w:rPr>
        <w:t xml:space="preserve"> FSCZB2025110229</w:t>
      </w:r>
    </w:p>
    <w:p w14:paraId="508158F4">
      <w:pPr>
        <w:pStyle w:val="72"/>
      </w:pPr>
      <w:bookmarkStart w:id="3" w:name="_Toc47976589"/>
      <w:r>
        <w:rPr>
          <w:rFonts w:hint="eastAsia"/>
        </w:rPr>
        <w:t>项目概况及招标形式</w:t>
      </w:r>
      <w:bookmarkEnd w:id="3"/>
    </w:p>
    <w:p w14:paraId="0D3E7810">
      <w:pPr>
        <w:pStyle w:val="73"/>
        <w:numPr>
          <w:ilvl w:val="0"/>
          <w:numId w:val="9"/>
        </w:numPr>
      </w:pPr>
      <w:r>
        <w:rPr>
          <w:rFonts w:hint="eastAsia"/>
        </w:rPr>
        <w:t>招标内容：</w:t>
      </w:r>
      <w:r>
        <w:rPr>
          <w:rFonts w:hint="eastAsia"/>
          <w:highlight w:val="yellow"/>
        </w:rPr>
        <w:t>部件加工部圆度仪项修</w:t>
      </w:r>
    </w:p>
    <w:p w14:paraId="3090B51C">
      <w:pPr>
        <w:pStyle w:val="73"/>
      </w:pPr>
      <w:r>
        <w:rPr>
          <w:rFonts w:hint="eastAsia"/>
        </w:rPr>
        <w:t>招标形式：</w:t>
      </w:r>
      <w:r>
        <w:rPr>
          <w:rFonts w:hint="eastAsia"/>
          <w:highlight w:val="yellow"/>
        </w:rPr>
        <w:t>公开招标</w:t>
      </w:r>
      <w:r>
        <w:rPr>
          <w:rStyle w:val="97"/>
          <w:rFonts w:hint="eastAsia"/>
          <w:b w:val="0"/>
          <w:highlight w:val="yellow"/>
        </w:rPr>
        <w:t>。</w:t>
      </w:r>
    </w:p>
    <w:p w14:paraId="3A80CEF6">
      <w:pPr>
        <w:pStyle w:val="72"/>
        <w:rPr>
          <w:highlight w:val="yellow"/>
        </w:rPr>
      </w:pPr>
      <w:bookmarkStart w:id="4" w:name="_Toc47976591"/>
      <w:r>
        <w:rPr>
          <w:rFonts w:hint="eastAsia"/>
          <w:highlight w:val="yellow"/>
        </w:rPr>
        <w:t>报名及招标文件的获取</w:t>
      </w:r>
      <w:bookmarkEnd w:id="4"/>
    </w:p>
    <w:p w14:paraId="7A907A65">
      <w:pPr>
        <w:pStyle w:val="14"/>
        <w:numPr>
          <w:ilvl w:val="0"/>
          <w:numId w:val="10"/>
        </w:numPr>
        <w:spacing w:line="360" w:lineRule="auto"/>
        <w:ind w:firstLine="422" w:firstLineChars="200"/>
        <w:rPr>
          <w:rFonts w:hint="eastAsia" w:hAnsi="宋体" w:cs="宋体"/>
          <w:szCs w:val="21"/>
          <w:highlight w:val="yellow"/>
        </w:rPr>
      </w:pPr>
      <w:r>
        <w:rPr>
          <w:rFonts w:hint="eastAsia" w:hAnsi="宋体" w:cs="宋体"/>
          <w:b/>
          <w:bCs/>
          <w:szCs w:val="21"/>
        </w:rPr>
        <w:t>报名截止时间：2025年12月</w:t>
      </w:r>
      <w:r>
        <w:rPr>
          <w:rFonts w:hint="eastAsia" w:hAnsi="宋体" w:cs="宋体"/>
          <w:b/>
          <w:bCs/>
          <w:szCs w:val="21"/>
          <w:lang w:val="en-US" w:eastAsia="zh-CN"/>
        </w:rPr>
        <w:t>22</w:t>
      </w:r>
      <w:r>
        <w:rPr>
          <w:rFonts w:hint="eastAsia" w:hAnsi="宋体" w:cs="宋体"/>
          <w:b/>
          <w:bCs/>
          <w:szCs w:val="21"/>
        </w:rPr>
        <w:t>日下午17点</w:t>
      </w:r>
    </w:p>
    <w:p w14:paraId="13B47C64">
      <w:pPr>
        <w:pStyle w:val="14"/>
        <w:numPr>
          <w:ilvl w:val="0"/>
          <w:numId w:val="10"/>
        </w:numPr>
        <w:spacing w:line="360" w:lineRule="auto"/>
        <w:ind w:firstLine="422" w:firstLineChars="200"/>
        <w:rPr>
          <w:rFonts w:hint="eastAsia" w:hAnsi="宋体" w:cs="宋体"/>
          <w:szCs w:val="21"/>
          <w:highlight w:val="yellow"/>
        </w:rPr>
      </w:pPr>
      <w:r>
        <w:rPr>
          <w:rFonts w:hint="eastAsia" w:hAnsi="宋体" w:cs="宋体"/>
          <w:b/>
          <w:bCs/>
          <w:szCs w:val="21"/>
        </w:rPr>
        <w:t>招标文件获取方式：投标人在上述时间范围内，在中国重汽e采通平台上获取招标文件</w:t>
      </w:r>
    </w:p>
    <w:p w14:paraId="0E14BA02">
      <w:pPr>
        <w:pStyle w:val="72"/>
        <w:numPr>
          <w:ilvl w:val="0"/>
          <w:numId w:val="0"/>
        </w:numPr>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中的投标文件《资质标书》准备资料并上传，资质审查通过即为报名成功；公示期间请尽快报名。</w:t>
      </w:r>
    </w:p>
    <w:p w14:paraId="4C30A29C">
      <w:pPr>
        <w:pStyle w:val="72"/>
        <w:rPr>
          <w:highlight w:val="yellow"/>
        </w:rPr>
      </w:pPr>
      <w:r>
        <w:rPr>
          <w:rFonts w:hint="eastAsia"/>
          <w:highlight w:val="yellow"/>
        </w:rPr>
        <w:t>投标文件的递交</w:t>
      </w:r>
    </w:p>
    <w:p w14:paraId="00DB2A3F">
      <w:pPr>
        <w:pStyle w:val="72"/>
        <w:numPr>
          <w:ilvl w:val="0"/>
          <w:numId w:val="0"/>
        </w:numPr>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72F051C1">
      <w:pPr>
        <w:pStyle w:val="72"/>
        <w:rPr>
          <w:highlight w:val="yellow"/>
        </w:rPr>
      </w:pPr>
      <w:r>
        <w:rPr>
          <w:rFonts w:hint="eastAsia"/>
          <w:highlight w:val="yellow"/>
        </w:rPr>
        <w:t>开标时间和地点</w:t>
      </w:r>
    </w:p>
    <w:p w14:paraId="087D5307">
      <w:pPr>
        <w:pStyle w:val="72"/>
        <w:numPr>
          <w:ilvl w:val="0"/>
          <w:numId w:val="11"/>
        </w:numPr>
        <w:ind w:left="840"/>
        <w:rPr>
          <w:highlight w:val="yellow"/>
        </w:rPr>
      </w:pPr>
      <w:r>
        <w:rPr>
          <w:rFonts w:hint="eastAsia" w:ascii="宋体" w:hAnsi="宋体" w:eastAsia="宋体" w:cs="宋体"/>
          <w:sz w:val="21"/>
          <w:szCs w:val="21"/>
          <w:highlight w:val="yellow"/>
        </w:rPr>
        <w:t>时间：2025年12月2</w:t>
      </w:r>
      <w:r>
        <w:rPr>
          <w:rFonts w:hint="eastAsia" w:ascii="宋体" w:hAnsi="宋体" w:eastAsia="宋体" w:cs="宋体"/>
          <w:sz w:val="21"/>
          <w:szCs w:val="21"/>
          <w:highlight w:val="yellow"/>
          <w:lang w:val="en-US" w:eastAsia="zh-CN"/>
        </w:rPr>
        <w:t>9</w:t>
      </w:r>
      <w:r>
        <w:rPr>
          <w:rFonts w:hint="eastAsia" w:ascii="宋体" w:hAnsi="宋体" w:eastAsia="宋体" w:cs="宋体"/>
          <w:sz w:val="21"/>
          <w:szCs w:val="21"/>
          <w:highlight w:val="yellow"/>
        </w:rPr>
        <w:t>日9:00:00</w:t>
      </w:r>
      <w:r>
        <w:rPr>
          <w:rFonts w:hint="eastAsia" w:ascii="宋体" w:hAnsi="宋体" w:eastAsia="宋体" w:cs="宋体"/>
          <w:sz w:val="21"/>
          <w:szCs w:val="21"/>
          <w:highlight w:val="yellow"/>
          <w:lang w:eastAsia="zh-CN"/>
        </w:rPr>
        <w:t>（</w:t>
      </w:r>
      <w:r>
        <w:rPr>
          <w:rFonts w:hint="eastAsia" w:ascii="宋体" w:hAnsi="宋体" w:eastAsia="宋体" w:cs="宋体"/>
          <w:sz w:val="21"/>
          <w:szCs w:val="21"/>
          <w:highlight w:val="yellow"/>
          <w:lang w:val="en-US" w:eastAsia="zh-CN"/>
        </w:rPr>
        <w:t>暂定，以实际通知为准）</w:t>
      </w:r>
    </w:p>
    <w:p w14:paraId="4AE6E093">
      <w:pPr>
        <w:pStyle w:val="72"/>
        <w:numPr>
          <w:ilvl w:val="0"/>
          <w:numId w:val="11"/>
        </w:numPr>
        <w:ind w:left="840"/>
        <w:rPr>
          <w:highlight w:val="yellow"/>
        </w:rPr>
      </w:pPr>
      <w:r>
        <w:rPr>
          <w:rFonts w:hint="eastAsia" w:ascii="宋体" w:hAnsi="宋体" w:eastAsia="宋体" w:cs="宋体"/>
          <w:sz w:val="21"/>
          <w:szCs w:val="21"/>
          <w:highlight w:val="yellow"/>
        </w:rPr>
        <w:t>地点：济南市历城区华奥路777号重汽科技大厦</w:t>
      </w:r>
    </w:p>
    <w:p w14:paraId="1642479D">
      <w:pPr>
        <w:pStyle w:val="72"/>
      </w:pPr>
      <w:r>
        <w:rPr>
          <w:rFonts w:hint="eastAsia"/>
        </w:rPr>
        <w:t>招标公告发布媒介</w:t>
      </w:r>
    </w:p>
    <w:p w14:paraId="07C20E35">
      <w:pPr>
        <w:pStyle w:val="73"/>
        <w:numPr>
          <w:ilvl w:val="0"/>
          <w:numId w:val="0"/>
        </w:numPr>
        <w:ind w:left="1130" w:hanging="420"/>
      </w:pPr>
      <w:r>
        <w:rPr>
          <w:rFonts w:hint="eastAsia"/>
        </w:rPr>
        <w:t>本次招标公告同时在</w:t>
      </w:r>
      <w:r>
        <w:rPr>
          <w:rFonts w:hint="eastAsia"/>
          <w:highlight w:val="yellow"/>
        </w:rPr>
        <w:t>中国重型汽车集团有限公司官网</w:t>
      </w:r>
      <w:r>
        <w:rPr>
          <w:rFonts w:hint="eastAsia"/>
        </w:rPr>
        <w:t>上发布。</w:t>
      </w:r>
    </w:p>
    <w:p w14:paraId="3AA7B543">
      <w:pPr>
        <w:pStyle w:val="72"/>
        <w:rPr>
          <w:highlight w:val="yellow"/>
        </w:rPr>
      </w:pPr>
      <w:r>
        <w:rPr>
          <w:rFonts w:hint="eastAsia"/>
          <w:highlight w:val="yellow"/>
        </w:rPr>
        <w:t>联系方式</w:t>
      </w:r>
    </w:p>
    <w:p w14:paraId="4EE1930C">
      <w:pPr>
        <w:ind w:firstLine="422" w:firstLineChars="200"/>
        <w:rPr>
          <w:rFonts w:hint="eastAsia"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中国重汽集团济南动力有限公司发动机厂</w:t>
      </w:r>
    </w:p>
    <w:p w14:paraId="3ED306AE">
      <w:pPr>
        <w:pStyle w:val="72"/>
        <w:numPr>
          <w:ilvl w:val="0"/>
          <w:numId w:val="0"/>
        </w:numPr>
        <w:ind w:firstLine="422" w:firstLineChars="200"/>
        <w:rPr>
          <w:rFonts w:hint="eastAsia"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40B41A73">
      <w:pPr>
        <w:pStyle w:val="72"/>
        <w:numPr>
          <w:ilvl w:val="0"/>
          <w:numId w:val="0"/>
        </w:numPr>
        <w:ind w:firstLine="422" w:firstLineChars="200"/>
        <w:rPr>
          <w:rFonts w:hint="eastAsia" w:ascii="宋体" w:hAnsi="宋体" w:eastAsia="宋体" w:cs="宋体"/>
          <w:bCs w:val="0"/>
          <w:sz w:val="21"/>
          <w:szCs w:val="21"/>
        </w:rPr>
      </w:pPr>
      <w:r>
        <w:rPr>
          <w:rFonts w:hint="eastAsia" w:ascii="宋体" w:hAnsi="宋体" w:eastAsia="宋体" w:cs="宋体"/>
          <w:bCs w:val="0"/>
          <w:sz w:val="21"/>
          <w:szCs w:val="21"/>
        </w:rPr>
        <w:t>电话：17860606311</w:t>
      </w:r>
    </w:p>
    <w:p w14:paraId="5867946E">
      <w:pPr>
        <w:pStyle w:val="72"/>
        <w:numPr>
          <w:ilvl w:val="0"/>
          <w:numId w:val="0"/>
        </w:numPr>
        <w:ind w:firstLine="422" w:firstLineChars="200"/>
        <w:rPr>
          <w:rFonts w:hint="eastAsia" w:ascii="宋体" w:hAnsi="宋体" w:eastAsia="宋体" w:cs="宋体"/>
          <w:bCs w:val="0"/>
          <w:sz w:val="21"/>
          <w:szCs w:val="21"/>
        </w:rPr>
      </w:pPr>
      <w:r>
        <w:rPr>
          <w:rFonts w:hint="eastAsia" w:ascii="宋体" w:hAnsi="宋体" w:eastAsia="宋体" w:cs="宋体"/>
          <w:bCs w:val="0"/>
          <w:sz w:val="21"/>
          <w:szCs w:val="21"/>
        </w:rPr>
        <w:t>邮箱：1494144783@qq.com</w:t>
      </w:r>
    </w:p>
    <w:p w14:paraId="18B613F5">
      <w:pPr>
        <w:pStyle w:val="72"/>
        <w:numPr>
          <w:ilvl w:val="0"/>
          <w:numId w:val="0"/>
        </w:numPr>
        <w:ind w:firstLine="422" w:firstLineChars="200"/>
        <w:rPr>
          <w:rFonts w:hint="eastAsia" w:ascii="宋体" w:hAnsi="宋体" w:eastAsia="宋体" w:cs="宋体"/>
          <w:bCs w:val="0"/>
          <w:sz w:val="21"/>
          <w:szCs w:val="21"/>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rPr>
        <w:t>王培杰</w:t>
      </w:r>
    </w:p>
    <w:p w14:paraId="1C28693C">
      <w:pPr>
        <w:pStyle w:val="72"/>
        <w:numPr>
          <w:ilvl w:val="0"/>
          <w:numId w:val="0"/>
        </w:numPr>
        <w:ind w:firstLine="422" w:firstLineChars="200"/>
        <w:rPr>
          <w:rFonts w:hint="eastAsia" w:ascii="宋体" w:hAnsi="宋体" w:eastAsia="宋体" w:cs="宋体"/>
          <w:bCs w:val="0"/>
          <w:sz w:val="21"/>
          <w:szCs w:val="21"/>
        </w:rPr>
      </w:pPr>
      <w:r>
        <w:rPr>
          <w:rFonts w:hint="eastAsia" w:ascii="宋体" w:hAnsi="宋体" w:eastAsia="宋体" w:cs="宋体"/>
          <w:bCs w:val="0"/>
          <w:sz w:val="21"/>
          <w:szCs w:val="21"/>
        </w:rPr>
        <w:t>电话：17353521086</w:t>
      </w:r>
    </w:p>
    <w:p w14:paraId="5559E45C">
      <w:pPr>
        <w:pStyle w:val="72"/>
        <w:numPr>
          <w:ilvl w:val="0"/>
          <w:numId w:val="0"/>
        </w:numPr>
        <w:ind w:firstLine="422" w:firstLineChars="200"/>
        <w:rPr>
          <w:highlight w:val="yellow"/>
        </w:rPr>
      </w:pPr>
      <w:r>
        <w:rPr>
          <w:rFonts w:hint="eastAsia" w:ascii="宋体" w:hAnsi="宋体" w:eastAsia="宋体" w:cs="宋体"/>
          <w:sz w:val="21"/>
          <w:szCs w:val="21"/>
        </w:rPr>
        <w:t>邮箱：wpj17353521086@163.com</w:t>
      </w:r>
    </w:p>
    <w:p w14:paraId="749A74C9">
      <w:pPr>
        <w:pStyle w:val="76"/>
      </w:pPr>
    </w:p>
    <w:p w14:paraId="647F3B47">
      <w:pPr>
        <w:pStyle w:val="76"/>
      </w:pPr>
    </w:p>
    <w:p w14:paraId="0012012B">
      <w:pPr>
        <w:pStyle w:val="76"/>
        <w:jc w:val="both"/>
        <w:rPr>
          <w:highlight w:val="cyan"/>
          <w:u w:val="single"/>
        </w:rPr>
      </w:pPr>
    </w:p>
    <w:p w14:paraId="4DC37116">
      <w:pPr>
        <w:pStyle w:val="76"/>
        <w:jc w:val="right"/>
        <w:rPr>
          <w:highlight w:val="cyan"/>
          <w:u w:val="single"/>
        </w:rPr>
      </w:pPr>
    </w:p>
    <w:p w14:paraId="5DD6481C">
      <w:pPr>
        <w:pStyle w:val="76"/>
        <w:jc w:val="right"/>
        <w:rPr>
          <w:highlight w:val="cyan"/>
          <w:u w:val="single"/>
        </w:rPr>
      </w:pPr>
    </w:p>
    <w:p w14:paraId="00994FF7">
      <w:pPr>
        <w:pStyle w:val="76"/>
        <w:ind w:firstLine="6510" w:firstLineChars="3100"/>
        <w:jc w:val="both"/>
      </w:pPr>
      <w:r>
        <w:rPr>
          <w:rFonts w:hint="eastAsia"/>
          <w:u w:val="single"/>
        </w:rPr>
        <w:t>2025</w:t>
      </w:r>
      <w:r>
        <w:rPr>
          <w:rFonts w:hint="eastAsia"/>
        </w:rPr>
        <w:t>年12月9日</w:t>
      </w:r>
    </w:p>
    <w:p w14:paraId="149D5887">
      <w:pPr>
        <w:pStyle w:val="76"/>
        <w:jc w:val="both"/>
      </w:pPr>
    </w:p>
    <w:p w14:paraId="7359E372">
      <w:pPr>
        <w:pStyle w:val="76"/>
      </w:pPr>
    </w:p>
    <w:p w14:paraId="5A777ECA">
      <w:pPr>
        <w:pStyle w:val="71"/>
      </w:pPr>
      <w:bookmarkStart w:id="5" w:name="_Toc47976595"/>
      <w:bookmarkStart w:id="6" w:name="_Toc7753"/>
      <w:r>
        <w:rPr>
          <w:rFonts w:hint="eastAsia"/>
        </w:rPr>
        <w:t>第一部分  投标人须知</w:t>
      </w:r>
      <w:bookmarkEnd w:id="5"/>
      <w:bookmarkEnd w:id="6"/>
    </w:p>
    <w:p w14:paraId="3548030B">
      <w:pPr>
        <w:pStyle w:val="72"/>
        <w:numPr>
          <w:ilvl w:val="0"/>
          <w:numId w:val="12"/>
        </w:numPr>
        <w:ind w:left="420"/>
        <w:jc w:val="left"/>
      </w:pPr>
      <w:bookmarkStart w:id="7" w:name="_Toc47976596"/>
      <w:r>
        <w:rPr>
          <w:rFonts w:hint="eastAsia"/>
        </w:rPr>
        <w:t>项目介绍</w:t>
      </w:r>
      <w:bookmarkEnd w:id="7"/>
    </w:p>
    <w:p w14:paraId="26A999E9">
      <w:pPr>
        <w:pStyle w:val="76"/>
        <w:numPr>
          <w:ilvl w:val="0"/>
          <w:numId w:val="13"/>
        </w:numPr>
      </w:pPr>
      <w:bookmarkStart w:id="8" w:name="_Toc47112482"/>
      <w:r>
        <w:rPr>
          <w:rFonts w:hint="eastAsia"/>
        </w:rPr>
        <w:t>项目概况：</w:t>
      </w:r>
      <w:r>
        <w:rPr>
          <w:rFonts w:hint="eastAsia"/>
          <w:highlight w:val="yellow"/>
        </w:rPr>
        <w:t>济南发动机厂部件线1台三坐标测量机现处于禁用状态：品牌：南航立科，型号：BUBY-121510CNC，编号：4301-JX-571-00061,于2024年4月出现开机X轴无法回零故障，经检修发现X轴光栅尺磨损，上报质量部办理禁用手续，禁用期间开机发现电脑主机无法开启，经信息化维修人员检修为电脑主板损坏，更换备用电脑后无法与控制柜通讯。</w:t>
      </w:r>
    </w:p>
    <w:p w14:paraId="53823C1C">
      <w:pPr>
        <w:pStyle w:val="76"/>
        <w:numPr>
          <w:ilvl w:val="0"/>
          <w:numId w:val="13"/>
        </w:numPr>
      </w:pPr>
      <w:r>
        <w:rPr>
          <w:rFonts w:hint="eastAsia"/>
        </w:rPr>
        <w:t>招标内容具体要求详见《技术标书》。</w:t>
      </w:r>
    </w:p>
    <w:p w14:paraId="4648EE6A">
      <w:pPr>
        <w:pStyle w:val="76"/>
        <w:numPr>
          <w:ilvl w:val="0"/>
          <w:numId w:val="13"/>
        </w:numPr>
      </w:pPr>
      <w:r>
        <w:rPr>
          <w:rFonts w:hint="eastAsia"/>
        </w:rPr>
        <w:t>报价：</w:t>
      </w:r>
      <w:r>
        <w:rPr>
          <w:rFonts w:hint="eastAsia"/>
          <w:b/>
          <w:bCs/>
          <w:color w:val="FF0000"/>
          <w:highlight w:val="yellow"/>
        </w:rPr>
        <w:t>报价应包含币种、不含税金额、税率及价税合计金额</w:t>
      </w:r>
    </w:p>
    <w:bookmarkEnd w:id="8"/>
    <w:p w14:paraId="76EF3617">
      <w:pPr>
        <w:pStyle w:val="72"/>
      </w:pPr>
      <w:bookmarkStart w:id="9" w:name="_Toc47976598"/>
      <w:r>
        <w:rPr>
          <w:rFonts w:hint="eastAsia"/>
        </w:rPr>
        <w:t>合格的投标人。</w:t>
      </w:r>
      <w:bookmarkEnd w:id="9"/>
    </w:p>
    <w:p w14:paraId="51FB0B89">
      <w:pPr>
        <w:pStyle w:val="73"/>
        <w:numPr>
          <w:ilvl w:val="0"/>
          <w:numId w:val="0"/>
        </w:numPr>
        <w:rPr>
          <w:b w:val="0"/>
          <w:bCs/>
        </w:rPr>
      </w:pPr>
      <w:r>
        <w:rPr>
          <w:rFonts w:hint="eastAsia"/>
          <w:b w:val="0"/>
          <w:bCs/>
        </w:rPr>
        <w:t>（1）投标人须遵守《中华人民共和国招标投标法》《中华人民共和国民法典》及其他有关的法律和法规；为中华人民共和国境内注册的独立法人机构，具有独立承担民事责任能力；</w:t>
      </w:r>
    </w:p>
    <w:p w14:paraId="26F6784A">
      <w:pPr>
        <w:pStyle w:val="73"/>
        <w:numPr>
          <w:ilvl w:val="0"/>
          <w:numId w:val="0"/>
        </w:numPr>
        <w:rPr>
          <w:b w:val="0"/>
          <w:bCs/>
        </w:rPr>
      </w:pPr>
      <w:r>
        <w:rPr>
          <w:rFonts w:hint="eastAsia"/>
          <w:b w:val="0"/>
          <w:bCs/>
        </w:rPr>
        <w:t>（2）具有独立法人资格，注册资本金100万元以上；具备测量类类设备故障诊断及维修能力；</w:t>
      </w:r>
    </w:p>
    <w:p w14:paraId="5871697A">
      <w:pPr>
        <w:pStyle w:val="73"/>
        <w:numPr>
          <w:ilvl w:val="0"/>
          <w:numId w:val="0"/>
        </w:numPr>
        <w:rPr>
          <w:b w:val="0"/>
          <w:bCs/>
        </w:rPr>
      </w:pPr>
      <w:r>
        <w:rPr>
          <w:rFonts w:hint="eastAsia"/>
          <w:b w:val="0"/>
          <w:bCs/>
        </w:rPr>
        <w:t>（3）投标人须提供具有统一社会信用代码的新版营业执照副本原件及复印件（加盖公章）；</w:t>
      </w:r>
    </w:p>
    <w:p w14:paraId="11E848D0">
      <w:pPr>
        <w:pStyle w:val="73"/>
        <w:numPr>
          <w:ilvl w:val="0"/>
          <w:numId w:val="0"/>
        </w:numPr>
        <w:rPr>
          <w:b w:val="0"/>
          <w:bCs/>
        </w:rPr>
      </w:pPr>
      <w:r>
        <w:rPr>
          <w:rFonts w:hint="eastAsia"/>
          <w:b w:val="0"/>
          <w:bCs/>
        </w:rPr>
        <w:t>（4）具有良好的商业信誉，在国家企业信用信息公示系统中无与本投标项目相同或相似业务的行政处罚、列入经营异常名录和列入严重违法失信企业名单（黑名单）信息或列入司法系统被执行人或上述信息已被移除。</w:t>
      </w:r>
    </w:p>
    <w:p w14:paraId="173DFEB9">
      <w:pPr>
        <w:pStyle w:val="73"/>
        <w:numPr>
          <w:ilvl w:val="0"/>
          <w:numId w:val="0"/>
        </w:numPr>
        <w:rPr>
          <w:b w:val="0"/>
          <w:bCs/>
        </w:rPr>
      </w:pPr>
      <w:r>
        <w:rPr>
          <w:rFonts w:hint="eastAsia"/>
          <w:b w:val="0"/>
          <w:bCs/>
        </w:rPr>
        <w:t>（5）投标人在近三年内在经营活动中无违法记录，且营业收入和利润保持正常比值。</w:t>
      </w:r>
    </w:p>
    <w:p w14:paraId="4061CAA9">
      <w:pPr>
        <w:pStyle w:val="73"/>
        <w:numPr>
          <w:ilvl w:val="0"/>
          <w:numId w:val="0"/>
        </w:numPr>
        <w:rPr>
          <w:b w:val="0"/>
          <w:bCs/>
        </w:rPr>
      </w:pPr>
      <w:r>
        <w:rPr>
          <w:rFonts w:hint="eastAsia"/>
          <w:b w:val="0"/>
          <w:bCs/>
        </w:rPr>
        <w:t>（6）具有健全的财务会计制度，财务状况和良好的市场行为。没有处于被有权机关吊销营业执照、吊销资质、停业整顿、取消投标资格以及财产被接管、冻结或进入破产程序等。</w:t>
      </w:r>
    </w:p>
    <w:p w14:paraId="02A88BDE">
      <w:pPr>
        <w:pStyle w:val="73"/>
        <w:numPr>
          <w:ilvl w:val="0"/>
          <w:numId w:val="0"/>
        </w:numPr>
        <w:rPr>
          <w:b w:val="0"/>
          <w:bCs/>
        </w:rPr>
      </w:pPr>
      <w:r>
        <w:rPr>
          <w:rFonts w:hint="eastAsia"/>
          <w:b w:val="0"/>
          <w:bCs/>
        </w:rPr>
        <w:t>（7）投标人没有被列入招标人处《黑名单》（《黑名单》指投标人与招标人在以往或正在进行的合作中，存在招标人认为的违反合同约定或违反法律法规等的失信行为）的。</w:t>
      </w:r>
    </w:p>
    <w:p w14:paraId="170A684B">
      <w:pPr>
        <w:pStyle w:val="73"/>
        <w:numPr>
          <w:ilvl w:val="0"/>
          <w:numId w:val="0"/>
        </w:numPr>
        <w:rPr>
          <w:b w:val="0"/>
          <w:bCs/>
        </w:rPr>
      </w:pPr>
      <w:r>
        <w:rPr>
          <w:rFonts w:hint="eastAsia"/>
          <w:b w:val="0"/>
          <w:bCs/>
        </w:rPr>
        <w:t>（8）投标人须提供法人授权委托书原件（在投标文件副本中可用复印件）及投标单位的法定代表人或授权代表的身份证原件及复印件（加盖公章）；</w:t>
      </w:r>
    </w:p>
    <w:p w14:paraId="054FB1E9">
      <w:pPr>
        <w:pStyle w:val="73"/>
        <w:numPr>
          <w:ilvl w:val="0"/>
          <w:numId w:val="0"/>
        </w:numPr>
        <w:rPr>
          <w:b w:val="0"/>
          <w:bCs/>
        </w:rPr>
      </w:pPr>
      <w:r>
        <w:rPr>
          <w:rFonts w:hint="eastAsia"/>
          <w:b w:val="0"/>
          <w:bCs/>
        </w:rPr>
        <w:t>（9）投标人须具有履行合同所必需的设备、财务、技术、服务等方面的资质和能力；</w:t>
      </w:r>
    </w:p>
    <w:p w14:paraId="5D68E5A6">
      <w:pPr>
        <w:pStyle w:val="73"/>
        <w:numPr>
          <w:ilvl w:val="0"/>
          <w:numId w:val="0"/>
        </w:numPr>
        <w:rPr>
          <w:b w:val="0"/>
          <w:bCs/>
        </w:rPr>
      </w:pPr>
      <w:r>
        <w:rPr>
          <w:rFonts w:hint="eastAsia"/>
          <w:b w:val="0"/>
          <w:bCs/>
        </w:rPr>
        <w:t>（10）投标人须具有完全履行招标文件的所有要求的能力；</w:t>
      </w:r>
    </w:p>
    <w:p w14:paraId="1C3EFF60">
      <w:pPr>
        <w:pStyle w:val="73"/>
        <w:numPr>
          <w:ilvl w:val="0"/>
          <w:numId w:val="0"/>
        </w:numPr>
        <w:rPr>
          <w:b w:val="0"/>
          <w:bCs/>
        </w:rPr>
      </w:pPr>
      <w:r>
        <w:rPr>
          <w:rFonts w:hint="eastAsia"/>
          <w:b w:val="0"/>
          <w:bCs/>
        </w:rPr>
        <w:t>（11）投标人须认可招标人的工作指令，包括节假日能正常开展工作的要求；</w:t>
      </w:r>
    </w:p>
    <w:p w14:paraId="37D7D932">
      <w:pPr>
        <w:pStyle w:val="73"/>
        <w:numPr>
          <w:ilvl w:val="0"/>
          <w:numId w:val="0"/>
        </w:numPr>
        <w:rPr>
          <w:b w:val="0"/>
          <w:bCs/>
        </w:rPr>
      </w:pPr>
      <w:r>
        <w:rPr>
          <w:rFonts w:hint="eastAsia"/>
          <w:b w:val="0"/>
          <w:bCs/>
        </w:rPr>
        <w:t>（12）投标人并非联合投标或者代理投标；</w:t>
      </w:r>
    </w:p>
    <w:p w14:paraId="6EB42C67">
      <w:pPr>
        <w:pStyle w:val="73"/>
        <w:numPr>
          <w:ilvl w:val="0"/>
          <w:numId w:val="0"/>
        </w:numPr>
        <w:rPr>
          <w:b w:val="0"/>
          <w:bCs/>
        </w:rPr>
      </w:pPr>
      <w:r>
        <w:rPr>
          <w:rFonts w:hint="eastAsia"/>
          <w:b w:val="0"/>
          <w:bCs/>
        </w:rPr>
        <w:t>（13）供方的直接或间接股东、法定代表人、董事、监事、高管非重汽员工及其亲属。</w:t>
      </w:r>
    </w:p>
    <w:p w14:paraId="11185213">
      <w:pPr>
        <w:pStyle w:val="73"/>
        <w:numPr>
          <w:ilvl w:val="0"/>
          <w:numId w:val="0"/>
        </w:numPr>
        <w:rPr>
          <w:b w:val="0"/>
          <w:bCs/>
        </w:rPr>
      </w:pPr>
      <w:r>
        <w:rPr>
          <w:rFonts w:hint="eastAsia"/>
          <w:b w:val="0"/>
          <w:bCs/>
        </w:rPr>
        <w:t>（14）派遣工作人员具有良好安全意识，能够自主维持安全防护装备的佩戴，保证安全作业。</w:t>
      </w:r>
    </w:p>
    <w:p w14:paraId="6D1150AE">
      <w:pPr>
        <w:pStyle w:val="73"/>
        <w:numPr>
          <w:ilvl w:val="0"/>
          <w:numId w:val="0"/>
        </w:numPr>
        <w:rPr>
          <w:color w:val="FF0000"/>
        </w:rPr>
      </w:pPr>
    </w:p>
    <w:p w14:paraId="4C5122BD">
      <w:pPr>
        <w:pStyle w:val="72"/>
      </w:pPr>
      <w:r>
        <w:rPr>
          <w:rFonts w:hint="eastAsia"/>
        </w:rPr>
        <w:t>招标文件的领取、答疑、应标及投标报名</w:t>
      </w:r>
    </w:p>
    <w:p w14:paraId="5FAE8C7E">
      <w:pPr>
        <w:pStyle w:val="76"/>
        <w:numPr>
          <w:ilvl w:val="0"/>
          <w:numId w:val="14"/>
        </w:numPr>
        <w:jc w:val="both"/>
      </w:pPr>
      <w:r>
        <w:rPr>
          <w:rFonts w:hint="eastAsia"/>
        </w:rPr>
        <w:t>发标时间：</w:t>
      </w:r>
      <w:r>
        <w:rPr>
          <w:rFonts w:hint="eastAsia"/>
          <w:highlight w:val="yellow"/>
        </w:rPr>
        <w:t>2025年12月9日</w:t>
      </w:r>
    </w:p>
    <w:p w14:paraId="4650A3D3">
      <w:pPr>
        <w:pStyle w:val="76"/>
        <w:numPr>
          <w:ilvl w:val="0"/>
          <w:numId w:val="14"/>
        </w:numPr>
        <w:jc w:val="both"/>
        <w:rPr>
          <w:highlight w:val="yellow"/>
        </w:rPr>
      </w:pPr>
      <w:r>
        <w:rPr>
          <w:rFonts w:hint="eastAsia"/>
          <w:highlight w:val="yellow"/>
        </w:rPr>
        <w:t>招标文件领取方式：线上</w:t>
      </w:r>
    </w:p>
    <w:p w14:paraId="1EA9BEA1">
      <w:pPr>
        <w:pStyle w:val="76"/>
        <w:ind w:firstLine="210" w:firstLineChars="100"/>
        <w:jc w:val="both"/>
        <w:rPr>
          <w:highlight w:val="yellow"/>
        </w:rPr>
      </w:pPr>
      <w:r>
        <w:rPr>
          <w:rFonts w:hint="eastAsia"/>
          <w:highlight w:val="yellow"/>
        </w:rPr>
        <w:t>地点：中国重汽e采通平台</w:t>
      </w:r>
    </w:p>
    <w:p w14:paraId="7102EC52">
      <w:pPr>
        <w:pStyle w:val="76"/>
        <w:ind w:firstLine="210" w:firstLineChars="100"/>
        <w:jc w:val="both"/>
        <w:rPr>
          <w:highlight w:val="yellow"/>
        </w:rPr>
      </w:pPr>
      <w:r>
        <w:rPr>
          <w:rFonts w:hint="eastAsia"/>
          <w:highlight w:val="yellow"/>
        </w:rPr>
        <w:t>领取截止时间：2025年12月15日</w:t>
      </w:r>
    </w:p>
    <w:p w14:paraId="1830EAB8">
      <w:pPr>
        <w:pStyle w:val="76"/>
        <w:numPr>
          <w:ilvl w:val="0"/>
          <w:numId w:val="14"/>
        </w:numPr>
        <w:jc w:val="both"/>
      </w:pPr>
      <w:r>
        <w:rPr>
          <w:rFonts w:hint="eastAsia"/>
        </w:rPr>
        <w:t>答疑时间：</w:t>
      </w:r>
      <w:r>
        <w:rPr>
          <w:rFonts w:hint="eastAsia"/>
          <w:highlight w:val="yellow"/>
        </w:rPr>
        <w:t>2025年12月15日</w:t>
      </w:r>
      <w:r>
        <w:rPr>
          <w:rFonts w:hint="eastAsia" w:hAnsi="宋体" w:cs="宋体"/>
          <w:bCs/>
          <w:szCs w:val="21"/>
          <w:highlight w:val="yellow"/>
        </w:rPr>
        <w:t>12:00:00</w:t>
      </w:r>
      <w:r>
        <w:rPr>
          <w:rFonts w:hint="eastAsia"/>
          <w:highlight w:val="yellow"/>
        </w:rPr>
        <w:t>前</w:t>
      </w:r>
    </w:p>
    <w:p w14:paraId="27A96219">
      <w:pPr>
        <w:pStyle w:val="76"/>
        <w:numPr>
          <w:ilvl w:val="0"/>
          <w:numId w:val="14"/>
        </w:numPr>
        <w:ind w:left="0" w:firstLine="0"/>
        <w:jc w:val="both"/>
      </w:pPr>
      <w:r>
        <w:rPr>
          <w:rFonts w:hint="eastAsia"/>
        </w:rPr>
        <w:t>提交疑问方式：将答疑问题以word文件格式发送至联系人邮件内，并电话联系工作人员查收，</w:t>
      </w:r>
      <w:r>
        <w:rPr>
          <w:rFonts w:hint="eastAsia"/>
          <w:b/>
          <w:bCs/>
        </w:rPr>
        <w:t>邮件名格式为：XXX公司（五个字以内公司简称）XX项目答疑文件。同时必须在邮件中以文字方式提供投标人全称、投标授权人姓名、联系方式（固定电话、手机、电子邮箱），并提供附件2法定代表人授权委托书。</w:t>
      </w:r>
    </w:p>
    <w:p w14:paraId="282516F9">
      <w:pPr>
        <w:pStyle w:val="76"/>
        <w:numPr>
          <w:ilvl w:val="0"/>
          <w:numId w:val="14"/>
        </w:numPr>
        <w:jc w:val="both"/>
      </w:pPr>
      <w:r>
        <w:rPr>
          <w:rFonts w:hint="eastAsia"/>
        </w:rPr>
        <w:t>领取答疑、澄清和修改文件时间：</w:t>
      </w:r>
      <w:r>
        <w:rPr>
          <w:rFonts w:hint="eastAsia"/>
          <w:highlight w:val="yellow"/>
        </w:rPr>
        <w:t>2025年12月15日</w:t>
      </w:r>
      <w:r>
        <w:rPr>
          <w:rFonts w:hint="eastAsia" w:hAnsi="宋体" w:cs="宋体"/>
          <w:bCs/>
          <w:szCs w:val="21"/>
          <w:highlight w:val="yellow"/>
        </w:rPr>
        <w:t>17:00:00</w:t>
      </w:r>
      <w:r>
        <w:rPr>
          <w:rFonts w:hint="eastAsia"/>
          <w:highlight w:val="yellow"/>
        </w:rPr>
        <w:t>前：</w:t>
      </w:r>
    </w:p>
    <w:p w14:paraId="31EF29A5">
      <w:pPr>
        <w:pStyle w:val="76"/>
        <w:numPr>
          <w:ilvl w:val="0"/>
          <w:numId w:val="14"/>
        </w:numPr>
        <w:ind w:left="0" w:firstLine="0"/>
        <w:jc w:val="both"/>
      </w:pPr>
      <w:r>
        <w:rPr>
          <w:rFonts w:hint="eastAsia"/>
        </w:rPr>
        <w:t>答疑、澄清和修改文件方式：招标人将以电子邮件的方式将招标文件的答疑澄清文件发送至答疑文件提交时登记的电子邮箱。</w:t>
      </w:r>
    </w:p>
    <w:p w14:paraId="3F1D7AF4">
      <w:pPr>
        <w:pStyle w:val="76"/>
        <w:numPr>
          <w:ilvl w:val="0"/>
          <w:numId w:val="14"/>
        </w:numPr>
        <w:jc w:val="both"/>
        <w:rPr>
          <w:highlight w:val="yellow"/>
        </w:rPr>
      </w:pPr>
      <w:r>
        <w:rPr>
          <w:rFonts w:hint="eastAsia"/>
          <w:highlight w:val="yellow"/>
        </w:rPr>
        <w:t>报名方式：在“中国重汽e采通”平台报名</w:t>
      </w:r>
    </w:p>
    <w:p w14:paraId="6902BE93">
      <w:pPr>
        <w:pStyle w:val="76"/>
        <w:numPr>
          <w:ilvl w:val="0"/>
          <w:numId w:val="14"/>
        </w:numPr>
        <w:jc w:val="both"/>
        <w:rPr>
          <w:highlight w:val="yellow"/>
        </w:rPr>
      </w:pPr>
      <w:r>
        <w:rPr>
          <w:rFonts w:hint="eastAsia"/>
          <w:highlight w:val="yellow"/>
        </w:rPr>
        <w:t>应标截止时间：</w:t>
      </w:r>
      <w:r>
        <w:rPr>
          <w:rFonts w:hint="eastAsia" w:hAnsi="宋体" w:cs="宋体"/>
          <w:sz w:val="24"/>
          <w:szCs w:val="24"/>
          <w:highlight w:val="yellow"/>
        </w:rPr>
        <w:t>2025年12月</w:t>
      </w:r>
      <w:r>
        <w:rPr>
          <w:rFonts w:hint="eastAsia" w:hAnsi="宋体" w:cs="宋体"/>
          <w:sz w:val="24"/>
          <w:szCs w:val="24"/>
          <w:highlight w:val="yellow"/>
          <w:lang w:val="en-US" w:eastAsia="zh-CN"/>
        </w:rPr>
        <w:t>22</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295608BC">
      <w:pPr>
        <w:pStyle w:val="72"/>
        <w:rPr>
          <w:rFonts w:ascii="宋体" w:eastAsia="宋体"/>
        </w:rPr>
      </w:pPr>
      <w:r>
        <w:rPr>
          <w:rFonts w:hint="eastAsia"/>
        </w:rPr>
        <w:t>投标文件编制</w:t>
      </w:r>
    </w:p>
    <w:p w14:paraId="6499ED62">
      <w:pPr>
        <w:pStyle w:val="73"/>
        <w:numPr>
          <w:ilvl w:val="0"/>
          <w:numId w:val="15"/>
        </w:numPr>
        <w:ind w:firstLine="0"/>
        <w:rPr>
          <w:b w:val="0"/>
        </w:rPr>
      </w:pPr>
      <w:r>
        <w:rPr>
          <w:rFonts w:hint="eastAsia"/>
          <w:b w:val="0"/>
        </w:rPr>
        <w:t>投标文件的组成</w:t>
      </w:r>
    </w:p>
    <w:p w14:paraId="0034C7AF">
      <w:pPr>
        <w:pStyle w:val="73"/>
        <w:numPr>
          <w:ilvl w:val="0"/>
          <w:numId w:val="0"/>
        </w:numPr>
        <w:rPr>
          <w:b w:val="0"/>
          <w:bCs/>
        </w:rPr>
      </w:pPr>
      <w:r>
        <w:rPr>
          <w:rFonts w:hint="eastAsia"/>
          <w:b w:val="0"/>
          <w:bCs/>
        </w:rPr>
        <w:t>投标人编写的投标文件由《投标文件（资质标）》、《投标文件（技术标）》(若有）、《投标文件（商务标）》（开标一览表）文件组成，共计</w:t>
      </w:r>
      <w:r>
        <w:rPr>
          <w:rFonts w:hint="eastAsia"/>
          <w:b w:val="0"/>
          <w:bCs/>
          <w:highlight w:val="yellow"/>
          <w:u w:val="single"/>
        </w:rPr>
        <w:t xml:space="preserve"> 2 </w:t>
      </w:r>
      <w:r>
        <w:rPr>
          <w:rFonts w:hint="eastAsia"/>
          <w:b w:val="0"/>
          <w:bCs/>
        </w:rPr>
        <w:t>个文件。</w:t>
      </w:r>
    </w:p>
    <w:p w14:paraId="03DD3A74">
      <w:pPr>
        <w:pStyle w:val="74"/>
        <w:numPr>
          <w:ilvl w:val="0"/>
          <w:numId w:val="16"/>
        </w:numPr>
        <w:rPr>
          <w:b w:val="0"/>
          <w:bCs/>
        </w:rPr>
      </w:pPr>
      <w:r>
        <w:rPr>
          <w:rFonts w:hint="eastAsia"/>
          <w:b w:val="0"/>
          <w:bCs/>
        </w:rPr>
        <w:t>资质文件：</w:t>
      </w:r>
    </w:p>
    <w:p w14:paraId="59181842">
      <w:pPr>
        <w:pStyle w:val="75"/>
        <w:numPr>
          <w:ilvl w:val="0"/>
          <w:numId w:val="17"/>
        </w:numPr>
        <w:rPr>
          <w:bCs/>
        </w:rPr>
      </w:pPr>
      <w:r>
        <w:rPr>
          <w:rFonts w:hint="eastAsia"/>
          <w:bCs/>
        </w:rPr>
        <w:t>法定代表人身份证明；</w:t>
      </w:r>
    </w:p>
    <w:p w14:paraId="0C6772F5">
      <w:pPr>
        <w:pStyle w:val="75"/>
        <w:numPr>
          <w:ilvl w:val="0"/>
          <w:numId w:val="17"/>
        </w:numPr>
        <w:rPr>
          <w:bCs/>
        </w:rPr>
      </w:pPr>
      <w:r>
        <w:rPr>
          <w:rFonts w:hint="eastAsia"/>
          <w:bCs/>
        </w:rPr>
        <w:t>法定代表人授权委托书（授权人需带身份证原件）；</w:t>
      </w:r>
    </w:p>
    <w:p w14:paraId="77B1DF91">
      <w:pPr>
        <w:pStyle w:val="75"/>
        <w:numPr>
          <w:ilvl w:val="0"/>
          <w:numId w:val="17"/>
        </w:numPr>
        <w:rPr>
          <w:bCs/>
        </w:rPr>
      </w:pPr>
      <w:r>
        <w:rPr>
          <w:rFonts w:hint="eastAsia"/>
          <w:bCs/>
        </w:rPr>
        <w:t>营业执照副本原件或复印件并加盖公章；</w:t>
      </w:r>
    </w:p>
    <w:p w14:paraId="7DDAB136">
      <w:pPr>
        <w:pStyle w:val="75"/>
        <w:numPr>
          <w:ilvl w:val="0"/>
          <w:numId w:val="17"/>
        </w:numPr>
        <w:ind w:left="0" w:firstLine="0"/>
        <w:rPr>
          <w:bCs/>
          <w:highlight w:val="yellow"/>
        </w:rPr>
      </w:pPr>
      <w:r>
        <w:rPr>
          <w:rFonts w:hint="eastAsia"/>
          <w:bCs/>
          <w:highlight w:val="yellow"/>
        </w:rPr>
        <w:t>投标人应具有相应生产证明或相关资质，并上传相关证明文件；</w:t>
      </w:r>
    </w:p>
    <w:p w14:paraId="49CD686A">
      <w:pPr>
        <w:pStyle w:val="75"/>
        <w:numPr>
          <w:ilvl w:val="0"/>
          <w:numId w:val="17"/>
        </w:numPr>
        <w:ind w:left="0" w:firstLine="0"/>
        <w:rPr>
          <w:bCs/>
        </w:rPr>
      </w:pPr>
      <w:r>
        <w:rPr>
          <w:rFonts w:hint="eastAsia"/>
          <w:bCs/>
        </w:rPr>
        <w:t>证明投标人满足投标资料表中列出的业绩要求的文件；</w:t>
      </w:r>
    </w:p>
    <w:p w14:paraId="682B97D3">
      <w:pPr>
        <w:pStyle w:val="75"/>
        <w:numPr>
          <w:ilvl w:val="0"/>
          <w:numId w:val="17"/>
        </w:numPr>
        <w:ind w:left="0" w:firstLine="0"/>
        <w:rPr>
          <w:bCs/>
        </w:rPr>
      </w:pPr>
      <w:r>
        <w:rPr>
          <w:rFonts w:hint="eastAsia"/>
          <w:bCs/>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6B6C7A60">
      <w:pPr>
        <w:pStyle w:val="75"/>
        <w:numPr>
          <w:ilvl w:val="0"/>
          <w:numId w:val="17"/>
        </w:numPr>
        <w:rPr>
          <w:bCs/>
        </w:rPr>
      </w:pPr>
      <w:r>
        <w:rPr>
          <w:rFonts w:hint="eastAsia"/>
          <w:bCs/>
        </w:rPr>
        <w:t>企业最近半年完税证明、信用证明材料（征信报告）；</w:t>
      </w:r>
    </w:p>
    <w:p w14:paraId="3B9FB753">
      <w:pPr>
        <w:pStyle w:val="75"/>
        <w:numPr>
          <w:ilvl w:val="0"/>
          <w:numId w:val="17"/>
        </w:numPr>
        <w:rPr>
          <w:bCs/>
        </w:rPr>
      </w:pPr>
      <w:r>
        <w:rPr>
          <w:rFonts w:hint="eastAsia"/>
          <w:bCs/>
        </w:rPr>
        <w:t>年度纳税信用评价信息（可从电子税务局查询截图，需加盖公章）；</w:t>
      </w:r>
    </w:p>
    <w:p w14:paraId="7948CE21">
      <w:pPr>
        <w:pStyle w:val="75"/>
        <w:numPr>
          <w:ilvl w:val="0"/>
          <w:numId w:val="17"/>
        </w:numPr>
        <w:rPr>
          <w:bCs/>
        </w:rPr>
      </w:pPr>
      <w:r>
        <w:rPr>
          <w:rFonts w:hint="eastAsia"/>
          <w:bCs/>
        </w:rPr>
        <w:t>企业对外担保说明（写明贵单位对外有无对外担保和质押业务，需加盖公章）。</w:t>
      </w:r>
    </w:p>
    <w:p w14:paraId="7918C62A">
      <w:pPr>
        <w:pStyle w:val="75"/>
        <w:numPr>
          <w:ilvl w:val="0"/>
          <w:numId w:val="17"/>
        </w:numPr>
        <w:rPr>
          <w:bCs/>
        </w:rPr>
      </w:pPr>
      <w:r>
        <w:rPr>
          <w:rFonts w:hint="eastAsia"/>
          <w:bCs/>
        </w:rPr>
        <w:t>信用中国截图或国家企业信用信息公示系统截图；</w:t>
      </w:r>
    </w:p>
    <w:p w14:paraId="467734F7">
      <w:pPr>
        <w:pStyle w:val="75"/>
        <w:numPr>
          <w:ilvl w:val="0"/>
          <w:numId w:val="17"/>
        </w:numPr>
        <w:rPr>
          <w:bCs/>
        </w:rPr>
      </w:pPr>
      <w:r>
        <w:rPr>
          <w:rFonts w:hint="eastAsia" w:hAnsi="宋体" w:cs="宋体"/>
          <w:szCs w:val="21"/>
          <w:lang w:bidi="ar"/>
        </w:rPr>
        <w:t>投标保证金银行转账凭证（应标时可不提供）；</w:t>
      </w:r>
    </w:p>
    <w:p w14:paraId="6637BD5F">
      <w:pPr>
        <w:pStyle w:val="75"/>
        <w:numPr>
          <w:ilvl w:val="0"/>
          <w:numId w:val="17"/>
        </w:numPr>
        <w:rPr>
          <w:bCs/>
        </w:rPr>
      </w:pPr>
      <w:r>
        <w:rPr>
          <w:rFonts w:hint="eastAsia"/>
          <w:bCs/>
        </w:rPr>
        <w:t>招标文件中要求的其它资格证明文件。</w:t>
      </w:r>
    </w:p>
    <w:p w14:paraId="0368D6F5">
      <w:pPr>
        <w:pStyle w:val="75"/>
        <w:numPr>
          <w:ilvl w:val="0"/>
          <w:numId w:val="18"/>
        </w:numPr>
        <w:ind w:left="10" w:firstLine="0"/>
        <w:rPr>
          <w:bCs/>
        </w:rPr>
      </w:pPr>
      <w:r>
        <w:rPr>
          <w:rFonts w:hint="eastAsia"/>
          <w:bCs/>
        </w:rPr>
        <w:t>对于投标人资质审核不通过的，招标人有权拒绝其投标。</w:t>
      </w:r>
    </w:p>
    <w:p w14:paraId="680B28A1">
      <w:pPr>
        <w:pStyle w:val="74"/>
        <w:numPr>
          <w:ilvl w:val="0"/>
          <w:numId w:val="16"/>
        </w:numPr>
        <w:rPr>
          <w:b w:val="0"/>
          <w:bCs/>
        </w:rPr>
      </w:pPr>
      <w:r>
        <w:rPr>
          <w:rFonts w:hint="eastAsia"/>
          <w:b w:val="0"/>
          <w:bCs/>
        </w:rPr>
        <w:t>商务标：</w:t>
      </w:r>
    </w:p>
    <w:p w14:paraId="0F22881A">
      <w:pPr>
        <w:pStyle w:val="75"/>
        <w:numPr>
          <w:ilvl w:val="0"/>
          <w:numId w:val="19"/>
        </w:numPr>
        <w:rPr>
          <w:bCs/>
          <w:highlight w:val="yellow"/>
        </w:rPr>
      </w:pPr>
      <w:r>
        <w:rPr>
          <w:rFonts w:hint="eastAsia"/>
          <w:bCs/>
          <w:highlight w:val="yellow"/>
        </w:rPr>
        <w:t>开标一览表</w:t>
      </w:r>
    </w:p>
    <w:p w14:paraId="3ACBF83B">
      <w:pPr>
        <w:pStyle w:val="75"/>
        <w:numPr>
          <w:ilvl w:val="0"/>
          <w:numId w:val="19"/>
        </w:numPr>
        <w:rPr>
          <w:bCs/>
          <w:highlight w:val="yellow"/>
        </w:rPr>
      </w:pPr>
      <w:r>
        <w:rPr>
          <w:rFonts w:hint="eastAsia"/>
          <w:bCs/>
          <w:highlight w:val="yellow"/>
        </w:rPr>
        <w:t>投标函（格式见附件）;</w:t>
      </w:r>
    </w:p>
    <w:p w14:paraId="3DFEBE69">
      <w:pPr>
        <w:pStyle w:val="75"/>
        <w:numPr>
          <w:ilvl w:val="0"/>
          <w:numId w:val="19"/>
        </w:numPr>
        <w:rPr>
          <w:bCs/>
          <w:highlight w:val="yellow"/>
        </w:rPr>
      </w:pPr>
      <w:r>
        <w:rPr>
          <w:rFonts w:hint="eastAsia"/>
          <w:bCs/>
          <w:highlight w:val="yellow"/>
        </w:rPr>
        <w:t>商务条款偏离表；</w:t>
      </w:r>
    </w:p>
    <w:p w14:paraId="70DB86DA">
      <w:pPr>
        <w:pStyle w:val="75"/>
        <w:numPr>
          <w:ilvl w:val="0"/>
          <w:numId w:val="19"/>
        </w:numPr>
        <w:rPr>
          <w:bCs/>
        </w:rPr>
      </w:pPr>
      <w:r>
        <w:rPr>
          <w:rFonts w:hint="eastAsia"/>
          <w:bCs/>
          <w:highlight w:val="yellow"/>
        </w:rPr>
        <w:t>投标货物分项报价表；</w:t>
      </w:r>
    </w:p>
    <w:p w14:paraId="30D148B1">
      <w:pPr>
        <w:pStyle w:val="75"/>
        <w:numPr>
          <w:ilvl w:val="0"/>
          <w:numId w:val="18"/>
        </w:numPr>
        <w:ind w:left="10" w:firstLine="0"/>
        <w:rPr>
          <w:bCs/>
        </w:rPr>
      </w:pPr>
      <w:r>
        <w:rPr>
          <w:rFonts w:hint="eastAsia"/>
          <w:bCs/>
        </w:rPr>
        <w:t>商务报价注意内容：最高投标限价（招标控制价）：人民币</w:t>
      </w:r>
      <w:r>
        <w:rPr>
          <w:rFonts w:hint="eastAsia"/>
          <w:bCs/>
          <w:highlight w:val="yellow"/>
          <w:u w:val="single"/>
        </w:rPr>
        <w:t xml:space="preserve"> 2.38 </w:t>
      </w:r>
      <w:r>
        <w:rPr>
          <w:rFonts w:hint="eastAsia"/>
          <w:bCs/>
        </w:rPr>
        <w:t>万元（含税），超过投标限价无法投标。</w:t>
      </w:r>
    </w:p>
    <w:p w14:paraId="67DE6C90">
      <w:pPr>
        <w:pStyle w:val="73"/>
        <w:numPr>
          <w:ilvl w:val="0"/>
          <w:numId w:val="15"/>
        </w:numPr>
        <w:ind w:firstLine="0"/>
        <w:rPr>
          <w:b w:val="0"/>
        </w:rPr>
      </w:pPr>
      <w:r>
        <w:rPr>
          <w:rFonts w:hint="eastAsia"/>
          <w:b w:val="0"/>
        </w:rPr>
        <w:t>投标文件的投递</w:t>
      </w:r>
    </w:p>
    <w:p w14:paraId="5AF7CE57">
      <w:pPr>
        <w:pStyle w:val="75"/>
        <w:numPr>
          <w:ilvl w:val="0"/>
          <w:numId w:val="20"/>
        </w:numPr>
        <w:rPr>
          <w:bCs/>
        </w:rPr>
      </w:pPr>
      <w:r>
        <w:rPr>
          <w:rFonts w:hint="eastAsia"/>
          <w:bCs/>
        </w:rPr>
        <w:t>投标方式：</w:t>
      </w:r>
      <w:r>
        <w:rPr>
          <w:rFonts w:hint="eastAsia"/>
        </w:rPr>
        <w:t>在“中国重汽e采通”平台</w:t>
      </w:r>
      <w:r>
        <w:rPr>
          <w:rFonts w:hint="eastAsia"/>
          <w:bCs/>
        </w:rPr>
        <w:t>线上投标</w:t>
      </w:r>
    </w:p>
    <w:p w14:paraId="6FB3CD5F">
      <w:pPr>
        <w:pStyle w:val="75"/>
        <w:numPr>
          <w:ilvl w:val="0"/>
          <w:numId w:val="20"/>
        </w:numPr>
        <w:rPr>
          <w:bCs/>
        </w:rPr>
      </w:pPr>
      <w:r>
        <w:rPr>
          <w:rFonts w:hint="eastAsia"/>
          <w:bCs/>
        </w:rPr>
        <w:t>联系人及联系方式：郭朝琛/17860606311</w:t>
      </w:r>
    </w:p>
    <w:p w14:paraId="5FDAB9AF">
      <w:pPr>
        <w:pStyle w:val="75"/>
        <w:numPr>
          <w:ilvl w:val="0"/>
          <w:numId w:val="20"/>
        </w:numPr>
        <w:rPr>
          <w:bCs/>
        </w:rPr>
      </w:pPr>
      <w:r>
        <w:rPr>
          <w:rFonts w:hint="eastAsia"/>
          <w:bCs/>
        </w:rPr>
        <w:t>投标文件递交截止时间：</w:t>
      </w:r>
      <w:r>
        <w:rPr>
          <w:rFonts w:hint="eastAsia"/>
          <w:bCs/>
          <w:highlight w:val="yellow"/>
        </w:rPr>
        <w:t>2025年12月2</w:t>
      </w:r>
      <w:r>
        <w:rPr>
          <w:rFonts w:hint="eastAsia"/>
          <w:bCs/>
          <w:highlight w:val="yellow"/>
          <w:lang w:val="en-US" w:eastAsia="zh-CN"/>
        </w:rPr>
        <w:t>9</w:t>
      </w:r>
      <w:r>
        <w:rPr>
          <w:rFonts w:hint="eastAsia"/>
          <w:bCs/>
          <w:highlight w:val="yellow"/>
        </w:rPr>
        <w:t>日9:00:00</w:t>
      </w:r>
    </w:p>
    <w:p w14:paraId="6512584C">
      <w:pPr>
        <w:pStyle w:val="72"/>
      </w:pPr>
      <w:bookmarkStart w:id="10" w:name="_Toc47976601"/>
      <w:r>
        <w:rPr>
          <w:rFonts w:hint="eastAsia"/>
        </w:rPr>
        <w:t>投标保证金收取、缴纳有效期及罚没</w:t>
      </w:r>
    </w:p>
    <w:p w14:paraId="0BD240C4">
      <w:pPr>
        <w:pStyle w:val="72"/>
        <w:numPr>
          <w:ilvl w:val="0"/>
          <w:numId w:val="21"/>
        </w:numPr>
        <w:rPr>
          <w:rFonts w:hint="eastAsia" w:ascii="宋体" w:hAnsi="宋体" w:eastAsia="宋体" w:cs="宋体"/>
          <w:b w:val="0"/>
          <w:bCs w:val="0"/>
          <w:sz w:val="21"/>
          <w:szCs w:val="21"/>
          <w:u w:val="single"/>
        </w:rPr>
      </w:pPr>
      <w:r>
        <w:rPr>
          <w:rFonts w:hint="eastAsia" w:ascii="宋体" w:hAnsi="宋体" w:eastAsia="宋体" w:cs="宋体"/>
          <w:b w:val="0"/>
          <w:bCs w:val="0"/>
          <w:sz w:val="21"/>
          <w:szCs w:val="21"/>
        </w:rPr>
        <w:t>投标保证金的缴纳</w:t>
      </w:r>
    </w:p>
    <w:p w14:paraId="1C0B5AEC">
      <w:pPr>
        <w:pStyle w:val="72"/>
        <w:numPr>
          <w:ilvl w:val="0"/>
          <w:numId w:val="22"/>
        </w:numPr>
        <w:rPr>
          <w:rFonts w:hint="eastAsia" w:ascii="宋体" w:hAnsi="宋体" w:eastAsia="宋体" w:cs="宋体"/>
          <w:b w:val="0"/>
          <w:bCs w:val="0"/>
          <w:sz w:val="21"/>
          <w:szCs w:val="21"/>
          <w:u w:val="single"/>
        </w:rPr>
      </w:pPr>
      <w:r>
        <w:rPr>
          <w:rFonts w:hint="eastAsia" w:ascii="宋体" w:hAnsi="宋体" w:eastAsia="宋体" w:cs="宋体"/>
          <w:b w:val="0"/>
          <w:bCs w:val="0"/>
          <w:sz w:val="21"/>
          <w:szCs w:val="21"/>
        </w:rPr>
        <w:t>投标保证金的缴纳形式：</w:t>
      </w:r>
      <w:r>
        <w:rPr>
          <w:rFonts w:hint="eastAsia" w:ascii="宋体" w:hAnsi="宋体" w:eastAsia="宋体" w:cs="宋体"/>
          <w:b w:val="0"/>
          <w:bCs w:val="0"/>
          <w:sz w:val="21"/>
          <w:szCs w:val="21"/>
          <w:u w:val="single"/>
        </w:rPr>
        <w:t>提交银行投标保函或从银行基本账户转账</w:t>
      </w:r>
    </w:p>
    <w:p w14:paraId="7AABE0A7">
      <w:pPr>
        <w:pStyle w:val="72"/>
        <w:numPr>
          <w:ilvl w:val="0"/>
          <w:numId w:val="22"/>
        </w:numPr>
        <w:rPr>
          <w:rFonts w:hint="eastAsia" w:ascii="宋体" w:hAnsi="宋体" w:eastAsia="宋体" w:cs="宋体"/>
          <w:b w:val="0"/>
          <w:bCs w:val="0"/>
          <w:sz w:val="21"/>
          <w:szCs w:val="21"/>
          <w:highlight w:val="yellow"/>
          <w:u w:val="single"/>
        </w:rPr>
      </w:pPr>
      <w:r>
        <w:rPr>
          <w:rFonts w:hint="eastAsia" w:ascii="宋体" w:hAnsi="宋体" w:eastAsia="宋体" w:cs="宋体"/>
          <w:b w:val="0"/>
          <w:bCs w:val="0"/>
          <w:sz w:val="21"/>
          <w:szCs w:val="21"/>
        </w:rPr>
        <w:t>投标保证金的金额：人民币</w:t>
      </w:r>
      <w:r>
        <w:rPr>
          <w:rFonts w:hint="eastAsia" w:ascii="宋体" w:hAnsi="宋体" w:eastAsia="宋体" w:cs="宋体"/>
          <w:b w:val="0"/>
          <w:bCs w:val="0"/>
          <w:sz w:val="21"/>
          <w:szCs w:val="21"/>
          <w:highlight w:val="yellow"/>
          <w:u w:val="single"/>
        </w:rPr>
        <w:t xml:space="preserve"> 5000 </w:t>
      </w:r>
      <w:r>
        <w:rPr>
          <w:rFonts w:hint="eastAsia" w:ascii="宋体" w:hAnsi="宋体" w:eastAsia="宋体" w:cs="宋体"/>
          <w:b w:val="0"/>
          <w:bCs w:val="0"/>
          <w:sz w:val="21"/>
          <w:szCs w:val="21"/>
        </w:rPr>
        <w:t>元</w:t>
      </w:r>
    </w:p>
    <w:p w14:paraId="2ED66D77">
      <w:pPr>
        <w:pStyle w:val="72"/>
        <w:numPr>
          <w:ilvl w:val="0"/>
          <w:numId w:val="0"/>
        </w:numPr>
        <w:rPr>
          <w:rFonts w:hint="eastAsia" w:ascii="宋体" w:hAnsi="宋体" w:eastAsia="宋体" w:cs="宋体"/>
          <w:b w:val="0"/>
          <w:bCs w:val="0"/>
          <w:sz w:val="21"/>
          <w:szCs w:val="21"/>
          <w:highlight w:val="yellow"/>
          <w:u w:val="single"/>
        </w:rPr>
      </w:pPr>
      <w:r>
        <w:rPr>
          <w:rFonts w:ascii="宋体" w:hAnsi="宋体" w:eastAsia="宋体" w:cs="宋体"/>
          <w:sz w:val="24"/>
          <w:szCs w:val="24"/>
        </w:rPr>
        <w:t>开户银行：中国银行章丘支行</w:t>
      </w:r>
      <w:r>
        <w:rPr>
          <w:rFonts w:ascii="宋体" w:hAnsi="宋体" w:eastAsia="宋体" w:cs="宋体"/>
          <w:sz w:val="24"/>
          <w:szCs w:val="24"/>
        </w:rPr>
        <w:br w:type="textWrapping"/>
      </w:r>
      <w:r>
        <w:rPr>
          <w:rFonts w:ascii="宋体" w:hAnsi="宋体" w:eastAsia="宋体" w:cs="宋体"/>
          <w:sz w:val="24"/>
          <w:szCs w:val="24"/>
        </w:rPr>
        <w:t>户名：中国重汽集团济南动力有限公司发动机厂</w:t>
      </w:r>
      <w:r>
        <w:rPr>
          <w:rFonts w:ascii="宋体" w:hAnsi="宋体" w:eastAsia="宋体" w:cs="宋体"/>
          <w:sz w:val="24"/>
          <w:szCs w:val="24"/>
        </w:rPr>
        <w:br w:type="textWrapping"/>
      </w:r>
      <w:r>
        <w:rPr>
          <w:rFonts w:ascii="宋体" w:hAnsi="宋体" w:eastAsia="宋体" w:cs="宋体"/>
          <w:sz w:val="24"/>
          <w:szCs w:val="24"/>
        </w:rPr>
        <w:t>账号：2234 0557 4478</w:t>
      </w:r>
    </w:p>
    <w:p w14:paraId="73323F60">
      <w:pPr>
        <w:pStyle w:val="75"/>
        <w:numPr>
          <w:ilvl w:val="0"/>
          <w:numId w:val="18"/>
        </w:numPr>
        <w:ind w:left="10" w:firstLine="0"/>
        <w:rPr>
          <w:bCs/>
        </w:rPr>
      </w:pPr>
      <w:r>
        <w:rPr>
          <w:rFonts w:hint="eastAsia"/>
          <w:bCs/>
        </w:rPr>
        <w:t>转账附言：公司名称+项目名称+投标保证金。</w:t>
      </w:r>
    </w:p>
    <w:p w14:paraId="69B63B36">
      <w:pPr>
        <w:pStyle w:val="72"/>
        <w:numPr>
          <w:ilvl w:val="0"/>
          <w:numId w:val="0"/>
        </w:numPr>
        <w:ind w:left="425" w:hanging="425"/>
        <w:rPr>
          <w:rFonts w:hint="eastAsia" w:ascii="宋体" w:hAnsi="宋体" w:eastAsia="宋体" w:cs="宋体"/>
          <w:b w:val="0"/>
          <w:bCs w:val="0"/>
          <w:sz w:val="21"/>
          <w:szCs w:val="21"/>
        </w:rPr>
      </w:pPr>
      <w:r>
        <w:rPr>
          <w:rFonts w:ascii="宋体" w:hAnsi="宋体" w:eastAsia="宋体" w:cs="宋体"/>
          <w:b w:val="0"/>
          <w:bCs w:val="0"/>
          <w:sz w:val="21"/>
          <w:szCs w:val="21"/>
        </w:rPr>
        <w:t>(</w:t>
      </w:r>
      <w:r>
        <w:rPr>
          <w:rFonts w:hint="eastAsia" w:ascii="宋体" w:hAnsi="宋体" w:eastAsia="宋体" w:cs="宋体"/>
          <w:b w:val="0"/>
          <w:bCs w:val="0"/>
          <w:sz w:val="21"/>
          <w:szCs w:val="21"/>
        </w:rPr>
        <w:t>4</w:t>
      </w:r>
      <w:r>
        <w:rPr>
          <w:rFonts w:ascii="宋体" w:hAnsi="宋体" w:eastAsia="宋体" w:cs="宋体"/>
          <w:b w:val="0"/>
          <w:bCs w:val="0"/>
          <w:sz w:val="21"/>
          <w:szCs w:val="21"/>
        </w:rPr>
        <w:t>)</w:t>
      </w:r>
      <w:r>
        <w:rPr>
          <w:rFonts w:hint="eastAsia" w:ascii="宋体" w:hAnsi="宋体" w:eastAsia="宋体" w:cs="宋体"/>
          <w:b w:val="0"/>
          <w:bCs w:val="0"/>
          <w:sz w:val="21"/>
          <w:szCs w:val="21"/>
        </w:rPr>
        <w:t>保证金缴纳截止时间：</w:t>
      </w:r>
      <w:r>
        <w:rPr>
          <w:rFonts w:hint="eastAsia" w:ascii="宋体" w:hAnsi="宋体" w:eastAsia="宋体" w:cs="宋体"/>
          <w:b w:val="0"/>
          <w:bCs w:val="0"/>
          <w:sz w:val="21"/>
          <w:szCs w:val="21"/>
          <w:highlight w:val="yellow"/>
        </w:rPr>
        <w:t>2025年12月2</w:t>
      </w:r>
      <w:r>
        <w:rPr>
          <w:rFonts w:hint="eastAsia" w:ascii="宋体" w:hAnsi="宋体" w:eastAsia="宋体" w:cs="宋体"/>
          <w:b w:val="0"/>
          <w:bCs w:val="0"/>
          <w:sz w:val="21"/>
          <w:szCs w:val="21"/>
          <w:highlight w:val="yellow"/>
          <w:lang w:val="en-US" w:eastAsia="zh-CN"/>
        </w:rPr>
        <w:t>9</w:t>
      </w:r>
      <w:r>
        <w:rPr>
          <w:rFonts w:hint="eastAsia" w:ascii="宋体" w:hAnsi="宋体" w:eastAsia="宋体" w:cs="宋体"/>
          <w:b w:val="0"/>
          <w:bCs w:val="0"/>
          <w:sz w:val="21"/>
          <w:szCs w:val="21"/>
          <w:highlight w:val="yellow"/>
        </w:rPr>
        <w:t>日9：00</w:t>
      </w:r>
      <w:r>
        <w:rPr>
          <w:rFonts w:hint="eastAsia" w:ascii="宋体" w:hAnsi="宋体" w:eastAsia="宋体" w:cs="宋体"/>
          <w:b w:val="0"/>
          <w:bCs w:val="0"/>
          <w:sz w:val="21"/>
          <w:szCs w:val="21"/>
        </w:rPr>
        <w:t>前（同投标文件递交截止时间）</w:t>
      </w:r>
    </w:p>
    <w:p w14:paraId="0F0A71D8">
      <w:pPr>
        <w:pStyle w:val="72"/>
        <w:numPr>
          <w:ilvl w:val="0"/>
          <w:numId w:val="21"/>
        </w:numPr>
        <w:ind w:left="0" w:firstLine="0"/>
        <w:rPr>
          <w:rFonts w:hint="eastAsia" w:ascii="宋体" w:hAnsi="宋体" w:eastAsia="宋体" w:cs="宋体"/>
          <w:b w:val="0"/>
          <w:bCs w:val="0"/>
          <w:sz w:val="21"/>
          <w:szCs w:val="21"/>
        </w:rPr>
      </w:pPr>
      <w:r>
        <w:rPr>
          <w:rFonts w:hint="eastAsia" w:ascii="宋体" w:hAnsi="宋体" w:eastAsia="宋体" w:cs="宋体"/>
          <w:b w:val="0"/>
          <w:bCs w:val="0"/>
          <w:sz w:val="21"/>
          <w:szCs w:val="21"/>
        </w:rPr>
        <w:t>选择提交银行投标保函的拟投标人，应在开标时提交投标保函正本，作为《投标文件》的一部分，该投标保函应是不可撤销的“见索即付”保函，保函有效期应满足投标有效期要求，由招标人留存保函正本。</w:t>
      </w:r>
    </w:p>
    <w:p w14:paraId="1EBE1C2D">
      <w:pPr>
        <w:pStyle w:val="72"/>
        <w:numPr>
          <w:ilvl w:val="0"/>
          <w:numId w:val="21"/>
        </w:numPr>
        <w:ind w:left="0" w:firstLine="0"/>
        <w:rPr>
          <w:rFonts w:hint="eastAsia" w:ascii="宋体" w:hAnsi="宋体" w:eastAsia="仿宋_GB2312" w:cs="宋体"/>
          <w:b w:val="0"/>
          <w:bCs w:val="0"/>
          <w:sz w:val="24"/>
          <w:szCs w:val="24"/>
        </w:rPr>
      </w:pPr>
      <w:r>
        <w:rPr>
          <w:rFonts w:hint="eastAsia" w:ascii="宋体" w:hAnsi="宋体" w:eastAsia="宋体" w:cs="宋体"/>
          <w:b w:val="0"/>
          <w:bCs w:val="0"/>
          <w:sz w:val="21"/>
          <w:szCs w:val="21"/>
        </w:rPr>
        <w:t>选择从银行基本账户转账的拟投标人，须在规定的时间之前将投标保证金从其单位基本帐户转出并到账，否则视为无效投标；未按规定提交保证金的拟投标人，其投标文件视为无效投标。拟投标人应充分考虑银行信息交换时间，由此带来的保证金不能按时到帐的责任由拟投标人自行承担。</w:t>
      </w:r>
    </w:p>
    <w:p w14:paraId="7E4BA05E">
      <w:pPr>
        <w:pStyle w:val="72"/>
        <w:numPr>
          <w:ilvl w:val="0"/>
          <w:numId w:val="21"/>
        </w:numPr>
        <w:ind w:left="0" w:firstLine="0"/>
        <w:rPr>
          <w:rFonts w:hint="eastAsia" w:ascii="宋体" w:hAnsi="宋体" w:eastAsia="仿宋_GB2312" w:cs="宋体"/>
          <w:b w:val="0"/>
          <w:bCs w:val="0"/>
          <w:sz w:val="24"/>
          <w:szCs w:val="24"/>
        </w:rPr>
      </w:pPr>
      <w:r>
        <w:rPr>
          <w:rFonts w:hint="eastAsia" w:ascii="宋体" w:hAnsi="宋体" w:eastAsia="宋体" w:cs="宋体"/>
          <w:b w:val="0"/>
          <w:bCs w:val="0"/>
          <w:sz w:val="21"/>
          <w:szCs w:val="21"/>
        </w:rPr>
        <w:t>对于没有中标的投标人，投标保证金将于招标人内部完成中标人评审并确认最终中标人后在</w:t>
      </w:r>
      <w:r>
        <w:rPr>
          <w:rFonts w:hint="eastAsia" w:ascii="宋体" w:hAnsi="宋体" w:eastAsia="宋体" w:cs="宋体"/>
          <w:b w:val="0"/>
          <w:bCs w:val="0"/>
          <w:sz w:val="21"/>
          <w:szCs w:val="21"/>
          <w:highlight w:val="yellow"/>
          <w:u w:val="single"/>
        </w:rPr>
        <w:t>一个付款周期</w:t>
      </w:r>
      <w:r>
        <w:rPr>
          <w:rFonts w:hint="eastAsia" w:ascii="宋体" w:hAnsi="宋体" w:eastAsia="宋体" w:cs="宋体"/>
          <w:b w:val="0"/>
          <w:bCs w:val="0"/>
          <w:sz w:val="21"/>
          <w:szCs w:val="21"/>
        </w:rPr>
        <w:t>内予以原路返还（无息）；对于中标方，投标保证金将在签订合同后</w:t>
      </w:r>
      <w:r>
        <w:rPr>
          <w:rFonts w:hint="eastAsia" w:ascii="宋体" w:hAnsi="宋体" w:eastAsia="宋体" w:cs="宋体"/>
          <w:b w:val="0"/>
          <w:bCs w:val="0"/>
          <w:sz w:val="21"/>
          <w:szCs w:val="21"/>
          <w:highlight w:val="yellow"/>
          <w:u w:val="single"/>
        </w:rPr>
        <w:t>一个付款周期</w:t>
      </w:r>
      <w:r>
        <w:rPr>
          <w:rFonts w:hint="eastAsia" w:ascii="宋体" w:hAnsi="宋体" w:eastAsia="宋体" w:cs="宋体"/>
          <w:b w:val="0"/>
          <w:bCs w:val="0"/>
          <w:sz w:val="21"/>
          <w:szCs w:val="21"/>
        </w:rPr>
        <w:t>内原路返还（无息）。</w:t>
      </w:r>
    </w:p>
    <w:p w14:paraId="365434EE">
      <w:pPr>
        <w:pStyle w:val="72"/>
        <w:numPr>
          <w:ilvl w:val="0"/>
          <w:numId w:val="21"/>
        </w:numPr>
        <w:ind w:left="0" w:firstLine="0"/>
        <w:rPr>
          <w:rFonts w:hint="eastAsia" w:ascii="宋体" w:hAnsi="宋体" w:eastAsia="仿宋_GB2312" w:cs="宋体"/>
          <w:b w:val="0"/>
          <w:bCs w:val="0"/>
          <w:sz w:val="24"/>
          <w:szCs w:val="24"/>
        </w:rPr>
      </w:pPr>
      <w:r>
        <w:rPr>
          <w:rFonts w:hint="eastAsia" w:ascii="宋体" w:hAnsi="宋体" w:eastAsia="宋体" w:cs="宋体"/>
          <w:b w:val="0"/>
          <w:bCs w:val="0"/>
          <w:sz w:val="21"/>
          <w:szCs w:val="21"/>
        </w:rPr>
        <w:t>发生以下情况时，有权没收保证金：</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①供应商在提交响应文件截止时间后撤回响应文件的；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②供应商在响应文件中提供虚假材料的；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③除因不可抗力或谈判文件、询价通知书认可的情形以外，成交供应商不与采购人签订合同的；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④供应商与采购人、其他供应商或者采购代理机构恶意串通、围标、陪标的；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⑥截至开标前3天，投标人无正当理由、未以书面形式向招标人递交说明而在投标截止日不来投标的。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⑦自中标通知书发出之日起30日内，中标人无正当理由投标人无正当签订合同的；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⑧采购文件规定的其他情形。</w:t>
      </w:r>
    </w:p>
    <w:bookmarkEnd w:id="10"/>
    <w:p w14:paraId="577F4ED3">
      <w:pPr>
        <w:pStyle w:val="72"/>
      </w:pPr>
      <w:r>
        <w:rPr>
          <w:rFonts w:hint="eastAsia"/>
        </w:rPr>
        <w:t>开评标</w:t>
      </w:r>
    </w:p>
    <w:p w14:paraId="49FFCF9D">
      <w:pPr>
        <w:pStyle w:val="72"/>
        <w:numPr>
          <w:ilvl w:val="0"/>
          <w:numId w:val="23"/>
        </w:numPr>
        <w:ind w:firstLine="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开标时间：2025年12月2</w:t>
      </w:r>
      <w:r>
        <w:rPr>
          <w:rFonts w:hint="eastAsia" w:ascii="宋体" w:hAnsi="宋体" w:eastAsia="宋体" w:cs="宋体"/>
          <w:b w:val="0"/>
          <w:bCs w:val="0"/>
          <w:sz w:val="21"/>
          <w:szCs w:val="21"/>
          <w:highlight w:val="yellow"/>
          <w:lang w:val="en-US" w:eastAsia="zh-CN"/>
        </w:rPr>
        <w:t>9</w:t>
      </w:r>
      <w:r>
        <w:rPr>
          <w:rFonts w:hint="eastAsia" w:ascii="宋体" w:hAnsi="宋体" w:eastAsia="宋体" w:cs="宋体"/>
          <w:b w:val="0"/>
          <w:bCs w:val="0"/>
          <w:sz w:val="21"/>
          <w:szCs w:val="21"/>
          <w:highlight w:val="yellow"/>
        </w:rPr>
        <w:t>日9:00:00</w:t>
      </w:r>
      <w:r>
        <w:rPr>
          <w:rFonts w:hint="eastAsia" w:ascii="宋体" w:hAnsi="宋体" w:eastAsia="宋体" w:cs="宋体"/>
          <w:sz w:val="21"/>
          <w:szCs w:val="21"/>
          <w:highlight w:val="yellow"/>
          <w:lang w:eastAsia="zh-CN"/>
        </w:rPr>
        <w:t>（</w:t>
      </w:r>
      <w:r>
        <w:rPr>
          <w:rFonts w:hint="eastAsia" w:ascii="宋体" w:hAnsi="宋体" w:eastAsia="宋体" w:cs="宋体"/>
          <w:sz w:val="21"/>
          <w:szCs w:val="21"/>
          <w:highlight w:val="yellow"/>
          <w:lang w:val="en-US" w:eastAsia="zh-CN"/>
        </w:rPr>
        <w:t>暂定，以实际通知为准）</w:t>
      </w:r>
      <w:bookmarkStart w:id="32" w:name="_GoBack"/>
      <w:bookmarkEnd w:id="32"/>
    </w:p>
    <w:p w14:paraId="75CCA781">
      <w:pPr>
        <w:pStyle w:val="72"/>
        <w:numPr>
          <w:ilvl w:val="0"/>
          <w:numId w:val="23"/>
        </w:numPr>
        <w:ind w:firstLine="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开标地点：济南市历城区华奥路777号重汽科技大厦</w:t>
      </w:r>
    </w:p>
    <w:p w14:paraId="4742E82A">
      <w:pPr>
        <w:pStyle w:val="72"/>
        <w:numPr>
          <w:ilvl w:val="0"/>
          <w:numId w:val="23"/>
        </w:numPr>
        <w:ind w:firstLine="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开标方式：</w:t>
      </w:r>
    </w:p>
    <w:p w14:paraId="6CD1671A">
      <w:pPr>
        <w:pStyle w:val="72"/>
        <w:numPr>
          <w:ilvl w:val="0"/>
          <w:numId w:val="24"/>
        </w:numPr>
        <w:ind w:left="11" w:firstLine="0"/>
        <w:rPr>
          <w:rFonts w:hint="eastAsia" w:ascii="宋体" w:hAnsi="宋体" w:eastAsia="宋体" w:cs="宋体"/>
          <w:color w:val="000000"/>
          <w:sz w:val="21"/>
          <w:szCs w:val="21"/>
        </w:rPr>
      </w:pPr>
      <w:r>
        <w:rPr>
          <w:rFonts w:hint="eastAsia" w:ascii="宋体" w:eastAsia="宋体"/>
          <w:b w:val="0"/>
          <w:sz w:val="21"/>
        </w:rPr>
        <w:t>线上招标：</w:t>
      </w:r>
      <w:r>
        <w:rPr>
          <w:rFonts w:hint="eastAsia" w:ascii="宋体" w:hAnsi="宋体" w:eastAsia="宋体" w:cs="宋体"/>
          <w:b w:val="0"/>
          <w:bCs w:val="0"/>
          <w:sz w:val="21"/>
          <w:szCs w:val="21"/>
        </w:rPr>
        <w:t>因招标人原因，允许各投标方通过视频会议等形式线上招标，所需过程资料均通过e采通进行提报，由</w:t>
      </w:r>
      <w:r>
        <w:rPr>
          <w:rFonts w:hint="eastAsia" w:ascii="宋体" w:hAnsi="宋体" w:eastAsia="宋体" w:cs="宋体"/>
          <w:color w:val="000000"/>
          <w:sz w:val="21"/>
          <w:szCs w:val="21"/>
        </w:rPr>
        <w:t>招标人创建视频链接，并在报名结束后统一通知。</w:t>
      </w:r>
    </w:p>
    <w:p w14:paraId="386D341A">
      <w:pPr>
        <w:pStyle w:val="72"/>
        <w:numPr>
          <w:ilvl w:val="0"/>
          <w:numId w:val="23"/>
        </w:numPr>
        <w:ind w:firstLine="0"/>
        <w:rPr>
          <w:rFonts w:hint="eastAsia" w:ascii="宋体" w:hAnsi="宋体" w:eastAsia="宋体" w:cs="宋体"/>
          <w:b w:val="0"/>
          <w:bCs w:val="0"/>
          <w:sz w:val="21"/>
          <w:szCs w:val="21"/>
        </w:rPr>
      </w:pPr>
      <w:r>
        <w:rPr>
          <w:rFonts w:hint="eastAsia" w:ascii="宋体" w:hAnsi="宋体" w:eastAsia="宋体" w:cs="宋体"/>
          <w:b w:val="0"/>
          <w:bCs w:val="0"/>
          <w:sz w:val="21"/>
          <w:szCs w:val="21"/>
        </w:rPr>
        <w:t>评标</w:t>
      </w:r>
    </w:p>
    <w:p w14:paraId="50749366">
      <w:pPr>
        <w:pStyle w:val="72"/>
        <w:numPr>
          <w:ilvl w:val="0"/>
          <w:numId w:val="25"/>
        </w:numPr>
        <w:ind w:left="0" w:firstLine="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评标方法</w:t>
      </w:r>
    </w:p>
    <w:p w14:paraId="2347949C">
      <w:pPr>
        <w:pStyle w:val="75"/>
        <w:numPr>
          <w:ilvl w:val="0"/>
          <w:numId w:val="18"/>
        </w:numPr>
        <w:ind w:left="10" w:firstLine="0"/>
        <w:rPr>
          <w:bCs/>
        </w:rPr>
      </w:pPr>
      <w:r>
        <w:rPr>
          <w:rFonts w:hint="eastAsia"/>
          <w:bCs/>
        </w:rPr>
        <w:t>评标方法（合理最低价中标）</w:t>
      </w:r>
    </w:p>
    <w:p w14:paraId="0C1CF560">
      <w:pPr>
        <w:pStyle w:val="72"/>
        <w:numPr>
          <w:ilvl w:val="0"/>
          <w:numId w:val="0"/>
        </w:numPr>
        <w:rPr>
          <w:rFonts w:hint="eastAsia" w:ascii="宋体" w:hAnsi="宋体" w:eastAsia="宋体" w:cs="宋体"/>
          <w:b w:val="0"/>
          <w:bCs w:val="0"/>
          <w:sz w:val="21"/>
          <w:szCs w:val="21"/>
        </w:rPr>
      </w:pPr>
      <w:r>
        <w:rPr>
          <w:rFonts w:hint="eastAsia" w:ascii="宋体" w:hAnsi="宋体" w:eastAsia="宋体" w:cs="宋体"/>
          <w:b w:val="0"/>
          <w:bCs w:val="0"/>
          <w:sz w:val="21"/>
          <w:szCs w:val="21"/>
        </w:rPr>
        <w:t>本次招标采用技术标入围后，原则上合理最低价中标。本着公平、公正、公开的原则，在通过技术标综合评审后入围的前提下，选择合理最低价确定中标人，对未中标单位不做任何解释。</w:t>
      </w:r>
    </w:p>
    <w:p w14:paraId="4DFE090A">
      <w:pPr>
        <w:pStyle w:val="72"/>
        <w:numPr>
          <w:ilvl w:val="0"/>
          <w:numId w:val="25"/>
        </w:numPr>
        <w:ind w:left="0" w:firstLine="0"/>
        <w:rPr>
          <w:rFonts w:hint="eastAsia" w:ascii="宋体" w:hAnsi="宋体" w:eastAsia="宋体" w:cs="宋体"/>
          <w:b w:val="0"/>
          <w:bCs w:val="0"/>
          <w:sz w:val="21"/>
          <w:szCs w:val="21"/>
        </w:rPr>
      </w:pPr>
      <w:r>
        <w:rPr>
          <w:rFonts w:hint="eastAsia" w:ascii="宋体" w:hAnsi="宋体" w:eastAsia="宋体" w:cs="宋体"/>
          <w:b w:val="0"/>
          <w:bCs w:val="0"/>
          <w:sz w:val="21"/>
          <w:szCs w:val="21"/>
        </w:rPr>
        <w:t>评标流程</w:t>
      </w:r>
    </w:p>
    <w:p w14:paraId="25ADA212">
      <w:pPr>
        <w:numPr>
          <w:ilvl w:val="0"/>
          <w:numId w:val="26"/>
        </w:numPr>
        <w:spacing w:line="360" w:lineRule="auto"/>
        <w:rPr>
          <w:rFonts w:hint="eastAsia" w:ascii="宋体" w:hAnsi="宋体" w:cs="宋体"/>
          <w:b/>
          <w:color w:val="000000"/>
          <w:szCs w:val="21"/>
        </w:rPr>
      </w:pPr>
      <w:r>
        <w:rPr>
          <w:rFonts w:hint="eastAsia" w:ascii="宋体" w:hAnsi="宋体" w:cs="宋体"/>
          <w:b/>
          <w:color w:val="000000"/>
          <w:szCs w:val="21"/>
        </w:rPr>
        <w:t>应标资格审查：在“中国重汽e采通”应标报名时，</w:t>
      </w:r>
      <w:r>
        <w:rPr>
          <w:rFonts w:hint="eastAsia" w:ascii="宋体" w:hAnsi="宋体" w:cs="宋体"/>
          <w:b/>
          <w:bCs/>
          <w:color w:val="000000"/>
          <w:szCs w:val="21"/>
        </w:rPr>
        <w:t>按照第一部分第四条投标文件编制资格证明文件中的1.1-1.11准备资料，上传完毕后，等待审核</w:t>
      </w:r>
      <w:r>
        <w:rPr>
          <w:rFonts w:hint="eastAsia" w:ascii="宋体" w:hAnsi="宋体" w:cs="宋体"/>
          <w:b/>
          <w:color w:val="000000"/>
          <w:szCs w:val="21"/>
        </w:rPr>
        <w:t>；</w:t>
      </w:r>
      <w:r>
        <w:rPr>
          <w:rFonts w:hint="eastAsia" w:ascii="宋体" w:hAnsi="宋体" w:cs="宋体"/>
          <w:b/>
          <w:color w:val="000000"/>
          <w:szCs w:val="21"/>
          <w:highlight w:val="yellow"/>
        </w:rPr>
        <w:t>供应商需在系统上完成财务数据的填写，如因未在系统上提供财务数据，导致应标不通过，所造成的后果由供应商自行承担。</w:t>
      </w:r>
    </w:p>
    <w:p w14:paraId="112F536D">
      <w:pPr>
        <w:numPr>
          <w:ilvl w:val="0"/>
          <w:numId w:val="26"/>
        </w:numPr>
        <w:spacing w:line="360" w:lineRule="auto"/>
        <w:rPr>
          <w:rFonts w:hint="eastAsia" w:ascii="宋体" w:hAnsi="宋体" w:cs="宋体"/>
          <w:b/>
          <w:bCs/>
          <w:color w:val="000000"/>
          <w:szCs w:val="21"/>
        </w:rPr>
      </w:pPr>
      <w:r>
        <w:rPr>
          <w:rFonts w:hint="eastAsia" w:ascii="宋体" w:hAnsi="宋体" w:cs="宋体"/>
          <w:b/>
          <w:bCs/>
          <w:color w:val="000000"/>
          <w:szCs w:val="21"/>
        </w:rPr>
        <w:t>通过应标资格审查的单位进入投标环节，按照“SRM系统供应商用户手册”，在重汽e采通平台投递电子标书（包含资质标、技术标、商务标）；没有通过应标资质审查的单位不能进入投标环节；</w:t>
      </w:r>
    </w:p>
    <w:p w14:paraId="5FA029A1">
      <w:pPr>
        <w:numPr>
          <w:ilvl w:val="0"/>
          <w:numId w:val="26"/>
        </w:numPr>
        <w:spacing w:line="360" w:lineRule="auto"/>
        <w:rPr>
          <w:rFonts w:hint="eastAsia" w:ascii="宋体" w:hAnsi="宋体" w:cs="宋体"/>
          <w:b/>
          <w:bCs/>
          <w:color w:val="000000"/>
          <w:szCs w:val="21"/>
        </w:rPr>
      </w:pPr>
      <w:r>
        <w:rPr>
          <w:rFonts w:hint="eastAsia" w:ascii="宋体" w:hAnsi="宋体" w:cs="宋体"/>
          <w:b/>
          <w:bCs/>
          <w:color w:val="000000"/>
          <w:szCs w:val="21"/>
        </w:rPr>
        <w:t>资质标评审：资质标审核通过的单位，可以进入公开唱标环节；</w:t>
      </w:r>
    </w:p>
    <w:p w14:paraId="1E69E5B3">
      <w:pPr>
        <w:numPr>
          <w:ilvl w:val="0"/>
          <w:numId w:val="26"/>
        </w:numPr>
        <w:spacing w:line="360" w:lineRule="auto"/>
        <w:rPr>
          <w:rFonts w:hint="eastAsia" w:ascii="宋体" w:hAnsi="宋体" w:cs="宋体"/>
          <w:b/>
          <w:bCs/>
          <w:color w:val="000000"/>
          <w:szCs w:val="21"/>
        </w:rPr>
      </w:pPr>
      <w:r>
        <w:rPr>
          <w:rFonts w:hint="eastAsia" w:ascii="宋体" w:hAnsi="宋体" w:cs="宋体"/>
          <w:b/>
          <w:bCs/>
          <w:color w:val="000000"/>
          <w:szCs w:val="21"/>
        </w:rPr>
        <w:t>公开唱标：公示资质标入围单位的开标价格及商务条款响应情况；</w:t>
      </w:r>
    </w:p>
    <w:p w14:paraId="5F9DC031">
      <w:pPr>
        <w:numPr>
          <w:ilvl w:val="0"/>
          <w:numId w:val="26"/>
        </w:numPr>
        <w:spacing w:line="360" w:lineRule="auto"/>
        <w:rPr>
          <w:rFonts w:hint="eastAsia" w:ascii="宋体" w:hAnsi="宋体" w:cs="宋体"/>
          <w:b/>
          <w:bCs/>
          <w:color w:val="000000"/>
          <w:szCs w:val="21"/>
        </w:rPr>
      </w:pPr>
      <w:r>
        <w:rPr>
          <w:rFonts w:hint="eastAsia" w:ascii="宋体" w:hAnsi="宋体" w:cs="宋体"/>
          <w:b/>
          <w:bCs/>
          <w:color w:val="000000"/>
          <w:szCs w:val="21"/>
        </w:rPr>
        <w:t>商务标评审：商务条款相应确认→价格澄清→商务标评审；评审期间产生的商务价格澄清均由投标人在重汽e采通平台限时内完成提交；</w:t>
      </w:r>
    </w:p>
    <w:p w14:paraId="41E31289">
      <w:pPr>
        <w:pStyle w:val="75"/>
        <w:numPr>
          <w:ilvl w:val="0"/>
          <w:numId w:val="18"/>
        </w:numPr>
        <w:ind w:left="10" w:firstLine="0"/>
        <w:rPr>
          <w:b/>
        </w:rPr>
      </w:pPr>
      <w:r>
        <w:rPr>
          <w:rFonts w:hint="eastAsia"/>
          <w:b/>
        </w:rPr>
        <w:t>注意：投标人均需要自带笔记本电脑在重汽e采通进行自主投标和提交澄清函；投标和提交澄清函均有时间限制，超时未提交的按无效处理。</w:t>
      </w:r>
    </w:p>
    <w:p w14:paraId="3F4AD97A">
      <w:pPr>
        <w:pStyle w:val="72"/>
        <w:numPr>
          <w:ilvl w:val="0"/>
          <w:numId w:val="0"/>
        </w:numPr>
        <w:rPr>
          <w:rFonts w:hint="eastAsia" w:ascii="宋体" w:hAnsi="宋体" w:eastAsia="宋体" w:cs="宋体"/>
          <w:b w:val="0"/>
          <w:bCs w:val="0"/>
          <w:sz w:val="24"/>
          <w:szCs w:val="24"/>
        </w:rPr>
      </w:pPr>
    </w:p>
    <w:p w14:paraId="3585F0A4">
      <w:pPr>
        <w:pStyle w:val="72"/>
      </w:pPr>
      <w:r>
        <w:rPr>
          <w:rFonts w:hint="eastAsia"/>
        </w:rPr>
        <w:t>定标</w:t>
      </w:r>
    </w:p>
    <w:p w14:paraId="6E6D9CD1">
      <w:pPr>
        <w:pStyle w:val="72"/>
        <w:numPr>
          <w:ilvl w:val="0"/>
          <w:numId w:val="0"/>
        </w:numPr>
        <w:rPr>
          <w:rFonts w:hint="eastAsia" w:ascii="宋体" w:hAnsi="宋体" w:eastAsia="宋体" w:cs="宋体"/>
          <w:b w:val="0"/>
          <w:bCs w:val="0"/>
          <w:sz w:val="21"/>
          <w:szCs w:val="21"/>
        </w:rPr>
      </w:pPr>
      <w:r>
        <w:rPr>
          <w:rFonts w:hint="eastAsia" w:ascii="宋体" w:hAnsi="宋体" w:eastAsia="宋体" w:cs="宋体"/>
          <w:b w:val="0"/>
          <w:bCs w:val="0"/>
          <w:sz w:val="21"/>
          <w:szCs w:val="21"/>
        </w:rPr>
        <w:t>本项目只产生</w:t>
      </w:r>
      <w:r>
        <w:rPr>
          <w:rFonts w:hint="eastAsia" w:ascii="宋体" w:hAnsi="宋体" w:eastAsia="宋体" w:cs="宋体"/>
          <w:b w:val="0"/>
          <w:bCs w:val="0"/>
          <w:sz w:val="21"/>
          <w:szCs w:val="21"/>
          <w:highlight w:val="yellow"/>
          <w:u w:val="single"/>
        </w:rPr>
        <w:t xml:space="preserve"> 1 </w:t>
      </w:r>
      <w:r>
        <w:rPr>
          <w:rFonts w:hint="eastAsia" w:ascii="宋体" w:hAnsi="宋体" w:eastAsia="宋体" w:cs="宋体"/>
          <w:b w:val="0"/>
          <w:bCs w:val="0"/>
          <w:sz w:val="21"/>
          <w:szCs w:val="21"/>
        </w:rPr>
        <w:t>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7E25E493">
      <w:pPr>
        <w:pStyle w:val="72"/>
      </w:pPr>
      <w:r>
        <w:rPr>
          <w:rFonts w:hint="eastAsia"/>
        </w:rPr>
        <w:t>废标及终止招标</w:t>
      </w:r>
    </w:p>
    <w:p w14:paraId="0EBED5EA">
      <w:pPr>
        <w:spacing w:line="360" w:lineRule="auto"/>
        <w:rPr>
          <w:rFonts w:hint="eastAsia" w:ascii="宋体" w:hAnsi="宋体" w:cs="宋体"/>
          <w:color w:val="000000"/>
          <w:szCs w:val="21"/>
        </w:rPr>
      </w:pPr>
      <w:r>
        <w:rPr>
          <w:rFonts w:ascii="宋体" w:hAnsi="宋体" w:cs="宋体"/>
          <w:color w:val="000000"/>
          <w:szCs w:val="21"/>
        </w:rPr>
        <w:t>1.</w:t>
      </w:r>
      <w:r>
        <w:rPr>
          <w:rFonts w:hint="eastAsia" w:ascii="宋体" w:hAnsi="宋体" w:cs="宋体"/>
          <w:color w:val="000000"/>
          <w:szCs w:val="21"/>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A2124E2">
      <w:pPr>
        <w:spacing w:line="360" w:lineRule="auto"/>
        <w:ind w:left="425" w:right="2" w:hanging="425"/>
        <w:rPr>
          <w:rFonts w:hint="eastAsia" w:ascii="宋体" w:hAnsi="宋体" w:cs="宋体"/>
          <w:color w:val="000000"/>
          <w:szCs w:val="21"/>
        </w:rPr>
      </w:pPr>
      <w:r>
        <w:rPr>
          <w:rFonts w:ascii="宋体" w:hAnsi="宋体" w:cs="宋体"/>
          <w:color w:val="000000"/>
          <w:szCs w:val="21"/>
        </w:rPr>
        <w:t>(1)</w:t>
      </w:r>
      <w:r>
        <w:rPr>
          <w:rFonts w:hint="eastAsia" w:ascii="宋体" w:hAnsi="宋体" w:cs="宋体"/>
          <w:color w:val="000000"/>
          <w:szCs w:val="21"/>
        </w:rPr>
        <w:t>投标人提供的有关资格、资质证明文件不合格、不真实或提供虚假投标材料；</w:t>
      </w:r>
    </w:p>
    <w:p w14:paraId="7490D8C0">
      <w:pPr>
        <w:spacing w:line="360" w:lineRule="auto"/>
        <w:ind w:left="425" w:right="2" w:hanging="425"/>
        <w:rPr>
          <w:rFonts w:hint="eastAsia" w:ascii="宋体" w:hAnsi="宋体" w:cs="宋体"/>
          <w:color w:val="000000"/>
          <w:szCs w:val="21"/>
        </w:rPr>
      </w:pPr>
      <w:r>
        <w:rPr>
          <w:rFonts w:ascii="宋体" w:hAnsi="宋体" w:cs="宋体"/>
          <w:color w:val="000000"/>
          <w:szCs w:val="21"/>
        </w:rPr>
        <w:t>(2)</w:t>
      </w:r>
      <w:r>
        <w:rPr>
          <w:rFonts w:hint="eastAsia" w:ascii="宋体" w:hAnsi="宋体" w:cs="宋体"/>
          <w:color w:val="000000"/>
          <w:szCs w:val="21"/>
        </w:rPr>
        <w:t>投标人在报价有效期内撤回投标；</w:t>
      </w:r>
    </w:p>
    <w:p w14:paraId="73D8381B">
      <w:pPr>
        <w:spacing w:line="360" w:lineRule="auto"/>
        <w:ind w:left="425" w:right="2" w:hanging="425"/>
        <w:rPr>
          <w:rFonts w:hint="eastAsia" w:ascii="宋体" w:hAnsi="宋体" w:cs="宋体"/>
          <w:color w:val="000000"/>
          <w:szCs w:val="21"/>
        </w:rPr>
      </w:pPr>
      <w:r>
        <w:rPr>
          <w:rFonts w:ascii="宋体" w:hAnsi="宋体" w:cs="宋体"/>
          <w:color w:val="000000"/>
          <w:szCs w:val="21"/>
        </w:rPr>
        <w:t>(3)</w:t>
      </w:r>
      <w:r>
        <w:rPr>
          <w:rFonts w:hint="eastAsia" w:ascii="宋体" w:hAnsi="宋体" w:cs="宋体"/>
          <w:color w:val="000000"/>
          <w:szCs w:val="21"/>
        </w:rPr>
        <w:t>在整个评标过程中，投标人有企图影响评标结果公正性的任何活动；</w:t>
      </w:r>
    </w:p>
    <w:p w14:paraId="48ED5579">
      <w:pPr>
        <w:spacing w:line="360" w:lineRule="auto"/>
        <w:ind w:left="425" w:right="2" w:hanging="425"/>
        <w:rPr>
          <w:rFonts w:hint="eastAsia" w:ascii="宋体" w:hAnsi="宋体" w:cs="宋体"/>
          <w:color w:val="000000"/>
          <w:szCs w:val="21"/>
        </w:rPr>
      </w:pPr>
      <w:r>
        <w:rPr>
          <w:rFonts w:ascii="宋体" w:hAnsi="宋体" w:cs="宋体"/>
          <w:color w:val="000000"/>
          <w:szCs w:val="21"/>
        </w:rPr>
        <w:t>(4)</w:t>
      </w:r>
      <w:r>
        <w:rPr>
          <w:rFonts w:hint="eastAsia" w:ascii="宋体" w:hAnsi="宋体" w:cs="宋体"/>
          <w:color w:val="000000"/>
          <w:szCs w:val="21"/>
        </w:rPr>
        <w:t>投标人以任何方式诋毁其他投标人；</w:t>
      </w:r>
      <w:r>
        <w:rPr>
          <w:rFonts w:ascii="宋体" w:hAnsi="宋体" w:cs="宋体"/>
          <w:color w:val="000000"/>
          <w:szCs w:val="21"/>
        </w:rPr>
        <w:t>(5)</w:t>
      </w:r>
      <w:r>
        <w:rPr>
          <w:rFonts w:hint="eastAsia" w:ascii="宋体" w:hAnsi="宋体" w:cs="宋体"/>
          <w:color w:val="000000"/>
          <w:szCs w:val="21"/>
        </w:rPr>
        <w:t>投标人串通投标；</w:t>
      </w:r>
    </w:p>
    <w:p w14:paraId="53F4F1ED">
      <w:pPr>
        <w:pStyle w:val="14"/>
        <w:spacing w:line="360" w:lineRule="auto"/>
        <w:ind w:left="425" w:hanging="425"/>
        <w:rPr>
          <w:rFonts w:hint="eastAsia" w:hAnsi="宋体" w:cs="宋体"/>
          <w:szCs w:val="21"/>
        </w:rPr>
      </w:pPr>
      <w:r>
        <w:rPr>
          <w:rFonts w:hAnsi="宋体" w:cs="宋体"/>
          <w:szCs w:val="21"/>
        </w:rPr>
        <w:t>(6)</w:t>
      </w:r>
      <w:r>
        <w:rPr>
          <w:rFonts w:hint="eastAsia" w:hAnsi="宋体" w:cs="宋体"/>
          <w:color w:val="000000"/>
          <w:szCs w:val="21"/>
        </w:rPr>
        <w:t>投标人被举报、检举，并经招标人查实无误的；</w:t>
      </w:r>
    </w:p>
    <w:p w14:paraId="76F1EB4F">
      <w:pPr>
        <w:spacing w:line="360" w:lineRule="auto"/>
        <w:ind w:left="425" w:right="2" w:hanging="425"/>
        <w:rPr>
          <w:rFonts w:hint="eastAsia" w:ascii="宋体" w:hAnsi="宋体" w:cs="宋体"/>
          <w:color w:val="000000"/>
          <w:szCs w:val="21"/>
        </w:rPr>
      </w:pPr>
      <w:r>
        <w:rPr>
          <w:rFonts w:ascii="宋体" w:hAnsi="宋体" w:cs="宋体"/>
          <w:color w:val="000000"/>
          <w:szCs w:val="21"/>
        </w:rPr>
        <w:t>(7)</w:t>
      </w:r>
      <w:r>
        <w:rPr>
          <w:rFonts w:hint="eastAsia" w:ascii="宋体" w:hAnsi="宋体" w:cs="宋体"/>
          <w:color w:val="000000"/>
          <w:szCs w:val="21"/>
        </w:rPr>
        <w:t>以他人名义投标或者以其他方式弄虚作假，骗取中标的；</w:t>
      </w:r>
    </w:p>
    <w:p w14:paraId="39DD2A37">
      <w:pPr>
        <w:spacing w:line="360" w:lineRule="auto"/>
        <w:rPr>
          <w:rFonts w:hint="eastAsia" w:ascii="宋体" w:hAnsi="宋体" w:cs="宋体"/>
          <w:szCs w:val="21"/>
        </w:rPr>
      </w:pPr>
      <w:r>
        <w:rPr>
          <w:rFonts w:ascii="宋体" w:hAnsi="宋体" w:cs="宋体"/>
          <w:szCs w:val="21"/>
        </w:rPr>
        <w:t>(8)</w:t>
      </w:r>
      <w:r>
        <w:rPr>
          <w:rFonts w:hint="eastAsia" w:ascii="宋体" w:hAnsi="宋体" w:cs="宋体"/>
          <w:szCs w:val="21"/>
        </w:rPr>
        <w:t>投标人负责人为同一人或者存在控股、管理关系的不同单位；</w:t>
      </w:r>
    </w:p>
    <w:p w14:paraId="74A944D6">
      <w:pPr>
        <w:rPr>
          <w:rFonts w:hint="eastAsia" w:ascii="宋体" w:hAnsi="宋体" w:cs="宋体"/>
          <w:szCs w:val="21"/>
        </w:rPr>
      </w:pPr>
      <w:r>
        <w:rPr>
          <w:rFonts w:ascii="宋体" w:hAnsi="宋体" w:cs="宋体"/>
          <w:szCs w:val="21"/>
        </w:rPr>
        <w:t>(9)</w:t>
      </w:r>
      <w:r>
        <w:rPr>
          <w:rFonts w:hint="eastAsia" w:ascii="宋体" w:hAnsi="宋体" w:cs="宋体"/>
          <w:szCs w:val="21"/>
        </w:rPr>
        <w:t>有效投标不足三家；</w:t>
      </w:r>
    </w:p>
    <w:p w14:paraId="1CC2C32D">
      <w:pPr>
        <w:spacing w:line="360" w:lineRule="auto"/>
        <w:ind w:left="425" w:right="2" w:hanging="425"/>
        <w:rPr>
          <w:rFonts w:hint="eastAsia" w:ascii="宋体" w:hAnsi="宋体" w:cs="宋体"/>
          <w:szCs w:val="21"/>
        </w:rPr>
      </w:pPr>
      <w:r>
        <w:rPr>
          <w:rFonts w:ascii="宋体" w:hAnsi="宋体" w:cs="宋体"/>
          <w:szCs w:val="21"/>
        </w:rPr>
        <w:t>(10)</w:t>
      </w:r>
      <w:r>
        <w:rPr>
          <w:rFonts w:hint="eastAsia" w:ascii="宋体" w:hAnsi="宋体" w:cs="宋体"/>
          <w:szCs w:val="21"/>
        </w:rPr>
        <w:t>不同投标人的投标文件异常一致或者投标报价呈规律性差异的；</w:t>
      </w:r>
    </w:p>
    <w:p w14:paraId="76C64B85">
      <w:pPr>
        <w:spacing w:line="360" w:lineRule="auto"/>
        <w:ind w:left="425" w:right="2" w:hanging="425"/>
        <w:rPr>
          <w:rFonts w:hint="eastAsia" w:ascii="宋体" w:hAnsi="宋体" w:cs="宋体"/>
          <w:szCs w:val="21"/>
        </w:rPr>
      </w:pPr>
      <w:r>
        <w:rPr>
          <w:rFonts w:ascii="宋体" w:hAnsi="宋体" w:cs="宋体"/>
          <w:szCs w:val="21"/>
        </w:rPr>
        <w:t>(11)</w:t>
      </w:r>
      <w:r>
        <w:rPr>
          <w:rFonts w:hint="eastAsia" w:ascii="宋体" w:hAnsi="宋体" w:cs="宋体"/>
          <w:szCs w:val="21"/>
        </w:rPr>
        <w:t>投标人报价均超过最高限价的；</w:t>
      </w:r>
    </w:p>
    <w:p w14:paraId="304C13AB">
      <w:pPr>
        <w:spacing w:line="360" w:lineRule="auto"/>
        <w:ind w:left="425" w:right="2" w:hanging="425"/>
        <w:rPr>
          <w:rFonts w:hint="eastAsia" w:ascii="宋体" w:hAnsi="宋体" w:cs="宋体"/>
          <w:color w:val="000000"/>
          <w:szCs w:val="21"/>
        </w:rPr>
      </w:pPr>
      <w:r>
        <w:rPr>
          <w:rFonts w:ascii="宋体" w:hAnsi="宋体" w:cs="宋体"/>
          <w:color w:val="000000"/>
          <w:szCs w:val="21"/>
        </w:rPr>
        <w:t>(12)</w:t>
      </w:r>
      <w:r>
        <w:rPr>
          <w:rFonts w:hint="eastAsia" w:ascii="宋体" w:hAnsi="宋体" w:cs="宋体"/>
          <w:color w:val="000000"/>
          <w:szCs w:val="21"/>
        </w:rPr>
        <w:t>未按要求填报商务报价资料，对招标开展造成较大影响；</w:t>
      </w:r>
    </w:p>
    <w:p w14:paraId="719B65C1">
      <w:pPr>
        <w:spacing w:line="360" w:lineRule="auto"/>
        <w:ind w:left="425" w:right="2" w:hanging="425"/>
        <w:rPr>
          <w:rFonts w:hint="eastAsia" w:ascii="宋体" w:hAnsi="宋体" w:cs="宋体"/>
          <w:color w:val="000000"/>
          <w:szCs w:val="21"/>
        </w:rPr>
      </w:pPr>
      <w:r>
        <w:rPr>
          <w:rFonts w:ascii="宋体" w:hAnsi="宋体" w:cs="宋体"/>
          <w:color w:val="000000"/>
          <w:szCs w:val="21"/>
        </w:rPr>
        <w:t>(13)</w:t>
      </w:r>
      <w:r>
        <w:rPr>
          <w:rFonts w:hint="eastAsia" w:ascii="宋体" w:hAnsi="宋体" w:cs="宋体"/>
          <w:szCs w:val="21"/>
        </w:rPr>
        <w:t>未按照招标人规定的时间内在中国重汽e采通完成投标的；</w:t>
      </w:r>
    </w:p>
    <w:p w14:paraId="719B86C2">
      <w:pPr>
        <w:spacing w:line="360" w:lineRule="auto"/>
        <w:ind w:left="425" w:right="2" w:hanging="425"/>
        <w:rPr>
          <w:rFonts w:hint="eastAsia" w:ascii="宋体" w:hAnsi="宋体" w:cs="宋体"/>
          <w:color w:val="000000"/>
          <w:szCs w:val="21"/>
        </w:rPr>
      </w:pPr>
      <w:r>
        <w:rPr>
          <w:rFonts w:ascii="宋体" w:hAnsi="宋体" w:cs="宋体"/>
          <w:color w:val="000000"/>
          <w:szCs w:val="21"/>
        </w:rPr>
        <w:t>(14)</w:t>
      </w:r>
      <w:r>
        <w:rPr>
          <w:rFonts w:hint="eastAsia" w:ascii="宋体" w:hAnsi="宋体" w:cs="宋体"/>
          <w:color w:val="000000"/>
          <w:szCs w:val="21"/>
        </w:rPr>
        <w:t>法律、法规规定的其他情况。</w:t>
      </w:r>
    </w:p>
    <w:p w14:paraId="768DC52C">
      <w:pPr>
        <w:spacing w:line="360" w:lineRule="auto"/>
        <w:ind w:left="425" w:right="2" w:hanging="425"/>
        <w:rPr>
          <w:rFonts w:hint="eastAsia" w:ascii="宋体" w:hAnsi="宋体" w:cs="宋体"/>
          <w:szCs w:val="21"/>
        </w:rPr>
      </w:pPr>
      <w:r>
        <w:rPr>
          <w:rFonts w:hint="eastAsia" w:ascii="宋体" w:hAnsi="宋体" w:cs="宋体"/>
          <w:szCs w:val="21"/>
        </w:rPr>
        <w:t>2</w:t>
      </w:r>
      <w:r>
        <w:rPr>
          <w:rFonts w:ascii="宋体" w:hAnsi="宋体" w:cs="宋体"/>
          <w:szCs w:val="21"/>
        </w:rPr>
        <w:t>.</w:t>
      </w:r>
      <w:r>
        <w:rPr>
          <w:rFonts w:hint="eastAsia" w:ascii="宋体" w:hAnsi="宋体" w:cs="宋体"/>
          <w:szCs w:val="21"/>
        </w:rPr>
        <w:t>出现下列情形之一，招标人有权否决所有投标人的投标，并终止招标。</w:t>
      </w:r>
    </w:p>
    <w:p w14:paraId="37D21D33">
      <w:pPr>
        <w:rPr>
          <w:rFonts w:hint="eastAsia" w:ascii="宋体" w:hAnsi="宋体" w:cs="宋体"/>
          <w:b/>
          <w:bCs/>
          <w:color w:val="FF0000"/>
          <w:sz w:val="18"/>
          <w:szCs w:val="18"/>
        </w:rPr>
      </w:pPr>
      <w:r>
        <w:rPr>
          <w:rFonts w:ascii="宋体" w:hAnsi="宋体" w:cs="宋体"/>
          <w:szCs w:val="21"/>
        </w:rPr>
        <w:t>(</w:t>
      </w:r>
      <w:r>
        <w:rPr>
          <w:rFonts w:hint="eastAsia" w:ascii="宋体" w:hAnsi="宋体" w:cs="宋体"/>
          <w:szCs w:val="21"/>
        </w:rPr>
        <w:t>1</w:t>
      </w:r>
      <w:r>
        <w:rPr>
          <w:rFonts w:ascii="宋体" w:hAnsi="宋体" w:cs="宋体"/>
          <w:szCs w:val="21"/>
        </w:rPr>
        <w:t>)</w:t>
      </w:r>
      <w:r>
        <w:rPr>
          <w:rFonts w:hint="eastAsia" w:ascii="宋体" w:hAnsi="宋体" w:cs="宋体"/>
          <w:szCs w:val="21"/>
          <w:highlight w:val="yellow"/>
        </w:rPr>
        <w:t>符合条件的投标人或者对招标文件做实质响应的投标人不足三家的；</w:t>
      </w:r>
    </w:p>
    <w:p w14:paraId="12B6FCE1">
      <w:pPr>
        <w:spacing w:line="360" w:lineRule="auto"/>
        <w:ind w:left="425" w:right="2" w:hanging="425"/>
        <w:rPr>
          <w:rFonts w:hint="eastAsia" w:ascii="宋体" w:hAnsi="宋体" w:cs="宋体"/>
          <w:szCs w:val="21"/>
        </w:rPr>
      </w:pPr>
      <w:r>
        <w:rPr>
          <w:rFonts w:ascii="宋体" w:hAnsi="宋体" w:cs="宋体"/>
          <w:szCs w:val="21"/>
        </w:rPr>
        <w:t>(</w:t>
      </w:r>
      <w:r>
        <w:rPr>
          <w:rFonts w:hint="eastAsia" w:ascii="宋体" w:hAnsi="宋体" w:cs="宋体"/>
          <w:szCs w:val="21"/>
        </w:rPr>
        <w:t>2</w:t>
      </w:r>
      <w:r>
        <w:rPr>
          <w:rFonts w:ascii="宋体" w:hAnsi="宋体" w:cs="宋体"/>
          <w:szCs w:val="21"/>
        </w:rPr>
        <w:t>)</w:t>
      </w:r>
      <w:r>
        <w:rPr>
          <w:rFonts w:hint="eastAsia" w:ascii="宋体" w:hAnsi="宋体" w:cs="宋体"/>
          <w:szCs w:val="21"/>
        </w:rPr>
        <w:t>出现影响采购公正的违法、违规行为的；</w:t>
      </w:r>
    </w:p>
    <w:p w14:paraId="111004EE">
      <w:pPr>
        <w:spacing w:line="360" w:lineRule="auto"/>
        <w:ind w:left="425" w:right="2" w:hanging="425"/>
        <w:rPr>
          <w:rFonts w:hint="eastAsia" w:ascii="宋体" w:hAnsi="宋体" w:cs="宋体"/>
          <w:bCs/>
          <w:szCs w:val="21"/>
        </w:rPr>
      </w:pPr>
      <w:r>
        <w:rPr>
          <w:rFonts w:ascii="宋体" w:hAnsi="宋体" w:cs="宋体"/>
          <w:bCs/>
          <w:szCs w:val="21"/>
        </w:rPr>
        <w:t>(</w:t>
      </w:r>
      <w:r>
        <w:rPr>
          <w:rFonts w:hint="eastAsia" w:ascii="宋体" w:hAnsi="宋体" w:cs="宋体"/>
          <w:bCs/>
          <w:szCs w:val="21"/>
        </w:rPr>
        <w:t>3</w:t>
      </w:r>
      <w:r>
        <w:rPr>
          <w:rFonts w:ascii="宋体" w:hAnsi="宋体" w:cs="宋体"/>
          <w:bCs/>
          <w:szCs w:val="21"/>
        </w:rPr>
        <w:t>)</w:t>
      </w:r>
      <w:r>
        <w:rPr>
          <w:rFonts w:hint="eastAsia" w:ascii="宋体" w:hAnsi="宋体" w:cs="宋体"/>
          <w:bCs/>
          <w:szCs w:val="21"/>
        </w:rPr>
        <w:t>评标委员会经评审，认为所有投标都不符合招标文件要求的；</w:t>
      </w:r>
    </w:p>
    <w:p w14:paraId="2E99D2FD">
      <w:pPr>
        <w:spacing w:line="360" w:lineRule="auto"/>
        <w:ind w:left="425" w:right="2" w:hanging="425"/>
        <w:rPr>
          <w:rFonts w:hint="eastAsia" w:ascii="宋体" w:hAnsi="宋体" w:cs="宋体"/>
          <w:bCs/>
          <w:szCs w:val="21"/>
        </w:rPr>
      </w:pPr>
      <w:r>
        <w:rPr>
          <w:rFonts w:ascii="宋体" w:hAnsi="宋体" w:cs="宋体"/>
          <w:bCs/>
          <w:szCs w:val="21"/>
        </w:rPr>
        <w:t>(</w:t>
      </w:r>
      <w:r>
        <w:rPr>
          <w:rFonts w:hint="eastAsia" w:ascii="宋体" w:hAnsi="宋体" w:cs="宋体"/>
          <w:bCs/>
          <w:szCs w:val="21"/>
        </w:rPr>
        <w:t>4</w:t>
      </w:r>
      <w:r>
        <w:rPr>
          <w:rFonts w:ascii="宋体" w:hAnsi="宋体" w:cs="宋体"/>
          <w:bCs/>
          <w:szCs w:val="21"/>
        </w:rPr>
        <w:t>)</w:t>
      </w:r>
      <w:r>
        <w:rPr>
          <w:rFonts w:hint="eastAsia" w:ascii="宋体" w:hAnsi="宋体" w:cs="宋体"/>
          <w:bCs/>
          <w:szCs w:val="21"/>
        </w:rPr>
        <w:t>因重大变故，采购任务取消的</w:t>
      </w:r>
      <w:bookmarkStart w:id="11" w:name="OLE_LINK25"/>
      <w:bookmarkStart w:id="12" w:name="OLE_LINK28"/>
      <w:bookmarkStart w:id="13" w:name="OLE_LINK29"/>
      <w:bookmarkStart w:id="14" w:name="OLE_LINK27"/>
      <w:bookmarkStart w:id="15" w:name="OLE_LINK26"/>
      <w:r>
        <w:rPr>
          <w:rFonts w:hint="eastAsia" w:ascii="宋体" w:hAnsi="宋体" w:cs="宋体"/>
          <w:bCs/>
          <w:szCs w:val="21"/>
        </w:rPr>
        <w:t>；</w:t>
      </w:r>
      <w:bookmarkEnd w:id="11"/>
      <w:bookmarkEnd w:id="12"/>
      <w:bookmarkEnd w:id="13"/>
      <w:bookmarkEnd w:id="14"/>
      <w:bookmarkEnd w:id="15"/>
    </w:p>
    <w:p w14:paraId="5E3FF40C">
      <w:pPr>
        <w:pStyle w:val="14"/>
        <w:spacing w:line="360" w:lineRule="auto"/>
        <w:ind w:left="425" w:hanging="425"/>
        <w:rPr>
          <w:rFonts w:hint="eastAsia" w:hAnsi="宋体" w:cs="宋体"/>
          <w:bCs/>
          <w:szCs w:val="21"/>
        </w:rPr>
      </w:pPr>
      <w:r>
        <w:rPr>
          <w:rFonts w:hAnsi="宋体" w:cs="宋体"/>
          <w:bCs/>
          <w:szCs w:val="21"/>
        </w:rPr>
        <w:t>(</w:t>
      </w:r>
      <w:r>
        <w:rPr>
          <w:rFonts w:hint="eastAsia" w:hAnsi="宋体" w:cs="宋体"/>
          <w:bCs/>
          <w:szCs w:val="21"/>
        </w:rPr>
        <w:t>5</w:t>
      </w:r>
      <w:r>
        <w:rPr>
          <w:rFonts w:hAnsi="宋体" w:cs="宋体"/>
          <w:bCs/>
          <w:szCs w:val="21"/>
        </w:rPr>
        <w:t>)</w:t>
      </w:r>
      <w:r>
        <w:rPr>
          <w:rFonts w:hint="eastAsia" w:hAnsi="宋体" w:cs="宋体"/>
          <w:bCs/>
          <w:szCs w:val="21"/>
        </w:rPr>
        <w:t>招标人认为其他应终止招标的情形。</w:t>
      </w:r>
    </w:p>
    <w:p w14:paraId="56825CC8">
      <w:pPr>
        <w:spacing w:line="360" w:lineRule="auto"/>
        <w:rPr>
          <w:szCs w:val="21"/>
        </w:rPr>
      </w:pPr>
      <w:r>
        <w:rPr>
          <w:rFonts w:hint="eastAsia" w:ascii="宋体" w:hAnsi="宋体" w:cs="宋体"/>
          <w:szCs w:val="21"/>
        </w:rPr>
        <w:t>3</w:t>
      </w:r>
      <w:r>
        <w:rPr>
          <w:szCs w:val="21"/>
        </w:rPr>
        <w:t>.</w:t>
      </w:r>
      <w:r>
        <w:rPr>
          <w:rFonts w:hint="eastAsia" w:ascii="宋体" w:hAnsi="宋体" w:cs="宋体"/>
          <w:color w:val="000000"/>
          <w:szCs w:val="21"/>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622E3820">
      <w:pPr>
        <w:pStyle w:val="72"/>
      </w:pPr>
      <w:r>
        <w:rPr>
          <w:rFonts w:hint="eastAsia"/>
        </w:rPr>
        <w:t>合同签订</w:t>
      </w:r>
    </w:p>
    <w:p w14:paraId="222C0ACE">
      <w:pPr>
        <w:spacing w:line="360" w:lineRule="auto"/>
        <w:rPr>
          <w:rFonts w:hint="eastAsia" w:ascii="宋体" w:hAnsi="宋体" w:cs="宋体"/>
          <w:color w:val="000000"/>
          <w:szCs w:val="21"/>
        </w:rPr>
      </w:pPr>
      <w:r>
        <w:rPr>
          <w:rFonts w:hint="eastAsia" w:ascii="宋体" w:hAnsi="宋体" w:cs="宋体"/>
          <w:color w:val="000000"/>
          <w:szCs w:val="21"/>
        </w:rPr>
        <w:t>1.招标人根据评标工作小组的评标结果确定中标人，在重汽e采通平台公布中标结果，并发送中标通知。</w:t>
      </w:r>
    </w:p>
    <w:p w14:paraId="0EA738E3">
      <w:pPr>
        <w:spacing w:line="360" w:lineRule="auto"/>
        <w:rPr>
          <w:rFonts w:hint="eastAsia" w:ascii="宋体" w:hAnsi="宋体" w:cs="宋体"/>
          <w:color w:val="000000"/>
          <w:szCs w:val="21"/>
        </w:rPr>
      </w:pPr>
      <w:r>
        <w:rPr>
          <w:rFonts w:hint="eastAsia" w:ascii="宋体" w:hAnsi="宋体" w:cs="宋体"/>
          <w:color w:val="000000"/>
          <w:szCs w:val="21"/>
        </w:rPr>
        <w:t>2.中标人应该在中标通知书规定的时间、地点与招标人签订采购合同，否则按照开标后撤回投标处理。</w:t>
      </w:r>
    </w:p>
    <w:p w14:paraId="403E0AD9">
      <w:pPr>
        <w:spacing w:line="360" w:lineRule="auto"/>
        <w:rPr>
          <w:rFonts w:hint="eastAsia" w:ascii="宋体" w:hAnsi="宋体" w:cs="宋体"/>
          <w:color w:val="000000"/>
          <w:szCs w:val="21"/>
        </w:rPr>
      </w:pPr>
      <w:r>
        <w:rPr>
          <w:rFonts w:hint="eastAsia" w:ascii="宋体" w:hAnsi="宋体" w:cs="宋体"/>
          <w:color w:val="000000"/>
          <w:szCs w:val="21"/>
        </w:rPr>
        <w:t>3.中标人应当按照合同约定的履约责任，在保证质量的前提下完成中标项目，不得将中标项目转包或分包给他人，否则视为违约，招标人有权解除合同。</w:t>
      </w:r>
    </w:p>
    <w:p w14:paraId="2732EB05">
      <w:pPr>
        <w:spacing w:line="360" w:lineRule="auto"/>
        <w:rPr>
          <w:rFonts w:hint="eastAsia" w:ascii="宋体" w:hAnsi="宋体" w:cs="宋体"/>
          <w:b/>
          <w:szCs w:val="21"/>
        </w:rPr>
      </w:pPr>
      <w:r>
        <w:rPr>
          <w:rFonts w:hint="eastAsia" w:ascii="宋体" w:hAnsi="宋体" w:cs="宋体"/>
          <w:b/>
          <w:szCs w:val="21"/>
        </w:rPr>
        <w:t>4.中标人由于履行义务的能力或信用有严重缺陷，招标人有权取消其中标资格，招标人将从中标候选单位中依序重新确定中标人，或重新组织招标；</w:t>
      </w:r>
    </w:p>
    <w:p w14:paraId="676EDD88">
      <w:pPr>
        <w:spacing w:line="360" w:lineRule="auto"/>
        <w:rPr>
          <w:rFonts w:hint="eastAsia" w:ascii="宋体" w:hAnsi="宋体" w:cs="宋体"/>
          <w:color w:val="000000"/>
          <w:szCs w:val="21"/>
        </w:rPr>
      </w:pPr>
      <w:r>
        <w:rPr>
          <w:rFonts w:hint="eastAsia" w:ascii="宋体" w:hAnsi="宋体" w:cs="宋体"/>
          <w:b/>
          <w:szCs w:val="21"/>
        </w:rPr>
        <w:t>5.合同以双方最终签署的版本为准。</w:t>
      </w:r>
    </w:p>
    <w:p w14:paraId="23358585">
      <w:pPr>
        <w:pStyle w:val="72"/>
      </w:pPr>
      <w:r>
        <w:rPr>
          <w:rFonts w:hint="eastAsia"/>
        </w:rPr>
        <w:t>交货及付款</w:t>
      </w:r>
    </w:p>
    <w:p w14:paraId="5750145C">
      <w:pPr>
        <w:pStyle w:val="72"/>
        <w:numPr>
          <w:ilvl w:val="0"/>
          <w:numId w:val="27"/>
        </w:numPr>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rPr>
        <w:br w:type="textWrapping"/>
      </w:r>
      <w:r>
        <w:rPr>
          <w:rFonts w:hint="eastAsia" w:ascii="宋体" w:hAnsi="宋体" w:eastAsia="宋体" w:cs="宋体"/>
          <w:b w:val="0"/>
          <w:bCs w:val="0"/>
          <w:sz w:val="21"/>
          <w:szCs w:val="21"/>
          <w:highlight w:val="yellow"/>
        </w:rPr>
        <w:t>银行转账；</w:t>
      </w:r>
    </w:p>
    <w:p w14:paraId="3629ED7B">
      <w:pPr>
        <w:pStyle w:val="72"/>
        <w:numPr>
          <w:ilvl w:val="0"/>
          <w:numId w:val="0"/>
        </w:numPr>
        <w:ind w:left="425" w:hanging="425"/>
        <w:rPr>
          <w:rFonts w:hint="eastAsia" w:ascii="宋体" w:hAnsi="宋体" w:eastAsia="宋体" w:cs="宋体"/>
          <w:b w:val="0"/>
          <w:bCs w:val="0"/>
          <w:sz w:val="21"/>
          <w:szCs w:val="21"/>
        </w:rPr>
      </w:pPr>
      <w:r>
        <w:rPr>
          <w:rFonts w:hint="eastAsia" w:ascii="宋体" w:hAnsi="宋体" w:eastAsia="宋体" w:cs="宋体"/>
          <w:b w:val="0"/>
          <w:bCs w:val="0"/>
          <w:sz w:val="21"/>
          <w:szCs w:val="21"/>
        </w:rPr>
        <w:t>5</w:t>
      </w:r>
      <w:r>
        <w:rPr>
          <w:rFonts w:ascii="宋体" w:hAnsi="宋体" w:eastAsia="宋体" w:cs="宋体"/>
          <w:b w:val="0"/>
          <w:bCs w:val="0"/>
          <w:sz w:val="21"/>
          <w:szCs w:val="21"/>
          <w:highlight w:val="yellow"/>
        </w:rPr>
        <w:t>.</w:t>
      </w:r>
      <w:r>
        <w:rPr>
          <w:rFonts w:hint="eastAsia" w:ascii="宋体" w:hAnsi="宋体" w:eastAsia="宋体" w:cs="宋体"/>
          <w:b w:val="0"/>
          <w:bCs w:val="0"/>
          <w:sz w:val="21"/>
          <w:szCs w:val="21"/>
          <w:highlight w:val="yellow"/>
        </w:rPr>
        <w:t>付款节点：</w:t>
      </w:r>
    </w:p>
    <w:p w14:paraId="01885C48">
      <w:pPr>
        <w:pStyle w:val="62"/>
        <w:snapToGrid w:val="0"/>
        <w:spacing w:line="360" w:lineRule="auto"/>
        <w:ind w:firstLine="0" w:firstLineChars="0"/>
        <w:jc w:val="left"/>
        <w:rPr>
          <w:rFonts w:hint="eastAsia" w:ascii="宋体" w:hAnsi="宋体" w:cs="宋体"/>
          <w:szCs w:val="21"/>
        </w:rPr>
      </w:pPr>
      <w:r>
        <w:rPr>
          <w:rFonts w:hint="eastAsia" w:ascii="宋体" w:hAnsi="宋体" w:cs="宋体"/>
          <w:szCs w:val="21"/>
          <w:highlight w:val="yellow"/>
        </w:rPr>
        <w:t>预付款：100%预付款。</w:t>
      </w:r>
    </w:p>
    <w:p w14:paraId="6748EC67">
      <w:pPr>
        <w:pStyle w:val="72"/>
      </w:pPr>
      <w:r>
        <w:rPr>
          <w:rFonts w:hint="eastAsia"/>
        </w:rPr>
        <w:t>本次招标最终解释权归中国重汽集团济南动力有限公司发动机厂。</w:t>
      </w:r>
    </w:p>
    <w:p w14:paraId="73A218BD">
      <w:pPr>
        <w:pStyle w:val="76"/>
      </w:pPr>
    </w:p>
    <w:p w14:paraId="2C9BF07D">
      <w:pPr>
        <w:pStyle w:val="71"/>
        <w:jc w:val="both"/>
      </w:pPr>
      <w:bookmarkStart w:id="16" w:name="_Toc47976607"/>
    </w:p>
    <w:p w14:paraId="7565BF8D">
      <w:pPr>
        <w:pStyle w:val="71"/>
        <w:jc w:val="both"/>
      </w:pPr>
    </w:p>
    <w:p w14:paraId="5B7283C0">
      <w:bookmarkStart w:id="17" w:name="_Toc1910"/>
      <w:r>
        <w:rPr>
          <w:rFonts w:hint="eastAsia"/>
        </w:rPr>
        <w:br w:type="page"/>
      </w:r>
    </w:p>
    <w:p w14:paraId="53353C95">
      <w:pPr>
        <w:pStyle w:val="71"/>
      </w:pPr>
      <w:r>
        <w:rPr>
          <w:rFonts w:hint="eastAsia"/>
        </w:rPr>
        <w:t>第二部分　</w:t>
      </w:r>
      <w:bookmarkEnd w:id="16"/>
      <w:r>
        <w:rPr>
          <w:rFonts w:hint="eastAsia"/>
        </w:rPr>
        <w:t>技术标书</w:t>
      </w:r>
      <w:bookmarkEnd w:id="17"/>
    </w:p>
    <w:p w14:paraId="3C62062F">
      <w:pPr>
        <w:spacing w:line="360" w:lineRule="auto"/>
        <w:ind w:firstLine="2891" w:firstLineChars="800"/>
        <w:rPr>
          <w:rFonts w:ascii="黑体" w:eastAsia="黑体"/>
          <w:b/>
          <w:bCs/>
          <w:sz w:val="36"/>
          <w:szCs w:val="36"/>
        </w:rPr>
      </w:pPr>
      <w:r>
        <w:rPr>
          <w:rFonts w:ascii="黑体" w:eastAsia="黑体"/>
          <w:b/>
          <w:bCs/>
          <w:sz w:val="36"/>
          <w:szCs w:val="36"/>
        </w:rPr>
        <w:t>技术</w:t>
      </w:r>
      <w:r>
        <w:rPr>
          <w:rFonts w:hint="eastAsia" w:ascii="黑体" w:eastAsia="黑体"/>
          <w:b/>
          <w:bCs/>
          <w:sz w:val="36"/>
          <w:szCs w:val="36"/>
        </w:rPr>
        <w:t>协议</w:t>
      </w:r>
      <w:r>
        <w:rPr>
          <w:rFonts w:ascii="黑体" w:eastAsia="黑体"/>
          <w:b/>
          <w:bCs/>
          <w:sz w:val="36"/>
          <w:szCs w:val="36"/>
        </w:rPr>
        <w:t>书</w:t>
      </w:r>
    </w:p>
    <w:p w14:paraId="1793FBB0">
      <w:pPr>
        <w:pStyle w:val="14"/>
        <w:spacing w:line="360" w:lineRule="auto"/>
        <w:rPr>
          <w:rFonts w:hint="eastAsia" w:ascii="黑体" w:hAnsi="黑体" w:eastAsia="黑体"/>
          <w:b/>
          <w:bCs/>
          <w:sz w:val="28"/>
          <w:szCs w:val="28"/>
        </w:rPr>
      </w:pPr>
      <w:r>
        <w:rPr>
          <w:rFonts w:hint="eastAsia" w:ascii="黑体" w:hAnsi="黑体" w:eastAsia="黑体"/>
          <w:b/>
          <w:bCs/>
          <w:sz w:val="28"/>
          <w:szCs w:val="28"/>
        </w:rPr>
        <w:t>一、项目名称</w:t>
      </w:r>
    </w:p>
    <w:p w14:paraId="232B54C6">
      <w:pPr>
        <w:spacing w:line="360" w:lineRule="auto"/>
        <w:ind w:left="1468" w:hanging="1467" w:hangingChars="699"/>
        <w:jc w:val="left"/>
        <w:rPr>
          <w:rFonts w:hint="eastAsia" w:ascii="宋体" w:hAnsi="宋体"/>
        </w:rPr>
      </w:pPr>
      <w:r>
        <w:rPr>
          <w:rFonts w:hint="eastAsia" w:ascii="宋体" w:hAnsi="宋体"/>
        </w:rPr>
        <w:t>项目名称：发动机厂部件加工部圆度仪维修项目</w:t>
      </w:r>
    </w:p>
    <w:p w14:paraId="505FEE7F">
      <w:pPr>
        <w:pStyle w:val="14"/>
        <w:spacing w:line="360" w:lineRule="auto"/>
        <w:rPr>
          <w:rFonts w:hint="eastAsia" w:ascii="黑体" w:hAnsi="黑体" w:eastAsia="黑体"/>
          <w:b/>
          <w:bCs/>
          <w:sz w:val="28"/>
          <w:szCs w:val="28"/>
        </w:rPr>
      </w:pPr>
      <w:r>
        <w:rPr>
          <w:rFonts w:hint="eastAsia" w:ascii="黑体" w:hAnsi="黑体" w:eastAsia="黑体"/>
          <w:b/>
          <w:bCs/>
          <w:sz w:val="28"/>
          <w:szCs w:val="28"/>
        </w:rPr>
        <w:t>二、主要技术状态说明</w:t>
      </w:r>
    </w:p>
    <w:p w14:paraId="0B4D4B51">
      <w:pPr>
        <w:pStyle w:val="14"/>
        <w:spacing w:line="360" w:lineRule="auto"/>
        <w:rPr>
          <w:sz w:val="22"/>
        </w:rPr>
      </w:pPr>
      <w:r>
        <w:rPr>
          <w:rFonts w:hint="eastAsia"/>
          <w:sz w:val="22"/>
        </w:rPr>
        <w:t>1圆柱度测量仪维修项目：</w:t>
      </w:r>
    </w:p>
    <w:p w14:paraId="2F4F1959">
      <w:pPr>
        <w:pStyle w:val="14"/>
        <w:spacing w:line="360" w:lineRule="auto"/>
        <w:rPr>
          <w:sz w:val="22"/>
        </w:rPr>
      </w:pPr>
      <w:r>
        <w:rPr>
          <w:rFonts w:hint="eastAsia"/>
          <w:sz w:val="22"/>
        </w:rPr>
        <w:t>设备品牌：东精精密圆柱度测量仪</w:t>
      </w:r>
    </w:p>
    <w:p w14:paraId="088C4AA5">
      <w:pPr>
        <w:pStyle w:val="14"/>
        <w:spacing w:line="360" w:lineRule="auto"/>
        <w:rPr>
          <w:sz w:val="22"/>
        </w:rPr>
      </w:pPr>
      <w:r>
        <w:rPr>
          <w:rFonts w:hint="eastAsia"/>
          <w:sz w:val="22"/>
        </w:rPr>
        <w:t>设备型号：</w:t>
      </w:r>
      <w:r>
        <w:rPr>
          <w:sz w:val="22"/>
        </w:rPr>
        <w:t>ROUNDCOM60A</w:t>
      </w:r>
    </w:p>
    <w:p w14:paraId="09185138">
      <w:pPr>
        <w:pStyle w:val="14"/>
        <w:spacing w:line="360" w:lineRule="auto"/>
        <w:rPr>
          <w:sz w:val="22"/>
        </w:rPr>
      </w:pPr>
      <w:r>
        <w:rPr>
          <w:rFonts w:hint="eastAsia"/>
          <w:sz w:val="22"/>
        </w:rPr>
        <w:t>故障描述：2024年经省计量院校准圆度50.2μ标准块实测37.9μ，误差12.3μ，不满足测量精度要求，现处于质量禁用状态。</w:t>
      </w:r>
    </w:p>
    <w:p w14:paraId="04F08A71">
      <w:pPr>
        <w:pStyle w:val="14"/>
        <w:numPr>
          <w:ilvl w:val="0"/>
          <w:numId w:val="28"/>
        </w:numPr>
        <w:spacing w:line="360" w:lineRule="auto"/>
        <w:rPr>
          <w:rFonts w:hint="eastAsia" w:ascii="黑体" w:hAnsi="黑体" w:eastAsia="黑体"/>
          <w:b/>
          <w:bCs/>
          <w:sz w:val="28"/>
          <w:szCs w:val="28"/>
        </w:rPr>
      </w:pPr>
      <w:r>
        <w:rPr>
          <w:rFonts w:hint="eastAsia" w:ascii="黑体" w:hAnsi="黑体" w:eastAsia="黑体"/>
          <w:b/>
          <w:bCs/>
          <w:sz w:val="28"/>
          <w:szCs w:val="28"/>
        </w:rPr>
        <w:t>技术要求</w:t>
      </w:r>
    </w:p>
    <w:p w14:paraId="1AFBD444">
      <w:pPr>
        <w:pStyle w:val="14"/>
        <w:spacing w:line="360" w:lineRule="auto"/>
        <w:rPr>
          <w:sz w:val="22"/>
        </w:rPr>
      </w:pPr>
      <w:r>
        <w:rPr>
          <w:rFonts w:hint="eastAsia"/>
          <w:sz w:val="22"/>
        </w:rPr>
        <w:t>乙方负责按以下要求对东精精密圆柱度测量仪维修恢复设备运行。</w:t>
      </w:r>
    </w:p>
    <w:p w14:paraId="4A0AE58E">
      <w:pPr>
        <w:pStyle w:val="14"/>
        <w:spacing w:line="360" w:lineRule="auto"/>
        <w:rPr>
          <w:sz w:val="22"/>
        </w:rPr>
      </w:pPr>
      <w:r>
        <w:rPr>
          <w:rFonts w:hint="eastAsia"/>
          <w:sz w:val="22"/>
        </w:rPr>
        <w:t>1.圆柱度测量仪维修项目：</w:t>
      </w:r>
    </w:p>
    <w:p w14:paraId="1F1562E9">
      <w:pPr>
        <w:pStyle w:val="14"/>
        <w:tabs>
          <w:tab w:val="left" w:pos="644"/>
          <w:tab w:val="left" w:pos="2160"/>
        </w:tabs>
        <w:spacing w:line="360" w:lineRule="auto"/>
        <w:rPr>
          <w:rFonts w:hint="eastAsia" w:hAnsi="宋体"/>
          <w:sz w:val="24"/>
          <w:szCs w:val="24"/>
        </w:rPr>
      </w:pPr>
      <w:r>
        <w:rPr>
          <w:rFonts w:hint="eastAsia" w:hAnsi="宋体"/>
          <w:sz w:val="24"/>
          <w:szCs w:val="24"/>
        </w:rPr>
        <w:t>①基础设备维保：各机械部位动作确认检查、电路及气路确认检查、立柱导轨及回转精度确认、传感器及测针确认检查、Z轴直线度和Z轴平行度精度确认。</w:t>
      </w:r>
    </w:p>
    <w:p w14:paraId="128054D2">
      <w:pPr>
        <w:pStyle w:val="14"/>
        <w:tabs>
          <w:tab w:val="left" w:pos="644"/>
          <w:tab w:val="left" w:pos="2160"/>
        </w:tabs>
        <w:spacing w:line="360" w:lineRule="auto"/>
        <w:rPr>
          <w:rFonts w:hint="eastAsia" w:hAnsi="宋体"/>
          <w:sz w:val="24"/>
          <w:szCs w:val="24"/>
        </w:rPr>
      </w:pPr>
      <w:r>
        <w:rPr>
          <w:rFonts w:hint="eastAsia" w:hAnsi="宋体"/>
          <w:sz w:val="24"/>
          <w:szCs w:val="24"/>
        </w:rPr>
        <w:t>②精度校准并满足：角向精度0.028μ，直线度精度0.031μ/300mm要求。</w:t>
      </w:r>
    </w:p>
    <w:p w14:paraId="6042BD66">
      <w:pPr>
        <w:spacing w:line="360" w:lineRule="auto"/>
        <w:rPr>
          <w:rFonts w:hint="eastAsia" w:ascii="宋体" w:hAnsi="宋体"/>
          <w:sz w:val="24"/>
          <w:szCs w:val="24"/>
        </w:rPr>
      </w:pPr>
      <w:r>
        <w:rPr>
          <w:rFonts w:hint="eastAsia" w:ascii="宋体" w:hAnsi="宋体"/>
          <w:sz w:val="24"/>
          <w:szCs w:val="24"/>
        </w:rPr>
        <w:t>5.程序图纸要求</w:t>
      </w:r>
    </w:p>
    <w:p w14:paraId="7B68EC56">
      <w:pPr>
        <w:spacing w:line="360" w:lineRule="auto"/>
        <w:rPr>
          <w:rFonts w:hint="eastAsia" w:ascii="宋体" w:hAnsi="宋体"/>
          <w:sz w:val="24"/>
          <w:szCs w:val="24"/>
        </w:rPr>
      </w:pPr>
      <w:r>
        <w:rPr>
          <w:rFonts w:hint="eastAsia" w:ascii="宋体" w:hAnsi="宋体"/>
          <w:sz w:val="24"/>
          <w:szCs w:val="24"/>
        </w:rPr>
        <w:t>5.1 供方必须提供所有设备程序的源代码，包括但不限于 PLC程序、HMI 程序、机器人程序、视觉程序、伺服等。</w:t>
      </w:r>
    </w:p>
    <w:p w14:paraId="033F89DF">
      <w:pPr>
        <w:spacing w:line="360" w:lineRule="auto"/>
        <w:rPr>
          <w:rFonts w:hint="eastAsia" w:ascii="宋体" w:hAnsi="宋体"/>
          <w:sz w:val="24"/>
          <w:szCs w:val="24"/>
        </w:rPr>
      </w:pPr>
      <w:r>
        <w:rPr>
          <w:rFonts w:hint="eastAsia" w:ascii="宋体" w:hAnsi="宋体"/>
          <w:sz w:val="24"/>
          <w:szCs w:val="24"/>
        </w:rPr>
        <w:t>5.2 供方所提供的程序不得设置任何密码、保护等限制手段，PLC 不得设置修改下载权限，功能块不得设置密码保护。</w:t>
      </w:r>
    </w:p>
    <w:p w14:paraId="3798CF68">
      <w:pPr>
        <w:pStyle w:val="62"/>
        <w:numPr>
          <w:ilvl w:val="1"/>
          <w:numId w:val="29"/>
        </w:numPr>
        <w:spacing w:line="360" w:lineRule="auto"/>
        <w:ind w:firstLineChars="0"/>
        <w:rPr>
          <w:rFonts w:hint="eastAsia" w:ascii="宋体" w:hAnsi="宋体"/>
          <w:sz w:val="24"/>
          <w:szCs w:val="24"/>
        </w:rPr>
      </w:pPr>
      <w:r>
        <w:rPr>
          <w:rFonts w:hint="eastAsia" w:ascii="宋体" w:hAnsi="宋体"/>
          <w:sz w:val="24"/>
          <w:szCs w:val="24"/>
        </w:rPr>
        <w:t>HMI 界面等需要密码保护的程序，供方必须提供所有级别的用户名、密码。</w:t>
      </w:r>
    </w:p>
    <w:p w14:paraId="7C59A6BE">
      <w:pPr>
        <w:spacing w:line="360" w:lineRule="auto"/>
        <w:rPr>
          <w:rFonts w:hint="eastAsia" w:ascii="宋体" w:hAnsi="宋体"/>
          <w:sz w:val="24"/>
          <w:szCs w:val="24"/>
        </w:rPr>
      </w:pPr>
      <w:r>
        <w:rPr>
          <w:rFonts w:hint="eastAsia" w:ascii="宋体" w:hAnsi="宋体"/>
          <w:sz w:val="24"/>
          <w:szCs w:val="24"/>
        </w:rPr>
        <w:t>5.4 供方需在设备入场前提供设备程序源码，HMI 界面各级用户名和密码，并保证与现场程序一致。</w:t>
      </w:r>
    </w:p>
    <w:p w14:paraId="165EAF54">
      <w:pPr>
        <w:spacing w:line="360" w:lineRule="auto"/>
        <w:rPr>
          <w:rFonts w:hint="eastAsia" w:ascii="宋体" w:hAnsi="宋体"/>
          <w:sz w:val="24"/>
          <w:szCs w:val="24"/>
        </w:rPr>
      </w:pPr>
      <w:r>
        <w:rPr>
          <w:rFonts w:hint="eastAsia" w:ascii="宋体" w:hAnsi="宋体"/>
          <w:sz w:val="24"/>
          <w:szCs w:val="24"/>
        </w:rPr>
        <w:t>5.5 供方需在终验收前提供最新的设备程序源码和电气图纸，图纸要求为可编辑原格式（EPLAN、CAD 格式）且与实际接线一致。</w:t>
      </w:r>
    </w:p>
    <w:p w14:paraId="4978D6FF">
      <w:pPr>
        <w:spacing w:line="360" w:lineRule="auto"/>
        <w:rPr>
          <w:rFonts w:hint="eastAsia" w:ascii="宋体" w:hAnsi="宋体"/>
          <w:sz w:val="24"/>
          <w:szCs w:val="24"/>
        </w:rPr>
      </w:pPr>
      <w:r>
        <w:rPr>
          <w:rFonts w:hint="eastAsia" w:ascii="宋体" w:hAnsi="宋体"/>
          <w:sz w:val="24"/>
          <w:szCs w:val="24"/>
        </w:rPr>
        <w:t>5.6.接口协议要求</w:t>
      </w:r>
    </w:p>
    <w:p w14:paraId="3BDCD84B">
      <w:pPr>
        <w:spacing w:line="360" w:lineRule="auto"/>
        <w:rPr>
          <w:rFonts w:hint="eastAsia" w:ascii="宋体" w:hAnsi="宋体"/>
          <w:sz w:val="24"/>
          <w:szCs w:val="24"/>
        </w:rPr>
      </w:pPr>
      <w:r>
        <w:rPr>
          <w:rFonts w:hint="eastAsia" w:ascii="宋体" w:hAnsi="宋体"/>
          <w:sz w:val="24"/>
          <w:szCs w:val="24"/>
        </w:rPr>
        <w:t>5.7 供方免费开放所有通讯接口，包括但不限于以太网、RS232、RS485、PROFIBUS、PROFINET、MODBUS 等常见接口，以及设备特有的专用接口。</w:t>
      </w:r>
    </w:p>
    <w:p w14:paraId="22627F0D">
      <w:pPr>
        <w:pStyle w:val="62"/>
        <w:numPr>
          <w:ilvl w:val="1"/>
          <w:numId w:val="30"/>
        </w:numPr>
        <w:spacing w:line="360" w:lineRule="auto"/>
        <w:ind w:firstLineChars="0"/>
        <w:rPr>
          <w:rFonts w:hint="eastAsia" w:ascii="宋体" w:hAnsi="宋体"/>
          <w:sz w:val="24"/>
          <w:szCs w:val="24"/>
        </w:rPr>
      </w:pPr>
      <w:r>
        <w:rPr>
          <w:rFonts w:hint="eastAsia" w:ascii="宋体" w:hAnsi="宋体"/>
          <w:sz w:val="24"/>
          <w:szCs w:val="24"/>
        </w:rPr>
        <w:t>供方免费提供数据交互功能，交互数据包括但不限于实时数据、历史数据、报警信息等。</w:t>
      </w:r>
    </w:p>
    <w:p w14:paraId="37B0EC57">
      <w:pPr>
        <w:spacing w:line="360" w:lineRule="auto"/>
        <w:rPr>
          <w:rFonts w:hint="eastAsia" w:ascii="宋体" w:hAnsi="宋体"/>
          <w:sz w:val="24"/>
          <w:szCs w:val="24"/>
        </w:rPr>
      </w:pPr>
      <w:r>
        <w:rPr>
          <w:rFonts w:hint="eastAsia" w:ascii="宋体" w:hAnsi="宋体"/>
          <w:sz w:val="24"/>
          <w:szCs w:val="24"/>
        </w:rPr>
        <w:t>5.9供方在设备入场前提供接口的技术文档和参数说明，包括但不限于接口协议、通讯速率、数据格式等。</w:t>
      </w:r>
    </w:p>
    <w:p w14:paraId="19679E8C">
      <w:pPr>
        <w:spacing w:line="360" w:lineRule="auto"/>
        <w:rPr>
          <w:rFonts w:hint="eastAsia" w:ascii="宋体" w:hAnsi="宋体"/>
          <w:sz w:val="24"/>
          <w:szCs w:val="24"/>
        </w:rPr>
      </w:pPr>
      <w:r>
        <w:rPr>
          <w:rFonts w:hint="eastAsia" w:ascii="宋体" w:hAnsi="宋体"/>
          <w:sz w:val="24"/>
          <w:szCs w:val="24"/>
        </w:rPr>
        <w:t>6.0 设备使用周期内，供方免费派遣技术人员与甲方调试团队共同进行设备通讯接口的调试工作。</w:t>
      </w:r>
    </w:p>
    <w:p w14:paraId="373A2BA4">
      <w:pPr>
        <w:pStyle w:val="14"/>
        <w:spacing w:line="360" w:lineRule="auto"/>
        <w:rPr>
          <w:rFonts w:hint="eastAsia" w:ascii="黑体" w:hAnsi="黑体" w:eastAsia="黑体"/>
          <w:b/>
          <w:bCs/>
          <w:sz w:val="28"/>
          <w:szCs w:val="28"/>
        </w:rPr>
      </w:pPr>
      <w:r>
        <w:rPr>
          <w:rFonts w:hint="eastAsia" w:ascii="黑体" w:hAnsi="黑体" w:eastAsia="黑体"/>
          <w:b/>
          <w:bCs/>
          <w:sz w:val="28"/>
          <w:szCs w:val="28"/>
        </w:rPr>
        <w:t>四、施工要求：</w:t>
      </w:r>
    </w:p>
    <w:p w14:paraId="4DA8F0B1">
      <w:pPr>
        <w:spacing w:line="360" w:lineRule="auto"/>
        <w:ind w:firstLine="440" w:firstLineChars="200"/>
        <w:rPr>
          <w:rFonts w:ascii="宋体" w:hAnsi="Courier New"/>
          <w:sz w:val="22"/>
          <w:szCs w:val="22"/>
        </w:rPr>
      </w:pPr>
      <w:r>
        <w:rPr>
          <w:rFonts w:ascii="宋体" w:hAnsi="Courier New"/>
          <w:sz w:val="22"/>
          <w:szCs w:val="22"/>
        </w:rPr>
        <w:t>1</w:t>
      </w:r>
      <w:r>
        <w:rPr>
          <w:rFonts w:hint="eastAsia" w:ascii="宋体" w:hAnsi="Courier New"/>
          <w:sz w:val="22"/>
          <w:szCs w:val="22"/>
        </w:rPr>
        <w:t>、施工人员需取得相关证件，施工过程中使用的机械及工具类均应符合国家安全要求。</w:t>
      </w:r>
    </w:p>
    <w:p w14:paraId="6526A664">
      <w:pPr>
        <w:spacing w:line="360" w:lineRule="auto"/>
        <w:ind w:firstLine="440" w:firstLineChars="200"/>
        <w:rPr>
          <w:rFonts w:ascii="宋体" w:hAnsi="Courier New"/>
          <w:sz w:val="22"/>
          <w:szCs w:val="22"/>
        </w:rPr>
      </w:pPr>
      <w:r>
        <w:rPr>
          <w:rFonts w:ascii="宋体" w:hAnsi="Courier New"/>
          <w:sz w:val="22"/>
          <w:szCs w:val="22"/>
        </w:rPr>
        <w:t>2</w:t>
      </w:r>
      <w:r>
        <w:rPr>
          <w:rFonts w:hint="eastAsia" w:ascii="宋体" w:hAnsi="Courier New"/>
          <w:sz w:val="22"/>
          <w:szCs w:val="22"/>
        </w:rPr>
        <w:t>、安全环保要求：乙方在施工期间，必须服从甲方的管理，遵守甲方的厂规厂纪，必须符合甲方环保/职业健康安全的有关规定，做到安全施工文明生产，否则甲方有权停止乙方的工作，并有权要求乙方更换工作人员。因乙方责任造成的安全事故，由乙方承担全部责任。需另签安全施工协议。 </w:t>
      </w:r>
    </w:p>
    <w:p w14:paraId="16CA4058">
      <w:pPr>
        <w:spacing w:line="360" w:lineRule="auto"/>
        <w:ind w:firstLine="440" w:firstLineChars="200"/>
        <w:rPr>
          <w:rFonts w:ascii="宋体" w:hAnsi="Courier New"/>
          <w:sz w:val="22"/>
          <w:szCs w:val="22"/>
        </w:rPr>
      </w:pPr>
      <w:r>
        <w:rPr>
          <w:rFonts w:ascii="宋体" w:hAnsi="Courier New"/>
          <w:sz w:val="22"/>
          <w:szCs w:val="22"/>
        </w:rPr>
        <w:t>3</w:t>
      </w:r>
      <w:r>
        <w:rPr>
          <w:rFonts w:hint="eastAsia" w:ascii="宋体" w:hAnsi="Courier New"/>
          <w:sz w:val="22"/>
          <w:szCs w:val="22"/>
        </w:rPr>
        <w:t>、项目施工时间需服从甲方安排，不得影响甲方正常生产。</w:t>
      </w:r>
    </w:p>
    <w:p w14:paraId="681326AA">
      <w:pPr>
        <w:spacing w:line="360" w:lineRule="auto"/>
        <w:ind w:firstLine="440" w:firstLineChars="200"/>
        <w:rPr>
          <w:rFonts w:ascii="宋体" w:hAnsi="Courier New"/>
          <w:sz w:val="22"/>
          <w:szCs w:val="22"/>
        </w:rPr>
      </w:pPr>
      <w:r>
        <w:rPr>
          <w:rFonts w:ascii="宋体" w:hAnsi="Courier New"/>
          <w:sz w:val="22"/>
          <w:szCs w:val="22"/>
        </w:rPr>
        <w:t>4</w:t>
      </w:r>
      <w:r>
        <w:rPr>
          <w:rFonts w:hint="eastAsia" w:ascii="宋体" w:hAnsi="Courier New"/>
          <w:sz w:val="22"/>
          <w:szCs w:val="22"/>
        </w:rPr>
        <w:t>、乙方应具备相应的资质：</w:t>
      </w:r>
    </w:p>
    <w:p w14:paraId="41BF3886">
      <w:pPr>
        <w:spacing w:line="360" w:lineRule="auto"/>
        <w:ind w:firstLine="440" w:firstLineChars="200"/>
        <w:rPr>
          <w:rFonts w:ascii="宋体" w:hAnsi="Courier New"/>
          <w:sz w:val="22"/>
          <w:szCs w:val="22"/>
        </w:rPr>
      </w:pPr>
      <w:r>
        <w:rPr>
          <w:rFonts w:hint="eastAsia" w:ascii="宋体" w:hAnsi="Courier New"/>
          <w:sz w:val="22"/>
          <w:szCs w:val="22"/>
        </w:rPr>
        <w:t>施工高度在2M以上项目需提供人员《高空类作业证》，接电作业者需提供《电工类作业证》。</w:t>
      </w:r>
    </w:p>
    <w:p w14:paraId="5FE854AE">
      <w:pPr>
        <w:pStyle w:val="14"/>
        <w:spacing w:line="360" w:lineRule="auto"/>
        <w:ind w:firstLine="440" w:firstLineChars="200"/>
        <w:rPr>
          <w:sz w:val="22"/>
        </w:rPr>
      </w:pPr>
      <w:r>
        <w:rPr>
          <w:sz w:val="22"/>
        </w:rPr>
        <w:t>5</w:t>
      </w:r>
      <w:r>
        <w:rPr>
          <w:rFonts w:hint="eastAsia"/>
          <w:sz w:val="22"/>
        </w:rPr>
        <w:t>、由于乙方责任，造成甲方设备的损坏、丢失的，应当赔偿甲方因此造成的损失。赔偿金额视设备的损坏程度及价值而定。</w:t>
      </w:r>
    </w:p>
    <w:p w14:paraId="6F05758B">
      <w:pPr>
        <w:pStyle w:val="14"/>
        <w:spacing w:line="360" w:lineRule="auto"/>
        <w:ind w:firstLine="440" w:firstLineChars="200"/>
        <w:rPr>
          <w:sz w:val="22"/>
        </w:rPr>
      </w:pPr>
      <w:r>
        <w:rPr>
          <w:sz w:val="22"/>
        </w:rPr>
        <w:t>6</w:t>
      </w:r>
      <w:r>
        <w:rPr>
          <w:rFonts w:hint="eastAsia"/>
          <w:sz w:val="22"/>
        </w:rPr>
        <w:t>、乙方完成的工作少于合同规定时，甲方仍然需要的，应当照数补齐，补齐部分按逾期交付处理；少交迟交部分甲方不再需要的，乙方应承担因此造成的损失。</w:t>
      </w:r>
    </w:p>
    <w:p w14:paraId="3F7B49A3">
      <w:pPr>
        <w:pStyle w:val="14"/>
        <w:spacing w:line="360" w:lineRule="auto"/>
        <w:ind w:firstLine="440" w:firstLineChars="200"/>
        <w:rPr>
          <w:sz w:val="22"/>
        </w:rPr>
      </w:pPr>
      <w:r>
        <w:rPr>
          <w:sz w:val="22"/>
        </w:rPr>
        <w:t>7</w:t>
      </w:r>
      <w:r>
        <w:rPr>
          <w:rFonts w:hint="eastAsia"/>
          <w:sz w:val="22"/>
        </w:rPr>
        <w:t>、乙方保证全部按照合同条款规定和交货期向甲方主提供上述合格的设备和服务，并对材料及安装服务提供一年的质保，质保期自验收合格之日起开始计算，质保期内发生质量问题由乙方负责免费整改。</w:t>
      </w:r>
    </w:p>
    <w:p w14:paraId="77C4BAAB">
      <w:pPr>
        <w:pStyle w:val="14"/>
        <w:spacing w:line="360" w:lineRule="auto"/>
        <w:ind w:firstLine="440" w:firstLineChars="200"/>
        <w:rPr>
          <w:sz w:val="22"/>
        </w:rPr>
      </w:pPr>
      <w:r>
        <w:rPr>
          <w:sz w:val="22"/>
        </w:rPr>
        <w:t>8</w:t>
      </w:r>
      <w:r>
        <w:rPr>
          <w:rFonts w:hint="eastAsia"/>
          <w:sz w:val="22"/>
        </w:rPr>
        <w:t>、质保期终止之日起一年内重复出现的质保期之内出现的故障，仍属质保范围而且应当免费。</w:t>
      </w:r>
    </w:p>
    <w:p w14:paraId="513A24C3">
      <w:pPr>
        <w:pStyle w:val="14"/>
        <w:spacing w:line="360" w:lineRule="auto"/>
        <w:rPr>
          <w:rFonts w:hint="eastAsia" w:ascii="黑体" w:hAnsi="黑体" w:eastAsia="黑体"/>
          <w:b/>
          <w:bCs/>
          <w:sz w:val="28"/>
          <w:szCs w:val="28"/>
        </w:rPr>
      </w:pPr>
      <w:r>
        <w:rPr>
          <w:rFonts w:hint="eastAsia" w:ascii="黑体" w:hAnsi="黑体" w:eastAsia="黑体"/>
          <w:b/>
          <w:bCs/>
          <w:sz w:val="28"/>
          <w:szCs w:val="28"/>
        </w:rPr>
        <w:t>五、验收标准：</w:t>
      </w:r>
    </w:p>
    <w:p w14:paraId="3EA12362">
      <w:pPr>
        <w:pStyle w:val="14"/>
        <w:spacing w:line="360" w:lineRule="auto"/>
        <w:rPr>
          <w:rFonts w:hint="eastAsia" w:hAnsi="宋体" w:cs="宋体"/>
          <w:color w:val="000000"/>
          <w:sz w:val="22"/>
        </w:rPr>
      </w:pPr>
      <w:r>
        <w:rPr>
          <w:rFonts w:hint="eastAsia" w:hAnsi="宋体" w:cs="宋体"/>
          <w:color w:val="000000"/>
          <w:sz w:val="22"/>
        </w:rPr>
        <w:t>1.交付详细设备状态报告。（</w:t>
      </w:r>
      <w:r>
        <w:rPr>
          <w:rFonts w:hint="eastAsia" w:hAnsi="宋体"/>
          <w:sz w:val="24"/>
          <w:szCs w:val="24"/>
        </w:rPr>
        <w:t>各机械部位状态、电路及气路状态、立柱导轨及回转部件状态、传感器及测针状态、Z轴直线度和Z轴平行度精度状态）</w:t>
      </w:r>
    </w:p>
    <w:p w14:paraId="46D73893">
      <w:pPr>
        <w:pStyle w:val="14"/>
        <w:spacing w:line="360" w:lineRule="auto"/>
        <w:rPr>
          <w:rFonts w:hint="eastAsia" w:hAnsi="宋体" w:cs="宋体"/>
          <w:color w:val="000000"/>
          <w:sz w:val="22"/>
        </w:rPr>
      </w:pPr>
      <w:r>
        <w:rPr>
          <w:rFonts w:hint="eastAsia" w:hAnsi="宋体" w:cs="宋体"/>
          <w:color w:val="000000"/>
          <w:sz w:val="22"/>
        </w:rPr>
        <w:t>2.交付校准数据报告：满足设备初始角向精度0.028μ，直线度精度0.031μ/300mm要求。</w:t>
      </w:r>
    </w:p>
    <w:p w14:paraId="49A22E4D">
      <w:pPr>
        <w:pStyle w:val="14"/>
        <w:spacing w:line="360" w:lineRule="auto"/>
        <w:rPr>
          <w:rFonts w:hint="eastAsia" w:ascii="黑体" w:hAnsi="黑体" w:eastAsia="黑体"/>
          <w:b/>
          <w:bCs/>
          <w:sz w:val="28"/>
          <w:szCs w:val="28"/>
        </w:rPr>
      </w:pPr>
      <w:r>
        <w:rPr>
          <w:rFonts w:hint="eastAsia" w:ascii="黑体" w:hAnsi="黑体" w:eastAsia="黑体"/>
          <w:b/>
          <w:bCs/>
          <w:sz w:val="28"/>
          <w:szCs w:val="28"/>
        </w:rPr>
        <w:t>六、服务</w:t>
      </w:r>
    </w:p>
    <w:p w14:paraId="6DD72413">
      <w:pPr>
        <w:pStyle w:val="14"/>
        <w:spacing w:line="360" w:lineRule="auto"/>
        <w:ind w:firstLine="440" w:firstLineChars="200"/>
        <w:rPr>
          <w:sz w:val="22"/>
        </w:rPr>
      </w:pPr>
      <w:r>
        <w:rPr>
          <w:sz w:val="22"/>
        </w:rPr>
        <w:t>1</w:t>
      </w:r>
      <w:r>
        <w:rPr>
          <w:rFonts w:hint="eastAsia"/>
          <w:sz w:val="22"/>
        </w:rPr>
        <w:t>、维修工作完成后，并达到甲方验收标准，乙方应及时通报给甲方，按甲方技术要求和国家有关标准共同验收，并填写验收记录，双方签字认可。</w:t>
      </w:r>
    </w:p>
    <w:p w14:paraId="718FE084">
      <w:pPr>
        <w:spacing w:line="360" w:lineRule="auto"/>
        <w:ind w:firstLine="440" w:firstLineChars="200"/>
        <w:rPr>
          <w:rFonts w:ascii="宋体" w:hAnsi="Courier New"/>
          <w:sz w:val="22"/>
          <w:szCs w:val="22"/>
        </w:rPr>
      </w:pPr>
      <w:r>
        <w:rPr>
          <w:rFonts w:ascii="宋体" w:hAnsi="Courier New"/>
          <w:sz w:val="22"/>
          <w:szCs w:val="22"/>
        </w:rPr>
        <w:t>2</w:t>
      </w:r>
      <w:r>
        <w:rPr>
          <w:rFonts w:hint="eastAsia" w:ascii="宋体" w:hAnsi="Courier New"/>
          <w:sz w:val="22"/>
          <w:szCs w:val="22"/>
        </w:rPr>
        <w:t>、正式验收后，乙方应提供</w:t>
      </w:r>
      <w:r>
        <w:rPr>
          <w:rFonts w:ascii="宋体" w:hAnsi="Courier New"/>
          <w:sz w:val="22"/>
          <w:szCs w:val="22"/>
        </w:rPr>
        <w:t xml:space="preserve"> </w:t>
      </w:r>
      <w:r>
        <w:rPr>
          <w:rFonts w:hint="eastAsia" w:ascii="宋体" w:hAnsi="Courier New"/>
          <w:sz w:val="22"/>
          <w:szCs w:val="22"/>
          <w:u w:val="single"/>
        </w:rPr>
        <w:t>3</w:t>
      </w:r>
      <w:r>
        <w:rPr>
          <w:rFonts w:ascii="宋体" w:hAnsi="Courier New"/>
          <w:sz w:val="22"/>
          <w:szCs w:val="22"/>
          <w:u w:val="single"/>
        </w:rPr>
        <w:t xml:space="preserve"> </w:t>
      </w:r>
      <w:r>
        <w:rPr>
          <w:rFonts w:hint="eastAsia" w:ascii="宋体" w:hAnsi="Courier New"/>
          <w:sz w:val="22"/>
          <w:szCs w:val="22"/>
        </w:rPr>
        <w:t>个月的免费保修。</w:t>
      </w:r>
    </w:p>
    <w:p w14:paraId="37A50C48">
      <w:pPr>
        <w:spacing w:line="360" w:lineRule="auto"/>
        <w:ind w:firstLine="440" w:firstLineChars="200"/>
        <w:rPr>
          <w:sz w:val="22"/>
          <w:szCs w:val="22"/>
        </w:rPr>
      </w:pPr>
      <w:r>
        <w:rPr>
          <w:rFonts w:ascii="宋体" w:hAnsi="Courier New"/>
          <w:sz w:val="22"/>
          <w:szCs w:val="22"/>
        </w:rPr>
        <w:t>3</w:t>
      </w:r>
      <w:r>
        <w:rPr>
          <w:rFonts w:hint="eastAsia" w:ascii="宋体" w:hAnsi="Courier New"/>
          <w:sz w:val="22"/>
          <w:szCs w:val="22"/>
        </w:rPr>
        <w:t>、</w:t>
      </w:r>
      <w:r>
        <w:rPr>
          <w:rFonts w:hint="eastAsia"/>
          <w:sz w:val="22"/>
          <w:szCs w:val="22"/>
        </w:rPr>
        <w:t>在保修期内发生设备故障，乙方必须在24小时内到达现场处理问题；如乙方24小时内未到现场，将承担相应的责任并酌情扣减保证金，如生产急需，甲方可自行处理由此产生的一切费用由乙方承担。</w:t>
      </w:r>
      <w:r>
        <w:rPr>
          <w:rFonts w:hint="eastAsia" w:ascii="宋体" w:hAnsi="宋体" w:cs="宋体"/>
          <w:sz w:val="22"/>
          <w:szCs w:val="22"/>
        </w:rPr>
        <w:t>质量保证期在重新维修验收合格后延长3个月</w:t>
      </w:r>
      <w:r>
        <w:rPr>
          <w:rFonts w:hint="eastAsia"/>
          <w:sz w:val="22"/>
          <w:szCs w:val="22"/>
        </w:rPr>
        <w:t>。 </w:t>
      </w:r>
    </w:p>
    <w:p w14:paraId="51D50863">
      <w:pPr>
        <w:spacing w:line="360" w:lineRule="auto"/>
        <w:ind w:firstLine="440" w:firstLineChars="200"/>
        <w:rPr>
          <w:rFonts w:ascii="宋体" w:hAnsi="Courier New"/>
          <w:sz w:val="22"/>
          <w:szCs w:val="22"/>
        </w:rPr>
      </w:pPr>
      <w:r>
        <w:rPr>
          <w:rFonts w:ascii="宋体" w:hAnsi="Courier New"/>
          <w:sz w:val="22"/>
          <w:szCs w:val="22"/>
        </w:rPr>
        <w:t>4</w:t>
      </w:r>
      <w:r>
        <w:rPr>
          <w:rFonts w:hint="eastAsia" w:ascii="宋体" w:hAnsi="Courier New"/>
          <w:sz w:val="22"/>
          <w:szCs w:val="22"/>
        </w:rPr>
        <w:t>、乙方派往甲方使用现场的人员，应具有较高的业务素质；现场解决问题时，不得无故拖延或推迟，应为甲方提供最佳的服务。</w:t>
      </w:r>
    </w:p>
    <w:p w14:paraId="74AF9CD2">
      <w:pPr>
        <w:pStyle w:val="14"/>
        <w:spacing w:line="360" w:lineRule="auto"/>
        <w:rPr>
          <w:rFonts w:hint="eastAsia" w:ascii="黑体" w:hAnsi="黑体" w:eastAsia="黑体"/>
          <w:b/>
          <w:bCs/>
          <w:sz w:val="28"/>
          <w:szCs w:val="28"/>
        </w:rPr>
      </w:pPr>
      <w:r>
        <w:rPr>
          <w:rFonts w:hint="eastAsia" w:ascii="黑体" w:hAnsi="黑体" w:eastAsia="黑体"/>
          <w:b/>
          <w:bCs/>
          <w:sz w:val="28"/>
          <w:szCs w:val="28"/>
        </w:rPr>
        <w:t>七、技术资料及培训服务</w:t>
      </w:r>
    </w:p>
    <w:p w14:paraId="102022D9">
      <w:pPr>
        <w:pStyle w:val="14"/>
        <w:spacing w:line="360" w:lineRule="auto"/>
        <w:ind w:firstLine="440" w:firstLineChars="200"/>
        <w:rPr>
          <w:sz w:val="22"/>
        </w:rPr>
      </w:pPr>
      <w:r>
        <w:rPr>
          <w:rFonts w:hint="eastAsia"/>
          <w:sz w:val="22"/>
        </w:rPr>
        <w:t>1、乙方负责对甲方技术、维修和操作人员提供免费的技术和操作、维修等方面的技术指导和培训。</w:t>
      </w:r>
    </w:p>
    <w:p w14:paraId="3BE58A5E">
      <w:pPr>
        <w:pStyle w:val="14"/>
        <w:spacing w:line="360" w:lineRule="auto"/>
        <w:ind w:firstLine="440" w:firstLineChars="200"/>
        <w:rPr>
          <w:sz w:val="22"/>
        </w:rPr>
      </w:pPr>
      <w:r>
        <w:rPr>
          <w:rFonts w:hint="eastAsia"/>
          <w:sz w:val="22"/>
        </w:rPr>
        <w:t>2、乙方按要求免费积极协助和提供甲方以及甲方所委托的工程设计单位有关人员所需要的、与设备有关的工程设计资料、技术咨询等。</w:t>
      </w:r>
    </w:p>
    <w:p w14:paraId="6FFA0014">
      <w:pPr>
        <w:pStyle w:val="14"/>
        <w:spacing w:line="360" w:lineRule="auto"/>
        <w:ind w:firstLine="440" w:firstLineChars="200"/>
        <w:rPr>
          <w:sz w:val="22"/>
        </w:rPr>
      </w:pPr>
      <w:r>
        <w:rPr>
          <w:rFonts w:hint="eastAsia"/>
          <w:sz w:val="22"/>
        </w:rPr>
        <w:t>3、若乙方提供的设备涉及到外购外协货物、而且该货物的技术质量等较为关键时，应保证能得到供应商的技术支持，并免费为甲方提供安装使用现场的指导与培训。</w:t>
      </w:r>
    </w:p>
    <w:p w14:paraId="64E1E77D">
      <w:pPr>
        <w:pStyle w:val="14"/>
        <w:spacing w:line="360" w:lineRule="auto"/>
        <w:ind w:firstLine="440" w:firstLineChars="200"/>
      </w:pPr>
      <w:r>
        <w:rPr>
          <w:rFonts w:hint="eastAsia"/>
          <w:sz w:val="22"/>
        </w:rPr>
        <w:t>4、</w:t>
      </w:r>
      <w:r>
        <w:rPr>
          <w:sz w:val="22"/>
        </w:rPr>
        <w:t>设备使用（操作）说明书，使用说明书包括调试说明、使用说明、操作说明、设备说明、维修资料等操作、安装、调试、保养和维修所需的全部资料(机械的、电气的以及合同规定的其他资料)</w:t>
      </w:r>
      <w:r>
        <w:rPr>
          <w:rFonts w:hint="eastAsia"/>
          <w:sz w:val="22"/>
        </w:rPr>
        <w:t>。</w:t>
      </w:r>
    </w:p>
    <w:p w14:paraId="497A99B9">
      <w:pPr>
        <w:pStyle w:val="14"/>
        <w:spacing w:line="360" w:lineRule="auto"/>
        <w:rPr>
          <w:rFonts w:hint="eastAsia" w:ascii="黑体" w:hAnsi="黑体" w:eastAsia="黑体"/>
          <w:b/>
          <w:bCs/>
          <w:sz w:val="28"/>
          <w:szCs w:val="28"/>
        </w:rPr>
      </w:pPr>
      <w:r>
        <w:rPr>
          <w:rFonts w:hint="eastAsia" w:ascii="黑体" w:hAnsi="黑体" w:eastAsia="黑体"/>
          <w:b/>
          <w:bCs/>
          <w:sz w:val="28"/>
          <w:szCs w:val="28"/>
        </w:rPr>
        <w:t>八、其他</w:t>
      </w:r>
    </w:p>
    <w:p w14:paraId="7F683CF3">
      <w:pPr>
        <w:pStyle w:val="14"/>
        <w:spacing w:line="360" w:lineRule="auto"/>
        <w:ind w:firstLine="440" w:firstLineChars="200"/>
        <w:rPr>
          <w:sz w:val="22"/>
        </w:rPr>
      </w:pPr>
      <w:r>
        <w:rPr>
          <w:rFonts w:hint="eastAsia"/>
          <w:sz w:val="22"/>
        </w:rPr>
        <w:t>1.乙人承诺对参与该项目所获得的与甲人产品相关的所有信息都予以保密，并承担与此相关的所有法律责任。</w:t>
      </w:r>
    </w:p>
    <w:p w14:paraId="5CF721F3">
      <w:pPr>
        <w:pStyle w:val="14"/>
        <w:spacing w:line="360" w:lineRule="auto"/>
        <w:ind w:firstLine="440" w:firstLineChars="200"/>
        <w:rPr>
          <w:sz w:val="22"/>
        </w:rPr>
      </w:pPr>
      <w:r>
        <w:rPr>
          <w:rFonts w:hint="eastAsia"/>
          <w:sz w:val="22"/>
        </w:rPr>
        <w:t>2.其余未尽事宜，乙人应与甲人指派的答疑人员充分沟通，理解认可并接受相关技术规范及服务要求。</w:t>
      </w:r>
    </w:p>
    <w:p w14:paraId="507F0B95">
      <w:pPr>
        <w:pStyle w:val="14"/>
        <w:spacing w:line="360" w:lineRule="auto"/>
        <w:ind w:firstLine="440" w:firstLineChars="200"/>
        <w:rPr>
          <w:sz w:val="22"/>
        </w:rPr>
      </w:pPr>
    </w:p>
    <w:p w14:paraId="635519F6">
      <w:pPr>
        <w:pStyle w:val="14"/>
        <w:spacing w:line="360" w:lineRule="auto"/>
        <w:ind w:firstLine="440" w:firstLineChars="200"/>
        <w:rPr>
          <w:sz w:val="22"/>
        </w:rPr>
      </w:pPr>
    </w:p>
    <w:p w14:paraId="5A4288FF">
      <w:pPr>
        <w:pStyle w:val="14"/>
        <w:spacing w:line="360" w:lineRule="auto"/>
        <w:ind w:firstLine="440" w:firstLineChars="200"/>
        <w:rPr>
          <w:sz w:val="22"/>
        </w:rPr>
      </w:pPr>
    </w:p>
    <w:p w14:paraId="06CD4531">
      <w:pPr>
        <w:pStyle w:val="14"/>
        <w:spacing w:line="360" w:lineRule="auto"/>
        <w:ind w:firstLine="440" w:firstLineChars="200"/>
        <w:rPr>
          <w:rFonts w:hint="eastAsia"/>
          <w:sz w:val="22"/>
        </w:rPr>
      </w:pPr>
    </w:p>
    <w:p w14:paraId="0FDE41DE"/>
    <w:tbl>
      <w:tblPr>
        <w:tblStyle w:val="30"/>
        <w:tblpPr w:leftFromText="180" w:rightFromText="180" w:horzAnchor="margin" w:tblpXSpec="center" w:tblpY="480"/>
        <w:tblW w:w="10850" w:type="dxa"/>
        <w:tblInd w:w="0" w:type="dxa"/>
        <w:tblLayout w:type="autofit"/>
        <w:tblCellMar>
          <w:top w:w="0" w:type="dxa"/>
          <w:left w:w="108" w:type="dxa"/>
          <w:bottom w:w="0" w:type="dxa"/>
          <w:right w:w="108" w:type="dxa"/>
        </w:tblCellMar>
      </w:tblPr>
      <w:tblGrid>
        <w:gridCol w:w="617"/>
        <w:gridCol w:w="1552"/>
        <w:gridCol w:w="1721"/>
        <w:gridCol w:w="1366"/>
        <w:gridCol w:w="1179"/>
        <w:gridCol w:w="1104"/>
        <w:gridCol w:w="1346"/>
        <w:gridCol w:w="1965"/>
      </w:tblGrid>
      <w:tr w14:paraId="3E244C21">
        <w:tblPrEx>
          <w:tblCellMar>
            <w:top w:w="0" w:type="dxa"/>
            <w:left w:w="108" w:type="dxa"/>
            <w:bottom w:w="0" w:type="dxa"/>
            <w:right w:w="108" w:type="dxa"/>
          </w:tblCellMar>
        </w:tblPrEx>
        <w:trPr>
          <w:trHeight w:val="385" w:hRule="atLeast"/>
        </w:trPr>
        <w:tc>
          <w:tcPr>
            <w:tcW w:w="10850" w:type="dxa"/>
            <w:gridSpan w:val="8"/>
            <w:tcBorders>
              <w:top w:val="single" w:color="auto" w:sz="4" w:space="0"/>
              <w:left w:val="single" w:color="auto" w:sz="4" w:space="0"/>
              <w:bottom w:val="single" w:color="auto" w:sz="4" w:space="0"/>
              <w:right w:val="single" w:color="000000" w:sz="4" w:space="0"/>
            </w:tcBorders>
            <w:vAlign w:val="center"/>
          </w:tcPr>
          <w:p w14:paraId="264EF546">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设备维修预算分项明细：</w:t>
            </w:r>
          </w:p>
        </w:tc>
      </w:tr>
      <w:tr w14:paraId="6174C9C3">
        <w:tblPrEx>
          <w:tblCellMar>
            <w:top w:w="0" w:type="dxa"/>
            <w:left w:w="108" w:type="dxa"/>
            <w:bottom w:w="0" w:type="dxa"/>
            <w:right w:w="108" w:type="dxa"/>
          </w:tblCellMar>
        </w:tblPrEx>
        <w:trPr>
          <w:trHeight w:val="385" w:hRule="atLeast"/>
        </w:trPr>
        <w:tc>
          <w:tcPr>
            <w:tcW w:w="10850" w:type="dxa"/>
            <w:gridSpan w:val="8"/>
            <w:tcBorders>
              <w:top w:val="single" w:color="auto" w:sz="4" w:space="0"/>
              <w:left w:val="single" w:color="auto" w:sz="4" w:space="0"/>
              <w:bottom w:val="single" w:color="auto" w:sz="4" w:space="0"/>
              <w:right w:val="single" w:color="auto" w:sz="4" w:space="0"/>
            </w:tcBorders>
            <w:vAlign w:val="center"/>
          </w:tcPr>
          <w:p w14:paraId="118975B1">
            <w:pPr>
              <w:widowControl/>
              <w:jc w:val="center"/>
              <w:rPr>
                <w:rFonts w:hint="eastAsia" w:ascii="等线" w:hAnsi="等线" w:eastAsia="等线" w:cs="宋体"/>
                <w:b/>
                <w:bCs/>
                <w:color w:val="000000"/>
                <w:kern w:val="0"/>
                <w:sz w:val="22"/>
                <w:szCs w:val="22"/>
              </w:rPr>
            </w:pPr>
            <w:r>
              <w:rPr>
                <w:rFonts w:hint="eastAsia" w:ascii="等线" w:hAnsi="等线" w:eastAsia="等线" w:cs="宋体"/>
                <w:b/>
                <w:bCs/>
                <w:color w:val="000000"/>
                <w:kern w:val="0"/>
                <w:sz w:val="22"/>
                <w:szCs w:val="22"/>
              </w:rPr>
              <w:t>材料部分</w:t>
            </w:r>
          </w:p>
        </w:tc>
      </w:tr>
      <w:tr w14:paraId="01886EEE">
        <w:tblPrEx>
          <w:tblCellMar>
            <w:top w:w="0" w:type="dxa"/>
            <w:left w:w="108" w:type="dxa"/>
            <w:bottom w:w="0" w:type="dxa"/>
            <w:right w:w="108" w:type="dxa"/>
          </w:tblCellMar>
        </w:tblPrEx>
        <w:trPr>
          <w:trHeight w:val="385" w:hRule="atLeast"/>
        </w:trPr>
        <w:tc>
          <w:tcPr>
            <w:tcW w:w="617" w:type="dxa"/>
            <w:tcBorders>
              <w:top w:val="nil"/>
              <w:left w:val="single" w:color="auto" w:sz="4" w:space="0"/>
              <w:bottom w:val="single" w:color="auto" w:sz="4" w:space="0"/>
              <w:right w:val="single" w:color="auto" w:sz="4" w:space="0"/>
            </w:tcBorders>
            <w:vAlign w:val="center"/>
          </w:tcPr>
          <w:p w14:paraId="586D1C19">
            <w:pPr>
              <w:widowControl/>
              <w:jc w:val="center"/>
              <w:rPr>
                <w:rFonts w:hint="eastAsia" w:ascii="等线" w:hAnsi="等线" w:eastAsia="等线" w:cs="宋体"/>
                <w:b/>
                <w:bCs/>
                <w:color w:val="000000"/>
                <w:kern w:val="0"/>
                <w:sz w:val="22"/>
                <w:szCs w:val="22"/>
              </w:rPr>
            </w:pPr>
            <w:r>
              <w:rPr>
                <w:rFonts w:hint="eastAsia" w:ascii="等线" w:hAnsi="等线" w:eastAsia="等线" w:cs="宋体"/>
                <w:b/>
                <w:bCs/>
                <w:color w:val="000000"/>
                <w:kern w:val="0"/>
                <w:sz w:val="22"/>
                <w:szCs w:val="22"/>
              </w:rPr>
              <w:t>序号</w:t>
            </w:r>
          </w:p>
        </w:tc>
        <w:tc>
          <w:tcPr>
            <w:tcW w:w="1552" w:type="dxa"/>
            <w:tcBorders>
              <w:top w:val="nil"/>
              <w:left w:val="nil"/>
              <w:bottom w:val="single" w:color="auto" w:sz="4" w:space="0"/>
              <w:right w:val="single" w:color="auto" w:sz="4" w:space="0"/>
            </w:tcBorders>
            <w:vAlign w:val="center"/>
          </w:tcPr>
          <w:p w14:paraId="6CDBD840">
            <w:pPr>
              <w:widowControl/>
              <w:jc w:val="center"/>
              <w:rPr>
                <w:rFonts w:hint="eastAsia" w:ascii="等线" w:hAnsi="等线" w:eastAsia="等线" w:cs="宋体"/>
                <w:b/>
                <w:bCs/>
                <w:color w:val="000000"/>
                <w:kern w:val="0"/>
                <w:sz w:val="22"/>
                <w:szCs w:val="22"/>
              </w:rPr>
            </w:pPr>
            <w:r>
              <w:rPr>
                <w:rFonts w:hint="eastAsia" w:ascii="等线" w:hAnsi="等线" w:eastAsia="等线" w:cs="宋体"/>
                <w:b/>
                <w:bCs/>
                <w:color w:val="000000"/>
                <w:kern w:val="0"/>
                <w:sz w:val="22"/>
                <w:szCs w:val="22"/>
              </w:rPr>
              <w:t>材料名称</w:t>
            </w:r>
          </w:p>
        </w:tc>
        <w:tc>
          <w:tcPr>
            <w:tcW w:w="1721" w:type="dxa"/>
            <w:tcBorders>
              <w:top w:val="nil"/>
              <w:left w:val="nil"/>
              <w:bottom w:val="single" w:color="auto" w:sz="4" w:space="0"/>
              <w:right w:val="single" w:color="auto" w:sz="4" w:space="0"/>
            </w:tcBorders>
            <w:vAlign w:val="center"/>
          </w:tcPr>
          <w:p w14:paraId="4904020A">
            <w:pPr>
              <w:widowControl/>
              <w:jc w:val="center"/>
              <w:rPr>
                <w:rFonts w:hint="eastAsia" w:ascii="等线" w:hAnsi="等线" w:eastAsia="等线" w:cs="宋体"/>
                <w:b/>
                <w:bCs/>
                <w:color w:val="000000"/>
                <w:kern w:val="0"/>
                <w:sz w:val="22"/>
                <w:szCs w:val="22"/>
              </w:rPr>
            </w:pPr>
            <w:r>
              <w:rPr>
                <w:rFonts w:hint="eastAsia" w:ascii="等线" w:hAnsi="等线" w:eastAsia="等线" w:cs="宋体"/>
                <w:b/>
                <w:bCs/>
                <w:color w:val="000000"/>
                <w:kern w:val="0"/>
                <w:sz w:val="22"/>
                <w:szCs w:val="22"/>
              </w:rPr>
              <w:t>规格型号</w:t>
            </w:r>
          </w:p>
        </w:tc>
        <w:tc>
          <w:tcPr>
            <w:tcW w:w="1366" w:type="dxa"/>
            <w:tcBorders>
              <w:top w:val="nil"/>
              <w:left w:val="nil"/>
              <w:bottom w:val="single" w:color="auto" w:sz="4" w:space="0"/>
              <w:right w:val="single" w:color="auto" w:sz="4" w:space="0"/>
            </w:tcBorders>
            <w:vAlign w:val="center"/>
          </w:tcPr>
          <w:p w14:paraId="39CF1DF6">
            <w:pPr>
              <w:widowControl/>
              <w:jc w:val="center"/>
              <w:rPr>
                <w:rFonts w:hint="eastAsia" w:ascii="等线" w:hAnsi="等线" w:eastAsia="等线" w:cs="宋体"/>
                <w:b/>
                <w:bCs/>
                <w:color w:val="000000"/>
                <w:kern w:val="0"/>
                <w:sz w:val="22"/>
                <w:szCs w:val="22"/>
              </w:rPr>
            </w:pPr>
            <w:r>
              <w:rPr>
                <w:rFonts w:hint="eastAsia" w:ascii="等线" w:hAnsi="等线" w:eastAsia="等线" w:cs="宋体"/>
                <w:b/>
                <w:bCs/>
                <w:color w:val="000000"/>
                <w:kern w:val="0"/>
                <w:sz w:val="22"/>
                <w:szCs w:val="22"/>
              </w:rPr>
              <w:t>品牌</w:t>
            </w:r>
          </w:p>
        </w:tc>
        <w:tc>
          <w:tcPr>
            <w:tcW w:w="1179" w:type="dxa"/>
            <w:tcBorders>
              <w:top w:val="nil"/>
              <w:left w:val="nil"/>
              <w:bottom w:val="single" w:color="auto" w:sz="4" w:space="0"/>
              <w:right w:val="single" w:color="auto" w:sz="4" w:space="0"/>
            </w:tcBorders>
            <w:vAlign w:val="center"/>
          </w:tcPr>
          <w:p w14:paraId="59BD4886">
            <w:pPr>
              <w:widowControl/>
              <w:jc w:val="center"/>
              <w:rPr>
                <w:rFonts w:hint="eastAsia" w:ascii="等线" w:hAnsi="等线" w:eastAsia="等线" w:cs="宋体"/>
                <w:b/>
                <w:bCs/>
                <w:color w:val="000000"/>
                <w:kern w:val="0"/>
                <w:sz w:val="22"/>
                <w:szCs w:val="22"/>
              </w:rPr>
            </w:pPr>
            <w:r>
              <w:rPr>
                <w:rFonts w:hint="eastAsia" w:ascii="等线" w:hAnsi="等线" w:eastAsia="等线" w:cs="宋体"/>
                <w:b/>
                <w:bCs/>
                <w:color w:val="000000"/>
                <w:kern w:val="0"/>
                <w:sz w:val="22"/>
                <w:szCs w:val="22"/>
              </w:rPr>
              <w:t>单价</w:t>
            </w:r>
          </w:p>
        </w:tc>
        <w:tc>
          <w:tcPr>
            <w:tcW w:w="1104" w:type="dxa"/>
            <w:tcBorders>
              <w:top w:val="nil"/>
              <w:left w:val="nil"/>
              <w:bottom w:val="single" w:color="auto" w:sz="4" w:space="0"/>
              <w:right w:val="single" w:color="auto" w:sz="4" w:space="0"/>
            </w:tcBorders>
            <w:vAlign w:val="center"/>
          </w:tcPr>
          <w:p w14:paraId="4D941492">
            <w:pPr>
              <w:widowControl/>
              <w:jc w:val="center"/>
              <w:rPr>
                <w:rFonts w:hint="eastAsia" w:ascii="等线" w:hAnsi="等线" w:eastAsia="等线" w:cs="宋体"/>
                <w:b/>
                <w:bCs/>
                <w:color w:val="000000"/>
                <w:kern w:val="0"/>
                <w:sz w:val="22"/>
                <w:szCs w:val="22"/>
              </w:rPr>
            </w:pPr>
            <w:r>
              <w:rPr>
                <w:rFonts w:hint="eastAsia" w:ascii="等线" w:hAnsi="等线" w:eastAsia="等线" w:cs="宋体"/>
                <w:b/>
                <w:bCs/>
                <w:color w:val="000000"/>
                <w:kern w:val="0"/>
                <w:sz w:val="22"/>
                <w:szCs w:val="22"/>
              </w:rPr>
              <w:t>数量</w:t>
            </w:r>
          </w:p>
        </w:tc>
        <w:tc>
          <w:tcPr>
            <w:tcW w:w="1346" w:type="dxa"/>
            <w:tcBorders>
              <w:top w:val="nil"/>
              <w:left w:val="nil"/>
              <w:bottom w:val="single" w:color="auto" w:sz="4" w:space="0"/>
              <w:right w:val="single" w:color="auto" w:sz="4" w:space="0"/>
            </w:tcBorders>
            <w:vAlign w:val="center"/>
          </w:tcPr>
          <w:p w14:paraId="44E6015A">
            <w:pPr>
              <w:widowControl/>
              <w:jc w:val="center"/>
              <w:rPr>
                <w:rFonts w:hint="eastAsia" w:ascii="等线" w:hAnsi="等线" w:eastAsia="等线" w:cs="宋体"/>
                <w:b/>
                <w:bCs/>
                <w:color w:val="000000"/>
                <w:kern w:val="0"/>
                <w:sz w:val="22"/>
                <w:szCs w:val="22"/>
              </w:rPr>
            </w:pPr>
            <w:r>
              <w:rPr>
                <w:rFonts w:hint="eastAsia" w:ascii="等线" w:hAnsi="等线" w:eastAsia="等线" w:cs="宋体"/>
                <w:b/>
                <w:bCs/>
                <w:color w:val="000000"/>
                <w:kern w:val="0"/>
                <w:sz w:val="22"/>
                <w:szCs w:val="22"/>
              </w:rPr>
              <w:t>合计</w:t>
            </w:r>
          </w:p>
        </w:tc>
        <w:tc>
          <w:tcPr>
            <w:tcW w:w="1965" w:type="dxa"/>
            <w:tcBorders>
              <w:top w:val="nil"/>
              <w:left w:val="nil"/>
              <w:bottom w:val="single" w:color="auto" w:sz="4" w:space="0"/>
              <w:right w:val="single" w:color="auto" w:sz="4" w:space="0"/>
            </w:tcBorders>
            <w:vAlign w:val="center"/>
          </w:tcPr>
          <w:p w14:paraId="46CEAB24">
            <w:pPr>
              <w:widowControl/>
              <w:jc w:val="center"/>
              <w:rPr>
                <w:rFonts w:hint="eastAsia" w:ascii="等线" w:hAnsi="等线" w:eastAsia="等线" w:cs="宋体"/>
                <w:b/>
                <w:bCs/>
                <w:color w:val="000000"/>
                <w:kern w:val="0"/>
                <w:sz w:val="22"/>
                <w:szCs w:val="22"/>
              </w:rPr>
            </w:pPr>
            <w:r>
              <w:rPr>
                <w:rFonts w:hint="eastAsia" w:ascii="等线" w:hAnsi="等线" w:eastAsia="等线" w:cs="宋体"/>
                <w:b/>
                <w:bCs/>
                <w:color w:val="000000"/>
                <w:kern w:val="0"/>
                <w:sz w:val="22"/>
                <w:szCs w:val="22"/>
              </w:rPr>
              <w:t>备注</w:t>
            </w:r>
          </w:p>
        </w:tc>
      </w:tr>
      <w:tr w14:paraId="0D1DDFFA">
        <w:tblPrEx>
          <w:tblCellMar>
            <w:top w:w="0" w:type="dxa"/>
            <w:left w:w="108" w:type="dxa"/>
            <w:bottom w:w="0" w:type="dxa"/>
            <w:right w:w="108" w:type="dxa"/>
          </w:tblCellMar>
        </w:tblPrEx>
        <w:trPr>
          <w:trHeight w:val="1093" w:hRule="atLeast"/>
        </w:trPr>
        <w:tc>
          <w:tcPr>
            <w:tcW w:w="617" w:type="dxa"/>
            <w:tcBorders>
              <w:top w:val="nil"/>
              <w:left w:val="single" w:color="auto" w:sz="4" w:space="0"/>
              <w:bottom w:val="single" w:color="auto" w:sz="4" w:space="0"/>
              <w:right w:val="single" w:color="auto" w:sz="4" w:space="0"/>
            </w:tcBorders>
            <w:vAlign w:val="center"/>
          </w:tcPr>
          <w:p w14:paraId="6A1454AF">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1552" w:type="dxa"/>
            <w:tcBorders>
              <w:top w:val="nil"/>
              <w:left w:val="nil"/>
              <w:bottom w:val="single" w:color="auto" w:sz="4" w:space="0"/>
              <w:right w:val="single" w:color="auto" w:sz="4" w:space="0"/>
            </w:tcBorders>
            <w:vAlign w:val="center"/>
          </w:tcPr>
          <w:p w14:paraId="2901AE92">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测针</w:t>
            </w:r>
          </w:p>
        </w:tc>
        <w:tc>
          <w:tcPr>
            <w:tcW w:w="1721" w:type="dxa"/>
            <w:tcBorders>
              <w:top w:val="nil"/>
              <w:left w:val="nil"/>
              <w:bottom w:val="single" w:color="auto" w:sz="4" w:space="0"/>
              <w:right w:val="single" w:color="auto" w:sz="4" w:space="0"/>
            </w:tcBorders>
            <w:vAlign w:val="center"/>
          </w:tcPr>
          <w:p w14:paraId="4092D2AF">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EM46100-S300</w:t>
            </w:r>
          </w:p>
        </w:tc>
        <w:tc>
          <w:tcPr>
            <w:tcW w:w="1366" w:type="dxa"/>
            <w:tcBorders>
              <w:top w:val="nil"/>
              <w:left w:val="nil"/>
              <w:bottom w:val="single" w:color="auto" w:sz="4" w:space="0"/>
              <w:right w:val="single" w:color="auto" w:sz="4" w:space="0"/>
            </w:tcBorders>
            <w:vAlign w:val="center"/>
          </w:tcPr>
          <w:p w14:paraId="5BA94D87">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东精精密</w:t>
            </w:r>
          </w:p>
        </w:tc>
        <w:tc>
          <w:tcPr>
            <w:tcW w:w="1179" w:type="dxa"/>
            <w:tcBorders>
              <w:top w:val="nil"/>
              <w:left w:val="nil"/>
              <w:bottom w:val="single" w:color="auto" w:sz="4" w:space="0"/>
              <w:right w:val="single" w:color="auto" w:sz="4" w:space="0"/>
            </w:tcBorders>
            <w:vAlign w:val="center"/>
          </w:tcPr>
          <w:p w14:paraId="0910189A">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4480</w:t>
            </w:r>
          </w:p>
        </w:tc>
        <w:tc>
          <w:tcPr>
            <w:tcW w:w="1104" w:type="dxa"/>
            <w:tcBorders>
              <w:top w:val="nil"/>
              <w:left w:val="nil"/>
              <w:bottom w:val="single" w:color="auto" w:sz="4" w:space="0"/>
              <w:right w:val="single" w:color="auto" w:sz="4" w:space="0"/>
            </w:tcBorders>
            <w:vAlign w:val="center"/>
          </w:tcPr>
          <w:p w14:paraId="498C7648">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1346" w:type="dxa"/>
            <w:tcBorders>
              <w:top w:val="nil"/>
              <w:left w:val="nil"/>
              <w:bottom w:val="single" w:color="auto" w:sz="4" w:space="0"/>
              <w:right w:val="single" w:color="auto" w:sz="4" w:space="0"/>
            </w:tcBorders>
            <w:vAlign w:val="center"/>
          </w:tcPr>
          <w:p w14:paraId="2CA273AF">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4480</w:t>
            </w:r>
          </w:p>
        </w:tc>
        <w:tc>
          <w:tcPr>
            <w:tcW w:w="1965" w:type="dxa"/>
            <w:tcBorders>
              <w:top w:val="nil"/>
              <w:left w:val="nil"/>
              <w:bottom w:val="nil"/>
              <w:right w:val="single" w:color="auto" w:sz="4" w:space="0"/>
            </w:tcBorders>
            <w:vAlign w:val="center"/>
          </w:tcPr>
          <w:p w14:paraId="6F3CDE02">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14:paraId="00E92D0E">
        <w:tblPrEx>
          <w:tblCellMar>
            <w:top w:w="0" w:type="dxa"/>
            <w:left w:w="108" w:type="dxa"/>
            <w:bottom w:w="0" w:type="dxa"/>
            <w:right w:w="108" w:type="dxa"/>
          </w:tblCellMar>
        </w:tblPrEx>
        <w:trPr>
          <w:trHeight w:val="385" w:hRule="atLeast"/>
        </w:trPr>
        <w:tc>
          <w:tcPr>
            <w:tcW w:w="7539" w:type="dxa"/>
            <w:gridSpan w:val="6"/>
            <w:tcBorders>
              <w:top w:val="single" w:color="auto" w:sz="4" w:space="0"/>
              <w:left w:val="single" w:color="auto" w:sz="4" w:space="0"/>
              <w:bottom w:val="single" w:color="auto" w:sz="4" w:space="0"/>
              <w:right w:val="single" w:color="000000" w:sz="4" w:space="0"/>
            </w:tcBorders>
            <w:vAlign w:val="center"/>
          </w:tcPr>
          <w:p w14:paraId="4E262700">
            <w:pPr>
              <w:widowControl/>
              <w:jc w:val="center"/>
              <w:rPr>
                <w:rFonts w:hint="eastAsia" w:ascii="等线" w:hAnsi="等线" w:eastAsia="等线" w:cs="宋体"/>
                <w:b/>
                <w:bCs/>
                <w:color w:val="000000"/>
                <w:kern w:val="0"/>
                <w:sz w:val="22"/>
                <w:szCs w:val="22"/>
              </w:rPr>
            </w:pPr>
            <w:r>
              <w:rPr>
                <w:rFonts w:hint="eastAsia" w:ascii="等线" w:hAnsi="等线" w:eastAsia="等线" w:cs="宋体"/>
                <w:b/>
                <w:bCs/>
                <w:color w:val="000000"/>
                <w:kern w:val="0"/>
                <w:sz w:val="22"/>
                <w:szCs w:val="22"/>
              </w:rPr>
              <w:t>小计</w:t>
            </w:r>
          </w:p>
        </w:tc>
        <w:tc>
          <w:tcPr>
            <w:tcW w:w="1346" w:type="dxa"/>
            <w:tcBorders>
              <w:top w:val="nil"/>
              <w:left w:val="nil"/>
              <w:bottom w:val="single" w:color="auto" w:sz="4" w:space="0"/>
              <w:right w:val="single" w:color="auto" w:sz="4" w:space="0"/>
            </w:tcBorders>
            <w:vAlign w:val="center"/>
          </w:tcPr>
          <w:p w14:paraId="28B31925">
            <w:pPr>
              <w:widowControl/>
              <w:jc w:val="center"/>
              <w:rPr>
                <w:rFonts w:hint="eastAsia" w:ascii="等线" w:hAnsi="等线" w:eastAsia="等线" w:cs="宋体"/>
                <w:b/>
                <w:bCs/>
                <w:color w:val="000000"/>
                <w:kern w:val="0"/>
                <w:sz w:val="22"/>
                <w:szCs w:val="22"/>
              </w:rPr>
            </w:pPr>
            <w:r>
              <w:rPr>
                <w:rFonts w:hint="eastAsia" w:ascii="等线" w:hAnsi="等线" w:eastAsia="等线" w:cs="宋体"/>
                <w:b/>
                <w:bCs/>
                <w:color w:val="000000"/>
                <w:kern w:val="0"/>
                <w:sz w:val="22"/>
                <w:szCs w:val="22"/>
              </w:rPr>
              <w:t>　</w:t>
            </w:r>
          </w:p>
        </w:tc>
        <w:tc>
          <w:tcPr>
            <w:tcW w:w="1965" w:type="dxa"/>
            <w:tcBorders>
              <w:top w:val="single" w:color="auto" w:sz="4" w:space="0"/>
              <w:left w:val="nil"/>
              <w:bottom w:val="single" w:color="auto" w:sz="4" w:space="0"/>
              <w:right w:val="single" w:color="auto" w:sz="4" w:space="0"/>
            </w:tcBorders>
            <w:vAlign w:val="center"/>
          </w:tcPr>
          <w:p w14:paraId="79D87ABA">
            <w:pPr>
              <w:widowControl/>
              <w:jc w:val="center"/>
              <w:rPr>
                <w:rFonts w:hint="eastAsia" w:ascii="等线" w:hAnsi="等线" w:eastAsia="等线" w:cs="宋体"/>
                <w:b/>
                <w:bCs/>
                <w:color w:val="000000"/>
                <w:kern w:val="0"/>
                <w:sz w:val="22"/>
                <w:szCs w:val="22"/>
              </w:rPr>
            </w:pPr>
            <w:r>
              <w:rPr>
                <w:rFonts w:hint="eastAsia" w:ascii="等线" w:hAnsi="等线" w:eastAsia="等线" w:cs="宋体"/>
                <w:b/>
                <w:bCs/>
                <w:color w:val="000000"/>
                <w:kern w:val="0"/>
                <w:sz w:val="22"/>
                <w:szCs w:val="22"/>
              </w:rPr>
              <w:t>　</w:t>
            </w:r>
          </w:p>
        </w:tc>
      </w:tr>
      <w:tr w14:paraId="1411C03A">
        <w:tblPrEx>
          <w:tblCellMar>
            <w:top w:w="0" w:type="dxa"/>
            <w:left w:w="108" w:type="dxa"/>
            <w:bottom w:w="0" w:type="dxa"/>
            <w:right w:w="108" w:type="dxa"/>
          </w:tblCellMar>
        </w:tblPrEx>
        <w:trPr>
          <w:trHeight w:val="385" w:hRule="atLeast"/>
        </w:trPr>
        <w:tc>
          <w:tcPr>
            <w:tcW w:w="10850" w:type="dxa"/>
            <w:gridSpan w:val="8"/>
            <w:tcBorders>
              <w:top w:val="single" w:color="auto" w:sz="4" w:space="0"/>
              <w:left w:val="single" w:color="auto" w:sz="4" w:space="0"/>
              <w:bottom w:val="single" w:color="auto" w:sz="4" w:space="0"/>
              <w:right w:val="single" w:color="auto" w:sz="4" w:space="0"/>
            </w:tcBorders>
            <w:vAlign w:val="center"/>
          </w:tcPr>
          <w:p w14:paraId="0C7232C1">
            <w:pPr>
              <w:widowControl/>
              <w:jc w:val="center"/>
              <w:rPr>
                <w:rFonts w:hint="eastAsia" w:ascii="等线" w:hAnsi="等线" w:eastAsia="等线" w:cs="宋体"/>
                <w:b/>
                <w:bCs/>
                <w:color w:val="000000"/>
                <w:kern w:val="0"/>
                <w:sz w:val="22"/>
                <w:szCs w:val="22"/>
              </w:rPr>
            </w:pPr>
            <w:r>
              <w:rPr>
                <w:rFonts w:hint="eastAsia" w:ascii="等线" w:hAnsi="等线" w:eastAsia="等线" w:cs="宋体"/>
                <w:b/>
                <w:bCs/>
                <w:color w:val="000000"/>
                <w:kern w:val="0"/>
                <w:sz w:val="22"/>
                <w:szCs w:val="22"/>
              </w:rPr>
              <w:t>其他费用</w:t>
            </w:r>
          </w:p>
        </w:tc>
      </w:tr>
      <w:tr w14:paraId="5F0B4037">
        <w:tblPrEx>
          <w:tblCellMar>
            <w:top w:w="0" w:type="dxa"/>
            <w:left w:w="108" w:type="dxa"/>
            <w:bottom w:w="0" w:type="dxa"/>
            <w:right w:w="108" w:type="dxa"/>
          </w:tblCellMar>
        </w:tblPrEx>
        <w:trPr>
          <w:trHeight w:val="385" w:hRule="atLeast"/>
        </w:trPr>
        <w:tc>
          <w:tcPr>
            <w:tcW w:w="617" w:type="dxa"/>
            <w:tcBorders>
              <w:top w:val="nil"/>
              <w:left w:val="single" w:color="auto" w:sz="4" w:space="0"/>
              <w:bottom w:val="single" w:color="auto" w:sz="4" w:space="0"/>
              <w:right w:val="single" w:color="auto" w:sz="4" w:space="0"/>
            </w:tcBorders>
            <w:vAlign w:val="center"/>
          </w:tcPr>
          <w:p w14:paraId="08083333">
            <w:pPr>
              <w:widowControl/>
              <w:jc w:val="center"/>
              <w:rPr>
                <w:rFonts w:hint="eastAsia" w:ascii="等线" w:hAnsi="等线" w:eastAsia="等线" w:cs="宋体"/>
                <w:b/>
                <w:bCs/>
                <w:color w:val="000000"/>
                <w:kern w:val="0"/>
                <w:sz w:val="22"/>
                <w:szCs w:val="22"/>
              </w:rPr>
            </w:pPr>
            <w:r>
              <w:rPr>
                <w:rFonts w:hint="eastAsia" w:ascii="等线" w:hAnsi="等线" w:eastAsia="等线" w:cs="宋体"/>
                <w:b/>
                <w:bCs/>
                <w:color w:val="000000"/>
                <w:kern w:val="0"/>
                <w:sz w:val="22"/>
                <w:szCs w:val="22"/>
              </w:rPr>
              <w:t>序号</w:t>
            </w:r>
          </w:p>
        </w:tc>
        <w:tc>
          <w:tcPr>
            <w:tcW w:w="4639" w:type="dxa"/>
            <w:gridSpan w:val="3"/>
            <w:tcBorders>
              <w:top w:val="single" w:color="auto" w:sz="4" w:space="0"/>
              <w:left w:val="nil"/>
              <w:bottom w:val="single" w:color="auto" w:sz="4" w:space="0"/>
              <w:right w:val="single" w:color="000000" w:sz="4" w:space="0"/>
            </w:tcBorders>
            <w:vAlign w:val="center"/>
          </w:tcPr>
          <w:p w14:paraId="3DA0D740">
            <w:pPr>
              <w:widowControl/>
              <w:jc w:val="center"/>
              <w:rPr>
                <w:rFonts w:hint="eastAsia" w:ascii="等线" w:hAnsi="等线" w:eastAsia="等线" w:cs="宋体"/>
                <w:b/>
                <w:bCs/>
                <w:color w:val="000000"/>
                <w:kern w:val="0"/>
                <w:sz w:val="22"/>
                <w:szCs w:val="22"/>
              </w:rPr>
            </w:pPr>
            <w:r>
              <w:rPr>
                <w:rFonts w:hint="eastAsia" w:ascii="等线" w:hAnsi="等线" w:eastAsia="等线" w:cs="宋体"/>
                <w:b/>
                <w:bCs/>
                <w:color w:val="000000"/>
                <w:kern w:val="0"/>
                <w:sz w:val="22"/>
                <w:szCs w:val="22"/>
              </w:rPr>
              <w:t>项目</w:t>
            </w:r>
          </w:p>
        </w:tc>
        <w:tc>
          <w:tcPr>
            <w:tcW w:w="1179" w:type="dxa"/>
            <w:tcBorders>
              <w:top w:val="nil"/>
              <w:left w:val="nil"/>
              <w:bottom w:val="single" w:color="auto" w:sz="4" w:space="0"/>
              <w:right w:val="single" w:color="auto" w:sz="4" w:space="0"/>
            </w:tcBorders>
            <w:vAlign w:val="center"/>
          </w:tcPr>
          <w:p w14:paraId="5E6E786B">
            <w:pPr>
              <w:widowControl/>
              <w:jc w:val="center"/>
              <w:rPr>
                <w:rFonts w:hint="eastAsia" w:ascii="等线" w:hAnsi="等线" w:eastAsia="等线" w:cs="宋体"/>
                <w:b/>
                <w:bCs/>
                <w:color w:val="000000"/>
                <w:kern w:val="0"/>
                <w:sz w:val="22"/>
                <w:szCs w:val="22"/>
              </w:rPr>
            </w:pPr>
            <w:r>
              <w:rPr>
                <w:rFonts w:hint="eastAsia" w:ascii="等线" w:hAnsi="等线" w:eastAsia="等线" w:cs="宋体"/>
                <w:b/>
                <w:bCs/>
                <w:color w:val="000000"/>
                <w:kern w:val="0"/>
                <w:sz w:val="22"/>
                <w:szCs w:val="22"/>
              </w:rPr>
              <w:t>单价</w:t>
            </w:r>
          </w:p>
        </w:tc>
        <w:tc>
          <w:tcPr>
            <w:tcW w:w="1104" w:type="dxa"/>
            <w:tcBorders>
              <w:top w:val="nil"/>
              <w:left w:val="nil"/>
              <w:bottom w:val="single" w:color="auto" w:sz="4" w:space="0"/>
              <w:right w:val="single" w:color="auto" w:sz="4" w:space="0"/>
            </w:tcBorders>
            <w:vAlign w:val="center"/>
          </w:tcPr>
          <w:p w14:paraId="4F0E9203">
            <w:pPr>
              <w:widowControl/>
              <w:jc w:val="center"/>
              <w:rPr>
                <w:rFonts w:hint="eastAsia" w:ascii="等线" w:hAnsi="等线" w:eastAsia="等线" w:cs="宋体"/>
                <w:b/>
                <w:bCs/>
                <w:color w:val="000000"/>
                <w:kern w:val="0"/>
                <w:sz w:val="22"/>
                <w:szCs w:val="22"/>
              </w:rPr>
            </w:pPr>
            <w:r>
              <w:rPr>
                <w:rFonts w:hint="eastAsia" w:ascii="等线" w:hAnsi="等线" w:eastAsia="等线" w:cs="宋体"/>
                <w:b/>
                <w:bCs/>
                <w:color w:val="000000"/>
                <w:kern w:val="0"/>
                <w:sz w:val="22"/>
                <w:szCs w:val="22"/>
              </w:rPr>
              <w:t>数量</w:t>
            </w:r>
          </w:p>
        </w:tc>
        <w:tc>
          <w:tcPr>
            <w:tcW w:w="1346" w:type="dxa"/>
            <w:tcBorders>
              <w:top w:val="nil"/>
              <w:left w:val="nil"/>
              <w:bottom w:val="single" w:color="auto" w:sz="4" w:space="0"/>
              <w:right w:val="single" w:color="auto" w:sz="4" w:space="0"/>
            </w:tcBorders>
            <w:vAlign w:val="center"/>
          </w:tcPr>
          <w:p w14:paraId="7D046191">
            <w:pPr>
              <w:widowControl/>
              <w:jc w:val="center"/>
              <w:rPr>
                <w:rFonts w:hint="eastAsia" w:ascii="等线" w:hAnsi="等线" w:eastAsia="等线" w:cs="宋体"/>
                <w:b/>
                <w:bCs/>
                <w:color w:val="000000"/>
                <w:kern w:val="0"/>
                <w:sz w:val="22"/>
                <w:szCs w:val="22"/>
              </w:rPr>
            </w:pPr>
            <w:r>
              <w:rPr>
                <w:rFonts w:hint="eastAsia" w:ascii="等线" w:hAnsi="等线" w:eastAsia="等线" w:cs="宋体"/>
                <w:b/>
                <w:bCs/>
                <w:color w:val="000000"/>
                <w:kern w:val="0"/>
                <w:sz w:val="22"/>
                <w:szCs w:val="22"/>
              </w:rPr>
              <w:t>合计</w:t>
            </w:r>
          </w:p>
        </w:tc>
        <w:tc>
          <w:tcPr>
            <w:tcW w:w="1965" w:type="dxa"/>
            <w:tcBorders>
              <w:top w:val="nil"/>
              <w:left w:val="nil"/>
              <w:bottom w:val="single" w:color="auto" w:sz="4" w:space="0"/>
              <w:right w:val="single" w:color="auto" w:sz="4" w:space="0"/>
            </w:tcBorders>
            <w:vAlign w:val="center"/>
          </w:tcPr>
          <w:p w14:paraId="2C1FE7C5">
            <w:pPr>
              <w:widowControl/>
              <w:jc w:val="center"/>
              <w:rPr>
                <w:rFonts w:hint="eastAsia" w:ascii="等线" w:hAnsi="等线" w:eastAsia="等线" w:cs="宋体"/>
                <w:b/>
                <w:bCs/>
                <w:color w:val="000000"/>
                <w:kern w:val="0"/>
                <w:sz w:val="22"/>
                <w:szCs w:val="22"/>
              </w:rPr>
            </w:pPr>
            <w:r>
              <w:rPr>
                <w:rFonts w:hint="eastAsia" w:ascii="等线" w:hAnsi="等线" w:eastAsia="等线" w:cs="宋体"/>
                <w:b/>
                <w:bCs/>
                <w:color w:val="000000"/>
                <w:kern w:val="0"/>
                <w:sz w:val="22"/>
                <w:szCs w:val="22"/>
              </w:rPr>
              <w:t>备注</w:t>
            </w:r>
          </w:p>
        </w:tc>
      </w:tr>
      <w:tr w14:paraId="0BC8CC29">
        <w:tblPrEx>
          <w:tblCellMar>
            <w:top w:w="0" w:type="dxa"/>
            <w:left w:w="108" w:type="dxa"/>
            <w:bottom w:w="0" w:type="dxa"/>
            <w:right w:w="108" w:type="dxa"/>
          </w:tblCellMar>
        </w:tblPrEx>
        <w:trPr>
          <w:trHeight w:val="1179" w:hRule="atLeast"/>
        </w:trPr>
        <w:tc>
          <w:tcPr>
            <w:tcW w:w="617" w:type="dxa"/>
            <w:tcBorders>
              <w:top w:val="nil"/>
              <w:left w:val="single" w:color="auto" w:sz="4" w:space="0"/>
              <w:bottom w:val="single" w:color="auto" w:sz="4" w:space="0"/>
              <w:right w:val="single" w:color="auto" w:sz="4" w:space="0"/>
            </w:tcBorders>
            <w:vAlign w:val="center"/>
          </w:tcPr>
          <w:p w14:paraId="4DAB5B0A">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4639" w:type="dxa"/>
            <w:gridSpan w:val="3"/>
            <w:tcBorders>
              <w:top w:val="single" w:color="auto" w:sz="4" w:space="0"/>
              <w:left w:val="nil"/>
              <w:bottom w:val="single" w:color="auto" w:sz="4" w:space="0"/>
              <w:right w:val="single" w:color="000000" w:sz="4" w:space="0"/>
            </w:tcBorders>
            <w:vAlign w:val="center"/>
          </w:tcPr>
          <w:p w14:paraId="41D07F66">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圆度仪、轮廓度仪设备状态及精度点检确认：各机械部分动作、电路及气路检修、立柱导轨及回转精度确认，Z轴直线度和Z轴平行度精度确认、传感器及测针状态确认，计算机软件检查</w:t>
            </w:r>
          </w:p>
        </w:tc>
        <w:tc>
          <w:tcPr>
            <w:tcW w:w="1179" w:type="dxa"/>
            <w:tcBorders>
              <w:top w:val="nil"/>
              <w:left w:val="nil"/>
              <w:bottom w:val="single" w:color="auto" w:sz="4" w:space="0"/>
              <w:right w:val="single" w:color="auto" w:sz="4" w:space="0"/>
            </w:tcBorders>
            <w:vAlign w:val="center"/>
          </w:tcPr>
          <w:p w14:paraId="76B4540D">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15142</w:t>
            </w:r>
          </w:p>
        </w:tc>
        <w:tc>
          <w:tcPr>
            <w:tcW w:w="1104" w:type="dxa"/>
            <w:tcBorders>
              <w:top w:val="nil"/>
              <w:left w:val="nil"/>
              <w:bottom w:val="single" w:color="auto" w:sz="4" w:space="0"/>
              <w:right w:val="single" w:color="auto" w:sz="4" w:space="0"/>
            </w:tcBorders>
            <w:vAlign w:val="center"/>
          </w:tcPr>
          <w:p w14:paraId="7F097B6B">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1346" w:type="dxa"/>
            <w:tcBorders>
              <w:top w:val="nil"/>
              <w:left w:val="nil"/>
              <w:bottom w:val="single" w:color="auto" w:sz="4" w:space="0"/>
              <w:right w:val="single" w:color="auto" w:sz="4" w:space="0"/>
            </w:tcBorders>
            <w:vAlign w:val="center"/>
          </w:tcPr>
          <w:p w14:paraId="29D0AC16">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15142</w:t>
            </w:r>
          </w:p>
        </w:tc>
        <w:tc>
          <w:tcPr>
            <w:tcW w:w="1965" w:type="dxa"/>
            <w:vMerge w:val="restart"/>
            <w:tcBorders>
              <w:top w:val="nil"/>
              <w:left w:val="single" w:color="auto" w:sz="4" w:space="0"/>
              <w:bottom w:val="single" w:color="000000" w:sz="4" w:space="0"/>
              <w:right w:val="single" w:color="auto" w:sz="4" w:space="0"/>
            </w:tcBorders>
            <w:vAlign w:val="center"/>
          </w:tcPr>
          <w:p w14:paraId="45669757">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含往返交通费</w:t>
            </w:r>
          </w:p>
        </w:tc>
      </w:tr>
      <w:tr w14:paraId="6AB3A7A1">
        <w:tblPrEx>
          <w:tblCellMar>
            <w:top w:w="0" w:type="dxa"/>
            <w:left w:w="108" w:type="dxa"/>
            <w:bottom w:w="0" w:type="dxa"/>
            <w:right w:w="108" w:type="dxa"/>
          </w:tblCellMar>
        </w:tblPrEx>
        <w:trPr>
          <w:trHeight w:val="820" w:hRule="atLeast"/>
        </w:trPr>
        <w:tc>
          <w:tcPr>
            <w:tcW w:w="617" w:type="dxa"/>
            <w:tcBorders>
              <w:top w:val="nil"/>
              <w:left w:val="single" w:color="auto" w:sz="4" w:space="0"/>
              <w:bottom w:val="single" w:color="auto" w:sz="4" w:space="0"/>
              <w:right w:val="single" w:color="auto" w:sz="4" w:space="0"/>
            </w:tcBorders>
            <w:vAlign w:val="center"/>
          </w:tcPr>
          <w:p w14:paraId="314CF56C">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2</w:t>
            </w:r>
          </w:p>
        </w:tc>
        <w:tc>
          <w:tcPr>
            <w:tcW w:w="4639" w:type="dxa"/>
            <w:gridSpan w:val="3"/>
            <w:tcBorders>
              <w:top w:val="single" w:color="auto" w:sz="4" w:space="0"/>
              <w:left w:val="nil"/>
              <w:bottom w:val="single" w:color="auto" w:sz="4" w:space="0"/>
              <w:right w:val="single" w:color="000000" w:sz="4" w:space="0"/>
            </w:tcBorders>
            <w:vAlign w:val="center"/>
          </w:tcPr>
          <w:p w14:paraId="706FF05F">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圆度仪设备所有控制板检查及报警信息故障排除</w:t>
            </w:r>
          </w:p>
        </w:tc>
        <w:tc>
          <w:tcPr>
            <w:tcW w:w="1179" w:type="dxa"/>
            <w:tcBorders>
              <w:top w:val="nil"/>
              <w:left w:val="nil"/>
              <w:bottom w:val="single" w:color="auto" w:sz="4" w:space="0"/>
              <w:right w:val="single" w:color="auto" w:sz="4" w:space="0"/>
            </w:tcBorders>
            <w:vAlign w:val="center"/>
          </w:tcPr>
          <w:p w14:paraId="116558F0">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2147</w:t>
            </w:r>
          </w:p>
        </w:tc>
        <w:tc>
          <w:tcPr>
            <w:tcW w:w="1104" w:type="dxa"/>
            <w:tcBorders>
              <w:top w:val="nil"/>
              <w:left w:val="nil"/>
              <w:bottom w:val="single" w:color="auto" w:sz="4" w:space="0"/>
              <w:right w:val="single" w:color="auto" w:sz="4" w:space="0"/>
            </w:tcBorders>
            <w:vAlign w:val="center"/>
          </w:tcPr>
          <w:p w14:paraId="78119C5E">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1346" w:type="dxa"/>
            <w:tcBorders>
              <w:top w:val="nil"/>
              <w:left w:val="nil"/>
              <w:bottom w:val="single" w:color="auto" w:sz="4" w:space="0"/>
              <w:right w:val="single" w:color="auto" w:sz="4" w:space="0"/>
            </w:tcBorders>
            <w:vAlign w:val="center"/>
          </w:tcPr>
          <w:p w14:paraId="56A8B04B">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2147</w:t>
            </w:r>
          </w:p>
        </w:tc>
        <w:tc>
          <w:tcPr>
            <w:tcW w:w="1965" w:type="dxa"/>
            <w:vMerge w:val="continue"/>
            <w:tcBorders>
              <w:top w:val="nil"/>
              <w:left w:val="single" w:color="auto" w:sz="4" w:space="0"/>
              <w:bottom w:val="single" w:color="000000" w:sz="4" w:space="0"/>
              <w:right w:val="single" w:color="auto" w:sz="4" w:space="0"/>
            </w:tcBorders>
            <w:vAlign w:val="center"/>
          </w:tcPr>
          <w:p w14:paraId="208007B0">
            <w:pPr>
              <w:widowControl/>
              <w:jc w:val="left"/>
              <w:rPr>
                <w:rFonts w:ascii="等线" w:hAnsi="等线" w:eastAsia="等线" w:cs="宋体"/>
                <w:color w:val="000000"/>
                <w:kern w:val="0"/>
                <w:sz w:val="22"/>
                <w:szCs w:val="22"/>
              </w:rPr>
            </w:pPr>
          </w:p>
        </w:tc>
      </w:tr>
      <w:tr w14:paraId="233CC3B3">
        <w:tblPrEx>
          <w:tblCellMar>
            <w:top w:w="0" w:type="dxa"/>
            <w:left w:w="108" w:type="dxa"/>
            <w:bottom w:w="0" w:type="dxa"/>
            <w:right w:w="108" w:type="dxa"/>
          </w:tblCellMar>
        </w:tblPrEx>
        <w:trPr>
          <w:trHeight w:val="385" w:hRule="atLeast"/>
        </w:trPr>
        <w:tc>
          <w:tcPr>
            <w:tcW w:w="7539" w:type="dxa"/>
            <w:gridSpan w:val="6"/>
            <w:tcBorders>
              <w:top w:val="single" w:color="auto" w:sz="4" w:space="0"/>
              <w:left w:val="single" w:color="auto" w:sz="4" w:space="0"/>
              <w:bottom w:val="single" w:color="auto" w:sz="4" w:space="0"/>
              <w:right w:val="single" w:color="000000" w:sz="4" w:space="0"/>
            </w:tcBorders>
            <w:vAlign w:val="center"/>
          </w:tcPr>
          <w:p w14:paraId="0932AA47">
            <w:pPr>
              <w:widowControl/>
              <w:jc w:val="center"/>
              <w:rPr>
                <w:rFonts w:hint="eastAsia" w:ascii="等线" w:hAnsi="等线" w:eastAsia="等线" w:cs="宋体"/>
                <w:b/>
                <w:bCs/>
                <w:color w:val="000000"/>
                <w:kern w:val="0"/>
                <w:sz w:val="22"/>
                <w:szCs w:val="22"/>
              </w:rPr>
            </w:pPr>
            <w:r>
              <w:rPr>
                <w:rFonts w:hint="eastAsia" w:ascii="等线" w:hAnsi="等线" w:eastAsia="等线" w:cs="宋体"/>
                <w:b/>
                <w:bCs/>
                <w:color w:val="000000"/>
                <w:kern w:val="0"/>
                <w:sz w:val="22"/>
                <w:szCs w:val="22"/>
              </w:rPr>
              <w:t>小计</w:t>
            </w:r>
          </w:p>
        </w:tc>
        <w:tc>
          <w:tcPr>
            <w:tcW w:w="1346" w:type="dxa"/>
            <w:tcBorders>
              <w:top w:val="nil"/>
              <w:left w:val="nil"/>
              <w:bottom w:val="single" w:color="auto" w:sz="4" w:space="0"/>
              <w:right w:val="single" w:color="auto" w:sz="4" w:space="0"/>
            </w:tcBorders>
            <w:vAlign w:val="center"/>
          </w:tcPr>
          <w:p w14:paraId="77BB10A6">
            <w:pPr>
              <w:widowControl/>
              <w:jc w:val="center"/>
              <w:rPr>
                <w:rFonts w:hint="eastAsia" w:ascii="等线" w:hAnsi="等线" w:eastAsia="等线" w:cs="宋体"/>
                <w:b/>
                <w:bCs/>
                <w:color w:val="000000"/>
                <w:kern w:val="0"/>
                <w:sz w:val="22"/>
                <w:szCs w:val="22"/>
              </w:rPr>
            </w:pPr>
            <w:r>
              <w:rPr>
                <w:rFonts w:hint="eastAsia" w:ascii="等线" w:hAnsi="等线" w:eastAsia="等线" w:cs="宋体"/>
                <w:b/>
                <w:bCs/>
                <w:color w:val="000000"/>
                <w:kern w:val="0"/>
                <w:sz w:val="22"/>
                <w:szCs w:val="22"/>
              </w:rPr>
              <w:t>　</w:t>
            </w:r>
          </w:p>
        </w:tc>
        <w:tc>
          <w:tcPr>
            <w:tcW w:w="1965" w:type="dxa"/>
            <w:tcBorders>
              <w:top w:val="nil"/>
              <w:left w:val="nil"/>
              <w:bottom w:val="single" w:color="auto" w:sz="4" w:space="0"/>
              <w:right w:val="single" w:color="auto" w:sz="4" w:space="0"/>
            </w:tcBorders>
            <w:vAlign w:val="center"/>
          </w:tcPr>
          <w:p w14:paraId="5E7AAC9C">
            <w:pPr>
              <w:widowControl/>
              <w:jc w:val="center"/>
              <w:rPr>
                <w:rFonts w:hint="eastAsia" w:ascii="等线" w:hAnsi="等线" w:eastAsia="等线" w:cs="宋体"/>
                <w:b/>
                <w:bCs/>
                <w:color w:val="000000"/>
                <w:kern w:val="0"/>
                <w:sz w:val="22"/>
                <w:szCs w:val="22"/>
              </w:rPr>
            </w:pPr>
            <w:r>
              <w:rPr>
                <w:rFonts w:hint="eastAsia" w:ascii="等线" w:hAnsi="等线" w:eastAsia="等线" w:cs="宋体"/>
                <w:b/>
                <w:bCs/>
                <w:color w:val="000000"/>
                <w:kern w:val="0"/>
                <w:sz w:val="22"/>
                <w:szCs w:val="22"/>
              </w:rPr>
              <w:t>　</w:t>
            </w:r>
          </w:p>
        </w:tc>
      </w:tr>
      <w:tr w14:paraId="173789B6">
        <w:tblPrEx>
          <w:tblCellMar>
            <w:top w:w="0" w:type="dxa"/>
            <w:left w:w="108" w:type="dxa"/>
            <w:bottom w:w="0" w:type="dxa"/>
            <w:right w:w="108" w:type="dxa"/>
          </w:tblCellMar>
        </w:tblPrEx>
        <w:trPr>
          <w:trHeight w:val="385" w:hRule="atLeast"/>
        </w:trPr>
        <w:tc>
          <w:tcPr>
            <w:tcW w:w="6435" w:type="dxa"/>
            <w:gridSpan w:val="5"/>
            <w:tcBorders>
              <w:top w:val="single" w:color="auto" w:sz="4" w:space="0"/>
              <w:left w:val="single" w:color="auto" w:sz="4" w:space="0"/>
              <w:bottom w:val="single" w:color="auto" w:sz="4" w:space="0"/>
              <w:right w:val="single" w:color="auto" w:sz="4" w:space="0"/>
            </w:tcBorders>
            <w:vAlign w:val="center"/>
          </w:tcPr>
          <w:p w14:paraId="6D2C7A7F">
            <w:pPr>
              <w:widowControl/>
              <w:jc w:val="center"/>
              <w:rPr>
                <w:rFonts w:hint="eastAsia" w:ascii="等线" w:hAnsi="等线" w:eastAsia="等线" w:cs="宋体"/>
                <w:b/>
                <w:bCs/>
                <w:color w:val="000000"/>
                <w:kern w:val="0"/>
                <w:sz w:val="22"/>
                <w:szCs w:val="22"/>
              </w:rPr>
            </w:pPr>
            <w:r>
              <w:rPr>
                <w:rFonts w:hint="eastAsia" w:ascii="等线" w:hAnsi="等线" w:eastAsia="等线" w:cs="宋体"/>
                <w:b/>
                <w:bCs/>
                <w:color w:val="000000"/>
                <w:kern w:val="0"/>
                <w:sz w:val="22"/>
                <w:szCs w:val="22"/>
              </w:rPr>
              <w:t>税费</w:t>
            </w:r>
          </w:p>
        </w:tc>
        <w:tc>
          <w:tcPr>
            <w:tcW w:w="1104" w:type="dxa"/>
            <w:tcBorders>
              <w:top w:val="nil"/>
              <w:left w:val="nil"/>
              <w:bottom w:val="single" w:color="auto" w:sz="4" w:space="0"/>
              <w:right w:val="single" w:color="auto" w:sz="4" w:space="0"/>
            </w:tcBorders>
            <w:vAlign w:val="center"/>
          </w:tcPr>
          <w:p w14:paraId="5E645D7C">
            <w:pPr>
              <w:widowControl/>
              <w:jc w:val="center"/>
              <w:rPr>
                <w:rFonts w:hint="eastAsia" w:ascii="等线" w:hAnsi="等线" w:eastAsia="等线" w:cs="宋体"/>
                <w:b/>
                <w:bCs/>
                <w:color w:val="000000"/>
                <w:kern w:val="0"/>
                <w:sz w:val="22"/>
                <w:szCs w:val="22"/>
              </w:rPr>
            </w:pPr>
            <w:r>
              <w:rPr>
                <w:rFonts w:hint="eastAsia" w:ascii="等线" w:hAnsi="等线" w:eastAsia="等线" w:cs="宋体"/>
                <w:b/>
                <w:bCs/>
                <w:color w:val="000000"/>
                <w:kern w:val="0"/>
                <w:sz w:val="22"/>
                <w:szCs w:val="22"/>
              </w:rPr>
              <w:t>13%</w:t>
            </w:r>
          </w:p>
        </w:tc>
        <w:tc>
          <w:tcPr>
            <w:tcW w:w="1346" w:type="dxa"/>
            <w:tcBorders>
              <w:top w:val="nil"/>
              <w:left w:val="nil"/>
              <w:bottom w:val="single" w:color="auto" w:sz="4" w:space="0"/>
              <w:right w:val="single" w:color="auto" w:sz="4" w:space="0"/>
            </w:tcBorders>
            <w:vAlign w:val="center"/>
          </w:tcPr>
          <w:p w14:paraId="4B6347EC">
            <w:pPr>
              <w:widowControl/>
              <w:jc w:val="center"/>
              <w:rPr>
                <w:rFonts w:hint="eastAsia" w:ascii="等线" w:hAnsi="等线" w:eastAsia="等线" w:cs="宋体"/>
                <w:b/>
                <w:bCs/>
                <w:color w:val="000000"/>
                <w:kern w:val="0"/>
                <w:sz w:val="22"/>
                <w:szCs w:val="22"/>
              </w:rPr>
            </w:pPr>
            <w:r>
              <w:rPr>
                <w:rFonts w:hint="eastAsia" w:ascii="等线" w:hAnsi="等线" w:eastAsia="等线" w:cs="宋体"/>
                <w:b/>
                <w:bCs/>
                <w:color w:val="000000"/>
                <w:kern w:val="0"/>
                <w:sz w:val="22"/>
                <w:szCs w:val="22"/>
              </w:rPr>
              <w:t>　</w:t>
            </w:r>
          </w:p>
        </w:tc>
        <w:tc>
          <w:tcPr>
            <w:tcW w:w="1965" w:type="dxa"/>
            <w:tcBorders>
              <w:top w:val="nil"/>
              <w:left w:val="nil"/>
              <w:bottom w:val="single" w:color="auto" w:sz="4" w:space="0"/>
              <w:right w:val="single" w:color="auto" w:sz="4" w:space="0"/>
            </w:tcBorders>
            <w:vAlign w:val="center"/>
          </w:tcPr>
          <w:p w14:paraId="3ACAF576">
            <w:pPr>
              <w:widowControl/>
              <w:jc w:val="center"/>
              <w:rPr>
                <w:rFonts w:hint="eastAsia" w:ascii="等线" w:hAnsi="等线" w:eastAsia="等线" w:cs="宋体"/>
                <w:b/>
                <w:bCs/>
                <w:color w:val="000000"/>
                <w:kern w:val="0"/>
                <w:sz w:val="22"/>
                <w:szCs w:val="22"/>
              </w:rPr>
            </w:pPr>
            <w:r>
              <w:rPr>
                <w:rFonts w:hint="eastAsia" w:ascii="等线" w:hAnsi="等线" w:eastAsia="等线" w:cs="宋体"/>
                <w:b/>
                <w:bCs/>
                <w:color w:val="000000"/>
                <w:kern w:val="0"/>
                <w:sz w:val="22"/>
                <w:szCs w:val="22"/>
              </w:rPr>
              <w:t>上述费用已包含</w:t>
            </w:r>
          </w:p>
        </w:tc>
      </w:tr>
      <w:tr w14:paraId="76338E77">
        <w:tblPrEx>
          <w:tblCellMar>
            <w:top w:w="0" w:type="dxa"/>
            <w:left w:w="108" w:type="dxa"/>
            <w:bottom w:w="0" w:type="dxa"/>
            <w:right w:w="108" w:type="dxa"/>
          </w:tblCellMar>
        </w:tblPrEx>
        <w:trPr>
          <w:trHeight w:val="385" w:hRule="atLeast"/>
        </w:trPr>
        <w:tc>
          <w:tcPr>
            <w:tcW w:w="7539" w:type="dxa"/>
            <w:gridSpan w:val="6"/>
            <w:tcBorders>
              <w:top w:val="single" w:color="auto" w:sz="4" w:space="0"/>
              <w:left w:val="single" w:color="auto" w:sz="4" w:space="0"/>
              <w:bottom w:val="single" w:color="auto" w:sz="4" w:space="0"/>
              <w:right w:val="single" w:color="000000" w:sz="4" w:space="0"/>
            </w:tcBorders>
            <w:vAlign w:val="center"/>
          </w:tcPr>
          <w:p w14:paraId="48AAB66D">
            <w:pPr>
              <w:widowControl/>
              <w:jc w:val="center"/>
              <w:rPr>
                <w:rFonts w:hint="eastAsia" w:ascii="等线" w:hAnsi="等线" w:eastAsia="等线" w:cs="宋体"/>
                <w:b/>
                <w:bCs/>
                <w:color w:val="000000"/>
                <w:kern w:val="0"/>
                <w:sz w:val="22"/>
                <w:szCs w:val="22"/>
              </w:rPr>
            </w:pPr>
            <w:r>
              <w:rPr>
                <w:rFonts w:hint="eastAsia" w:ascii="等线" w:hAnsi="等线" w:eastAsia="等线" w:cs="宋体"/>
                <w:b/>
                <w:bCs/>
                <w:color w:val="000000"/>
                <w:kern w:val="0"/>
                <w:sz w:val="22"/>
                <w:szCs w:val="22"/>
              </w:rPr>
              <w:t>总计</w:t>
            </w:r>
          </w:p>
        </w:tc>
        <w:tc>
          <w:tcPr>
            <w:tcW w:w="1346" w:type="dxa"/>
            <w:tcBorders>
              <w:top w:val="nil"/>
              <w:left w:val="nil"/>
              <w:bottom w:val="single" w:color="auto" w:sz="4" w:space="0"/>
              <w:right w:val="single" w:color="auto" w:sz="4" w:space="0"/>
            </w:tcBorders>
            <w:vAlign w:val="center"/>
          </w:tcPr>
          <w:p w14:paraId="58254CFC">
            <w:pPr>
              <w:widowControl/>
              <w:jc w:val="center"/>
              <w:rPr>
                <w:rFonts w:hint="eastAsia" w:ascii="等线" w:hAnsi="等线" w:eastAsia="等线" w:cs="宋体"/>
                <w:b/>
                <w:bCs/>
                <w:color w:val="000000"/>
                <w:kern w:val="0"/>
                <w:sz w:val="22"/>
                <w:szCs w:val="22"/>
              </w:rPr>
            </w:pPr>
            <w:r>
              <w:rPr>
                <w:rFonts w:hint="eastAsia" w:ascii="等线" w:hAnsi="等线" w:eastAsia="等线" w:cs="宋体"/>
                <w:b/>
                <w:bCs/>
                <w:color w:val="000000"/>
                <w:kern w:val="0"/>
                <w:sz w:val="22"/>
                <w:szCs w:val="22"/>
              </w:rPr>
              <w:t>21769</w:t>
            </w:r>
          </w:p>
        </w:tc>
        <w:tc>
          <w:tcPr>
            <w:tcW w:w="1965" w:type="dxa"/>
            <w:tcBorders>
              <w:top w:val="nil"/>
              <w:left w:val="nil"/>
              <w:bottom w:val="single" w:color="auto" w:sz="4" w:space="0"/>
              <w:right w:val="single" w:color="auto" w:sz="4" w:space="0"/>
            </w:tcBorders>
            <w:vAlign w:val="center"/>
          </w:tcPr>
          <w:p w14:paraId="2A075423">
            <w:pPr>
              <w:widowControl/>
              <w:jc w:val="center"/>
              <w:rPr>
                <w:rFonts w:hint="eastAsia" w:ascii="等线" w:hAnsi="等线" w:eastAsia="等线" w:cs="宋体"/>
                <w:b/>
                <w:bCs/>
                <w:color w:val="000000"/>
                <w:kern w:val="0"/>
                <w:sz w:val="22"/>
                <w:szCs w:val="22"/>
              </w:rPr>
            </w:pPr>
            <w:r>
              <w:rPr>
                <w:rFonts w:hint="eastAsia" w:ascii="等线" w:hAnsi="等线" w:eastAsia="等线" w:cs="宋体"/>
                <w:b/>
                <w:bCs/>
                <w:color w:val="000000"/>
                <w:kern w:val="0"/>
                <w:sz w:val="22"/>
                <w:szCs w:val="22"/>
              </w:rPr>
              <w:t>　</w:t>
            </w:r>
          </w:p>
        </w:tc>
      </w:tr>
    </w:tbl>
    <w:p w14:paraId="5C91AC47">
      <w:pPr>
        <w:pStyle w:val="76"/>
      </w:pPr>
    </w:p>
    <w:p w14:paraId="5B8AF655">
      <w:bookmarkStart w:id="18" w:name="_Toc47976609"/>
      <w:bookmarkStart w:id="19" w:name="_Toc20595"/>
      <w:r>
        <w:rPr>
          <w:rFonts w:hint="eastAsia"/>
        </w:rPr>
        <w:br w:type="page"/>
      </w:r>
    </w:p>
    <w:p w14:paraId="7D191336">
      <w:pPr>
        <w:pStyle w:val="71"/>
      </w:pPr>
      <w:r>
        <w:rPr>
          <w:rFonts w:hint="eastAsia"/>
        </w:rPr>
        <w:t>第三部分　合同主要条款</w:t>
      </w:r>
      <w:bookmarkEnd w:id="18"/>
      <w:bookmarkEnd w:id="19"/>
    </w:p>
    <w:p w14:paraId="4602F3E1">
      <w:pPr>
        <w:pStyle w:val="72"/>
        <w:numPr>
          <w:ilvl w:val="0"/>
          <w:numId w:val="31"/>
        </w:numPr>
        <w:ind w:left="420"/>
      </w:pPr>
      <w:bookmarkStart w:id="20" w:name="_Toc47976610"/>
      <w:r>
        <w:rPr>
          <w:rFonts w:hint="eastAsia"/>
        </w:rPr>
        <w:t>标的、数量、交货期</w:t>
      </w:r>
      <w:bookmarkEnd w:id="20"/>
    </w:p>
    <w:p w14:paraId="7A52E2EA">
      <w:pPr>
        <w:pStyle w:val="72"/>
      </w:pPr>
      <w:bookmarkStart w:id="21" w:name="_Toc47976611"/>
      <w:r>
        <w:rPr>
          <w:rFonts w:hint="eastAsia"/>
        </w:rPr>
        <w:t>交货地点</w:t>
      </w:r>
      <w:bookmarkEnd w:id="21"/>
    </w:p>
    <w:p w14:paraId="58D82597">
      <w:pPr>
        <w:pStyle w:val="72"/>
      </w:pPr>
      <w:bookmarkStart w:id="22" w:name="_Toc47976612"/>
      <w:r>
        <w:rPr>
          <w:rFonts w:hint="eastAsia"/>
        </w:rPr>
        <w:t>价款及付款方式</w:t>
      </w:r>
      <w:bookmarkEnd w:id="22"/>
    </w:p>
    <w:p w14:paraId="7726F1FC">
      <w:pPr>
        <w:pStyle w:val="72"/>
      </w:pPr>
      <w:bookmarkStart w:id="23" w:name="_Toc47976613"/>
      <w:r>
        <w:rPr>
          <w:rFonts w:hint="eastAsia"/>
        </w:rPr>
        <w:t>质量要求、保修期及售后服务</w:t>
      </w:r>
      <w:bookmarkEnd w:id="23"/>
    </w:p>
    <w:p w14:paraId="2C1E5279">
      <w:pPr>
        <w:pStyle w:val="72"/>
      </w:pPr>
      <w:bookmarkStart w:id="24" w:name="_Toc47976614"/>
      <w:r>
        <w:rPr>
          <w:rFonts w:hint="eastAsia"/>
        </w:rPr>
        <w:t>安装、调试及验收要求</w:t>
      </w:r>
      <w:bookmarkEnd w:id="24"/>
    </w:p>
    <w:p w14:paraId="224EC499">
      <w:pPr>
        <w:pStyle w:val="72"/>
      </w:pPr>
      <w:r>
        <w:rPr>
          <w:rFonts w:hint="eastAsia"/>
        </w:rPr>
        <w:t>违约责任</w:t>
      </w:r>
    </w:p>
    <w:p w14:paraId="42D8F6DA">
      <w:pPr>
        <w:pStyle w:val="72"/>
      </w:pPr>
      <w:r>
        <w:rPr>
          <w:rFonts w:hint="eastAsia"/>
        </w:rPr>
        <w:t>争议解决方式</w:t>
      </w:r>
    </w:p>
    <w:p w14:paraId="1882D7CC">
      <w:pPr>
        <w:pStyle w:val="76"/>
      </w:pPr>
    </w:p>
    <w:p w14:paraId="6E9D7556">
      <w:pPr>
        <w:pStyle w:val="76"/>
      </w:pPr>
    </w:p>
    <w:p w14:paraId="29AB6858">
      <w:pPr>
        <w:pStyle w:val="76"/>
      </w:pPr>
    </w:p>
    <w:p w14:paraId="2FCEB470">
      <w:pPr>
        <w:pStyle w:val="76"/>
      </w:pPr>
    </w:p>
    <w:p w14:paraId="27ECF692">
      <w:pPr>
        <w:pStyle w:val="76"/>
      </w:pPr>
    </w:p>
    <w:p w14:paraId="48BBF643">
      <w:pPr>
        <w:pStyle w:val="76"/>
      </w:pPr>
    </w:p>
    <w:p w14:paraId="6DE33D28">
      <w:pPr>
        <w:pStyle w:val="76"/>
      </w:pPr>
    </w:p>
    <w:p w14:paraId="41AE190C">
      <w:pPr>
        <w:pStyle w:val="76"/>
      </w:pPr>
    </w:p>
    <w:p w14:paraId="4F03C264">
      <w:pPr>
        <w:pStyle w:val="76"/>
      </w:pPr>
    </w:p>
    <w:p w14:paraId="5E4558C8">
      <w:pPr>
        <w:pStyle w:val="76"/>
      </w:pPr>
    </w:p>
    <w:p w14:paraId="256BE46C">
      <w:pPr>
        <w:pStyle w:val="76"/>
      </w:pPr>
    </w:p>
    <w:p w14:paraId="3726CF10">
      <w:pPr>
        <w:pStyle w:val="76"/>
      </w:pPr>
    </w:p>
    <w:p w14:paraId="66E26BC2">
      <w:pPr>
        <w:pStyle w:val="76"/>
      </w:pPr>
    </w:p>
    <w:p w14:paraId="174CCE3E">
      <w:pPr>
        <w:pStyle w:val="76"/>
      </w:pPr>
    </w:p>
    <w:p w14:paraId="7890CF0D">
      <w:pPr>
        <w:pStyle w:val="76"/>
      </w:pPr>
    </w:p>
    <w:p w14:paraId="66641E35">
      <w:pPr>
        <w:pStyle w:val="76"/>
      </w:pPr>
    </w:p>
    <w:p w14:paraId="29E7B417">
      <w:pPr>
        <w:pStyle w:val="76"/>
      </w:pPr>
    </w:p>
    <w:p w14:paraId="38F4B238">
      <w:pPr>
        <w:pStyle w:val="76"/>
      </w:pPr>
    </w:p>
    <w:p w14:paraId="1E65DC59">
      <w:pPr>
        <w:pStyle w:val="76"/>
      </w:pPr>
    </w:p>
    <w:p w14:paraId="44C2F92E">
      <w:pPr>
        <w:pStyle w:val="71"/>
      </w:pPr>
      <w:bookmarkStart w:id="25" w:name="_Toc47976615"/>
      <w:bookmarkStart w:id="26" w:name="_Toc5925"/>
      <w:r>
        <w:rPr>
          <w:rFonts w:hint="eastAsia"/>
        </w:rPr>
        <w:t>第四部分　</w:t>
      </w:r>
      <w:bookmarkEnd w:id="25"/>
      <w:r>
        <w:rPr>
          <w:rFonts w:hint="eastAsia"/>
        </w:rPr>
        <w:t>投标文件附件</w:t>
      </w:r>
      <w:bookmarkEnd w:id="26"/>
    </w:p>
    <w:p w14:paraId="06DE320E">
      <w:pPr>
        <w:pStyle w:val="71"/>
        <w:jc w:val="left"/>
        <w:rPr>
          <w:rFonts w:hint="eastAsia" w:ascii="宋体" w:hAnsi="宋体" w:eastAsia="宋体" w:cs="宋体"/>
          <w:sz w:val="32"/>
          <w:szCs w:val="32"/>
          <w:highlight w:val="yellow"/>
        </w:rPr>
      </w:pPr>
      <w:bookmarkStart w:id="27" w:name="_Toc47976616"/>
      <w:bookmarkStart w:id="28" w:name="_Toc4225"/>
      <w:r>
        <w:rPr>
          <w:rFonts w:hint="eastAsia" w:ascii="宋体" w:hAnsi="宋体" w:eastAsia="宋体" w:cs="宋体"/>
          <w:sz w:val="32"/>
          <w:szCs w:val="32"/>
          <w:highlight w:val="yellow"/>
        </w:rPr>
        <w:t>附件</w:t>
      </w:r>
      <w:bookmarkEnd w:id="27"/>
      <w:bookmarkEnd w:id="28"/>
      <w:r>
        <w:rPr>
          <w:rFonts w:hint="eastAsia" w:ascii="宋体" w:hAnsi="宋体" w:eastAsia="宋体" w:cs="宋体"/>
          <w:sz w:val="32"/>
          <w:szCs w:val="32"/>
          <w:highlight w:val="yellow"/>
        </w:rPr>
        <w:t>1</w:t>
      </w:r>
    </w:p>
    <w:p w14:paraId="1532FC7C">
      <w:pPr>
        <w:keepNext/>
        <w:keepLines/>
        <w:jc w:val="center"/>
        <w:outlineLvl w:val="2"/>
        <w:rPr>
          <w:rFonts w:hint="eastAsia" w:ascii="宋体" w:hAnsi="宋体" w:cs="宋体"/>
          <w:b/>
          <w:bCs/>
          <w:color w:val="000000"/>
          <w:sz w:val="32"/>
          <w:szCs w:val="32"/>
        </w:rPr>
      </w:pPr>
      <w:r>
        <w:rPr>
          <w:rFonts w:hint="eastAsia" w:ascii="宋体" w:hAnsi="宋体" w:cs="宋体"/>
          <w:b/>
          <w:bCs/>
          <w:color w:val="000000"/>
          <w:sz w:val="32"/>
          <w:szCs w:val="32"/>
        </w:rPr>
        <w:t>投标函</w:t>
      </w:r>
    </w:p>
    <w:p w14:paraId="600CD9C4">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致：中国重汽集团</w:t>
      </w:r>
      <w:r>
        <w:rPr>
          <w:rFonts w:hint="eastAsia" w:ascii="宋体" w:hAnsi="宋体"/>
          <w:color w:val="000000"/>
          <w:sz w:val="24"/>
          <w:szCs w:val="24"/>
          <w:u w:val="single"/>
        </w:rPr>
        <w:t xml:space="preserve">            </w:t>
      </w:r>
      <w:r>
        <w:rPr>
          <w:rFonts w:hint="eastAsia" w:ascii="宋体" w:hAnsi="宋体"/>
          <w:color w:val="000000"/>
          <w:sz w:val="24"/>
          <w:szCs w:val="24"/>
        </w:rPr>
        <w:t>有限公司：</w:t>
      </w:r>
    </w:p>
    <w:p w14:paraId="680B214C">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根据贵方</w:t>
      </w:r>
      <w:r>
        <w:rPr>
          <w:rFonts w:hint="eastAsia" w:ascii="宋体" w:hAnsi="宋体"/>
          <w:color w:val="000000"/>
          <w:sz w:val="24"/>
          <w:szCs w:val="24"/>
          <w:u w:val="single"/>
        </w:rPr>
        <w:t xml:space="preserve">                       </w:t>
      </w:r>
      <w:r>
        <w:rPr>
          <w:rFonts w:hint="eastAsia" w:ascii="宋体" w:hAnsi="宋体"/>
          <w:bCs/>
          <w:snapToGrid w:val="0"/>
          <w:color w:val="000000"/>
          <w:kern w:val="0"/>
          <w:sz w:val="24"/>
          <w:szCs w:val="24"/>
        </w:rPr>
        <w:t>招标公告</w:t>
      </w:r>
      <w:r>
        <w:rPr>
          <w:rFonts w:hint="eastAsia" w:ascii="宋体" w:hAnsi="宋体"/>
          <w:color w:val="000000"/>
          <w:sz w:val="24"/>
          <w:szCs w:val="24"/>
        </w:rPr>
        <w:t>，</w:t>
      </w:r>
      <w:r>
        <w:rPr>
          <w:rFonts w:ascii="宋体" w:hAnsi="宋体"/>
          <w:b/>
          <w:color w:val="000000"/>
          <w:sz w:val="24"/>
          <w:szCs w:val="24"/>
          <w:u w:val="single"/>
        </w:rPr>
        <w:t xml:space="preserve">            </w:t>
      </w:r>
      <w:r>
        <w:rPr>
          <w:rFonts w:hint="eastAsia" w:ascii="宋体" w:hAnsi="宋体"/>
          <w:color w:val="000000"/>
          <w:sz w:val="24"/>
          <w:szCs w:val="24"/>
        </w:rPr>
        <w:t>投标公司，</w:t>
      </w:r>
      <w:r>
        <w:rPr>
          <w:rFonts w:ascii="宋体" w:hAnsi="宋体"/>
          <w:color w:val="000000"/>
          <w:sz w:val="24"/>
          <w:szCs w:val="24"/>
        </w:rPr>
        <w:t xml:space="preserve"> </w:t>
      </w:r>
      <w:r>
        <w:rPr>
          <w:rFonts w:hint="eastAsia" w:ascii="宋体" w:hAnsi="宋体"/>
          <w:color w:val="000000"/>
          <w:sz w:val="24"/>
          <w:szCs w:val="24"/>
        </w:rPr>
        <w:t>法人代表人为</w:t>
      </w:r>
      <w:r>
        <w:rPr>
          <w:rFonts w:ascii="宋体" w:hAnsi="宋体"/>
          <w:color w:val="000000"/>
          <w:sz w:val="24"/>
          <w:szCs w:val="24"/>
          <w:u w:val="single"/>
        </w:rPr>
        <w:t xml:space="preserve">         </w:t>
      </w:r>
      <w:r>
        <w:rPr>
          <w:rFonts w:hint="eastAsia" w:ascii="宋体" w:hAnsi="宋体"/>
          <w:color w:val="000000"/>
          <w:sz w:val="24"/>
          <w:szCs w:val="24"/>
        </w:rPr>
        <w:t>，正式授权</w:t>
      </w:r>
      <w:r>
        <w:rPr>
          <w:rFonts w:ascii="宋体" w:hAnsi="宋体"/>
          <w:color w:val="000000"/>
          <w:sz w:val="24"/>
          <w:szCs w:val="24"/>
          <w:u w:val="single"/>
        </w:rPr>
        <w:t xml:space="preserve">           </w:t>
      </w:r>
      <w:r>
        <w:rPr>
          <w:rFonts w:ascii="宋体" w:hAnsi="宋体"/>
          <w:color w:val="000000"/>
          <w:sz w:val="24"/>
          <w:szCs w:val="24"/>
        </w:rPr>
        <w:t xml:space="preserve"> </w:t>
      </w:r>
      <w:r>
        <w:rPr>
          <w:rFonts w:hint="eastAsia" w:ascii="宋体" w:hAnsi="宋体"/>
          <w:color w:val="000000"/>
          <w:sz w:val="24"/>
          <w:szCs w:val="24"/>
        </w:rPr>
        <w:t>提交纸质投标文件：资质证明文件、商务文件和技术文件正本</w:t>
      </w:r>
      <w:r>
        <w:rPr>
          <w:rFonts w:hint="eastAsia" w:ascii="宋体" w:hAnsi="宋体"/>
          <w:color w:val="000000"/>
          <w:sz w:val="24"/>
          <w:szCs w:val="24"/>
          <w:u w:val="single"/>
        </w:rPr>
        <w:t xml:space="preserve">  </w:t>
      </w:r>
      <w:r>
        <w:rPr>
          <w:rFonts w:hint="eastAsia" w:ascii="宋体" w:hAnsi="宋体"/>
          <w:color w:val="000000"/>
          <w:sz w:val="24"/>
          <w:szCs w:val="24"/>
        </w:rPr>
        <w:t>份、副本</w:t>
      </w:r>
      <w:r>
        <w:rPr>
          <w:rFonts w:hint="eastAsia" w:ascii="宋体" w:hAnsi="宋体"/>
          <w:color w:val="000000"/>
          <w:sz w:val="24"/>
          <w:szCs w:val="24"/>
          <w:u w:val="single"/>
        </w:rPr>
        <w:t xml:space="preserve">  </w:t>
      </w:r>
      <w:r>
        <w:rPr>
          <w:rFonts w:hint="eastAsia" w:ascii="宋体" w:hAnsi="宋体"/>
          <w:color w:val="000000"/>
          <w:sz w:val="24"/>
          <w:szCs w:val="24"/>
        </w:rPr>
        <w:t>份；电子版投标文件一份。</w:t>
      </w:r>
    </w:p>
    <w:p w14:paraId="0E094C6F">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据此函，签字代表宣布同意如下：</w:t>
      </w:r>
    </w:p>
    <w:p w14:paraId="15C6006A">
      <w:pPr>
        <w:spacing w:line="360" w:lineRule="auto"/>
        <w:ind w:firstLine="480" w:firstLineChars="200"/>
        <w:rPr>
          <w:rFonts w:hint="eastAsia" w:ascii="宋体" w:hAnsi="宋体"/>
          <w:color w:val="000000"/>
          <w:sz w:val="24"/>
          <w:szCs w:val="24"/>
        </w:rPr>
      </w:pPr>
      <w:r>
        <w:rPr>
          <w:rFonts w:ascii="宋体" w:hAnsi="宋体"/>
          <w:color w:val="000000"/>
          <w:sz w:val="24"/>
          <w:szCs w:val="24"/>
        </w:rPr>
        <w:t>1</w:t>
      </w:r>
      <w:r>
        <w:rPr>
          <w:rFonts w:hint="eastAsia" w:ascii="宋体" w:hAnsi="宋体"/>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680A9DED">
      <w:pPr>
        <w:spacing w:line="360" w:lineRule="auto"/>
        <w:ind w:firstLine="480" w:firstLineChars="200"/>
        <w:rPr>
          <w:rFonts w:hint="eastAsia" w:ascii="宋体" w:hAnsi="宋体"/>
          <w:color w:val="000000"/>
          <w:sz w:val="24"/>
          <w:szCs w:val="24"/>
        </w:rPr>
      </w:pPr>
      <w:r>
        <w:rPr>
          <w:rFonts w:ascii="宋体" w:hAnsi="宋体"/>
          <w:color w:val="000000"/>
          <w:sz w:val="24"/>
          <w:szCs w:val="24"/>
        </w:rPr>
        <w:t>2</w:t>
      </w:r>
      <w:r>
        <w:rPr>
          <w:rFonts w:hint="eastAsia" w:ascii="宋体" w:hAnsi="宋体"/>
          <w:color w:val="000000"/>
          <w:sz w:val="24"/>
          <w:szCs w:val="24"/>
        </w:rPr>
        <w:t>.投标人在投标之前已经与贵方进行了充分的沟通，完全理解并接受招标文件的各项规定和要求，对招标文件的合理性、合法性不再有异议。</w:t>
      </w:r>
    </w:p>
    <w:p w14:paraId="7A596882">
      <w:pPr>
        <w:spacing w:line="360" w:lineRule="auto"/>
        <w:ind w:firstLine="480" w:firstLineChars="200"/>
        <w:rPr>
          <w:rFonts w:hint="eastAsia" w:ascii="宋体" w:hAnsi="宋体"/>
          <w:color w:val="000000"/>
          <w:sz w:val="24"/>
          <w:szCs w:val="24"/>
        </w:rPr>
      </w:pPr>
      <w:r>
        <w:rPr>
          <w:rFonts w:ascii="宋体" w:hAnsi="宋体"/>
          <w:color w:val="000000"/>
          <w:sz w:val="24"/>
          <w:szCs w:val="24"/>
        </w:rPr>
        <w:t>3</w:t>
      </w:r>
      <w:r>
        <w:rPr>
          <w:rFonts w:hint="eastAsia" w:ascii="宋体" w:hAnsi="宋体"/>
          <w:color w:val="000000"/>
          <w:sz w:val="24"/>
          <w:szCs w:val="24"/>
        </w:rPr>
        <w:t>.本投标有效期自开标日起</w:t>
      </w:r>
      <w:r>
        <w:rPr>
          <w:rFonts w:ascii="宋体" w:hAnsi="宋体"/>
          <w:bCs/>
          <w:color w:val="000000"/>
          <w:sz w:val="24"/>
          <w:szCs w:val="24"/>
          <w:u w:val="single"/>
        </w:rPr>
        <w:t xml:space="preserve"> </w:t>
      </w:r>
      <w:r>
        <w:rPr>
          <w:rFonts w:hint="eastAsia" w:ascii="宋体" w:hAnsi="宋体"/>
          <w:bCs/>
          <w:color w:val="000000"/>
          <w:sz w:val="24"/>
          <w:szCs w:val="24"/>
          <w:u w:val="single"/>
        </w:rPr>
        <w:t xml:space="preserve"> </w:t>
      </w:r>
      <w:r>
        <w:rPr>
          <w:rFonts w:hint="eastAsia" w:ascii="宋体" w:hAnsi="宋体"/>
          <w:color w:val="000000"/>
          <w:sz w:val="24"/>
          <w:szCs w:val="24"/>
        </w:rPr>
        <w:t>个日历日。</w:t>
      </w:r>
    </w:p>
    <w:p w14:paraId="530B3425">
      <w:pPr>
        <w:spacing w:line="360" w:lineRule="auto"/>
        <w:ind w:firstLine="480" w:firstLineChars="200"/>
        <w:rPr>
          <w:rFonts w:hint="eastAsia" w:ascii="宋体" w:hAnsi="宋体"/>
          <w:color w:val="000000"/>
          <w:sz w:val="24"/>
          <w:szCs w:val="24"/>
        </w:rPr>
      </w:pPr>
      <w:r>
        <w:rPr>
          <w:rFonts w:ascii="宋体" w:hAnsi="宋体"/>
          <w:color w:val="000000"/>
          <w:sz w:val="24"/>
          <w:szCs w:val="24"/>
        </w:rPr>
        <w:t>4</w:t>
      </w:r>
      <w:r>
        <w:rPr>
          <w:rFonts w:hint="eastAsia" w:ascii="宋体" w:hAnsi="宋体"/>
          <w:color w:val="000000"/>
          <w:sz w:val="24"/>
          <w:szCs w:val="24"/>
        </w:rPr>
        <w:t>.如中标，本投标文件至本项目合同履行完毕止均保持有效，本投标人将按“招标文件”及政府采购法律、法规的规定履行合同责任和义务。</w:t>
      </w:r>
    </w:p>
    <w:p w14:paraId="6FDC3F16">
      <w:pPr>
        <w:spacing w:line="360" w:lineRule="auto"/>
        <w:ind w:firstLine="480" w:firstLineChars="200"/>
        <w:rPr>
          <w:rFonts w:hint="eastAsia" w:ascii="宋体" w:hAnsi="宋体"/>
          <w:color w:val="000000"/>
          <w:sz w:val="24"/>
          <w:szCs w:val="24"/>
        </w:rPr>
      </w:pPr>
      <w:r>
        <w:rPr>
          <w:rFonts w:ascii="宋体" w:hAnsi="宋体"/>
          <w:color w:val="000000"/>
          <w:sz w:val="24"/>
          <w:szCs w:val="24"/>
        </w:rPr>
        <w:t>5</w:t>
      </w:r>
      <w:r>
        <w:rPr>
          <w:rFonts w:hint="eastAsia" w:ascii="宋体" w:hAnsi="宋体"/>
          <w:color w:val="000000"/>
          <w:sz w:val="24"/>
          <w:szCs w:val="24"/>
        </w:rPr>
        <w:t>.投标人同意按照贵方要求提供与投标有关的一切数据或资料。</w:t>
      </w:r>
    </w:p>
    <w:p w14:paraId="6F6D326A">
      <w:pPr>
        <w:spacing w:line="360" w:lineRule="auto"/>
        <w:ind w:firstLine="480" w:firstLineChars="200"/>
        <w:rPr>
          <w:rFonts w:hint="eastAsia" w:ascii="宋体" w:hAnsi="宋体"/>
          <w:color w:val="000000"/>
          <w:sz w:val="24"/>
          <w:szCs w:val="24"/>
        </w:rPr>
      </w:pPr>
      <w:r>
        <w:rPr>
          <w:rFonts w:ascii="宋体" w:hAnsi="宋体"/>
          <w:color w:val="000000"/>
          <w:sz w:val="24"/>
          <w:szCs w:val="24"/>
        </w:rPr>
        <w:t>6</w:t>
      </w:r>
      <w:r>
        <w:rPr>
          <w:rFonts w:hint="eastAsia" w:ascii="宋体" w:hAnsi="宋体"/>
          <w:color w:val="000000"/>
          <w:sz w:val="24"/>
          <w:szCs w:val="24"/>
        </w:rPr>
        <w:t>.与本投标有关的一切正式往来信函请寄：</w:t>
      </w:r>
    </w:p>
    <w:p w14:paraId="4B33FD6D">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地址：</w:t>
      </w:r>
      <w:r>
        <w:rPr>
          <w:rFonts w:ascii="宋体" w:hAnsi="宋体"/>
          <w:color w:val="000000"/>
          <w:sz w:val="24"/>
          <w:szCs w:val="24"/>
        </w:rPr>
        <w:t xml:space="preserve">                             </w:t>
      </w:r>
    </w:p>
    <w:p w14:paraId="248E0E40">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邮编：</w:t>
      </w:r>
      <w:r>
        <w:rPr>
          <w:rFonts w:ascii="宋体" w:hAnsi="宋体"/>
          <w:color w:val="000000"/>
          <w:sz w:val="24"/>
          <w:szCs w:val="24"/>
        </w:rPr>
        <w:t xml:space="preserve">        </w:t>
      </w:r>
    </w:p>
    <w:p w14:paraId="78C563F2">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电话：</w:t>
      </w:r>
      <w:r>
        <w:rPr>
          <w:rFonts w:ascii="宋体" w:hAnsi="宋体"/>
          <w:color w:val="000000"/>
          <w:sz w:val="24"/>
          <w:szCs w:val="24"/>
        </w:rPr>
        <w:t xml:space="preserve">        </w:t>
      </w:r>
      <w:r>
        <w:rPr>
          <w:rFonts w:hint="eastAsia" w:ascii="宋体" w:hAnsi="宋体"/>
          <w:color w:val="000000"/>
          <w:sz w:val="24"/>
          <w:szCs w:val="24"/>
        </w:rPr>
        <w:t>传真：</w:t>
      </w:r>
      <w:r>
        <w:rPr>
          <w:rFonts w:ascii="宋体" w:hAnsi="宋体"/>
          <w:color w:val="000000"/>
          <w:sz w:val="24"/>
          <w:szCs w:val="24"/>
        </w:rPr>
        <w:t xml:space="preserve">                   </w:t>
      </w:r>
    </w:p>
    <w:p w14:paraId="47982BAE">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投标人代表姓名：</w:t>
      </w:r>
      <w:r>
        <w:rPr>
          <w:rFonts w:hint="eastAsia" w:ascii="宋体" w:hAnsi="宋体"/>
          <w:color w:val="000000"/>
          <w:sz w:val="24"/>
          <w:szCs w:val="24"/>
          <w:u w:val="single"/>
        </w:rPr>
        <w:t xml:space="preserve">         </w:t>
      </w:r>
      <w:r>
        <w:rPr>
          <w:rFonts w:hint="eastAsia" w:ascii="宋体" w:hAnsi="宋体"/>
          <w:color w:val="000000"/>
          <w:sz w:val="24"/>
          <w:szCs w:val="24"/>
        </w:rPr>
        <w:t>职务：</w:t>
      </w:r>
      <w:r>
        <w:rPr>
          <w:rFonts w:ascii="宋体" w:hAnsi="宋体"/>
          <w:color w:val="000000"/>
          <w:sz w:val="24"/>
          <w:szCs w:val="24"/>
        </w:rPr>
        <w:t xml:space="preserve">          </w:t>
      </w:r>
    </w:p>
    <w:p w14:paraId="33D09A4A">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开户银行：</w:t>
      </w:r>
      <w:r>
        <w:rPr>
          <w:rFonts w:ascii="宋体" w:hAnsi="宋体"/>
          <w:color w:val="000000"/>
          <w:sz w:val="24"/>
          <w:szCs w:val="24"/>
        </w:rPr>
        <w:t xml:space="preserve">                   </w:t>
      </w:r>
    </w:p>
    <w:p w14:paraId="64BBC7D2">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银行帐号：</w:t>
      </w:r>
      <w:r>
        <w:rPr>
          <w:rFonts w:ascii="宋体" w:hAnsi="宋体"/>
          <w:color w:val="000000"/>
          <w:sz w:val="24"/>
          <w:szCs w:val="24"/>
        </w:rPr>
        <w:t xml:space="preserve">                   </w:t>
      </w:r>
    </w:p>
    <w:p w14:paraId="12EDB34F">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投标人名称（</w:t>
      </w:r>
      <w:r>
        <w:rPr>
          <w:rFonts w:hint="eastAsia" w:ascii="宋体" w:hAnsi="宋体"/>
          <w:bCs/>
          <w:color w:val="000000"/>
          <w:sz w:val="24"/>
          <w:szCs w:val="24"/>
        </w:rPr>
        <w:t>盖章）</w:t>
      </w:r>
      <w:r>
        <w:rPr>
          <w:rFonts w:ascii="宋体" w:hAnsi="宋体"/>
          <w:color w:val="000000"/>
          <w:sz w:val="24"/>
          <w:szCs w:val="24"/>
        </w:rPr>
        <w:t xml:space="preserve">: </w:t>
      </w:r>
    </w:p>
    <w:p w14:paraId="4404A661">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授权代表签字</w:t>
      </w:r>
      <w:r>
        <w:rPr>
          <w:rFonts w:hint="eastAsia" w:ascii="宋体" w:hAnsi="宋体"/>
          <w:bCs/>
          <w:color w:val="000000"/>
          <w:sz w:val="24"/>
          <w:szCs w:val="24"/>
        </w:rPr>
        <w:t>：</w:t>
      </w:r>
    </w:p>
    <w:p w14:paraId="016FB86D">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日期：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p w14:paraId="3602D144">
      <w:pPr>
        <w:rPr>
          <w:rFonts w:ascii="黑体" w:hAnsi="Calibri" w:eastAsia="黑体"/>
          <w:color w:val="000000"/>
          <w:sz w:val="24"/>
          <w:szCs w:val="24"/>
        </w:rPr>
      </w:pPr>
    </w:p>
    <w:p w14:paraId="2522E2DD">
      <w:pPr>
        <w:rPr>
          <w:rFonts w:ascii="宋体"/>
          <w:b/>
          <w:color w:val="000000"/>
          <w:szCs w:val="24"/>
        </w:rPr>
      </w:pPr>
    </w:p>
    <w:p w14:paraId="46661053">
      <w:pPr>
        <w:pStyle w:val="72"/>
        <w:numPr>
          <w:ilvl w:val="0"/>
          <w:numId w:val="0"/>
        </w:numPr>
        <w:rPr>
          <w:rFonts w:hint="eastAsia" w:ascii="宋体" w:hAnsi="宋体" w:eastAsia="宋体" w:cs="宋体"/>
          <w:sz w:val="32"/>
          <w:szCs w:val="32"/>
          <w:highlight w:val="yellow"/>
        </w:rPr>
      </w:pPr>
      <w:bookmarkStart w:id="29" w:name="_Toc47976618"/>
      <w:bookmarkStart w:id="30" w:name="_Toc29366869"/>
      <w:bookmarkStart w:id="31" w:name="_Toc29366865"/>
      <w:r>
        <w:rPr>
          <w:rFonts w:hint="eastAsia" w:ascii="宋体" w:hAnsi="宋体" w:eastAsia="宋体" w:cs="宋体"/>
          <w:sz w:val="32"/>
          <w:szCs w:val="32"/>
          <w:highlight w:val="yellow"/>
        </w:rPr>
        <w:t>附件2</w:t>
      </w:r>
    </w:p>
    <w:bookmarkEnd w:id="29"/>
    <w:p w14:paraId="548D2A66">
      <w:pPr>
        <w:spacing w:line="360" w:lineRule="auto"/>
        <w:jc w:val="center"/>
        <w:rPr>
          <w:rFonts w:hint="eastAsia" w:ascii="宋体" w:hAnsi="宋体" w:cs="宋体"/>
          <w:color w:val="000000"/>
          <w:sz w:val="32"/>
          <w:szCs w:val="32"/>
        </w:rPr>
      </w:pPr>
      <w:r>
        <w:rPr>
          <w:rFonts w:hint="eastAsia" w:ascii="宋体" w:hAnsi="宋体" w:cs="宋体"/>
          <w:b/>
          <w:bCs/>
          <w:color w:val="000000"/>
          <w:sz w:val="32"/>
          <w:szCs w:val="32"/>
        </w:rPr>
        <w:t>法定代表人授权委托书</w:t>
      </w:r>
    </w:p>
    <w:p w14:paraId="46A07A9F">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本授权委托书声明：我＿＿＿＿＿＿＿（姓名）系＿＿＿＿＿＿＿＿＿＿＿＿＿＿＿＿＿＿＿＿＿＿＿＿（投标人全称）的法定代表人，就</w:t>
      </w:r>
      <w:r>
        <w:rPr>
          <w:rFonts w:ascii="宋体" w:hAnsi="宋体"/>
          <w:b/>
          <w:bCs/>
          <w:color w:val="000000"/>
          <w:sz w:val="24"/>
          <w:szCs w:val="24"/>
          <w:u w:val="single"/>
        </w:rPr>
        <w:t xml:space="preserve"> </w:t>
      </w:r>
      <w:r>
        <w:rPr>
          <w:rFonts w:hint="eastAsia" w:ascii="宋体" w:hAnsi="宋体"/>
          <w:b/>
          <w:bCs/>
          <w:color w:val="000000"/>
          <w:sz w:val="24"/>
          <w:szCs w:val="24"/>
          <w:u w:val="single"/>
        </w:rPr>
        <w:t xml:space="preserve">                      </w:t>
      </w:r>
      <w:r>
        <w:rPr>
          <w:rFonts w:hint="eastAsia" w:ascii="宋体" w:hAnsi="宋体"/>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158D115D">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B32C9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FDFC9F7">
            <w:pPr>
              <w:adjustRightInd w:val="0"/>
              <w:snapToGrid w:val="0"/>
              <w:spacing w:before="93" w:beforeLines="30" w:line="312" w:lineRule="auto"/>
              <w:jc w:val="center"/>
              <w:rPr>
                <w:rFonts w:ascii="宋体" w:hAnsi="Calibri"/>
                <w:sz w:val="24"/>
              </w:rPr>
            </w:pPr>
            <w:r>
              <w:rPr>
                <w:rFonts w:hint="eastAsia" w:ascii="宋体" w:hAnsi="宋体"/>
                <w:sz w:val="24"/>
              </w:rPr>
              <w:t>附法人身份证明复印件（</w:t>
            </w:r>
            <w:r>
              <w:rPr>
                <w:rFonts w:hint="eastAsia" w:ascii="宋体" w:hAnsi="宋体"/>
                <w:color w:val="000000" w:themeColor="text1"/>
                <w:sz w:val="24"/>
                <w14:textFill>
                  <w14:solidFill>
                    <w14:schemeClr w14:val="tx1"/>
                  </w14:solidFill>
                </w14:textFill>
              </w:rPr>
              <w:t>正反面）</w:t>
            </w:r>
          </w:p>
          <w:p w14:paraId="2753F6E0">
            <w:pPr>
              <w:adjustRightInd w:val="0"/>
              <w:snapToGrid w:val="0"/>
              <w:spacing w:before="93" w:beforeLines="30" w:line="312" w:lineRule="auto"/>
              <w:jc w:val="center"/>
              <w:rPr>
                <w:rFonts w:ascii="宋体" w:hAnsi="Calibri"/>
                <w:sz w:val="24"/>
              </w:rPr>
            </w:pPr>
            <w:r>
              <w:rPr>
                <w:rFonts w:hint="eastAsia" w:ascii="宋体" w:hAnsi="宋体"/>
                <w:sz w:val="24"/>
              </w:rPr>
              <w:t>附授权代理人身份证明复印件（正反面）</w:t>
            </w:r>
          </w:p>
        </w:tc>
      </w:tr>
    </w:tbl>
    <w:p w14:paraId="466F53E0">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全权代表姓名：</w:t>
      </w:r>
      <w:r>
        <w:rPr>
          <w:rFonts w:ascii="宋体" w:hAnsi="宋体"/>
          <w:color w:val="000000"/>
          <w:sz w:val="24"/>
          <w:szCs w:val="24"/>
        </w:rPr>
        <w:t xml:space="preserve">            </w:t>
      </w:r>
      <w:r>
        <w:rPr>
          <w:rFonts w:hint="eastAsia" w:ascii="宋体" w:hAnsi="宋体"/>
          <w:color w:val="000000"/>
          <w:sz w:val="24"/>
          <w:szCs w:val="24"/>
        </w:rPr>
        <w:t>性别：</w:t>
      </w:r>
      <w:r>
        <w:rPr>
          <w:rFonts w:ascii="宋体" w:hAnsi="宋体"/>
          <w:color w:val="000000"/>
          <w:sz w:val="24"/>
          <w:szCs w:val="24"/>
        </w:rPr>
        <w:t xml:space="preserve">          </w:t>
      </w:r>
      <w:r>
        <w:rPr>
          <w:rFonts w:hint="eastAsia" w:ascii="宋体" w:hAnsi="宋体"/>
          <w:color w:val="000000"/>
          <w:sz w:val="24"/>
          <w:szCs w:val="24"/>
        </w:rPr>
        <w:t>年龄：</w:t>
      </w:r>
    </w:p>
    <w:p w14:paraId="37F19F67">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单位：</w:t>
      </w:r>
      <w:r>
        <w:rPr>
          <w:rFonts w:ascii="宋体" w:hAnsi="宋体"/>
          <w:color w:val="000000"/>
          <w:sz w:val="24"/>
          <w:szCs w:val="24"/>
        </w:rPr>
        <w:t xml:space="preserve">                    </w:t>
      </w:r>
      <w:r>
        <w:rPr>
          <w:rFonts w:hint="eastAsia" w:ascii="宋体" w:hAnsi="宋体"/>
          <w:color w:val="000000"/>
          <w:sz w:val="24"/>
          <w:szCs w:val="24"/>
        </w:rPr>
        <w:t>部门：</w:t>
      </w:r>
      <w:r>
        <w:rPr>
          <w:rFonts w:ascii="宋体" w:hAnsi="宋体"/>
          <w:color w:val="000000"/>
          <w:sz w:val="24"/>
          <w:szCs w:val="24"/>
        </w:rPr>
        <w:t xml:space="preserve">          </w:t>
      </w:r>
      <w:r>
        <w:rPr>
          <w:rFonts w:hint="eastAsia" w:ascii="宋体" w:hAnsi="宋体"/>
          <w:color w:val="000000"/>
          <w:sz w:val="24"/>
          <w:szCs w:val="24"/>
        </w:rPr>
        <w:t>职务：</w:t>
      </w:r>
    </w:p>
    <w:p w14:paraId="4B7D02E4">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法定代表人签字或盖章</w:t>
      </w:r>
      <w:r>
        <w:rPr>
          <w:rFonts w:ascii="宋体" w:hAnsi="宋体"/>
          <w:color w:val="000000"/>
          <w:sz w:val="24"/>
          <w:szCs w:val="24"/>
        </w:rPr>
        <w:t xml:space="preserve">                          </w:t>
      </w:r>
    </w:p>
    <w:p w14:paraId="15E4C1D1">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被授权人签字</w:t>
      </w:r>
      <w:r>
        <w:rPr>
          <w:rFonts w:ascii="宋体" w:hAnsi="宋体"/>
          <w:color w:val="000000"/>
          <w:sz w:val="24"/>
          <w:szCs w:val="24"/>
        </w:rPr>
        <w:t xml:space="preserve">  </w:t>
      </w:r>
    </w:p>
    <w:p w14:paraId="03EC325E">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被授权人电话：</w:t>
      </w:r>
      <w:r>
        <w:rPr>
          <w:rFonts w:ascii="宋体" w:hAnsi="宋体"/>
          <w:color w:val="000000"/>
          <w:sz w:val="24"/>
          <w:szCs w:val="24"/>
        </w:rPr>
        <w:t xml:space="preserve">   </w:t>
      </w:r>
    </w:p>
    <w:p w14:paraId="1754DF8C">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投标人名称（公章）</w:t>
      </w:r>
      <w:r>
        <w:rPr>
          <w:rFonts w:ascii="宋体" w:hAnsi="宋体"/>
          <w:color w:val="000000"/>
          <w:sz w:val="24"/>
          <w:szCs w:val="24"/>
        </w:rPr>
        <w:t xml:space="preserve">                       </w:t>
      </w:r>
    </w:p>
    <w:p w14:paraId="2E10B575">
      <w:pPr>
        <w:spacing w:line="460" w:lineRule="exact"/>
        <w:ind w:firstLine="5520" w:firstLineChars="2300"/>
        <w:rPr>
          <w:rFonts w:ascii="宋体" w:hAnsi="Calibri"/>
          <w:sz w:val="24"/>
          <w:u w:val="single"/>
        </w:rPr>
      </w:pP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520E1ACD">
      <w:pPr>
        <w:spacing w:line="360" w:lineRule="auto"/>
        <w:ind w:firstLine="4800" w:firstLineChars="2000"/>
        <w:rPr>
          <w:rFonts w:hint="eastAsia" w:ascii="宋体" w:hAnsi="宋体" w:cs="宋体"/>
          <w:sz w:val="24"/>
          <w:szCs w:val="21"/>
        </w:rPr>
      </w:pPr>
    </w:p>
    <w:p w14:paraId="02270763">
      <w:pPr>
        <w:spacing w:line="360" w:lineRule="auto"/>
        <w:ind w:firstLine="4800" w:firstLineChars="2000"/>
        <w:rPr>
          <w:rFonts w:hint="eastAsia" w:ascii="宋体" w:hAnsi="宋体" w:cs="宋体"/>
          <w:sz w:val="24"/>
          <w:szCs w:val="21"/>
        </w:rPr>
      </w:pPr>
    </w:p>
    <w:p w14:paraId="2E531D6F">
      <w:pPr>
        <w:spacing w:line="360" w:lineRule="auto"/>
        <w:ind w:firstLine="4800" w:firstLineChars="2000"/>
        <w:rPr>
          <w:rFonts w:hint="eastAsia" w:ascii="宋体" w:hAnsi="宋体" w:cs="宋体"/>
          <w:sz w:val="24"/>
          <w:szCs w:val="21"/>
        </w:rPr>
      </w:pPr>
    </w:p>
    <w:p w14:paraId="459CF535">
      <w:pPr>
        <w:spacing w:line="360" w:lineRule="auto"/>
        <w:ind w:firstLine="4800" w:firstLineChars="2000"/>
        <w:rPr>
          <w:rFonts w:hint="eastAsia" w:ascii="宋体" w:hAnsi="宋体" w:cs="宋体"/>
          <w:sz w:val="24"/>
          <w:szCs w:val="21"/>
        </w:rPr>
      </w:pPr>
    </w:p>
    <w:p w14:paraId="3177C07B">
      <w:pPr>
        <w:pStyle w:val="14"/>
      </w:pPr>
    </w:p>
    <w:p w14:paraId="5A1FFA6F">
      <w:pPr>
        <w:spacing w:line="360" w:lineRule="auto"/>
        <w:rPr>
          <w:rFonts w:hint="eastAsia" w:ascii="宋体" w:hAnsi="宋体" w:cs="宋体"/>
          <w:sz w:val="24"/>
          <w:szCs w:val="21"/>
        </w:rPr>
      </w:pPr>
    </w:p>
    <w:bookmarkEnd w:id="30"/>
    <w:bookmarkEnd w:id="31"/>
    <w:p w14:paraId="17D766AB">
      <w:pPr>
        <w:pStyle w:val="72"/>
        <w:numPr>
          <w:ilvl w:val="0"/>
          <w:numId w:val="0"/>
        </w:numPr>
        <w:rPr>
          <w:rFonts w:hint="eastAsia" w:ascii="宋体" w:hAnsi="宋体" w:eastAsia="宋体" w:cs="宋体"/>
          <w:sz w:val="32"/>
          <w:szCs w:val="32"/>
          <w:highlight w:val="yellow"/>
        </w:rPr>
      </w:pPr>
      <w:r>
        <w:rPr>
          <w:rFonts w:hint="eastAsia" w:ascii="宋体" w:hAnsi="宋体" w:eastAsia="宋体" w:cs="宋体"/>
          <w:sz w:val="32"/>
          <w:szCs w:val="32"/>
          <w:highlight w:val="yellow"/>
        </w:rPr>
        <w:t>附件3</w:t>
      </w:r>
    </w:p>
    <w:p w14:paraId="3D8A68A4">
      <w:pPr>
        <w:pStyle w:val="72"/>
        <w:numPr>
          <w:ilvl w:val="0"/>
          <w:numId w:val="0"/>
        </w:numPr>
        <w:jc w:val="center"/>
      </w:pPr>
      <w:r>
        <w:rPr>
          <w:rFonts w:hint="eastAsia"/>
        </w:rPr>
        <w:t>开标一览表</w:t>
      </w:r>
    </w:p>
    <w:p w14:paraId="01DD301A">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项目名称：</w:t>
      </w:r>
      <w:r>
        <w:rPr>
          <w:rFonts w:hint="eastAsia" w:ascii="宋体" w:hAnsi="宋体"/>
          <w:color w:val="000000"/>
          <w:sz w:val="24"/>
          <w:szCs w:val="24"/>
          <w:u w:val="single"/>
        </w:rPr>
        <w:t xml:space="preserve">                          </w:t>
      </w:r>
      <w:r>
        <w:rPr>
          <w:rFonts w:ascii="宋体" w:hAnsi="宋体"/>
          <w:color w:val="000000"/>
          <w:sz w:val="24"/>
          <w:szCs w:val="24"/>
        </w:rPr>
        <w:t xml:space="preserve">                                                        </w:t>
      </w:r>
    </w:p>
    <w:tbl>
      <w:tblPr>
        <w:tblStyle w:val="30"/>
        <w:tblW w:w="6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699"/>
      </w:tblGrid>
      <w:tr w14:paraId="6C2E1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D8B04BA">
            <w:pPr>
              <w:jc w:val="center"/>
              <w:rPr>
                <w:b/>
              </w:rPr>
            </w:pPr>
            <w:r>
              <w:rPr>
                <w:rFonts w:hint="eastAsia"/>
                <w:b/>
              </w:rPr>
              <w:t>序号</w:t>
            </w:r>
          </w:p>
        </w:tc>
        <w:tc>
          <w:tcPr>
            <w:tcW w:w="1518" w:type="dxa"/>
            <w:vAlign w:val="center"/>
          </w:tcPr>
          <w:p w14:paraId="79411EA6">
            <w:pPr>
              <w:jc w:val="center"/>
              <w:rPr>
                <w:b/>
              </w:rPr>
            </w:pPr>
            <w:r>
              <w:rPr>
                <w:rFonts w:hint="eastAsia"/>
                <w:b/>
              </w:rPr>
              <w:t>货物名称</w:t>
            </w:r>
          </w:p>
        </w:tc>
        <w:tc>
          <w:tcPr>
            <w:tcW w:w="848" w:type="dxa"/>
            <w:vAlign w:val="center"/>
          </w:tcPr>
          <w:p w14:paraId="5241B74C">
            <w:pPr>
              <w:jc w:val="center"/>
              <w:rPr>
                <w:b/>
              </w:rPr>
            </w:pPr>
            <w:r>
              <w:rPr>
                <w:rFonts w:hint="eastAsia"/>
                <w:b/>
              </w:rPr>
              <w:t>数量</w:t>
            </w:r>
          </w:p>
        </w:tc>
        <w:tc>
          <w:tcPr>
            <w:tcW w:w="2270" w:type="dxa"/>
            <w:vAlign w:val="center"/>
          </w:tcPr>
          <w:p w14:paraId="3E21B527">
            <w:pPr>
              <w:jc w:val="center"/>
              <w:rPr>
                <w:b/>
              </w:rPr>
            </w:pPr>
            <w:r>
              <w:rPr>
                <w:rFonts w:hint="eastAsia"/>
                <w:b/>
              </w:rPr>
              <w:t>投标总价</w:t>
            </w:r>
            <w:r>
              <w:rPr>
                <w:rFonts w:hint="eastAsia" w:ascii="等线" w:hAnsi="等线" w:eastAsia="等线"/>
                <w:b/>
              </w:rPr>
              <w:t>（元）</w:t>
            </w:r>
          </w:p>
        </w:tc>
        <w:tc>
          <w:tcPr>
            <w:tcW w:w="699" w:type="dxa"/>
            <w:vAlign w:val="center"/>
          </w:tcPr>
          <w:p w14:paraId="2E2F6B24">
            <w:pPr>
              <w:jc w:val="center"/>
              <w:rPr>
                <w:rFonts w:hint="eastAsia" w:ascii="等线" w:hAnsi="等线" w:eastAsia="等线"/>
                <w:b/>
              </w:rPr>
            </w:pPr>
            <w:r>
              <w:rPr>
                <w:rFonts w:hint="eastAsia"/>
                <w:b/>
              </w:rPr>
              <w:t>商务条款是否偏离</w:t>
            </w:r>
          </w:p>
        </w:tc>
      </w:tr>
      <w:tr w14:paraId="5701C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3E9AE4ED">
            <w:pPr>
              <w:jc w:val="center"/>
              <w:rPr>
                <w:b/>
              </w:rPr>
            </w:pPr>
          </w:p>
        </w:tc>
        <w:tc>
          <w:tcPr>
            <w:tcW w:w="1518" w:type="dxa"/>
            <w:vAlign w:val="center"/>
          </w:tcPr>
          <w:p w14:paraId="574D2559">
            <w:pPr>
              <w:jc w:val="center"/>
              <w:rPr>
                <w:b/>
              </w:rPr>
            </w:pPr>
          </w:p>
        </w:tc>
        <w:tc>
          <w:tcPr>
            <w:tcW w:w="848" w:type="dxa"/>
            <w:vAlign w:val="center"/>
          </w:tcPr>
          <w:p w14:paraId="459EAB96">
            <w:pPr>
              <w:jc w:val="center"/>
              <w:rPr>
                <w:b/>
              </w:rPr>
            </w:pPr>
          </w:p>
        </w:tc>
        <w:tc>
          <w:tcPr>
            <w:tcW w:w="2270" w:type="dxa"/>
            <w:vAlign w:val="center"/>
          </w:tcPr>
          <w:p w14:paraId="732974AD">
            <w:pPr>
              <w:jc w:val="left"/>
              <w:rPr>
                <w:rFonts w:hint="eastAsia" w:ascii="等线" w:hAnsi="等线" w:eastAsia="等线"/>
                <w:b/>
              </w:rPr>
            </w:pPr>
            <w:r>
              <w:rPr>
                <w:rFonts w:hint="eastAsia" w:ascii="等线" w:hAnsi="等线" w:eastAsia="等线"/>
                <w:b/>
              </w:rPr>
              <w:t>不含税价：</w:t>
            </w:r>
          </w:p>
          <w:p w14:paraId="186E133A">
            <w:pPr>
              <w:jc w:val="left"/>
              <w:rPr>
                <w:rFonts w:hint="eastAsia" w:ascii="等线" w:hAnsi="等线" w:eastAsia="等线"/>
                <w:b/>
              </w:rPr>
            </w:pPr>
            <w:r>
              <w:rPr>
                <w:rFonts w:hint="eastAsia" w:ascii="等线" w:hAnsi="等线" w:eastAsia="等线"/>
                <w:b/>
              </w:rPr>
              <w:t>含税价格：</w:t>
            </w:r>
            <w:r>
              <w:rPr>
                <w:rFonts w:hint="eastAsia" w:ascii="等线" w:hAnsi="等线" w:eastAsia="等线"/>
                <w:b/>
                <w:u w:val="single"/>
              </w:rPr>
              <w:t xml:space="preserve">    （大写：    ）</w:t>
            </w:r>
          </w:p>
          <w:p w14:paraId="51E44DA5">
            <w:pPr>
              <w:jc w:val="left"/>
              <w:rPr>
                <w:b/>
              </w:rPr>
            </w:pPr>
            <w:r>
              <w:rPr>
                <w:rFonts w:hint="eastAsia" w:ascii="等线" w:hAnsi="等线" w:eastAsia="等线"/>
                <w:b/>
              </w:rPr>
              <w:t>税率：</w:t>
            </w:r>
          </w:p>
        </w:tc>
        <w:tc>
          <w:tcPr>
            <w:tcW w:w="699" w:type="dxa"/>
            <w:vAlign w:val="center"/>
          </w:tcPr>
          <w:p w14:paraId="3E8387E9">
            <w:pPr>
              <w:jc w:val="center"/>
              <w:rPr>
                <w:b/>
              </w:rPr>
            </w:pPr>
          </w:p>
        </w:tc>
      </w:tr>
    </w:tbl>
    <w:p w14:paraId="7B64DB02">
      <w:pPr>
        <w:rPr>
          <w:rFonts w:ascii="宋体" w:hAnsi="Arial"/>
          <w:sz w:val="24"/>
          <w:szCs w:val="24"/>
        </w:rPr>
      </w:pPr>
    </w:p>
    <w:p w14:paraId="6732DE53">
      <w:pPr>
        <w:spacing w:line="400" w:lineRule="exact"/>
        <w:rPr>
          <w:rFonts w:ascii="宋体" w:hAnsi="Calibri"/>
          <w:szCs w:val="21"/>
        </w:rPr>
      </w:pPr>
      <w:r>
        <w:rPr>
          <w:rFonts w:hint="eastAsia" w:ascii="宋体" w:hAnsi="宋体"/>
          <w:b/>
          <w:bCs/>
          <w:szCs w:val="21"/>
        </w:rPr>
        <w:t>注：</w:t>
      </w:r>
    </w:p>
    <w:p w14:paraId="25880712">
      <w:pPr>
        <w:spacing w:line="520" w:lineRule="exact"/>
        <w:rPr>
          <w:rFonts w:ascii="宋体" w:hAnsi="Calibri"/>
          <w:b/>
          <w:bCs/>
          <w:szCs w:val="21"/>
        </w:rPr>
      </w:pPr>
      <w:r>
        <w:rPr>
          <w:rFonts w:ascii="宋体" w:hAnsi="宋体"/>
          <w:b/>
          <w:bCs/>
          <w:szCs w:val="21"/>
        </w:rPr>
        <w:t>1</w:t>
      </w:r>
      <w:r>
        <w:rPr>
          <w:rFonts w:hint="eastAsia" w:ascii="宋体" w:hAnsi="宋体"/>
          <w:b/>
          <w:bCs/>
          <w:szCs w:val="21"/>
        </w:rPr>
        <w:t>.此表中的报价必须与相应的报价明细表中的报价一致。</w:t>
      </w:r>
    </w:p>
    <w:p w14:paraId="6E840D1C">
      <w:pPr>
        <w:spacing w:line="300" w:lineRule="auto"/>
        <w:rPr>
          <w:rFonts w:hint="eastAsia" w:ascii="宋体" w:hAnsi="宋体" w:cs="宋体"/>
          <w:b/>
        </w:rPr>
      </w:pPr>
      <w:r>
        <w:rPr>
          <w:rFonts w:hint="eastAsia" w:ascii="宋体" w:hAnsi="宋体" w:cs="宋体"/>
          <w:b/>
        </w:rPr>
        <w:t>2.需写明含税价、不含税价格、税率。</w:t>
      </w:r>
    </w:p>
    <w:p w14:paraId="5AF7E7A0">
      <w:pPr>
        <w:pStyle w:val="14"/>
        <w:rPr>
          <w:rFonts w:hint="eastAsia" w:hAnsi="宋体"/>
          <w:b/>
          <w:bCs/>
          <w:szCs w:val="21"/>
        </w:rPr>
      </w:pPr>
      <w:r>
        <w:rPr>
          <w:rFonts w:hint="eastAsia" w:hAnsi="宋体" w:cs="宋体"/>
          <w:b/>
        </w:rPr>
        <w:t>3.</w:t>
      </w:r>
      <w:r>
        <w:rPr>
          <w:rFonts w:hint="eastAsia" w:hAnsi="宋体"/>
          <w:b/>
          <w:bCs/>
          <w:szCs w:val="21"/>
        </w:rPr>
        <w:t>投标总价包括</w:t>
      </w:r>
      <w:r>
        <w:rPr>
          <w:rFonts w:hint="eastAsia" w:hAnsi="宋体"/>
          <w:b/>
          <w:bCs/>
          <w:szCs w:val="21"/>
          <w:u w:val="single"/>
        </w:rPr>
        <w:t xml:space="preserve">                                             </w:t>
      </w:r>
      <w:r>
        <w:rPr>
          <w:rFonts w:hint="eastAsia" w:hAnsi="宋体"/>
          <w:b/>
          <w:bCs/>
          <w:szCs w:val="21"/>
        </w:rPr>
        <w:t>全部费用。</w:t>
      </w:r>
    </w:p>
    <w:p w14:paraId="737DDA16">
      <w:pPr>
        <w:pStyle w:val="14"/>
        <w:rPr>
          <w:rFonts w:hint="eastAsia" w:hAnsi="宋体"/>
          <w:b/>
          <w:bCs/>
          <w:szCs w:val="21"/>
          <w:highlight w:val="yellow"/>
        </w:rPr>
      </w:pPr>
    </w:p>
    <w:p w14:paraId="3E246C96">
      <w:pPr>
        <w:pStyle w:val="14"/>
        <w:rPr>
          <w:rFonts w:hint="eastAsia" w:hAnsi="宋体"/>
          <w:b/>
          <w:bCs/>
          <w:szCs w:val="21"/>
          <w:highlight w:val="yellow"/>
        </w:rPr>
      </w:pPr>
    </w:p>
    <w:p w14:paraId="1666943B">
      <w:pPr>
        <w:spacing w:line="660" w:lineRule="exact"/>
        <w:jc w:val="center"/>
        <w:rPr>
          <w:rFonts w:ascii="宋体" w:hAnsi="Calibri"/>
          <w:sz w:val="24"/>
        </w:rPr>
      </w:pPr>
      <w:r>
        <w:rPr>
          <w:rFonts w:hint="eastAsia" w:ascii="宋体" w:hAnsi="宋体"/>
          <w:sz w:val="24"/>
        </w:rPr>
        <w:t xml:space="preserve">                        投标人：（盖章）</w:t>
      </w:r>
    </w:p>
    <w:p w14:paraId="785157D3">
      <w:pPr>
        <w:spacing w:line="660" w:lineRule="exact"/>
        <w:jc w:val="right"/>
        <w:rPr>
          <w:rFonts w:ascii="宋体" w:hAnsi="Calibri"/>
          <w:sz w:val="24"/>
        </w:rPr>
      </w:pPr>
      <w:r>
        <w:rPr>
          <w:rFonts w:hint="eastAsia" w:ascii="宋体" w:hAnsi="宋体"/>
          <w:sz w:val="24"/>
        </w:rPr>
        <w:t>法定代表人（委托代理人）：（签字）</w:t>
      </w:r>
    </w:p>
    <w:p w14:paraId="63A322ED">
      <w:pPr>
        <w:spacing w:line="660" w:lineRule="exact"/>
        <w:jc w:val="center"/>
        <w:rPr>
          <w:rFonts w:ascii="宋体" w:hAnsi="Calibri"/>
          <w:sz w:val="24"/>
        </w:rPr>
      </w:pPr>
      <w:r>
        <w:rPr>
          <w:rFonts w:hint="eastAsia" w:ascii="宋体" w:hAnsi="宋体"/>
          <w:sz w:val="24"/>
        </w:rPr>
        <w:t xml:space="preserve">                                     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047FBFE2">
      <w:pPr>
        <w:pStyle w:val="72"/>
        <w:numPr>
          <w:ilvl w:val="0"/>
          <w:numId w:val="0"/>
        </w:numPr>
      </w:pPr>
      <w:r>
        <w:t xml:space="preserve"> </w:t>
      </w:r>
    </w:p>
    <w:p w14:paraId="33F0F627">
      <w:pPr>
        <w:pStyle w:val="72"/>
        <w:numPr>
          <w:ilvl w:val="0"/>
          <w:numId w:val="0"/>
        </w:numPr>
      </w:pPr>
    </w:p>
    <w:p w14:paraId="3E2000B9">
      <w:pPr>
        <w:pStyle w:val="72"/>
        <w:numPr>
          <w:ilvl w:val="0"/>
          <w:numId w:val="0"/>
        </w:numPr>
      </w:pPr>
    </w:p>
    <w:p w14:paraId="6CC888C7">
      <w:pPr>
        <w:pStyle w:val="72"/>
        <w:numPr>
          <w:ilvl w:val="0"/>
          <w:numId w:val="0"/>
        </w:numPr>
      </w:pPr>
    </w:p>
    <w:p w14:paraId="643436BF">
      <w:pPr>
        <w:pStyle w:val="72"/>
        <w:numPr>
          <w:ilvl w:val="0"/>
          <w:numId w:val="0"/>
        </w:numPr>
      </w:pPr>
    </w:p>
    <w:p w14:paraId="4225325A">
      <w:pPr>
        <w:pStyle w:val="72"/>
        <w:numPr>
          <w:ilvl w:val="0"/>
          <w:numId w:val="0"/>
        </w:numPr>
      </w:pPr>
    </w:p>
    <w:p w14:paraId="28096EEE">
      <w:pPr>
        <w:pStyle w:val="72"/>
        <w:numPr>
          <w:ilvl w:val="0"/>
          <w:numId w:val="0"/>
        </w:numPr>
      </w:pPr>
    </w:p>
    <w:p w14:paraId="0CF157D6">
      <w:pPr>
        <w:pStyle w:val="76"/>
        <w:ind w:firstLine="630" w:firstLineChars="300"/>
      </w:pPr>
    </w:p>
    <w:p w14:paraId="21C36923">
      <w:pPr>
        <w:pStyle w:val="76"/>
        <w:rPr>
          <w:rFonts w:hint="eastAsia" w:hAnsi="宋体" w:cs="宋体"/>
          <w:b/>
          <w:bCs/>
          <w:sz w:val="32"/>
          <w:szCs w:val="32"/>
        </w:rPr>
      </w:pPr>
      <w:r>
        <w:rPr>
          <w:rFonts w:hint="eastAsia" w:hAnsi="宋体" w:cs="宋体"/>
          <w:b/>
          <w:bCs/>
          <w:sz w:val="32"/>
          <w:szCs w:val="32"/>
        </w:rPr>
        <w:t>附件4</w:t>
      </w:r>
    </w:p>
    <w:p w14:paraId="60A526A0">
      <w:pPr>
        <w:rPr>
          <w:rFonts w:hint="eastAsia" w:ascii="宋体" w:hAnsi="宋体"/>
        </w:rPr>
      </w:pPr>
      <w:r>
        <w:rPr>
          <w:rFonts w:hint="eastAsia" w:ascii="宋体" w:hAnsi="宋体"/>
        </w:rPr>
        <w:t>项目名称：(XX项目)</w:t>
      </w:r>
    </w:p>
    <w:p w14:paraId="3AC7A9D5">
      <w:pPr>
        <w:rPr>
          <w:rFonts w:hint="eastAsia" w:ascii="宋体" w:hAnsi="宋体"/>
        </w:rPr>
      </w:pPr>
    </w:p>
    <w:p w14:paraId="18CB24D3">
      <w:pPr>
        <w:rPr>
          <w:rFonts w:hint="eastAsia" w:ascii="宋体" w:hAnsi="宋体"/>
          <w:szCs w:val="21"/>
        </w:rPr>
      </w:pPr>
      <w:r>
        <w:rPr>
          <w:rFonts w:hint="eastAsia" w:ascii="宋体" w:hAnsi="宋体"/>
          <w:szCs w:val="21"/>
        </w:rPr>
        <w:t>日期：  年   月   日</w:t>
      </w:r>
    </w:p>
    <w:p w14:paraId="44508154">
      <w:pPr>
        <w:jc w:val="center"/>
        <w:rPr>
          <w:rFonts w:eastAsia="黑体"/>
          <w:b/>
          <w:bCs/>
          <w:sz w:val="28"/>
        </w:rPr>
      </w:pPr>
    </w:p>
    <w:p w14:paraId="5F7E42B7">
      <w:pPr>
        <w:jc w:val="center"/>
        <w:rPr>
          <w:rFonts w:eastAsia="黑体"/>
          <w:b/>
          <w:bCs/>
          <w:sz w:val="28"/>
        </w:rPr>
      </w:pPr>
      <w:r>
        <w:rPr>
          <w:rFonts w:hint="eastAsia" w:eastAsia="黑体"/>
          <w:b/>
          <w:bCs/>
          <w:sz w:val="28"/>
        </w:rPr>
        <w:t>相关条款偏离表</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1B399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09D24019">
            <w:pPr>
              <w:jc w:val="center"/>
              <w:rPr>
                <w:rFonts w:hint="eastAsia" w:ascii="宋体" w:hAnsi="宋体"/>
                <w:sz w:val="24"/>
              </w:rPr>
            </w:pPr>
            <w:r>
              <w:rPr>
                <w:rFonts w:hint="eastAsia" w:ascii="宋体" w:hAnsi="宋体"/>
                <w:sz w:val="24"/>
              </w:rPr>
              <w:t>序号</w:t>
            </w:r>
          </w:p>
        </w:tc>
        <w:tc>
          <w:tcPr>
            <w:tcW w:w="4140" w:type="dxa"/>
            <w:gridSpan w:val="2"/>
            <w:vAlign w:val="center"/>
          </w:tcPr>
          <w:p w14:paraId="61F1BBD9">
            <w:pPr>
              <w:jc w:val="center"/>
              <w:rPr>
                <w:rFonts w:hint="eastAsia" w:ascii="宋体" w:hAnsi="宋体"/>
                <w:sz w:val="24"/>
              </w:rPr>
            </w:pPr>
            <w:r>
              <w:rPr>
                <w:rFonts w:hint="eastAsia" w:ascii="宋体" w:hAnsi="宋体"/>
                <w:sz w:val="24"/>
              </w:rPr>
              <w:t>招标文件条款</w:t>
            </w:r>
          </w:p>
        </w:tc>
        <w:tc>
          <w:tcPr>
            <w:tcW w:w="3554" w:type="dxa"/>
            <w:vMerge w:val="restart"/>
            <w:vAlign w:val="center"/>
          </w:tcPr>
          <w:p w14:paraId="11C05996">
            <w:pPr>
              <w:jc w:val="center"/>
              <w:rPr>
                <w:rFonts w:hint="eastAsia" w:ascii="宋体" w:hAnsi="宋体"/>
                <w:sz w:val="24"/>
              </w:rPr>
            </w:pPr>
            <w:r>
              <w:rPr>
                <w:rFonts w:hint="eastAsia" w:ascii="宋体" w:hAnsi="宋体"/>
                <w:sz w:val="24"/>
              </w:rPr>
              <w:t>偏离内容</w:t>
            </w:r>
          </w:p>
        </w:tc>
      </w:tr>
      <w:tr w14:paraId="02F5B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0C39498A">
            <w:pPr>
              <w:rPr>
                <w:rFonts w:hint="eastAsia" w:ascii="宋体" w:hAnsi="宋体"/>
                <w:sz w:val="24"/>
              </w:rPr>
            </w:pPr>
          </w:p>
        </w:tc>
        <w:tc>
          <w:tcPr>
            <w:tcW w:w="1080" w:type="dxa"/>
            <w:vAlign w:val="center"/>
          </w:tcPr>
          <w:p w14:paraId="0CC6F034">
            <w:pPr>
              <w:jc w:val="center"/>
              <w:rPr>
                <w:rFonts w:hint="eastAsia" w:ascii="宋体" w:hAnsi="宋体"/>
                <w:sz w:val="24"/>
              </w:rPr>
            </w:pPr>
            <w:r>
              <w:rPr>
                <w:rFonts w:hint="eastAsia" w:ascii="宋体" w:hAnsi="宋体"/>
                <w:sz w:val="24"/>
              </w:rPr>
              <w:t>条款号</w:t>
            </w:r>
          </w:p>
        </w:tc>
        <w:tc>
          <w:tcPr>
            <w:tcW w:w="3060" w:type="dxa"/>
            <w:vAlign w:val="center"/>
          </w:tcPr>
          <w:p w14:paraId="46F9AFCA">
            <w:pPr>
              <w:jc w:val="center"/>
              <w:rPr>
                <w:rFonts w:hint="eastAsia" w:ascii="宋体" w:hAnsi="宋体"/>
                <w:sz w:val="24"/>
              </w:rPr>
            </w:pPr>
            <w:r>
              <w:rPr>
                <w:rFonts w:hint="eastAsia" w:ascii="宋体" w:hAnsi="宋体"/>
                <w:sz w:val="24"/>
              </w:rPr>
              <w:t>条款要求</w:t>
            </w:r>
          </w:p>
        </w:tc>
        <w:tc>
          <w:tcPr>
            <w:tcW w:w="3554" w:type="dxa"/>
            <w:vMerge w:val="continue"/>
            <w:vAlign w:val="center"/>
          </w:tcPr>
          <w:p w14:paraId="73D9BB5C">
            <w:pPr>
              <w:jc w:val="center"/>
              <w:rPr>
                <w:rFonts w:hint="eastAsia" w:ascii="宋体" w:hAnsi="宋体"/>
                <w:sz w:val="24"/>
              </w:rPr>
            </w:pPr>
          </w:p>
        </w:tc>
      </w:tr>
      <w:tr w14:paraId="46D54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76B074A">
            <w:pPr>
              <w:jc w:val="center"/>
              <w:rPr>
                <w:rFonts w:hint="eastAsia" w:ascii="宋体" w:hAnsi="宋体"/>
                <w:sz w:val="24"/>
              </w:rPr>
            </w:pPr>
            <w:r>
              <w:rPr>
                <w:rFonts w:hint="eastAsia" w:ascii="宋体" w:hAnsi="宋体"/>
                <w:sz w:val="24"/>
              </w:rPr>
              <w:t>1</w:t>
            </w:r>
          </w:p>
        </w:tc>
        <w:tc>
          <w:tcPr>
            <w:tcW w:w="1080" w:type="dxa"/>
            <w:vAlign w:val="center"/>
          </w:tcPr>
          <w:p w14:paraId="50037774">
            <w:pPr>
              <w:rPr>
                <w:rFonts w:hint="eastAsia" w:ascii="宋体" w:hAnsi="宋体"/>
                <w:sz w:val="24"/>
              </w:rPr>
            </w:pPr>
          </w:p>
        </w:tc>
        <w:tc>
          <w:tcPr>
            <w:tcW w:w="3060" w:type="dxa"/>
            <w:vAlign w:val="center"/>
          </w:tcPr>
          <w:p w14:paraId="300A7841">
            <w:pPr>
              <w:rPr>
                <w:rFonts w:hint="eastAsia" w:ascii="宋体" w:hAnsi="宋体"/>
                <w:sz w:val="24"/>
              </w:rPr>
            </w:pPr>
          </w:p>
        </w:tc>
        <w:tc>
          <w:tcPr>
            <w:tcW w:w="3554" w:type="dxa"/>
            <w:vAlign w:val="center"/>
          </w:tcPr>
          <w:p w14:paraId="1CB42AA9">
            <w:pPr>
              <w:rPr>
                <w:rFonts w:hint="eastAsia" w:ascii="宋体" w:hAnsi="宋体"/>
                <w:sz w:val="24"/>
              </w:rPr>
            </w:pPr>
          </w:p>
        </w:tc>
      </w:tr>
      <w:tr w14:paraId="3435C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047F9F4">
            <w:pPr>
              <w:jc w:val="center"/>
              <w:rPr>
                <w:rFonts w:hint="eastAsia" w:ascii="宋体" w:hAnsi="宋体"/>
                <w:sz w:val="24"/>
              </w:rPr>
            </w:pPr>
            <w:r>
              <w:rPr>
                <w:rFonts w:hint="eastAsia" w:ascii="宋体" w:hAnsi="宋体"/>
                <w:sz w:val="24"/>
              </w:rPr>
              <w:t>2</w:t>
            </w:r>
          </w:p>
        </w:tc>
        <w:tc>
          <w:tcPr>
            <w:tcW w:w="1080" w:type="dxa"/>
            <w:vAlign w:val="center"/>
          </w:tcPr>
          <w:p w14:paraId="644CBBE3">
            <w:pPr>
              <w:rPr>
                <w:rFonts w:hint="eastAsia" w:ascii="宋体" w:hAnsi="宋体"/>
                <w:sz w:val="24"/>
              </w:rPr>
            </w:pPr>
          </w:p>
        </w:tc>
        <w:tc>
          <w:tcPr>
            <w:tcW w:w="3060" w:type="dxa"/>
            <w:vAlign w:val="center"/>
          </w:tcPr>
          <w:p w14:paraId="6ED0E0C9">
            <w:pPr>
              <w:rPr>
                <w:rFonts w:hint="eastAsia" w:ascii="宋体" w:hAnsi="宋体"/>
                <w:sz w:val="24"/>
              </w:rPr>
            </w:pPr>
          </w:p>
        </w:tc>
        <w:tc>
          <w:tcPr>
            <w:tcW w:w="3554" w:type="dxa"/>
            <w:vAlign w:val="center"/>
          </w:tcPr>
          <w:p w14:paraId="5E4C67C5">
            <w:pPr>
              <w:rPr>
                <w:rFonts w:hint="eastAsia" w:ascii="宋体" w:hAnsi="宋体"/>
                <w:sz w:val="24"/>
              </w:rPr>
            </w:pPr>
          </w:p>
        </w:tc>
      </w:tr>
      <w:tr w14:paraId="21B45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E46CD98">
            <w:pPr>
              <w:jc w:val="center"/>
              <w:rPr>
                <w:rFonts w:hint="eastAsia" w:ascii="宋体" w:hAnsi="宋体"/>
                <w:sz w:val="24"/>
              </w:rPr>
            </w:pPr>
            <w:r>
              <w:rPr>
                <w:rFonts w:hint="eastAsia" w:ascii="宋体" w:hAnsi="宋体"/>
                <w:sz w:val="24"/>
              </w:rPr>
              <w:t>3</w:t>
            </w:r>
          </w:p>
        </w:tc>
        <w:tc>
          <w:tcPr>
            <w:tcW w:w="1080" w:type="dxa"/>
            <w:vAlign w:val="center"/>
          </w:tcPr>
          <w:p w14:paraId="4D4A0407">
            <w:pPr>
              <w:rPr>
                <w:rFonts w:hint="eastAsia" w:ascii="宋体" w:hAnsi="宋体"/>
                <w:sz w:val="24"/>
              </w:rPr>
            </w:pPr>
          </w:p>
        </w:tc>
        <w:tc>
          <w:tcPr>
            <w:tcW w:w="3060" w:type="dxa"/>
            <w:vAlign w:val="center"/>
          </w:tcPr>
          <w:p w14:paraId="2B896925">
            <w:pPr>
              <w:rPr>
                <w:rFonts w:hint="eastAsia" w:ascii="宋体" w:hAnsi="宋体"/>
                <w:sz w:val="24"/>
              </w:rPr>
            </w:pPr>
          </w:p>
        </w:tc>
        <w:tc>
          <w:tcPr>
            <w:tcW w:w="3554" w:type="dxa"/>
            <w:vAlign w:val="center"/>
          </w:tcPr>
          <w:p w14:paraId="519379CC">
            <w:pPr>
              <w:rPr>
                <w:rFonts w:hint="eastAsia" w:ascii="宋体" w:hAnsi="宋体"/>
                <w:sz w:val="24"/>
              </w:rPr>
            </w:pPr>
          </w:p>
        </w:tc>
      </w:tr>
      <w:tr w14:paraId="7528E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EF84776">
            <w:pPr>
              <w:jc w:val="center"/>
              <w:rPr>
                <w:rFonts w:hint="eastAsia" w:ascii="宋体" w:hAnsi="宋体"/>
                <w:sz w:val="24"/>
              </w:rPr>
            </w:pPr>
            <w:r>
              <w:rPr>
                <w:rFonts w:hint="eastAsia" w:ascii="宋体" w:hAnsi="宋体"/>
                <w:sz w:val="24"/>
              </w:rPr>
              <w:t>4</w:t>
            </w:r>
          </w:p>
        </w:tc>
        <w:tc>
          <w:tcPr>
            <w:tcW w:w="1080" w:type="dxa"/>
            <w:vAlign w:val="center"/>
          </w:tcPr>
          <w:p w14:paraId="35DA4266">
            <w:pPr>
              <w:rPr>
                <w:rFonts w:hint="eastAsia" w:ascii="宋体" w:hAnsi="宋体"/>
                <w:sz w:val="24"/>
              </w:rPr>
            </w:pPr>
          </w:p>
        </w:tc>
        <w:tc>
          <w:tcPr>
            <w:tcW w:w="3060" w:type="dxa"/>
            <w:vAlign w:val="center"/>
          </w:tcPr>
          <w:p w14:paraId="1132164E">
            <w:pPr>
              <w:rPr>
                <w:rFonts w:hint="eastAsia" w:ascii="宋体" w:hAnsi="宋体"/>
                <w:sz w:val="24"/>
              </w:rPr>
            </w:pPr>
          </w:p>
        </w:tc>
        <w:tc>
          <w:tcPr>
            <w:tcW w:w="3554" w:type="dxa"/>
            <w:vAlign w:val="center"/>
          </w:tcPr>
          <w:p w14:paraId="498E5A3E">
            <w:pPr>
              <w:rPr>
                <w:rFonts w:hint="eastAsia" w:ascii="宋体" w:hAnsi="宋体"/>
                <w:sz w:val="24"/>
              </w:rPr>
            </w:pPr>
          </w:p>
        </w:tc>
      </w:tr>
      <w:tr w14:paraId="0C13C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D3E223B">
            <w:pPr>
              <w:jc w:val="center"/>
              <w:rPr>
                <w:rFonts w:hint="eastAsia" w:ascii="宋体" w:hAnsi="宋体"/>
                <w:sz w:val="24"/>
              </w:rPr>
            </w:pPr>
            <w:r>
              <w:rPr>
                <w:rFonts w:hint="eastAsia" w:ascii="宋体" w:hAnsi="宋体"/>
                <w:sz w:val="24"/>
              </w:rPr>
              <w:t>5</w:t>
            </w:r>
          </w:p>
        </w:tc>
        <w:tc>
          <w:tcPr>
            <w:tcW w:w="1080" w:type="dxa"/>
            <w:vAlign w:val="center"/>
          </w:tcPr>
          <w:p w14:paraId="13B40030">
            <w:pPr>
              <w:rPr>
                <w:rFonts w:hint="eastAsia" w:ascii="宋体" w:hAnsi="宋体"/>
                <w:sz w:val="24"/>
              </w:rPr>
            </w:pPr>
          </w:p>
        </w:tc>
        <w:tc>
          <w:tcPr>
            <w:tcW w:w="3060" w:type="dxa"/>
            <w:vAlign w:val="center"/>
          </w:tcPr>
          <w:p w14:paraId="7B77E13D">
            <w:pPr>
              <w:rPr>
                <w:rFonts w:hint="eastAsia" w:ascii="宋体" w:hAnsi="宋体"/>
                <w:sz w:val="24"/>
              </w:rPr>
            </w:pPr>
          </w:p>
        </w:tc>
        <w:tc>
          <w:tcPr>
            <w:tcW w:w="3554" w:type="dxa"/>
            <w:vAlign w:val="center"/>
          </w:tcPr>
          <w:p w14:paraId="4108DD04">
            <w:pPr>
              <w:rPr>
                <w:rFonts w:hint="eastAsia" w:ascii="宋体" w:hAnsi="宋体"/>
                <w:sz w:val="24"/>
              </w:rPr>
            </w:pPr>
          </w:p>
        </w:tc>
      </w:tr>
      <w:tr w14:paraId="4216B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DA10A1A">
            <w:pPr>
              <w:jc w:val="center"/>
              <w:rPr>
                <w:rFonts w:hint="eastAsia" w:ascii="宋体" w:hAnsi="宋体"/>
                <w:sz w:val="24"/>
              </w:rPr>
            </w:pPr>
            <w:r>
              <w:rPr>
                <w:rFonts w:hint="eastAsia" w:ascii="宋体" w:hAnsi="宋体"/>
                <w:sz w:val="24"/>
              </w:rPr>
              <w:t>6</w:t>
            </w:r>
          </w:p>
        </w:tc>
        <w:tc>
          <w:tcPr>
            <w:tcW w:w="1080" w:type="dxa"/>
            <w:vAlign w:val="center"/>
          </w:tcPr>
          <w:p w14:paraId="560D888C">
            <w:pPr>
              <w:rPr>
                <w:rFonts w:hint="eastAsia" w:ascii="宋体" w:hAnsi="宋体"/>
                <w:sz w:val="24"/>
              </w:rPr>
            </w:pPr>
          </w:p>
        </w:tc>
        <w:tc>
          <w:tcPr>
            <w:tcW w:w="3060" w:type="dxa"/>
            <w:vAlign w:val="center"/>
          </w:tcPr>
          <w:p w14:paraId="603C3B7F">
            <w:pPr>
              <w:rPr>
                <w:rFonts w:hint="eastAsia" w:ascii="宋体" w:hAnsi="宋体"/>
                <w:sz w:val="24"/>
              </w:rPr>
            </w:pPr>
          </w:p>
        </w:tc>
        <w:tc>
          <w:tcPr>
            <w:tcW w:w="3554" w:type="dxa"/>
            <w:vAlign w:val="center"/>
          </w:tcPr>
          <w:p w14:paraId="01C372C6">
            <w:pPr>
              <w:rPr>
                <w:rFonts w:hint="eastAsia" w:ascii="宋体" w:hAnsi="宋体"/>
                <w:sz w:val="24"/>
              </w:rPr>
            </w:pPr>
          </w:p>
        </w:tc>
      </w:tr>
      <w:tr w14:paraId="7A329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D8A3FDA">
            <w:pPr>
              <w:jc w:val="center"/>
              <w:rPr>
                <w:rFonts w:hint="eastAsia" w:ascii="宋体" w:hAnsi="宋体"/>
                <w:sz w:val="24"/>
              </w:rPr>
            </w:pPr>
            <w:r>
              <w:rPr>
                <w:rFonts w:hint="eastAsia" w:ascii="宋体" w:hAnsi="宋体"/>
                <w:sz w:val="24"/>
              </w:rPr>
              <w:t>7</w:t>
            </w:r>
          </w:p>
        </w:tc>
        <w:tc>
          <w:tcPr>
            <w:tcW w:w="1080" w:type="dxa"/>
            <w:vAlign w:val="center"/>
          </w:tcPr>
          <w:p w14:paraId="3BC082EF">
            <w:pPr>
              <w:rPr>
                <w:rFonts w:hint="eastAsia" w:ascii="宋体" w:hAnsi="宋体"/>
                <w:sz w:val="24"/>
              </w:rPr>
            </w:pPr>
          </w:p>
        </w:tc>
        <w:tc>
          <w:tcPr>
            <w:tcW w:w="3060" w:type="dxa"/>
            <w:vAlign w:val="center"/>
          </w:tcPr>
          <w:p w14:paraId="636BE4A9">
            <w:pPr>
              <w:rPr>
                <w:rFonts w:hint="eastAsia" w:ascii="宋体" w:hAnsi="宋体"/>
                <w:sz w:val="24"/>
              </w:rPr>
            </w:pPr>
          </w:p>
        </w:tc>
        <w:tc>
          <w:tcPr>
            <w:tcW w:w="3554" w:type="dxa"/>
            <w:vAlign w:val="center"/>
          </w:tcPr>
          <w:p w14:paraId="3D301F6E">
            <w:pPr>
              <w:rPr>
                <w:rFonts w:hint="eastAsia" w:ascii="宋体" w:hAnsi="宋体"/>
                <w:sz w:val="24"/>
              </w:rPr>
            </w:pPr>
          </w:p>
        </w:tc>
      </w:tr>
      <w:tr w14:paraId="5FCCD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20B82ED">
            <w:pPr>
              <w:jc w:val="center"/>
              <w:rPr>
                <w:rFonts w:hint="eastAsia" w:ascii="宋体" w:hAnsi="宋体"/>
                <w:sz w:val="24"/>
              </w:rPr>
            </w:pPr>
            <w:r>
              <w:rPr>
                <w:rFonts w:hint="eastAsia" w:ascii="宋体" w:hAnsi="宋体"/>
                <w:sz w:val="24"/>
              </w:rPr>
              <w:t>8</w:t>
            </w:r>
          </w:p>
        </w:tc>
        <w:tc>
          <w:tcPr>
            <w:tcW w:w="1080" w:type="dxa"/>
            <w:vAlign w:val="center"/>
          </w:tcPr>
          <w:p w14:paraId="0EAA637D">
            <w:pPr>
              <w:rPr>
                <w:rFonts w:hint="eastAsia" w:ascii="宋体" w:hAnsi="宋体"/>
                <w:sz w:val="24"/>
              </w:rPr>
            </w:pPr>
          </w:p>
        </w:tc>
        <w:tc>
          <w:tcPr>
            <w:tcW w:w="3060" w:type="dxa"/>
            <w:vAlign w:val="center"/>
          </w:tcPr>
          <w:p w14:paraId="39B77E64">
            <w:pPr>
              <w:rPr>
                <w:rFonts w:hint="eastAsia" w:ascii="宋体" w:hAnsi="宋体"/>
                <w:sz w:val="24"/>
              </w:rPr>
            </w:pPr>
          </w:p>
        </w:tc>
        <w:tc>
          <w:tcPr>
            <w:tcW w:w="3554" w:type="dxa"/>
            <w:vAlign w:val="center"/>
          </w:tcPr>
          <w:p w14:paraId="4F7893D9">
            <w:pPr>
              <w:rPr>
                <w:rFonts w:hint="eastAsia" w:ascii="宋体" w:hAnsi="宋体"/>
                <w:sz w:val="24"/>
              </w:rPr>
            </w:pPr>
          </w:p>
        </w:tc>
      </w:tr>
      <w:tr w14:paraId="75D4E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15FFFC5">
            <w:pPr>
              <w:jc w:val="center"/>
              <w:rPr>
                <w:rFonts w:hint="eastAsia" w:ascii="宋体" w:hAnsi="宋体"/>
                <w:sz w:val="24"/>
              </w:rPr>
            </w:pPr>
            <w:r>
              <w:rPr>
                <w:rFonts w:hint="eastAsia" w:ascii="宋体" w:hAnsi="宋体"/>
                <w:sz w:val="24"/>
              </w:rPr>
              <w:t>9</w:t>
            </w:r>
          </w:p>
        </w:tc>
        <w:tc>
          <w:tcPr>
            <w:tcW w:w="1080" w:type="dxa"/>
            <w:vAlign w:val="center"/>
          </w:tcPr>
          <w:p w14:paraId="6AE419EE">
            <w:pPr>
              <w:rPr>
                <w:rFonts w:hint="eastAsia" w:ascii="宋体" w:hAnsi="宋体"/>
                <w:sz w:val="24"/>
              </w:rPr>
            </w:pPr>
          </w:p>
        </w:tc>
        <w:tc>
          <w:tcPr>
            <w:tcW w:w="3060" w:type="dxa"/>
            <w:vAlign w:val="center"/>
          </w:tcPr>
          <w:p w14:paraId="4BC3B8D8">
            <w:pPr>
              <w:rPr>
                <w:rFonts w:hint="eastAsia" w:ascii="宋体" w:hAnsi="宋体"/>
                <w:sz w:val="24"/>
              </w:rPr>
            </w:pPr>
          </w:p>
        </w:tc>
        <w:tc>
          <w:tcPr>
            <w:tcW w:w="3554" w:type="dxa"/>
            <w:vAlign w:val="center"/>
          </w:tcPr>
          <w:p w14:paraId="2E971A33">
            <w:pPr>
              <w:rPr>
                <w:rFonts w:hint="eastAsia" w:ascii="宋体" w:hAnsi="宋体"/>
                <w:sz w:val="24"/>
              </w:rPr>
            </w:pPr>
          </w:p>
        </w:tc>
      </w:tr>
      <w:tr w14:paraId="5CDE3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3BA4779">
            <w:pPr>
              <w:jc w:val="center"/>
              <w:rPr>
                <w:rFonts w:hint="eastAsia" w:ascii="宋体" w:hAnsi="宋体"/>
                <w:sz w:val="24"/>
              </w:rPr>
            </w:pPr>
            <w:r>
              <w:rPr>
                <w:rFonts w:hint="eastAsia" w:ascii="宋体" w:hAnsi="宋体"/>
                <w:sz w:val="24"/>
              </w:rPr>
              <w:t>10</w:t>
            </w:r>
          </w:p>
        </w:tc>
        <w:tc>
          <w:tcPr>
            <w:tcW w:w="1080" w:type="dxa"/>
            <w:vAlign w:val="center"/>
          </w:tcPr>
          <w:p w14:paraId="1C549FFC">
            <w:pPr>
              <w:rPr>
                <w:rFonts w:hint="eastAsia" w:ascii="宋体" w:hAnsi="宋体"/>
                <w:sz w:val="24"/>
              </w:rPr>
            </w:pPr>
          </w:p>
        </w:tc>
        <w:tc>
          <w:tcPr>
            <w:tcW w:w="3060" w:type="dxa"/>
            <w:vAlign w:val="center"/>
          </w:tcPr>
          <w:p w14:paraId="758A54C5">
            <w:pPr>
              <w:rPr>
                <w:rFonts w:hint="eastAsia" w:ascii="宋体" w:hAnsi="宋体"/>
                <w:sz w:val="24"/>
              </w:rPr>
            </w:pPr>
          </w:p>
        </w:tc>
        <w:tc>
          <w:tcPr>
            <w:tcW w:w="3554" w:type="dxa"/>
            <w:vAlign w:val="center"/>
          </w:tcPr>
          <w:p w14:paraId="56E2FBAE">
            <w:pPr>
              <w:rPr>
                <w:rFonts w:hint="eastAsia" w:ascii="宋体" w:hAnsi="宋体"/>
                <w:sz w:val="24"/>
              </w:rPr>
            </w:pPr>
          </w:p>
        </w:tc>
      </w:tr>
    </w:tbl>
    <w:p w14:paraId="5395C5FA">
      <w:pPr>
        <w:rPr>
          <w:rFonts w:hint="eastAsia" w:ascii="宋体" w:hAnsi="宋体"/>
          <w:sz w:val="24"/>
        </w:rPr>
      </w:pPr>
    </w:p>
    <w:p w14:paraId="33D8D838">
      <w:pPr>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20EBB25D">
      <w:pPr>
        <w:rPr>
          <w:rFonts w:hint="eastAsia" w:ascii="宋体" w:hAnsi="宋体"/>
          <w:sz w:val="24"/>
        </w:rPr>
      </w:pPr>
    </w:p>
    <w:p w14:paraId="0D266158">
      <w:pPr>
        <w:rPr>
          <w:rFonts w:hint="eastAsia" w:ascii="宋体" w:hAnsi="宋体"/>
          <w:sz w:val="24"/>
        </w:rPr>
      </w:pPr>
    </w:p>
    <w:p w14:paraId="1471325B">
      <w:pPr>
        <w:rPr>
          <w:rFonts w:hint="eastAsia"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55A5882D">
      <w:pPr>
        <w:rPr>
          <w:rFonts w:hint="eastAsia" w:hAnsi="宋体"/>
          <w:sz w:val="24"/>
        </w:rPr>
      </w:pPr>
      <w:r>
        <w:rPr>
          <w:rFonts w:hAnsi="宋体"/>
          <w:sz w:val="24"/>
        </w:rPr>
        <w:br w:type="page"/>
      </w:r>
    </w:p>
    <w:p w14:paraId="4A660C40">
      <w:pPr>
        <w:pStyle w:val="14"/>
        <w:outlineLvl w:val="2"/>
        <w:rPr>
          <w:rFonts w:hint="eastAsia" w:hAnsi="宋体" w:cs="宋体"/>
          <w:b/>
          <w:bCs/>
          <w:color w:val="000000"/>
          <w:sz w:val="24"/>
          <w:szCs w:val="24"/>
        </w:rPr>
      </w:pPr>
      <w:r>
        <w:rPr>
          <w:rFonts w:hint="eastAsia" w:hAnsi="宋体" w:cs="宋体"/>
          <w:b/>
          <w:bCs/>
          <w:color w:val="000000"/>
          <w:sz w:val="24"/>
          <w:szCs w:val="24"/>
        </w:rPr>
        <w:t>SRM非生产供应商注册操作手册</w:t>
      </w:r>
    </w:p>
    <w:p w14:paraId="47F0CE4A">
      <w:pPr>
        <w:pStyle w:val="14"/>
      </w:pPr>
    </w:p>
    <w:p w14:paraId="7C26BAF4">
      <w:pPr>
        <w:adjustRightInd w:val="0"/>
        <w:snapToGrid w:val="0"/>
        <w:spacing w:line="360" w:lineRule="auto"/>
        <w:jc w:val="left"/>
        <w:rPr>
          <w:rFonts w:hint="eastAsia" w:ascii="宋体" w:hAnsi="宋体" w:cs="宋体"/>
          <w:sz w:val="24"/>
          <w:szCs w:val="24"/>
        </w:rPr>
      </w:pPr>
      <w:r>
        <w:rPr>
          <w:rFonts w:ascii="宋体" w:hAnsi="宋体" w:cs="宋体"/>
          <w:sz w:val="24"/>
          <w:szCs w:val="24"/>
        </w:rPr>
        <w:t>浏览器中输入地址;</w:t>
      </w:r>
    </w:p>
    <w:p w14:paraId="74DF2D2E">
      <w:pPr>
        <w:adjustRightInd w:val="0"/>
        <w:snapToGrid w:val="0"/>
        <w:spacing w:line="360" w:lineRule="auto"/>
        <w:jc w:val="left"/>
        <w:rPr>
          <w:rFonts w:hint="eastAsia"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30D5385F">
      <w:pPr>
        <w:adjustRightInd w:val="0"/>
        <w:snapToGrid w:val="0"/>
        <w:spacing w:line="360" w:lineRule="auto"/>
        <w:jc w:val="left"/>
        <w:rPr>
          <w:rFonts w:hint="eastAsia" w:ascii="宋体" w:hAnsi="宋体" w:cs="宋体"/>
          <w:sz w:val="24"/>
          <w:szCs w:val="24"/>
        </w:rPr>
      </w:pPr>
      <w:r>
        <w:rPr>
          <w:rFonts w:ascii="宋体" w:hAnsi="宋体" w:cs="宋体"/>
          <w:sz w:val="24"/>
          <w:szCs w:val="24"/>
        </w:rPr>
        <w:t>1.点击立即注册</w:t>
      </w:r>
    </w:p>
    <w:p w14:paraId="7EE05552">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1"/>
                    <a:stretch>
                      <a:fillRect/>
                    </a:stretch>
                  </pic:blipFill>
                  <pic:spPr>
                    <a:xfrm>
                      <a:off x="0" y="0"/>
                      <a:ext cx="5760085" cy="2933377"/>
                    </a:xfrm>
                    <a:prstGeom prst="rect">
                      <a:avLst/>
                    </a:prstGeom>
                  </pic:spPr>
                </pic:pic>
              </a:graphicData>
            </a:graphic>
          </wp:inline>
        </w:drawing>
      </w:r>
    </w:p>
    <w:p w14:paraId="7F362F8F">
      <w:pPr>
        <w:spacing w:line="360" w:lineRule="auto"/>
        <w:rPr>
          <w:rFonts w:hint="eastAsia"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5CCB7C0E">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2"/>
                    <a:stretch>
                      <a:fillRect/>
                    </a:stretch>
                  </pic:blipFill>
                  <pic:spPr>
                    <a:xfrm>
                      <a:off x="0" y="0"/>
                      <a:ext cx="5760085" cy="2766707"/>
                    </a:xfrm>
                    <a:prstGeom prst="rect">
                      <a:avLst/>
                    </a:prstGeom>
                  </pic:spPr>
                </pic:pic>
              </a:graphicData>
            </a:graphic>
          </wp:inline>
        </w:drawing>
      </w:r>
    </w:p>
    <w:p w14:paraId="05630FB6">
      <w:pPr>
        <w:spacing w:line="360" w:lineRule="auto"/>
        <w:rPr>
          <w:rFonts w:hint="eastAsia"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445E7ECD">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3"/>
                    <a:stretch>
                      <a:fillRect/>
                    </a:stretch>
                  </pic:blipFill>
                  <pic:spPr>
                    <a:xfrm>
                      <a:off x="0" y="0"/>
                      <a:ext cx="5760085" cy="2870054"/>
                    </a:xfrm>
                    <a:prstGeom prst="rect">
                      <a:avLst/>
                    </a:prstGeom>
                  </pic:spPr>
                </pic:pic>
              </a:graphicData>
            </a:graphic>
          </wp:inline>
        </w:drawing>
      </w:r>
    </w:p>
    <w:p w14:paraId="78335576">
      <w:pPr>
        <w:spacing w:line="360" w:lineRule="auto"/>
        <w:rPr>
          <w:rFonts w:hint="eastAsia"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64628BA6">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4"/>
                    <a:stretch>
                      <a:fillRect/>
                    </a:stretch>
                  </pic:blipFill>
                  <pic:spPr>
                    <a:xfrm>
                      <a:off x="0" y="0"/>
                      <a:ext cx="5760085" cy="2853375"/>
                    </a:xfrm>
                    <a:prstGeom prst="rect">
                      <a:avLst/>
                    </a:prstGeom>
                  </pic:spPr>
                </pic:pic>
              </a:graphicData>
            </a:graphic>
          </wp:inline>
        </w:drawing>
      </w:r>
    </w:p>
    <w:p w14:paraId="33943BD8">
      <w:pPr>
        <w:spacing w:line="360" w:lineRule="auto"/>
        <w:rPr>
          <w:rFonts w:hint="eastAsia"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58C88D75">
      <w:pPr>
        <w:pStyle w:val="14"/>
      </w:pPr>
    </w:p>
    <w:p w14:paraId="20E79FFE">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5"/>
                    <a:stretch>
                      <a:fillRect/>
                    </a:stretch>
                  </pic:blipFill>
                  <pic:spPr>
                    <a:xfrm>
                      <a:off x="0" y="0"/>
                      <a:ext cx="5760085" cy="2810122"/>
                    </a:xfrm>
                    <a:prstGeom prst="rect">
                      <a:avLst/>
                    </a:prstGeom>
                  </pic:spPr>
                </pic:pic>
              </a:graphicData>
            </a:graphic>
          </wp:inline>
        </w:drawing>
      </w:r>
    </w:p>
    <w:p w14:paraId="70F1889F">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6"/>
                    <a:stretch>
                      <a:fillRect/>
                    </a:stretch>
                  </pic:blipFill>
                  <pic:spPr>
                    <a:xfrm>
                      <a:off x="0" y="0"/>
                      <a:ext cx="5760085" cy="2820042"/>
                    </a:xfrm>
                    <a:prstGeom prst="rect">
                      <a:avLst/>
                    </a:prstGeom>
                  </pic:spPr>
                </pic:pic>
              </a:graphicData>
            </a:graphic>
          </wp:inline>
        </w:drawing>
      </w:r>
    </w:p>
    <w:p w14:paraId="7D13222F">
      <w:pPr>
        <w:pStyle w:val="14"/>
      </w:pPr>
    </w:p>
    <w:p w14:paraId="621370F7">
      <w:pPr>
        <w:rPr>
          <w:rFonts w:hint="eastAsia"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1EE1925E">
      <w:pPr>
        <w:rPr>
          <w:rFonts w:hint="eastAsia"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4EB8E36F">
      <w:pPr>
        <w:rPr>
          <w:rFonts w:hint="eastAsia"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服务 / 设备设施维保”，业务主管部门为“制造工程部”。</w:t>
      </w:r>
      <w:r>
        <w:rPr>
          <w:rFonts w:hint="eastAsia" w:ascii="宋体" w:hAnsi="宋体" w:cs="宋体"/>
          <w:b/>
          <w:bCs/>
          <w:color w:val="000000"/>
          <w:sz w:val="24"/>
          <w:szCs w:val="24"/>
        </w:rPr>
        <w:br w:type="page"/>
      </w:r>
    </w:p>
    <w:p w14:paraId="25F9F783">
      <w:pPr>
        <w:pStyle w:val="14"/>
        <w:outlineLvl w:val="2"/>
        <w:rPr>
          <w:rFonts w:hint="eastAsia" w:hAnsi="宋体"/>
          <w:b/>
          <w:color w:val="000000"/>
          <w:sz w:val="24"/>
          <w:szCs w:val="24"/>
        </w:rPr>
      </w:pPr>
      <w:r>
        <w:rPr>
          <w:rFonts w:hint="eastAsia" w:hAnsi="宋体"/>
          <w:b/>
          <w:color w:val="000000"/>
          <w:sz w:val="24"/>
          <w:szCs w:val="24"/>
        </w:rPr>
        <w:t>SRM系统供应商用户手册</w:t>
      </w:r>
    </w:p>
    <w:p w14:paraId="01991C6F">
      <w:pPr>
        <w:spacing w:line="360" w:lineRule="auto"/>
        <w:rPr>
          <w:rFonts w:hint="eastAsia"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69E47882">
      <w:pPr>
        <w:spacing w:line="360" w:lineRule="auto"/>
        <w:rPr>
          <w:rFonts w:hint="eastAsia"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7CEFF72E">
      <w:pPr>
        <w:spacing w:line="360" w:lineRule="auto"/>
        <w:rPr>
          <w:rFonts w:hint="eastAsia"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1CEA90DB">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1.供应商应标</w:t>
      </w:r>
    </w:p>
    <w:p w14:paraId="6DC3DFD2">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0E6E7952">
      <w:pPr>
        <w:spacing w:line="360" w:lineRule="auto"/>
        <w:rPr>
          <w:rFonts w:hint="eastAsia" w:ascii="宋体" w:hAnsi="宋体" w:cs="宋体"/>
          <w:color w:val="000000"/>
          <w:sz w:val="24"/>
          <w:szCs w:val="24"/>
        </w:rPr>
      </w:pPr>
      <w:r>
        <w:rPr>
          <w:rFonts w:ascii="宋体" w:hAnsi="宋体" w:cs="宋体"/>
          <w:color w:val="000000"/>
          <w:sz w:val="24"/>
          <w:szCs w:val="24"/>
        </w:rPr>
        <w:t>点击应标，上传文件之后点击提交。</w:t>
      </w:r>
    </w:p>
    <w:p w14:paraId="3F310659">
      <w:r>
        <w:drawing>
          <wp:inline distT="0" distB="0" distL="0" distR="0">
            <wp:extent cx="5760085" cy="2269490"/>
            <wp:effectExtent l="0" t="0" r="5715" b="3810"/>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7"/>
                    <a:stretch>
                      <a:fillRect/>
                    </a:stretch>
                  </pic:blipFill>
                  <pic:spPr>
                    <a:xfrm>
                      <a:off x="0" y="0"/>
                      <a:ext cx="5760085" cy="2269864"/>
                    </a:xfrm>
                    <a:prstGeom prst="rect">
                      <a:avLst/>
                    </a:prstGeom>
                  </pic:spPr>
                </pic:pic>
              </a:graphicData>
            </a:graphic>
          </wp:inline>
        </w:drawing>
      </w:r>
    </w:p>
    <w:p w14:paraId="56CD49B7"/>
    <w:p w14:paraId="1C91D2F7">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2.供应商投标</w:t>
      </w:r>
    </w:p>
    <w:p w14:paraId="21570D46">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23A4EB1B">
      <w:pPr>
        <w:rPr>
          <w:rFonts w:hint="eastAsia"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8"/>
                    <a:stretch>
                      <a:fillRect/>
                    </a:stretch>
                  </pic:blipFill>
                  <pic:spPr>
                    <a:xfrm>
                      <a:off x="0" y="0"/>
                      <a:ext cx="5760085" cy="2125673"/>
                    </a:xfrm>
                    <a:prstGeom prst="rect">
                      <a:avLst/>
                    </a:prstGeom>
                  </pic:spPr>
                </pic:pic>
              </a:graphicData>
            </a:graphic>
          </wp:inline>
        </w:drawing>
      </w:r>
    </w:p>
    <w:p w14:paraId="08DC38E3">
      <w:pPr>
        <w:spacing w:line="360" w:lineRule="auto"/>
        <w:rPr>
          <w:rFonts w:hint="eastAsia"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037F1A49">
      <w:pPr>
        <w:pStyle w:val="14"/>
      </w:pPr>
      <w:r>
        <w:rPr>
          <w:rFonts w:hint="eastAsia" w:hAnsi="宋体" w:cs="宋体"/>
          <w:color w:val="000000"/>
          <w:sz w:val="24"/>
          <w:szCs w:val="28"/>
          <w:highlight w:val="yellow"/>
        </w:rPr>
        <w:t>注意：系统内的投标报价单位为“万元”，如开标现场发现填错报价，即直接淘汰。</w:t>
      </w:r>
    </w:p>
    <w:p w14:paraId="3E201060">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9"/>
                    <a:stretch>
                      <a:fillRect/>
                    </a:stretch>
                  </pic:blipFill>
                  <pic:spPr>
                    <a:xfrm>
                      <a:off x="0" y="0"/>
                      <a:ext cx="5490210" cy="2669498"/>
                    </a:xfrm>
                    <a:prstGeom prst="rect">
                      <a:avLst/>
                    </a:prstGeom>
                  </pic:spPr>
                </pic:pic>
              </a:graphicData>
            </a:graphic>
          </wp:inline>
        </w:drawing>
      </w:r>
    </w:p>
    <w:p w14:paraId="6F211301">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3.供应商技术标澄清函</w:t>
      </w:r>
    </w:p>
    <w:p w14:paraId="62E30F4A">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3BCE6286">
      <w:pPr>
        <w:spacing w:line="360" w:lineRule="auto"/>
        <w:rPr>
          <w:rFonts w:hint="eastAsia" w:ascii="宋体" w:hAnsi="宋体" w:cs="宋体"/>
          <w:sz w:val="24"/>
          <w:szCs w:val="24"/>
        </w:rPr>
      </w:pPr>
      <w:r>
        <w:rPr>
          <w:rFonts w:ascii="宋体" w:hAnsi="宋体" w:cs="宋体"/>
          <w:color w:val="000000"/>
          <w:sz w:val="24"/>
          <w:szCs w:val="24"/>
        </w:rPr>
        <w:t>点击编辑按钮进入系统，上传技术标澄清函。</w:t>
      </w:r>
    </w:p>
    <w:p w14:paraId="77A683F2">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0"/>
                    <a:stretch>
                      <a:fillRect/>
                    </a:stretch>
                  </pic:blipFill>
                  <pic:spPr>
                    <a:xfrm>
                      <a:off x="0" y="0"/>
                      <a:ext cx="5490210" cy="1992743"/>
                    </a:xfrm>
                    <a:prstGeom prst="rect">
                      <a:avLst/>
                    </a:prstGeom>
                  </pic:spPr>
                </pic:pic>
              </a:graphicData>
            </a:graphic>
          </wp:inline>
        </w:drawing>
      </w:r>
    </w:p>
    <w:p w14:paraId="4A20CFE0">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4.供应商报价</w:t>
      </w:r>
    </w:p>
    <w:p w14:paraId="67D3B30B">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3F8891B3">
      <w:pPr>
        <w:spacing w:line="360" w:lineRule="auto"/>
        <w:rPr>
          <w:rFonts w:hint="eastAsia"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754A5EA9">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5.供应商澄清报价</w:t>
      </w:r>
    </w:p>
    <w:p w14:paraId="411E630B">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45CA7B55">
      <w:pPr>
        <w:spacing w:line="360" w:lineRule="auto"/>
        <w:rPr>
          <w:rFonts w:hint="eastAsia"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3EA39A9">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1"/>
                    <a:stretch>
                      <a:fillRect/>
                    </a:stretch>
                  </pic:blipFill>
                  <pic:spPr>
                    <a:xfrm>
                      <a:off x="0" y="0"/>
                      <a:ext cx="5490210" cy="2544669"/>
                    </a:xfrm>
                    <a:prstGeom prst="rect">
                      <a:avLst/>
                    </a:prstGeom>
                  </pic:spPr>
                </pic:pic>
              </a:graphicData>
            </a:graphic>
          </wp:inline>
        </w:drawing>
      </w:r>
    </w:p>
    <w:p w14:paraId="4BB2AA56">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6.供应商查看中标通知</w:t>
      </w:r>
    </w:p>
    <w:p w14:paraId="203D89F3">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73E1E78C">
      <w:pPr>
        <w:spacing w:line="360" w:lineRule="auto"/>
        <w:rPr>
          <w:rFonts w:hint="eastAsia" w:ascii="宋体" w:hAnsi="宋体" w:cs="宋体"/>
          <w:sz w:val="24"/>
          <w:szCs w:val="24"/>
        </w:rPr>
      </w:pPr>
      <w:r>
        <w:rPr>
          <w:rFonts w:ascii="宋体" w:hAnsi="宋体" w:cs="宋体"/>
          <w:color w:val="000000"/>
          <w:sz w:val="24"/>
          <w:szCs w:val="24"/>
        </w:rPr>
        <w:t>点击查看进入查看中标项目详情</w:t>
      </w:r>
    </w:p>
    <w:p w14:paraId="3C7CCF82">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2"/>
                    <a:stretch>
                      <a:fillRect/>
                    </a:stretch>
                  </pic:blipFill>
                  <pic:spPr>
                    <a:xfrm>
                      <a:off x="0" y="0"/>
                      <a:ext cx="5760085" cy="1956600"/>
                    </a:xfrm>
                    <a:prstGeom prst="rect">
                      <a:avLst/>
                    </a:prstGeom>
                  </pic:spPr>
                </pic:pic>
              </a:graphicData>
            </a:graphic>
          </wp:inline>
        </w:drawing>
      </w:r>
    </w:p>
    <w:p w14:paraId="1B318C90">
      <w:pPr>
        <w:pStyle w:val="76"/>
        <w:rPr>
          <w:rFonts w:hint="eastAsia" w:hAnsi="宋体" w:cs="宋体"/>
          <w:b/>
          <w:bCs/>
          <w:sz w:val="32"/>
          <w:szCs w:val="32"/>
        </w:rPr>
      </w:pPr>
    </w:p>
    <w:p w14:paraId="56EA3E16">
      <w:pPr>
        <w:pStyle w:val="76"/>
        <w:rPr>
          <w:rFonts w:hint="eastAsia" w:hAnsi="宋体" w:cs="宋体"/>
          <w:b/>
          <w:bCs/>
          <w:sz w:val="32"/>
          <w:szCs w:val="32"/>
        </w:rPr>
      </w:pPr>
    </w:p>
    <w:p w14:paraId="735CC0A9">
      <w:pPr>
        <w:pStyle w:val="76"/>
        <w:rPr>
          <w:rFonts w:hint="eastAsia" w:hAnsi="宋体"/>
          <w:sz w:val="24"/>
        </w:rPr>
      </w:pPr>
    </w:p>
    <w:p w14:paraId="4857F819">
      <w:pPr>
        <w:pStyle w:val="76"/>
        <w:rPr>
          <w:rFonts w:hint="eastAsia" w:hAnsi="宋体"/>
          <w:sz w:val="24"/>
        </w:rPr>
      </w:pPr>
    </w:p>
    <w:p w14:paraId="71D5B5B7">
      <w:pPr>
        <w:pStyle w:val="76"/>
        <w:rPr>
          <w:rFonts w:hint="eastAsia" w:hAnsi="宋体"/>
          <w:sz w:val="24"/>
        </w:rPr>
      </w:pPr>
    </w:p>
    <w:p w14:paraId="2EA91721">
      <w:pPr>
        <w:pStyle w:val="76"/>
        <w:rPr>
          <w:rFonts w:hint="eastAsia" w:hAnsi="宋体"/>
          <w:sz w:val="24"/>
        </w:rPr>
      </w:pPr>
    </w:p>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536F68AD">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074AD">
    <w:pPr>
      <w:pStyle w:val="18"/>
      <w:framePr w:wrap="around" w:vAnchor="text" w:hAnchor="margin" w:xAlign="center" w:y="1"/>
      <w:rPr>
        <w:rStyle w:val="34"/>
      </w:rPr>
    </w:pPr>
    <w:r>
      <w:fldChar w:fldCharType="begin"/>
    </w:r>
    <w:r>
      <w:rPr>
        <w:rStyle w:val="34"/>
      </w:rPr>
      <w:instrText xml:space="preserve">PAGE  </w:instrText>
    </w:r>
    <w:r>
      <w:fldChar w:fldCharType="end"/>
    </w:r>
  </w:p>
  <w:p w14:paraId="3FF8DA81">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300AF">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0BB5549A">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467B4940">
    <w:pPr>
      <w:pStyle w:val="18"/>
      <w:jc w:val="center"/>
    </w:pPr>
  </w:p>
  <w:p w14:paraId="02B5E3A9"/>
  <w:p w14:paraId="16EB81D8"/>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36764">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1B1F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A7141CE"/>
    <w:multiLevelType w:val="singleLevel"/>
    <w:tmpl w:val="BA7141CE"/>
    <w:lvl w:ilvl="0" w:tentative="0">
      <w:start w:val="3"/>
      <w:numFmt w:val="chineseCounting"/>
      <w:suff w:val="nothing"/>
      <w:lvlText w:val="%1、"/>
      <w:lvlJc w:val="left"/>
      <w:rPr>
        <w:rFonts w:hint="eastAsia"/>
      </w:rPr>
    </w:lvl>
  </w:abstractNum>
  <w:abstractNum w:abstractNumId="8">
    <w:nsid w:val="BD4C6742"/>
    <w:multiLevelType w:val="singleLevel"/>
    <w:tmpl w:val="BD4C6742"/>
    <w:lvl w:ilvl="0" w:tentative="0">
      <w:start w:val="1"/>
      <w:numFmt w:val="decimal"/>
      <w:lvlText w:val="%1."/>
      <w:lvlJc w:val="left"/>
      <w:pPr>
        <w:ind w:left="425" w:hanging="425"/>
      </w:pPr>
      <w:rPr>
        <w:rFonts w:hint="default"/>
      </w:rPr>
    </w:lvl>
  </w:abstractNum>
  <w:abstractNum w:abstractNumId="9">
    <w:nsid w:val="CA70C5AE"/>
    <w:multiLevelType w:val="singleLevel"/>
    <w:tmpl w:val="CA70C5AE"/>
    <w:lvl w:ilvl="0" w:tentative="0">
      <w:start w:val="1"/>
      <w:numFmt w:val="decimal"/>
      <w:lvlText w:val="%1."/>
      <w:lvlJc w:val="left"/>
      <w:pPr>
        <w:ind w:left="425" w:hanging="425"/>
      </w:pPr>
      <w:rPr>
        <w:rFonts w:hint="default"/>
      </w:rPr>
    </w:lvl>
  </w:abstractNum>
  <w:abstractNum w:abstractNumId="10">
    <w:nsid w:val="D9A4530E"/>
    <w:multiLevelType w:val="singleLevel"/>
    <w:tmpl w:val="D9A4530E"/>
    <w:lvl w:ilvl="0" w:tentative="0">
      <w:start w:val="1"/>
      <w:numFmt w:val="decimal"/>
      <w:lvlText w:val="(%1)"/>
      <w:lvlJc w:val="left"/>
      <w:pPr>
        <w:ind w:left="425" w:hanging="425"/>
      </w:pPr>
      <w:rPr>
        <w:rFonts w:hint="default"/>
      </w:rPr>
    </w:lvl>
  </w:abstractNum>
  <w:abstractNum w:abstractNumId="11">
    <w:nsid w:val="DC3F8C8B"/>
    <w:multiLevelType w:val="singleLevel"/>
    <w:tmpl w:val="DC3F8C8B"/>
    <w:lvl w:ilvl="0" w:tentative="0">
      <w:start w:val="1"/>
      <w:numFmt w:val="decimal"/>
      <w:lvlText w:val="%1."/>
      <w:lvlJc w:val="left"/>
      <w:pPr>
        <w:ind w:left="425" w:hanging="425"/>
      </w:pPr>
      <w:rPr>
        <w:rFonts w:hint="default"/>
      </w:rPr>
    </w:lvl>
  </w:abstractNum>
  <w:abstractNum w:abstractNumId="12">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3">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4">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5">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6">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7">
    <w:nsid w:val="3CF6EF77"/>
    <w:multiLevelType w:val="singleLevel"/>
    <w:tmpl w:val="3CF6EF77"/>
    <w:lvl w:ilvl="0" w:tentative="0">
      <w:start w:val="1"/>
      <w:numFmt w:val="decimal"/>
      <w:lvlText w:val="%1."/>
      <w:lvlJc w:val="left"/>
      <w:pPr>
        <w:ind w:left="425" w:hanging="425"/>
      </w:pPr>
      <w:rPr>
        <w:rFonts w:hint="default"/>
      </w:rPr>
    </w:lvl>
  </w:abstractNum>
  <w:abstractNum w:abstractNumId="18">
    <w:nsid w:val="4A8DA4C5"/>
    <w:multiLevelType w:val="singleLevel"/>
    <w:tmpl w:val="4A8DA4C5"/>
    <w:lvl w:ilvl="0" w:tentative="0">
      <w:start w:val="1"/>
      <w:numFmt w:val="bullet"/>
      <w:lvlText w:val=""/>
      <w:lvlJc w:val="left"/>
      <w:pPr>
        <w:ind w:left="0" w:firstLine="0"/>
      </w:pPr>
      <w:rPr>
        <w:rFonts w:hint="default" w:ascii="Wingdings" w:hAnsi="Wingdings"/>
      </w:rPr>
    </w:lvl>
  </w:abstractNum>
  <w:abstractNum w:abstractNumId="19">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3">
    <w:nsid w:val="5983D379"/>
    <w:multiLevelType w:val="singleLevel"/>
    <w:tmpl w:val="5983D379"/>
    <w:lvl w:ilvl="0" w:tentative="0">
      <w:start w:val="1"/>
      <w:numFmt w:val="decimal"/>
      <w:lvlText w:val="(%1)"/>
      <w:lvlJc w:val="left"/>
      <w:pPr>
        <w:ind w:left="425" w:hanging="425"/>
      </w:pPr>
      <w:rPr>
        <w:rFonts w:hint="default"/>
      </w:rPr>
    </w:lvl>
  </w:abstractNum>
  <w:abstractNum w:abstractNumId="24">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5">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6">
    <w:nsid w:val="7CCD08F0"/>
    <w:multiLevelType w:val="multilevel"/>
    <w:tmpl w:val="7CCD08F0"/>
    <w:lvl w:ilvl="0" w:tentative="0">
      <w:start w:val="5"/>
      <w:numFmt w:val="decimal"/>
      <w:lvlText w:val="%1"/>
      <w:lvlJc w:val="left"/>
      <w:pPr>
        <w:ind w:left="360" w:hanging="360"/>
      </w:pPr>
      <w:rPr>
        <w:rFonts w:hint="default"/>
      </w:rPr>
    </w:lvl>
    <w:lvl w:ilvl="1" w:tentative="0">
      <w:start w:val="8"/>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27">
    <w:nsid w:val="7E6A0E77"/>
    <w:multiLevelType w:val="multilevel"/>
    <w:tmpl w:val="7E6A0E77"/>
    <w:lvl w:ilvl="0" w:tentative="0">
      <w:start w:val="5"/>
      <w:numFmt w:val="decimal"/>
      <w:lvlText w:val="%1"/>
      <w:lvlJc w:val="left"/>
      <w:pPr>
        <w:ind w:left="360" w:hanging="360"/>
      </w:pPr>
      <w:rPr>
        <w:rFonts w:hint="default"/>
      </w:rPr>
    </w:lvl>
    <w:lvl w:ilvl="1" w:tentative="0">
      <w:start w:val="3"/>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num w:numId="1">
    <w:abstractNumId w:val="19"/>
  </w:num>
  <w:num w:numId="2">
    <w:abstractNumId w:val="24"/>
  </w:num>
  <w:num w:numId="3">
    <w:abstractNumId w:val="22"/>
  </w:num>
  <w:num w:numId="4">
    <w:abstractNumId w:val="20"/>
  </w:num>
  <w:num w:numId="5">
    <w:abstractNumId w:val="13"/>
  </w:num>
  <w:num w:numId="6">
    <w:abstractNumId w:val="15"/>
  </w:num>
  <w:num w:numId="7">
    <w:abstractNumId w:val="16"/>
  </w:num>
  <w:num w:numId="8">
    <w:abstractNumId w:val="21"/>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4"/>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5"/>
  </w:num>
  <w:num w:numId="15">
    <w:abstractNumId w:val="0"/>
  </w:num>
  <w:num w:numId="16">
    <w:abstractNumId w:val="3"/>
  </w:num>
  <w:num w:numId="17">
    <w:abstractNumId w:val="23"/>
  </w:num>
  <w:num w:numId="18">
    <w:abstractNumId w:val="25"/>
  </w:num>
  <w:num w:numId="19">
    <w:abstractNumId w:val="10"/>
  </w:num>
  <w:num w:numId="20">
    <w:abstractNumId w:val="9"/>
  </w:num>
  <w:num w:numId="21">
    <w:abstractNumId w:val="4"/>
  </w:num>
  <w:num w:numId="22">
    <w:abstractNumId w:val="1"/>
  </w:num>
  <w:num w:numId="23">
    <w:abstractNumId w:val="6"/>
  </w:num>
  <w:num w:numId="24">
    <w:abstractNumId w:val="12"/>
  </w:num>
  <w:num w:numId="25">
    <w:abstractNumId w:val="11"/>
  </w:num>
  <w:num w:numId="26">
    <w:abstractNumId w:val="18"/>
  </w:num>
  <w:num w:numId="27">
    <w:abstractNumId w:val="17"/>
  </w:num>
  <w:num w:numId="28">
    <w:abstractNumId w:val="7"/>
  </w:num>
  <w:num w:numId="29">
    <w:abstractNumId w:val="27"/>
  </w:num>
  <w:num w:numId="30">
    <w:abstractNumId w:val="26"/>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4AA"/>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2F6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5C8D"/>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8B4"/>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343AD8"/>
    <w:rsid w:val="02CC3DCA"/>
    <w:rsid w:val="02FE76EF"/>
    <w:rsid w:val="03F033B0"/>
    <w:rsid w:val="057C1D39"/>
    <w:rsid w:val="05891259"/>
    <w:rsid w:val="08633479"/>
    <w:rsid w:val="0C0E2F4B"/>
    <w:rsid w:val="0CB51572"/>
    <w:rsid w:val="0E3D4337"/>
    <w:rsid w:val="0E4D31E3"/>
    <w:rsid w:val="10DC2AA3"/>
    <w:rsid w:val="10FA7C8C"/>
    <w:rsid w:val="130B198F"/>
    <w:rsid w:val="16A918E4"/>
    <w:rsid w:val="17D966D6"/>
    <w:rsid w:val="1BC71D3B"/>
    <w:rsid w:val="1C59115B"/>
    <w:rsid w:val="1FB23E60"/>
    <w:rsid w:val="22C5630B"/>
    <w:rsid w:val="23EC0BA6"/>
    <w:rsid w:val="24701A48"/>
    <w:rsid w:val="268B0052"/>
    <w:rsid w:val="27743C90"/>
    <w:rsid w:val="29CA2459"/>
    <w:rsid w:val="2A4125A1"/>
    <w:rsid w:val="2B271A58"/>
    <w:rsid w:val="2B6304A7"/>
    <w:rsid w:val="2BD4504B"/>
    <w:rsid w:val="2CF6734C"/>
    <w:rsid w:val="2D663463"/>
    <w:rsid w:val="2EF96EE4"/>
    <w:rsid w:val="36254FE4"/>
    <w:rsid w:val="372F61E0"/>
    <w:rsid w:val="38942371"/>
    <w:rsid w:val="39322FCA"/>
    <w:rsid w:val="3AB90991"/>
    <w:rsid w:val="3B706131"/>
    <w:rsid w:val="3E6F041E"/>
    <w:rsid w:val="4275481E"/>
    <w:rsid w:val="428B617A"/>
    <w:rsid w:val="433D7BDC"/>
    <w:rsid w:val="437E1813"/>
    <w:rsid w:val="45BD47FC"/>
    <w:rsid w:val="45CC5FB2"/>
    <w:rsid w:val="46B75BA8"/>
    <w:rsid w:val="48C97955"/>
    <w:rsid w:val="49880C8F"/>
    <w:rsid w:val="49FA5194"/>
    <w:rsid w:val="4A8835F7"/>
    <w:rsid w:val="4B592E71"/>
    <w:rsid w:val="51181DC1"/>
    <w:rsid w:val="51D50FD0"/>
    <w:rsid w:val="52274B10"/>
    <w:rsid w:val="52B9239A"/>
    <w:rsid w:val="54BD78FD"/>
    <w:rsid w:val="58A86DDE"/>
    <w:rsid w:val="59154AD7"/>
    <w:rsid w:val="5ADF548D"/>
    <w:rsid w:val="5D5C60B4"/>
    <w:rsid w:val="6047248F"/>
    <w:rsid w:val="63F04A69"/>
    <w:rsid w:val="64654A97"/>
    <w:rsid w:val="66A50B1E"/>
    <w:rsid w:val="67B2063C"/>
    <w:rsid w:val="67C97AC3"/>
    <w:rsid w:val="67E30EC1"/>
    <w:rsid w:val="6A4E3B2B"/>
    <w:rsid w:val="6B481C3B"/>
    <w:rsid w:val="6C1331A3"/>
    <w:rsid w:val="6CA84BC1"/>
    <w:rsid w:val="6D3E4756"/>
    <w:rsid w:val="6FC523EB"/>
    <w:rsid w:val="72895F2E"/>
    <w:rsid w:val="72C02EBE"/>
    <w:rsid w:val="72C507AD"/>
    <w:rsid w:val="72D028D8"/>
    <w:rsid w:val="745D47C3"/>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next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不明显强调1"/>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25</Pages>
  <Words>8978</Words>
  <Characters>9587</Characters>
  <Lines>79</Lines>
  <Paragraphs>22</Paragraphs>
  <TotalTime>0</TotalTime>
  <ScaleCrop>false</ScaleCrop>
  <LinksUpToDate>false</LinksUpToDate>
  <CharactersWithSpaces>10264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2025-12-17T07:59:46Z</dcterms:modified>
  <cp:revision>172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C4E667CF26604F52AD561790FE42A8A8_13</vt:lpwstr>
  </property>
  <property fmtid="{D5CDD505-2E9C-101B-9397-08002B2CF9AE}" pid="4" name="KSOTemplateDocerSaveRecord">
    <vt:lpwstr>eyJoZGlkIjoiNGVmYjYwMTVkYTcwNzlmYzkyYzZmMzIwZTI3ZGZlNjgiLCJ1c2VySWQiOiIxMDYzNzE1ODkzIn0=</vt:lpwstr>
  </property>
</Properties>
</file>