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机械加工设备更新改造项目 子项3：中走丝线切割机床更新项目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FSCZB2025110559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lang w:eastAsia="zh-CN"/>
        </w:rPr>
        <w:t>中国重汽集团杭州发动机有限公司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6B77806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- 2 -</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- 10 -</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rPr>
              <w:rFonts w:hint="eastAsia"/>
              <w:lang w:val="en-US" w:eastAsia="zh-CN"/>
            </w:rPr>
            <w:t xml:space="preserve">- </w:t>
          </w:r>
          <w:r>
            <w:fldChar w:fldCharType="begin"/>
          </w:r>
          <w:r>
            <w:instrText xml:space="preserve"> PAGEREF _Toc16500 \h </w:instrText>
          </w:r>
          <w:r>
            <w:fldChar w:fldCharType="separate"/>
          </w:r>
          <w:r>
            <w:t>24</w:t>
          </w:r>
          <w:r>
            <w:fldChar w:fldCharType="end"/>
          </w:r>
          <w:r>
            <w:rPr>
              <w:rFonts w:hint="eastAsia" w:ascii="Calibri" w:hAnsi="Calibri" w:eastAsia="宋体" w:cs="Times New Roman"/>
              <w:bCs/>
              <w:kern w:val="44"/>
              <w:szCs w:val="44"/>
            </w:rPr>
            <w:fldChar w:fldCharType="end"/>
          </w:r>
          <w:r>
            <w:rPr>
              <w:rFonts w:hint="eastAsia" w:ascii="Calibri" w:hAnsi="Calibri" w:cs="Times New Roman"/>
              <w:bCs/>
              <w:kern w:val="44"/>
              <w:szCs w:val="44"/>
              <w:lang w:val="en-US" w:eastAsia="zh-CN"/>
            </w:rPr>
            <w:t xml:space="preserve"> </w:t>
          </w:r>
          <w:r>
            <w:t>-</w:t>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4C82F88">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w:t>
      </w:r>
      <w:r>
        <w:rPr>
          <w:rFonts w:hint="eastAsia"/>
          <w:highlight w:val="none"/>
        </w:rPr>
        <w:t>名称：</w:t>
      </w:r>
      <w:r>
        <w:rPr>
          <w:rFonts w:hint="eastAsia"/>
          <w:highlight w:val="none"/>
          <w:lang w:val="en-US" w:eastAsia="zh-CN"/>
        </w:rPr>
        <w:t>机械加工设备更新改造项目 子项3：中走丝线切割机床更新项目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FSCZB2025110559</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5AA8C1A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highlight w:val="none"/>
          <w:lang w:eastAsia="zh-CN"/>
        </w:rPr>
        <w:t>项目简介：本次项目主要</w:t>
      </w:r>
      <w:r>
        <w:rPr>
          <w:rFonts w:hint="eastAsia"/>
          <w:highlight w:val="none"/>
          <w:lang w:eastAsia="zh-CN"/>
        </w:rPr>
        <w:t>更新</w:t>
      </w:r>
      <w:r>
        <w:rPr>
          <w:highlight w:val="none"/>
          <w:lang w:eastAsia="zh-CN"/>
        </w:rPr>
        <w:t>1</w:t>
      </w:r>
      <w:r>
        <w:rPr>
          <w:rFonts w:hint="eastAsia"/>
          <w:highlight w:val="none"/>
          <w:lang w:eastAsia="zh-CN"/>
        </w:rPr>
        <w:t>台中走丝线切割机床，替代现有老旧设备，该设备为标准设备，可实现加工图形直接编辑，满足铸件和切片取样、模具维修等加工需求。</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w:t>
      </w:r>
      <w:r>
        <w:rPr>
          <w:rFonts w:hint="eastAsia" w:ascii="宋体" w:hAnsi="宋体" w:eastAsia="宋体" w:cs="宋体"/>
          <w:i w:val="0"/>
          <w:iCs w:val="0"/>
          <w:caps w:val="0"/>
          <w:color w:val="0F1115"/>
          <w:spacing w:val="0"/>
          <w:sz w:val="21"/>
          <w:szCs w:val="21"/>
          <w:highlight w:val="none"/>
          <w:shd w:val="clear" w:fill="FFFFFF"/>
        </w:rPr>
        <w:t>人民币</w:t>
      </w:r>
      <w:r>
        <w:rPr>
          <w:rFonts w:hint="eastAsia" w:hAnsi="宋体" w:cs="宋体"/>
          <w:i w:val="0"/>
          <w:iCs w:val="0"/>
          <w:caps w:val="0"/>
          <w:color w:val="0F1115"/>
          <w:spacing w:val="0"/>
          <w:sz w:val="21"/>
          <w:szCs w:val="21"/>
          <w:highlight w:val="none"/>
          <w:shd w:val="clear" w:fill="FFFFFF"/>
          <w:lang w:val="en-US" w:eastAsia="zh-CN"/>
        </w:rPr>
        <w:t>5.09</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w:t>
      </w:r>
      <w:r>
        <w:rPr>
          <w:rFonts w:hint="eastAsia" w:ascii="Times New Roman" w:hAnsi="Times New Roman" w:cs="Times New Roman"/>
          <w:color w:val="000000"/>
          <w:sz w:val="24"/>
          <w:szCs w:val="24"/>
          <w:highlight w:val="none"/>
          <w:lang w:val="en-US" w:eastAsia="zh-CN"/>
        </w:rPr>
        <w:t>可以</w:t>
      </w:r>
      <w:r>
        <w:rPr>
          <w:rFonts w:hint="default" w:ascii="Times New Roman" w:hAnsi="Times New Roman" w:eastAsia="宋体" w:cs="Times New Roman"/>
          <w:color w:val="000000"/>
          <w:sz w:val="24"/>
          <w:szCs w:val="24"/>
          <w:highlight w:val="none"/>
        </w:rPr>
        <w:t>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招标人名称：中国重汽集团杭州发动机有限公司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7"/>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王华宸</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18329153071</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1120358033@qq.com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7AAD0B7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1.拟投标人必须是在中华人民共和国境内注册的独立法人机构，具有独 立承担民事责任能力；注册资金不少于200万人民币(或等值其他货币);公司成立三年以上(以营业执照成立日期到开标当日满三年为准),且经营范围 满足招标人需求；并在人员、设备、资金等方面具有承担本项目的能力；</w:t>
      </w:r>
    </w:p>
    <w:p w14:paraId="53985B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2.拟投标人应提供三证合一的营业执照副本原件和扫描件(需盖章);</w:t>
      </w:r>
    </w:p>
    <w:p w14:paraId="005752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3.拟投标人应提供法定代表人资格证明文件；</w:t>
      </w:r>
    </w:p>
    <w:p w14:paraId="4721177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4.拟投标人在工商行政管理局的《国家企业信用信息公示系统》中查询 不存在不良记录；</w:t>
      </w:r>
    </w:p>
    <w:p w14:paraId="76C04B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5.拟投标人不存在严重违规或被列入招标人“黑名单”的声明；</w:t>
      </w:r>
    </w:p>
    <w:p w14:paraId="14FC1C3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6.拟投标人2022年1月1日至今经第三方审计的公司财务报表(资产 负债表、损益表、现金流量表)未显示异常。如拟投标人公司没有经审计的财务报告，可提供加盖公章的近三年财务报表，包括但不限于资产负债表、利润表、现金流表；</w:t>
      </w:r>
    </w:p>
    <w:p w14:paraId="5E789D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7.拟投标人有与本次招标内容相同或类似项目业绩，且近3年内无因服 务不当而造成重大事故；</w:t>
      </w:r>
    </w:p>
    <w:p w14:paraId="381A03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8.拟投标人三年内无违法及重大违规情况；</w:t>
      </w:r>
    </w:p>
    <w:p w14:paraId="1FF4896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9.拟投标人须认可招标人的工作指令，包括节、假日能正常开展工作的要求；</w:t>
      </w:r>
    </w:p>
    <w:p w14:paraId="5211438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10. 拟投标人最近半年纳税正常；</w:t>
      </w:r>
    </w:p>
    <w:p w14:paraId="111B15C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11.拟投标人信用证明材料(中国人民银行信用代码证+征信报告)未显示异常；</w:t>
      </w:r>
    </w:p>
    <w:p w14:paraId="1A99F75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12.拟投标人的直接或间接股东、法定代表人、董事、监事、高管非重汽员工及其亲属；</w:t>
      </w:r>
    </w:p>
    <w:p w14:paraId="2F2472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eastAsia="zh-CN"/>
        </w:rPr>
      </w:pPr>
      <w:r>
        <w:rPr>
          <w:rFonts w:hint="eastAsia" w:hAnsi="Courier New" w:cs="Times New Roman"/>
          <w:highlight w:val="none"/>
          <w:lang w:eastAsia="zh-CN"/>
        </w:rPr>
        <w:t>13.本项目不接受联合体投标，拟投标人必须是最终投标单位和签订合 同单位，不得以任何理由将已中标项目以任何形式分包或转包给其他单位；</w:t>
      </w:r>
    </w:p>
    <w:p w14:paraId="2D41B2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eastAsia="zh-CN"/>
        </w:rPr>
        <w:t>14.本项目不接受代理商参与，仅允许生产厂家直接投标。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3</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9</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r>
        <w:rPr>
          <w:rFonts w:hint="eastAsia" w:cs="宋体"/>
          <w:b/>
          <w:bCs/>
          <w:highlight w:val="none"/>
          <w:lang w:eastAsia="zh-CN"/>
        </w:rPr>
        <w:t>，</w:t>
      </w:r>
      <w:r>
        <w:rPr>
          <w:rFonts w:hint="eastAsia" w:eastAsia="宋体" w:cs="宋体"/>
          <w:b/>
          <w:bCs/>
          <w:highlight w:val="none"/>
        </w:rPr>
        <w:t>请投标人确认中国重汽e采通系统中供应商信息完整、准确，因供应商信息不全或错误导致的报名不成功，由投标人自行承担。</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12月10日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5.09</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w:t>
      </w:r>
      <w:r>
        <w:rPr>
          <w:rFonts w:hint="eastAsia"/>
          <w:highlight w:val="none"/>
          <w:u w:val="single"/>
          <w:lang w:val="en-US" w:eastAsia="zh-CN"/>
        </w:rPr>
        <w:t>年12月15日9:0</w:t>
      </w:r>
      <w:r>
        <w:rPr>
          <w:rFonts w:hint="eastAsia"/>
          <w:u w:val="single"/>
          <w:lang w:val="en-US" w:eastAsia="zh-CN"/>
        </w:rPr>
        <w:t>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61E0BCA2">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名称：中国重汽集团杭州发动机有限公司</w:t>
      </w:r>
    </w:p>
    <w:p w14:paraId="4ABFC15D">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开户银行：工行半道红支行</w:t>
      </w:r>
    </w:p>
    <w:p w14:paraId="536FB455">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eastAsia="zh-CN"/>
        </w:rPr>
      </w:pPr>
      <w:r>
        <w:rPr>
          <w:rFonts w:hint="eastAsia" w:cs="Times New Roman"/>
          <w:lang w:eastAsia="zh-CN"/>
        </w:rPr>
        <w:t>银行帐号：1202051439900007785</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lang w:eastAsia="zh-CN"/>
        </w:rPr>
        <w:t>联行号：102331005147</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15</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bookmarkStart w:id="27" w:name="_GoBack"/>
      <w:bookmarkEnd w:id="27"/>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w:t>
      </w:r>
      <w:r>
        <w:rPr>
          <w:rFonts w:hint="eastAsia"/>
          <w:highlight w:val="none"/>
        </w:rPr>
        <w:t>只产生</w:t>
      </w:r>
      <w:r>
        <w:rPr>
          <w:rFonts w:hint="eastAsia"/>
          <w:highlight w:val="none"/>
          <w:u w:val="single"/>
          <w:lang w:val="en-US" w:eastAsia="zh-CN"/>
        </w:rPr>
        <w:t>1</w:t>
      </w:r>
      <w:r>
        <w:rPr>
          <w:rFonts w:hint="eastAsia"/>
          <w:highlight w:val="none"/>
        </w:rPr>
        <w:t>个</w:t>
      </w:r>
      <w:r>
        <w:rPr>
          <w:rFonts w:hint="eastAsia"/>
        </w:rPr>
        <w:t>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6"/>
      <w:bookmarkStart w:id="8" w:name="OLE_LINK29"/>
      <w:bookmarkStart w:id="9" w:name="OLE_LINK25"/>
      <w:bookmarkStart w:id="10" w:name="OLE_LINK27"/>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C63FD2B">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半年期商业汇票（包括银行承兑汇票和商业承兑汇票）；（5万元以上包括5万元）</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6CA08AEB">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eastAsia" w:cs="Times New Roman"/>
          <w:b w:val="0"/>
          <w:bCs/>
          <w:i w:val="0"/>
          <w:iCs w:val="0"/>
          <w:color w:val="auto"/>
          <w:highlight w:val="none"/>
          <w:u w:val="none"/>
          <w:lang w:val="en-US" w:eastAsia="zh-CN"/>
        </w:rPr>
      </w:pPr>
      <w:r>
        <w:rPr>
          <w:rFonts w:hint="eastAsia" w:cs="Times New Roman"/>
          <w:b w:val="0"/>
          <w:bCs/>
          <w:i w:val="0"/>
          <w:iCs w:val="0"/>
          <w:color w:val="auto"/>
          <w:highlight w:val="none"/>
          <w:u w:val="none"/>
          <w:lang w:val="en-US" w:eastAsia="zh-CN"/>
        </w:rPr>
        <w:t>A. 设备验收合格后，中标人提供合同价款100%的增值税专用发票,经招标人依照财务制度审核通过后30日支付合同价款的90%；</w:t>
      </w:r>
    </w:p>
    <w:p w14:paraId="676FC133">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default" w:cs="Times New Roman"/>
          <w:b/>
          <w:bCs w:val="0"/>
          <w:color w:val="FF0000"/>
          <w:highlight w:val="none"/>
          <w:u w:val="none"/>
          <w:lang w:val="en-US" w:eastAsia="zh-CN"/>
        </w:rPr>
      </w:pPr>
      <w:r>
        <w:rPr>
          <w:rFonts w:hint="eastAsia" w:cs="Times New Roman"/>
          <w:b w:val="0"/>
          <w:bCs/>
          <w:i w:val="0"/>
          <w:iCs w:val="0"/>
          <w:color w:val="auto"/>
          <w:highlight w:val="none"/>
          <w:u w:val="none"/>
          <w:lang w:val="en-US" w:eastAsia="zh-CN"/>
        </w:rPr>
        <w:t>B.合同总价款的10%作为本合同约定设备的质量保证金，质量保证金在质量保证期内不计利息。质保期届满后支付。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本次招标最终解释权归中国重汽集团杭州发动机有限公司。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5C3553C2">
      <w:pPr>
        <w:pStyle w:val="76"/>
        <w:bidi w:val="0"/>
        <w:rPr>
          <w:rFonts w:hint="eastAsia"/>
        </w:rPr>
      </w:pPr>
    </w:p>
    <w:p w14:paraId="1AF0E59D">
      <w:pPr>
        <w:pStyle w:val="76"/>
        <w:bidi w:val="0"/>
        <w:rPr>
          <w:rFonts w:hint="eastAsia"/>
        </w:rPr>
      </w:pPr>
    </w:p>
    <w:p w14:paraId="15EC248A">
      <w:pPr>
        <w:pStyle w:val="76"/>
        <w:bidi w:val="0"/>
        <w:rPr>
          <w:rFonts w:hint="eastAsia"/>
        </w:rPr>
      </w:pPr>
    </w:p>
    <w:p w14:paraId="77B206CA">
      <w:pPr>
        <w:pStyle w:val="76"/>
        <w:bidi w:val="0"/>
        <w:rPr>
          <w:rFonts w:hint="eastAsia"/>
        </w:rPr>
      </w:pPr>
    </w:p>
    <w:p w14:paraId="04FBD8A5">
      <w:pPr>
        <w:pStyle w:val="76"/>
        <w:bidi w:val="0"/>
        <w:rPr>
          <w:rFonts w:hint="eastAsia"/>
        </w:rPr>
      </w:pPr>
    </w:p>
    <w:p w14:paraId="710BD1AD">
      <w:pPr>
        <w:pStyle w:val="76"/>
        <w:bidi w:val="0"/>
        <w:rPr>
          <w:rFonts w:hint="eastAsia"/>
        </w:rPr>
      </w:pPr>
    </w:p>
    <w:p w14:paraId="31968CA7">
      <w:pPr>
        <w:pStyle w:val="76"/>
        <w:bidi w:val="0"/>
        <w:rPr>
          <w:rFonts w:hint="eastAsia"/>
        </w:rPr>
      </w:pPr>
    </w:p>
    <w:p w14:paraId="05F9CD87">
      <w:pPr>
        <w:pStyle w:val="76"/>
        <w:bidi w:val="0"/>
        <w:rPr>
          <w:rFonts w:hint="eastAsia"/>
        </w:rPr>
      </w:pPr>
    </w:p>
    <w:p w14:paraId="60FEE3C6">
      <w:pPr>
        <w:pStyle w:val="76"/>
        <w:bidi w:val="0"/>
        <w:rPr>
          <w:rFonts w:hint="eastAsia"/>
        </w:rPr>
      </w:pPr>
    </w:p>
    <w:p w14:paraId="1D3BF604">
      <w:pPr>
        <w:rPr>
          <w:rFonts w:hint="eastAsia"/>
        </w:rPr>
      </w:pP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03710CDF">
      <w:pPr>
        <w:spacing w:line="360" w:lineRule="auto"/>
        <w:rPr>
          <w:bCs/>
          <w:sz w:val="32"/>
          <w:szCs w:val="32"/>
        </w:rPr>
      </w:pPr>
      <w:r>
        <w:rPr>
          <w:rFonts w:hint="eastAsia"/>
          <w:bCs/>
          <w:sz w:val="32"/>
          <w:szCs w:val="32"/>
        </w:rPr>
        <w:t xml:space="preserve">      </w:t>
      </w:r>
    </w:p>
    <w:p w14:paraId="6B48880D">
      <w:pPr>
        <w:spacing w:line="360" w:lineRule="auto"/>
        <w:jc w:val="center"/>
        <w:rPr>
          <w:b/>
          <w:sz w:val="32"/>
          <w:szCs w:val="32"/>
        </w:rPr>
      </w:pPr>
    </w:p>
    <w:p w14:paraId="63F8B2CE">
      <w:pPr>
        <w:spacing w:line="360" w:lineRule="auto"/>
        <w:jc w:val="center"/>
        <w:rPr>
          <w:b/>
          <w:sz w:val="32"/>
          <w:szCs w:val="32"/>
        </w:rPr>
      </w:pPr>
    </w:p>
    <w:p w14:paraId="3F7ACAC8">
      <w:pPr>
        <w:pStyle w:val="2"/>
        <w:jc w:val="center"/>
        <w:rPr>
          <w:rFonts w:ascii="Calibri" w:eastAsia="宋体" w:cs="Times New Roman"/>
          <w:b/>
          <w:bCs/>
          <w:color w:val="000000"/>
          <w:spacing w:val="-8"/>
          <w:sz w:val="52"/>
          <w:szCs w:val="52"/>
        </w:rPr>
      </w:pPr>
      <w:bookmarkStart w:id="13" w:name="_Toc169605877"/>
      <w:r>
        <w:rPr>
          <w:rFonts w:hint="eastAsia" w:ascii="Calibri" w:eastAsia="宋体" w:cs="Times New Roman"/>
          <w:b/>
          <w:bCs/>
          <w:color w:val="000000"/>
          <w:spacing w:val="-8"/>
          <w:sz w:val="52"/>
          <w:szCs w:val="52"/>
        </w:rPr>
        <w:t>中国重汽集团杭州发动机有限公司</w:t>
      </w:r>
    </w:p>
    <w:p w14:paraId="08975DE1">
      <w:pPr>
        <w:pStyle w:val="2"/>
        <w:jc w:val="center"/>
        <w:rPr>
          <w:rFonts w:ascii="Calibri" w:eastAsia="宋体" w:cs="Times New Roman"/>
          <w:b/>
          <w:bCs/>
          <w:color w:val="000000"/>
          <w:spacing w:val="-8"/>
          <w:sz w:val="52"/>
          <w:szCs w:val="52"/>
        </w:rPr>
      </w:pPr>
      <w:r>
        <w:rPr>
          <w:rFonts w:hint="eastAsia" w:ascii="Calibri" w:eastAsia="宋体" w:cs="Times New Roman"/>
          <w:b/>
          <w:bCs/>
          <w:color w:val="000000"/>
          <w:spacing w:val="-8"/>
          <w:sz w:val="52"/>
          <w:szCs w:val="52"/>
        </w:rPr>
        <w:t xml:space="preserve">更新中走丝线切割机床项目 </w:t>
      </w:r>
    </w:p>
    <w:p w14:paraId="7ADEF105">
      <w:pPr>
        <w:pStyle w:val="2"/>
        <w:jc w:val="center"/>
        <w:rPr>
          <w:rFonts w:ascii="Calibri" w:eastAsia="宋体" w:cs="Times New Roman"/>
          <w:b/>
          <w:bCs/>
          <w:color w:val="000000"/>
          <w:spacing w:val="-8"/>
          <w:sz w:val="52"/>
          <w:szCs w:val="52"/>
        </w:rPr>
      </w:pPr>
    </w:p>
    <w:p w14:paraId="5ED2BEAB">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技</w:t>
      </w:r>
    </w:p>
    <w:p w14:paraId="4E093853">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术</w:t>
      </w:r>
    </w:p>
    <w:p w14:paraId="39B76E25">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标</w:t>
      </w:r>
    </w:p>
    <w:p w14:paraId="7D53B38C">
      <w:pPr>
        <w:jc w:val="center"/>
        <w:rPr>
          <w:rFonts w:ascii="黑体" w:hAnsi="宋体" w:eastAsia="黑体" w:cs="Times New Roman"/>
          <w:color w:val="000000"/>
          <w:sz w:val="72"/>
          <w:szCs w:val="72"/>
        </w:rPr>
      </w:pPr>
      <w:r>
        <w:rPr>
          <w:rFonts w:hint="eastAsia" w:ascii="黑体" w:hAnsi="宋体" w:eastAsia="宋体" w:cs="Times New Roman"/>
          <w:color w:val="000000"/>
          <w:sz w:val="72"/>
          <w:szCs w:val="72"/>
        </w:rPr>
        <w:t>书</w:t>
      </w:r>
    </w:p>
    <w:p w14:paraId="4EAF5836">
      <w:pPr>
        <w:spacing w:line="860" w:lineRule="exact"/>
        <w:ind w:firstLine="1928" w:firstLineChars="600"/>
        <w:rPr>
          <w:rFonts w:ascii="华文仿宋" w:hAnsi="华文仿宋" w:eastAsia="宋体"/>
          <w:b/>
          <w:bCs/>
          <w:sz w:val="32"/>
          <w:szCs w:val="28"/>
        </w:rPr>
      </w:pPr>
      <w:r>
        <w:rPr>
          <w:rFonts w:hint="eastAsia" w:ascii="华文仿宋" w:hAnsi="华文仿宋" w:eastAsia="宋体"/>
          <w:b/>
          <w:bCs/>
          <w:sz w:val="32"/>
          <w:szCs w:val="28"/>
        </w:rPr>
        <w:t>编制：李嘉辉</w:t>
      </w:r>
    </w:p>
    <w:p w14:paraId="22BA9337">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校对：罗    军</w:t>
      </w:r>
    </w:p>
    <w:p w14:paraId="2F128D94">
      <w:pPr>
        <w:spacing w:line="860" w:lineRule="exact"/>
        <w:ind w:left="1890" w:leftChars="900"/>
        <w:rPr>
          <w:rFonts w:ascii="华文仿宋" w:hAnsi="华文仿宋" w:eastAsia="宋体"/>
          <w:sz w:val="32"/>
          <w:szCs w:val="28"/>
        </w:rPr>
      </w:pPr>
      <w:r>
        <w:rPr>
          <w:rFonts w:hint="eastAsia" w:ascii="华文仿宋" w:hAnsi="华文仿宋" w:eastAsia="宋体"/>
          <w:b/>
          <w:bCs/>
          <w:sz w:val="32"/>
          <w:szCs w:val="28"/>
        </w:rPr>
        <w:t>会签：张    旭</w:t>
      </w:r>
    </w:p>
    <w:p w14:paraId="593FCD19">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审核：钟晓渝</w:t>
      </w:r>
    </w:p>
    <w:p w14:paraId="370EC274">
      <w:pPr>
        <w:spacing w:line="860" w:lineRule="exact"/>
        <w:ind w:left="1890" w:leftChars="900"/>
        <w:rPr>
          <w:rFonts w:ascii="华文仿宋" w:hAnsi="华文仿宋" w:eastAsia="宋体"/>
          <w:b/>
          <w:bCs/>
          <w:sz w:val="32"/>
          <w:szCs w:val="28"/>
        </w:rPr>
      </w:pPr>
      <w:r>
        <w:rPr>
          <w:rFonts w:hint="eastAsia" w:ascii="华文仿宋" w:hAnsi="华文仿宋" w:eastAsia="宋体"/>
          <w:b/>
          <w:bCs/>
          <w:sz w:val="32"/>
          <w:szCs w:val="28"/>
        </w:rPr>
        <w:t>批准：姜爱良</w:t>
      </w:r>
    </w:p>
    <w:p w14:paraId="716B8A41">
      <w:pPr>
        <w:pStyle w:val="2"/>
        <w:rPr>
          <w:rFonts w:ascii="华文仿宋" w:hAnsi="华文仿宋" w:eastAsia="华文仿宋"/>
          <w:b/>
          <w:bCs/>
          <w:sz w:val="32"/>
          <w:szCs w:val="28"/>
        </w:rPr>
      </w:pPr>
    </w:p>
    <w:p w14:paraId="6E59627D">
      <w:pPr>
        <w:pStyle w:val="2"/>
        <w:rPr>
          <w:b/>
          <w:bCs/>
        </w:rPr>
      </w:pPr>
    </w:p>
    <w:p w14:paraId="0CC1F39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人：中国重汽集团杭州发动机有限公司</w:t>
      </w:r>
    </w:p>
    <w:p w14:paraId="019C94E4">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6B6704E">
      <w:pPr>
        <w:spacing w:line="360" w:lineRule="auto"/>
        <w:rPr>
          <w:rFonts w:ascii="宋体" w:hAnsi="宋体" w:eastAsia="宋体" w:cs="Times New Roman"/>
          <w:b/>
          <w:sz w:val="36"/>
          <w:szCs w:val="36"/>
        </w:rPr>
        <w:sectPr>
          <w:headerReference r:id="rId7" w:type="default"/>
          <w:footerReference r:id="rId8" w:type="default"/>
          <w:pgSz w:w="11905" w:h="16838"/>
          <w:pgMar w:top="1587" w:right="1417" w:bottom="1134" w:left="1417" w:header="726" w:footer="850" w:gutter="0"/>
          <w:pgNumType w:fmt="numberInDash"/>
          <w:cols w:space="0" w:num="1"/>
          <w:docGrid w:linePitch="290" w:charSpace="0"/>
        </w:sectPr>
      </w:pPr>
    </w:p>
    <w:p w14:paraId="4F657710"/>
    <w:p w14:paraId="49B63DE4">
      <w:pPr>
        <w:spacing w:before="120" w:after="120" w:line="360" w:lineRule="auto"/>
        <w:jc w:val="center"/>
        <w:rPr>
          <w:rFonts w:hAnsi="Calibri"/>
          <w:b/>
          <w:bCs/>
          <w:sz w:val="28"/>
          <w:szCs w:val="28"/>
        </w:rPr>
      </w:pPr>
      <w:r>
        <w:rPr>
          <w:rFonts w:hint="eastAsia"/>
          <w:b/>
          <w:bCs/>
          <w:sz w:val="28"/>
          <w:szCs w:val="28"/>
        </w:rPr>
        <w:t>第一章</w:t>
      </w:r>
      <w:r>
        <w:rPr>
          <w:b/>
          <w:bCs/>
          <w:sz w:val="28"/>
          <w:szCs w:val="28"/>
        </w:rPr>
        <w:t xml:space="preserve">  </w:t>
      </w:r>
      <w:r>
        <w:rPr>
          <w:rFonts w:hint="eastAsia"/>
          <w:b/>
          <w:bCs/>
          <w:sz w:val="28"/>
          <w:szCs w:val="28"/>
        </w:rPr>
        <w:t>采购货物概况</w:t>
      </w:r>
    </w:p>
    <w:p w14:paraId="351EDD8C">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第一节  使用环境</w:t>
      </w:r>
    </w:p>
    <w:p w14:paraId="732525A5">
      <w:pPr>
        <w:spacing w:line="360" w:lineRule="auto"/>
        <w:rPr>
          <w:sz w:val="24"/>
          <w:szCs w:val="24"/>
        </w:rPr>
      </w:pPr>
      <w:r>
        <w:rPr>
          <w:rFonts w:hint="eastAsia"/>
          <w:sz w:val="24"/>
          <w:szCs w:val="24"/>
        </w:rPr>
        <w:t>一、项目名称：</w:t>
      </w:r>
      <w:r>
        <w:rPr>
          <w:rFonts w:hint="eastAsia"/>
          <w:sz w:val="24"/>
          <w:szCs w:val="24"/>
          <w:u w:val="single"/>
        </w:rPr>
        <w:t>更新中走丝线切割机床项目</w:t>
      </w:r>
    </w:p>
    <w:p w14:paraId="60093CDC">
      <w:pPr>
        <w:spacing w:line="360" w:lineRule="auto"/>
        <w:rPr>
          <w:rFonts w:ascii="宋体"/>
          <w:sz w:val="24"/>
          <w:szCs w:val="24"/>
        </w:rPr>
      </w:pPr>
      <w:r>
        <w:rPr>
          <w:rFonts w:hint="eastAsia"/>
          <w:sz w:val="24"/>
          <w:szCs w:val="24"/>
        </w:rPr>
        <w:t>二、建设地点：</w:t>
      </w:r>
      <w:r>
        <w:rPr>
          <w:rFonts w:hint="eastAsia"/>
          <w:sz w:val="24"/>
          <w:szCs w:val="24"/>
          <w:u w:val="single"/>
        </w:rPr>
        <w:t>杭州市萧山经济技术开发区红泰六路699号</w:t>
      </w:r>
      <w:r>
        <w:rPr>
          <w:rFonts w:hint="eastAsia"/>
          <w:sz w:val="24"/>
          <w:szCs w:val="24"/>
        </w:rPr>
        <w:t xml:space="preserve"> </w:t>
      </w:r>
    </w:p>
    <w:p w14:paraId="2C8E0211">
      <w:pPr>
        <w:spacing w:line="360" w:lineRule="auto"/>
        <w:rPr>
          <w:sz w:val="24"/>
          <w:szCs w:val="24"/>
          <w:u w:val="single"/>
        </w:rPr>
      </w:pPr>
      <w:r>
        <w:rPr>
          <w:rFonts w:hint="eastAsia"/>
          <w:sz w:val="24"/>
          <w:szCs w:val="24"/>
        </w:rPr>
        <w:t>三、使用地点：</w:t>
      </w:r>
      <w:r>
        <w:rPr>
          <w:rFonts w:hint="eastAsia"/>
          <w:sz w:val="24"/>
          <w:szCs w:val="24"/>
          <w:u w:val="single"/>
        </w:rPr>
        <w:t>中国重汽集团杭州发动机有限公司</w:t>
      </w:r>
    </w:p>
    <w:p w14:paraId="2BD81D03">
      <w:pPr>
        <w:spacing w:line="360" w:lineRule="auto"/>
        <w:rPr>
          <w:sz w:val="24"/>
          <w:szCs w:val="24"/>
        </w:rPr>
      </w:pPr>
      <w:r>
        <w:rPr>
          <w:rFonts w:hint="eastAsia" w:ascii="黑体"/>
          <w:sz w:val="24"/>
          <w:szCs w:val="24"/>
        </w:rPr>
        <w:t>四、工作制度：</w:t>
      </w:r>
      <w:r>
        <w:rPr>
          <w:rFonts w:hint="eastAsia"/>
          <w:sz w:val="24"/>
          <w:szCs w:val="24"/>
        </w:rPr>
        <w:t>全年工作≥250天</w:t>
      </w:r>
    </w:p>
    <w:p w14:paraId="304992BF">
      <w:pPr>
        <w:spacing w:line="360" w:lineRule="auto"/>
        <w:rPr>
          <w:color w:val="FF0000"/>
          <w:sz w:val="24"/>
          <w:szCs w:val="24"/>
        </w:rPr>
      </w:pPr>
      <w:r>
        <w:rPr>
          <w:rFonts w:hint="eastAsia"/>
          <w:sz w:val="24"/>
          <w:szCs w:val="24"/>
        </w:rPr>
        <w:t>五、使用地点区域自然环境：</w:t>
      </w:r>
      <w:r>
        <w:rPr>
          <w:color w:val="FF0000"/>
          <w:sz w:val="24"/>
          <w:szCs w:val="24"/>
        </w:rPr>
        <w:t xml:space="preserve"> </w:t>
      </w:r>
    </w:p>
    <w:p w14:paraId="346F636C">
      <w:pPr>
        <w:pStyle w:val="62"/>
        <w:spacing w:line="360" w:lineRule="auto"/>
        <w:ind w:firstLine="0"/>
        <w:rPr>
          <w:rFonts w:ascii="宋体"/>
          <w:sz w:val="24"/>
          <w:szCs w:val="24"/>
        </w:rPr>
      </w:pPr>
      <w:r>
        <w:rPr>
          <w:sz w:val="24"/>
          <w:szCs w:val="24"/>
        </w:rPr>
        <w:t>1、海拨高度：1000m以下</w:t>
      </w:r>
      <w:r>
        <w:rPr>
          <w:sz w:val="24"/>
          <w:szCs w:val="24"/>
        </w:rPr>
        <w:br w:type="textWrapping"/>
      </w:r>
      <w:r>
        <w:rPr>
          <w:sz w:val="24"/>
          <w:szCs w:val="24"/>
        </w:rPr>
        <w:t>2、环境温度：室外极端最低温度-19.7℃、极端最高温度42℃，昼夜最大温差25℃；室内温度5～45℃。</w:t>
      </w:r>
      <w:r>
        <w:rPr>
          <w:sz w:val="24"/>
          <w:szCs w:val="24"/>
        </w:rPr>
        <w:br w:type="textWrapping"/>
      </w:r>
      <w:r>
        <w:rPr>
          <w:sz w:val="24"/>
          <w:szCs w:val="24"/>
        </w:rPr>
        <w:t>3、相对湿度：年平均59%，最大95%、最小15%。</w:t>
      </w:r>
      <w:r>
        <w:rPr>
          <w:sz w:val="24"/>
          <w:szCs w:val="24"/>
        </w:rPr>
        <w:br w:type="textWrapping"/>
      </w:r>
      <w:r>
        <w:rPr>
          <w:sz w:val="24"/>
          <w:szCs w:val="24"/>
        </w:rPr>
        <w:t>4、降雨量：日最大降雨量300mm、时最大降雨量100mm。</w:t>
      </w:r>
      <w:r>
        <w:rPr>
          <w:sz w:val="24"/>
          <w:szCs w:val="24"/>
        </w:rPr>
        <w:br w:type="textWrapping"/>
      </w:r>
      <w:r>
        <w:rPr>
          <w:sz w:val="24"/>
          <w:szCs w:val="24"/>
        </w:rPr>
        <w:t xml:space="preserve">5、最大风速：33.3m/s。 </w:t>
      </w:r>
      <w:r>
        <w:rPr>
          <w:sz w:val="24"/>
          <w:szCs w:val="24"/>
        </w:rPr>
        <w:br w:type="textWrapping"/>
      </w:r>
      <w:r>
        <w:rPr>
          <w:rFonts w:hint="eastAsia"/>
          <w:sz w:val="24"/>
          <w:szCs w:val="24"/>
        </w:rPr>
        <w:t>六、能源环境：</w:t>
      </w:r>
    </w:p>
    <w:p w14:paraId="0D192984">
      <w:pPr>
        <w:pStyle w:val="62"/>
        <w:spacing w:line="360" w:lineRule="auto"/>
        <w:ind w:firstLine="0"/>
        <w:rPr>
          <w:sz w:val="24"/>
          <w:szCs w:val="24"/>
        </w:rPr>
      </w:pPr>
      <w:r>
        <w:rPr>
          <w:rFonts w:hint="eastAsia"/>
          <w:sz w:val="24"/>
          <w:szCs w:val="24"/>
        </w:rPr>
        <w:t>1、电力：</w:t>
      </w:r>
      <w:r>
        <w:rPr>
          <w:sz w:val="24"/>
          <w:szCs w:val="24"/>
        </w:rPr>
        <w:t>中国制式，供电电压380V±15%/220V±15%，供电频率50Hz±2%，三相五线。</w:t>
      </w:r>
    </w:p>
    <w:p w14:paraId="4A69F427">
      <w:pPr>
        <w:spacing w:before="120" w:after="120" w:line="360" w:lineRule="auto"/>
        <w:jc w:val="center"/>
        <w:rPr>
          <w:rFonts w:ascii="黑体" w:hAnsi="黑体" w:eastAsia="黑体" w:cs="黑体"/>
          <w:sz w:val="24"/>
          <w:szCs w:val="24"/>
        </w:rPr>
      </w:pPr>
      <w:bookmarkStart w:id="14" w:name="_Toc137705867"/>
      <w:bookmarkStart w:id="15" w:name="_Toc13018"/>
      <w:bookmarkStart w:id="16" w:name="_Toc19068"/>
      <w:bookmarkStart w:id="17" w:name="_Toc9838"/>
      <w:bookmarkStart w:id="18" w:name="_Toc27088"/>
      <w:r>
        <w:rPr>
          <w:rFonts w:hint="eastAsia" w:ascii="黑体" w:hAnsi="黑体" w:eastAsia="黑体" w:cs="黑体"/>
          <w:sz w:val="24"/>
          <w:szCs w:val="24"/>
        </w:rPr>
        <w:t>第二节  采购货物概况</w:t>
      </w:r>
      <w:bookmarkEnd w:id="14"/>
      <w:bookmarkEnd w:id="15"/>
      <w:bookmarkEnd w:id="16"/>
      <w:bookmarkEnd w:id="17"/>
      <w:bookmarkEnd w:id="18"/>
    </w:p>
    <w:p w14:paraId="64562E32">
      <w:pPr>
        <w:spacing w:line="360" w:lineRule="auto"/>
        <w:rPr>
          <w:sz w:val="24"/>
          <w:szCs w:val="24"/>
        </w:rPr>
      </w:pPr>
      <w:r>
        <w:rPr>
          <w:rFonts w:hint="eastAsia"/>
          <w:sz w:val="24"/>
          <w:szCs w:val="24"/>
        </w:rPr>
        <w:t>一、货物名称：</w:t>
      </w:r>
      <w:r>
        <w:rPr>
          <w:rFonts w:hint="eastAsia"/>
          <w:sz w:val="24"/>
          <w:szCs w:val="24"/>
          <w:u w:val="single"/>
        </w:rPr>
        <w:t>中走丝线切割机床</w:t>
      </w:r>
      <w:r>
        <w:rPr>
          <w:rFonts w:hint="eastAsia"/>
          <w:sz w:val="24"/>
          <w:szCs w:val="24"/>
        </w:rPr>
        <w:t>（详见下表）</w:t>
      </w:r>
    </w:p>
    <w:p w14:paraId="6D584E3D">
      <w:pPr>
        <w:spacing w:line="360" w:lineRule="auto"/>
        <w:rPr>
          <w:rFonts w:ascii="宋体" w:hAnsi="宋体" w:cs="宋体"/>
          <w:sz w:val="24"/>
          <w:szCs w:val="24"/>
        </w:rPr>
      </w:pPr>
      <w:r>
        <w:rPr>
          <w:rFonts w:hint="eastAsia"/>
          <w:sz w:val="24"/>
          <w:szCs w:val="24"/>
        </w:rPr>
        <w:t>二、货物数量：</w:t>
      </w:r>
      <w:r>
        <w:rPr>
          <w:rFonts w:hint="eastAsia" w:ascii="宋体" w:hAnsi="宋体" w:cs="宋体"/>
          <w:sz w:val="24"/>
          <w:szCs w:val="24"/>
        </w:rPr>
        <w:t xml:space="preserve"> </w:t>
      </w:r>
      <w:r>
        <w:rPr>
          <w:rFonts w:hint="eastAsia" w:ascii="宋体" w:hAnsi="宋体" w:cs="宋体"/>
          <w:sz w:val="24"/>
          <w:szCs w:val="24"/>
          <w:u w:val="single"/>
        </w:rPr>
        <w:t>1台</w:t>
      </w:r>
      <w:r>
        <w:rPr>
          <w:rFonts w:hint="eastAsia" w:ascii="宋体" w:hAnsi="宋体" w:cs="宋体"/>
          <w:sz w:val="24"/>
          <w:szCs w:val="24"/>
        </w:rPr>
        <w:t xml:space="preserve"> （详见下表）</w:t>
      </w:r>
    </w:p>
    <w:p w14:paraId="377C19D7">
      <w:pPr>
        <w:spacing w:line="360" w:lineRule="auto"/>
        <w:rPr>
          <w:rFonts w:ascii="宋体" w:hAnsi="宋体" w:cs="宋体"/>
          <w:sz w:val="24"/>
          <w:szCs w:val="24"/>
        </w:rPr>
      </w:pPr>
      <w:r>
        <w:rPr>
          <w:rFonts w:hint="eastAsia"/>
          <w:sz w:val="24"/>
          <w:szCs w:val="24"/>
        </w:rPr>
        <w:t>三、分投分中：</w:t>
      </w:r>
      <w:r>
        <w:rPr>
          <w:rFonts w:hint="eastAsia" w:ascii="宋体" w:hAnsi="宋体" w:cs="宋体"/>
          <w:sz w:val="24"/>
          <w:szCs w:val="24"/>
        </w:rPr>
        <w:t>不允许。</w:t>
      </w:r>
    </w:p>
    <w:p w14:paraId="204BF682">
      <w:pPr>
        <w:pStyle w:val="2"/>
        <w:spacing w:line="360" w:lineRule="auto"/>
        <w:rPr>
          <w:sz w:val="24"/>
          <w:szCs w:val="24"/>
        </w:rPr>
      </w:pPr>
      <w:r>
        <w:rPr>
          <w:rFonts w:hint="eastAsia"/>
          <w:sz w:val="24"/>
          <w:szCs w:val="24"/>
        </w:rPr>
        <w:t>四、采购货物主要构成一览表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0"/>
        <w:gridCol w:w="2006"/>
        <w:gridCol w:w="1304"/>
        <w:gridCol w:w="645"/>
        <w:gridCol w:w="629"/>
        <w:gridCol w:w="2266"/>
        <w:gridCol w:w="1064"/>
        <w:gridCol w:w="564"/>
      </w:tblGrid>
      <w:tr w14:paraId="02FA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770" w:hRule="atLeast"/>
          <w:jc w:val="center"/>
        </w:trPr>
        <w:tc>
          <w:tcPr>
            <w:tcW w:w="345" w:type="pct"/>
            <w:vAlign w:val="center"/>
          </w:tcPr>
          <w:p w14:paraId="540C47D2">
            <w:pPr>
              <w:jc w:val="center"/>
              <w:rPr>
                <w:sz w:val="24"/>
                <w:szCs w:val="24"/>
              </w:rPr>
            </w:pPr>
            <w:r>
              <w:rPr>
                <w:rFonts w:hint="eastAsia"/>
                <w:sz w:val="24"/>
                <w:szCs w:val="24"/>
              </w:rPr>
              <w:t>序号</w:t>
            </w:r>
          </w:p>
        </w:tc>
        <w:tc>
          <w:tcPr>
            <w:tcW w:w="1100" w:type="pct"/>
            <w:vAlign w:val="center"/>
          </w:tcPr>
          <w:p w14:paraId="5EDEAE3D">
            <w:pPr>
              <w:jc w:val="center"/>
              <w:rPr>
                <w:sz w:val="24"/>
                <w:szCs w:val="24"/>
              </w:rPr>
            </w:pPr>
            <w:r>
              <w:rPr>
                <w:rFonts w:hint="eastAsia"/>
                <w:sz w:val="24"/>
                <w:szCs w:val="24"/>
              </w:rPr>
              <w:t>名称</w:t>
            </w:r>
          </w:p>
        </w:tc>
        <w:tc>
          <w:tcPr>
            <w:tcW w:w="716" w:type="pct"/>
            <w:vAlign w:val="center"/>
          </w:tcPr>
          <w:p w14:paraId="51DF9149">
            <w:pPr>
              <w:jc w:val="center"/>
              <w:rPr>
                <w:sz w:val="24"/>
                <w:szCs w:val="24"/>
              </w:rPr>
            </w:pPr>
            <w:r>
              <w:rPr>
                <w:rFonts w:hint="eastAsia"/>
                <w:sz w:val="24"/>
                <w:szCs w:val="24"/>
              </w:rPr>
              <w:t>型号规格</w:t>
            </w:r>
          </w:p>
        </w:tc>
        <w:tc>
          <w:tcPr>
            <w:tcW w:w="354" w:type="pct"/>
            <w:vAlign w:val="center"/>
          </w:tcPr>
          <w:p w14:paraId="64BBD633">
            <w:pPr>
              <w:jc w:val="center"/>
              <w:rPr>
                <w:sz w:val="24"/>
                <w:szCs w:val="24"/>
              </w:rPr>
            </w:pPr>
            <w:r>
              <w:rPr>
                <w:rFonts w:hint="eastAsia"/>
                <w:sz w:val="24"/>
                <w:szCs w:val="24"/>
              </w:rPr>
              <w:t>单位</w:t>
            </w:r>
          </w:p>
        </w:tc>
        <w:tc>
          <w:tcPr>
            <w:tcW w:w="345" w:type="pct"/>
            <w:vAlign w:val="center"/>
          </w:tcPr>
          <w:p w14:paraId="10DFDF3A">
            <w:pPr>
              <w:jc w:val="center"/>
              <w:rPr>
                <w:sz w:val="24"/>
                <w:szCs w:val="24"/>
              </w:rPr>
            </w:pPr>
            <w:r>
              <w:rPr>
                <w:rFonts w:hint="eastAsia"/>
                <w:sz w:val="24"/>
                <w:szCs w:val="24"/>
              </w:rPr>
              <w:t>数量</w:t>
            </w:r>
          </w:p>
        </w:tc>
        <w:tc>
          <w:tcPr>
            <w:tcW w:w="1243" w:type="pct"/>
            <w:vAlign w:val="center"/>
          </w:tcPr>
          <w:p w14:paraId="48FECCAA">
            <w:pPr>
              <w:jc w:val="center"/>
              <w:rPr>
                <w:sz w:val="24"/>
                <w:szCs w:val="24"/>
              </w:rPr>
            </w:pPr>
            <w:r>
              <w:rPr>
                <w:rFonts w:hint="eastAsia"/>
                <w:sz w:val="24"/>
                <w:szCs w:val="24"/>
              </w:rPr>
              <w:t>安装地点/服务对象</w:t>
            </w:r>
          </w:p>
        </w:tc>
        <w:tc>
          <w:tcPr>
            <w:tcW w:w="584" w:type="pct"/>
            <w:vAlign w:val="center"/>
          </w:tcPr>
          <w:p w14:paraId="7B58289E">
            <w:pPr>
              <w:jc w:val="center"/>
              <w:rPr>
                <w:sz w:val="24"/>
                <w:szCs w:val="24"/>
              </w:rPr>
            </w:pPr>
            <w:r>
              <w:rPr>
                <w:rFonts w:hint="eastAsia"/>
                <w:sz w:val="24"/>
                <w:szCs w:val="24"/>
              </w:rPr>
              <w:t>供货方式</w:t>
            </w:r>
          </w:p>
        </w:tc>
        <w:tc>
          <w:tcPr>
            <w:tcW w:w="310" w:type="pct"/>
            <w:vAlign w:val="center"/>
          </w:tcPr>
          <w:p w14:paraId="31633E2A">
            <w:pPr>
              <w:jc w:val="center"/>
              <w:rPr>
                <w:sz w:val="24"/>
                <w:szCs w:val="24"/>
              </w:rPr>
            </w:pPr>
            <w:r>
              <w:rPr>
                <w:rFonts w:hint="eastAsia"/>
                <w:sz w:val="24"/>
                <w:szCs w:val="24"/>
              </w:rPr>
              <w:t>备注</w:t>
            </w:r>
          </w:p>
        </w:tc>
      </w:tr>
      <w:tr w14:paraId="56A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14A88F50">
            <w:pPr>
              <w:widowControl/>
              <w:jc w:val="center"/>
              <w:textAlignment w:val="center"/>
              <w:rPr>
                <w:sz w:val="24"/>
                <w:szCs w:val="24"/>
              </w:rPr>
            </w:pPr>
            <w:r>
              <w:rPr>
                <w:rFonts w:hint="eastAsia"/>
                <w:sz w:val="24"/>
                <w:szCs w:val="24"/>
              </w:rPr>
              <w:t>1</w:t>
            </w:r>
          </w:p>
        </w:tc>
        <w:tc>
          <w:tcPr>
            <w:tcW w:w="1100" w:type="pct"/>
            <w:vAlign w:val="center"/>
          </w:tcPr>
          <w:p w14:paraId="46E03C18">
            <w:pPr>
              <w:widowControl/>
              <w:jc w:val="center"/>
              <w:textAlignment w:val="center"/>
              <w:rPr>
                <w:sz w:val="24"/>
                <w:szCs w:val="24"/>
              </w:rPr>
            </w:pPr>
            <w:r>
              <w:rPr>
                <w:rFonts w:hint="eastAsia"/>
                <w:sz w:val="24"/>
                <w:szCs w:val="24"/>
              </w:rPr>
              <w:t>中走丝线切割机床</w:t>
            </w:r>
          </w:p>
        </w:tc>
        <w:tc>
          <w:tcPr>
            <w:tcW w:w="716" w:type="pct"/>
            <w:vAlign w:val="center"/>
          </w:tcPr>
          <w:p w14:paraId="036FA6E2">
            <w:pPr>
              <w:widowControl/>
              <w:jc w:val="center"/>
              <w:textAlignment w:val="center"/>
              <w:rPr>
                <w:sz w:val="24"/>
                <w:szCs w:val="24"/>
              </w:rPr>
            </w:pPr>
            <w:r>
              <w:rPr>
                <w:rFonts w:hint="eastAsia"/>
                <w:sz w:val="24"/>
                <w:szCs w:val="24"/>
              </w:rPr>
              <w:t>详见第二章技术要求</w:t>
            </w:r>
          </w:p>
        </w:tc>
        <w:tc>
          <w:tcPr>
            <w:tcW w:w="354" w:type="pct"/>
            <w:vAlign w:val="center"/>
          </w:tcPr>
          <w:p w14:paraId="63ED015E">
            <w:pPr>
              <w:widowControl/>
              <w:jc w:val="center"/>
              <w:textAlignment w:val="center"/>
              <w:rPr>
                <w:sz w:val="24"/>
                <w:szCs w:val="24"/>
              </w:rPr>
            </w:pPr>
            <w:r>
              <w:rPr>
                <w:rFonts w:hint="eastAsia"/>
                <w:sz w:val="24"/>
                <w:szCs w:val="24"/>
              </w:rPr>
              <w:t>台</w:t>
            </w:r>
          </w:p>
        </w:tc>
        <w:tc>
          <w:tcPr>
            <w:tcW w:w="345" w:type="pct"/>
            <w:vAlign w:val="center"/>
          </w:tcPr>
          <w:p w14:paraId="312B2DA6">
            <w:pPr>
              <w:widowControl/>
              <w:jc w:val="center"/>
              <w:textAlignment w:val="center"/>
              <w:rPr>
                <w:sz w:val="24"/>
                <w:szCs w:val="24"/>
              </w:rPr>
            </w:pPr>
            <w:r>
              <w:rPr>
                <w:rFonts w:hint="eastAsia"/>
                <w:sz w:val="24"/>
                <w:szCs w:val="24"/>
              </w:rPr>
              <w:t>1</w:t>
            </w:r>
          </w:p>
        </w:tc>
        <w:tc>
          <w:tcPr>
            <w:tcW w:w="1243" w:type="pct"/>
            <w:vAlign w:val="center"/>
          </w:tcPr>
          <w:p w14:paraId="61D3749F">
            <w:pPr>
              <w:widowControl/>
              <w:jc w:val="center"/>
              <w:textAlignment w:val="center"/>
              <w:rPr>
                <w:sz w:val="24"/>
                <w:szCs w:val="24"/>
              </w:rPr>
            </w:pPr>
            <w:r>
              <w:rPr>
                <w:rFonts w:hint="eastAsia"/>
                <w:sz w:val="24"/>
                <w:szCs w:val="24"/>
              </w:rPr>
              <w:t>杭州发动机有限公司</w:t>
            </w:r>
          </w:p>
        </w:tc>
        <w:tc>
          <w:tcPr>
            <w:tcW w:w="584" w:type="pct"/>
            <w:vAlign w:val="center"/>
          </w:tcPr>
          <w:p w14:paraId="4CC08CED">
            <w:pPr>
              <w:widowControl/>
              <w:jc w:val="center"/>
              <w:textAlignment w:val="center"/>
              <w:rPr>
                <w:sz w:val="24"/>
                <w:szCs w:val="24"/>
              </w:rPr>
            </w:pPr>
            <w:r>
              <w:rPr>
                <w:rFonts w:hint="eastAsia"/>
                <w:sz w:val="24"/>
                <w:szCs w:val="24"/>
              </w:rPr>
              <w:t>交钥匙</w:t>
            </w:r>
          </w:p>
        </w:tc>
        <w:tc>
          <w:tcPr>
            <w:tcW w:w="310" w:type="pct"/>
            <w:vAlign w:val="center"/>
          </w:tcPr>
          <w:p w14:paraId="719938CE">
            <w:pPr>
              <w:spacing w:line="360" w:lineRule="auto"/>
              <w:jc w:val="center"/>
              <w:rPr>
                <w:sz w:val="24"/>
                <w:szCs w:val="24"/>
              </w:rPr>
            </w:pPr>
          </w:p>
        </w:tc>
      </w:tr>
      <w:tr w14:paraId="2749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28146B84">
            <w:pPr>
              <w:widowControl/>
              <w:jc w:val="center"/>
              <w:textAlignment w:val="center"/>
              <w:rPr>
                <w:sz w:val="24"/>
                <w:szCs w:val="24"/>
              </w:rPr>
            </w:pPr>
            <w:r>
              <w:rPr>
                <w:rFonts w:hint="eastAsia"/>
                <w:sz w:val="24"/>
                <w:szCs w:val="24"/>
              </w:rPr>
              <w:t>2</w:t>
            </w:r>
          </w:p>
        </w:tc>
        <w:tc>
          <w:tcPr>
            <w:tcW w:w="1100" w:type="pct"/>
            <w:vAlign w:val="center"/>
          </w:tcPr>
          <w:p w14:paraId="607353FD">
            <w:pPr>
              <w:widowControl/>
              <w:jc w:val="center"/>
              <w:textAlignment w:val="center"/>
              <w:rPr>
                <w:sz w:val="24"/>
                <w:szCs w:val="24"/>
              </w:rPr>
            </w:pPr>
            <w:r>
              <w:rPr>
                <w:rFonts w:hint="eastAsia"/>
                <w:sz w:val="24"/>
                <w:szCs w:val="24"/>
              </w:rPr>
              <w:t>物流</w:t>
            </w:r>
          </w:p>
        </w:tc>
        <w:tc>
          <w:tcPr>
            <w:tcW w:w="716" w:type="pct"/>
            <w:vAlign w:val="center"/>
          </w:tcPr>
          <w:p w14:paraId="227B77C6">
            <w:pPr>
              <w:widowControl/>
              <w:jc w:val="center"/>
              <w:textAlignment w:val="center"/>
              <w:rPr>
                <w:sz w:val="24"/>
                <w:szCs w:val="24"/>
              </w:rPr>
            </w:pPr>
            <w:r>
              <w:rPr>
                <w:rFonts w:hint="eastAsia"/>
                <w:sz w:val="24"/>
                <w:szCs w:val="24"/>
              </w:rPr>
              <w:t>/</w:t>
            </w:r>
          </w:p>
        </w:tc>
        <w:tc>
          <w:tcPr>
            <w:tcW w:w="354" w:type="pct"/>
            <w:vAlign w:val="center"/>
          </w:tcPr>
          <w:p w14:paraId="0563BB7E">
            <w:pPr>
              <w:widowControl/>
              <w:jc w:val="center"/>
              <w:textAlignment w:val="center"/>
              <w:rPr>
                <w:sz w:val="24"/>
                <w:szCs w:val="24"/>
              </w:rPr>
            </w:pPr>
            <w:r>
              <w:rPr>
                <w:rFonts w:hint="eastAsia"/>
                <w:sz w:val="24"/>
                <w:szCs w:val="24"/>
              </w:rPr>
              <w:t>项</w:t>
            </w:r>
          </w:p>
        </w:tc>
        <w:tc>
          <w:tcPr>
            <w:tcW w:w="345" w:type="pct"/>
            <w:vAlign w:val="center"/>
          </w:tcPr>
          <w:p w14:paraId="6E59D5B1">
            <w:pPr>
              <w:widowControl/>
              <w:jc w:val="center"/>
              <w:textAlignment w:val="center"/>
              <w:rPr>
                <w:sz w:val="24"/>
                <w:szCs w:val="24"/>
              </w:rPr>
            </w:pPr>
            <w:r>
              <w:rPr>
                <w:rFonts w:hint="eastAsia"/>
                <w:sz w:val="24"/>
                <w:szCs w:val="24"/>
              </w:rPr>
              <w:t>1</w:t>
            </w:r>
          </w:p>
        </w:tc>
        <w:tc>
          <w:tcPr>
            <w:tcW w:w="1243" w:type="pct"/>
            <w:vAlign w:val="center"/>
          </w:tcPr>
          <w:p w14:paraId="48C83DD7">
            <w:pPr>
              <w:spacing w:line="360" w:lineRule="auto"/>
              <w:jc w:val="center"/>
              <w:rPr>
                <w:sz w:val="24"/>
                <w:szCs w:val="24"/>
              </w:rPr>
            </w:pPr>
            <w:r>
              <w:rPr>
                <w:rFonts w:hint="eastAsia"/>
                <w:sz w:val="24"/>
                <w:szCs w:val="24"/>
              </w:rPr>
              <w:t>杭州发动机有限公司</w:t>
            </w:r>
          </w:p>
        </w:tc>
        <w:tc>
          <w:tcPr>
            <w:tcW w:w="584" w:type="pct"/>
            <w:vAlign w:val="center"/>
          </w:tcPr>
          <w:p w14:paraId="2CDD7299">
            <w:pPr>
              <w:spacing w:line="360" w:lineRule="auto"/>
              <w:jc w:val="center"/>
              <w:rPr>
                <w:sz w:val="24"/>
                <w:szCs w:val="24"/>
              </w:rPr>
            </w:pPr>
            <w:r>
              <w:rPr>
                <w:rFonts w:hint="eastAsia"/>
                <w:sz w:val="24"/>
                <w:szCs w:val="24"/>
              </w:rPr>
              <w:t>交钥匙</w:t>
            </w:r>
          </w:p>
        </w:tc>
        <w:tc>
          <w:tcPr>
            <w:tcW w:w="310" w:type="pct"/>
            <w:vAlign w:val="center"/>
          </w:tcPr>
          <w:p w14:paraId="5683EBB3">
            <w:pPr>
              <w:spacing w:line="360" w:lineRule="auto"/>
              <w:jc w:val="center"/>
              <w:rPr>
                <w:sz w:val="24"/>
                <w:szCs w:val="24"/>
              </w:rPr>
            </w:pPr>
          </w:p>
        </w:tc>
      </w:tr>
      <w:tr w14:paraId="0A28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5" w:type="pct"/>
            <w:vAlign w:val="center"/>
          </w:tcPr>
          <w:p w14:paraId="0DFDE8C6">
            <w:pPr>
              <w:widowControl/>
              <w:jc w:val="center"/>
              <w:textAlignment w:val="center"/>
              <w:rPr>
                <w:sz w:val="24"/>
                <w:szCs w:val="24"/>
              </w:rPr>
            </w:pPr>
            <w:r>
              <w:rPr>
                <w:rFonts w:hint="eastAsia"/>
                <w:sz w:val="24"/>
                <w:szCs w:val="24"/>
              </w:rPr>
              <w:t>3</w:t>
            </w:r>
          </w:p>
        </w:tc>
        <w:tc>
          <w:tcPr>
            <w:tcW w:w="1100" w:type="pct"/>
            <w:vAlign w:val="center"/>
          </w:tcPr>
          <w:p w14:paraId="7101A7EE">
            <w:pPr>
              <w:widowControl/>
              <w:jc w:val="center"/>
              <w:textAlignment w:val="center"/>
              <w:rPr>
                <w:sz w:val="24"/>
                <w:szCs w:val="24"/>
              </w:rPr>
            </w:pPr>
            <w:r>
              <w:rPr>
                <w:rFonts w:hint="eastAsia"/>
                <w:sz w:val="24"/>
                <w:szCs w:val="24"/>
              </w:rPr>
              <w:t>安装调试</w:t>
            </w:r>
          </w:p>
        </w:tc>
        <w:tc>
          <w:tcPr>
            <w:tcW w:w="716" w:type="pct"/>
            <w:vAlign w:val="center"/>
          </w:tcPr>
          <w:p w14:paraId="0A9FD821">
            <w:pPr>
              <w:widowControl/>
              <w:jc w:val="center"/>
              <w:textAlignment w:val="center"/>
              <w:rPr>
                <w:sz w:val="24"/>
                <w:szCs w:val="24"/>
              </w:rPr>
            </w:pPr>
            <w:r>
              <w:rPr>
                <w:rFonts w:hint="eastAsia"/>
                <w:sz w:val="24"/>
                <w:szCs w:val="24"/>
              </w:rPr>
              <w:t>/</w:t>
            </w:r>
          </w:p>
        </w:tc>
        <w:tc>
          <w:tcPr>
            <w:tcW w:w="354" w:type="pct"/>
            <w:vAlign w:val="center"/>
          </w:tcPr>
          <w:p w14:paraId="093B1F52">
            <w:pPr>
              <w:widowControl/>
              <w:jc w:val="center"/>
              <w:textAlignment w:val="center"/>
              <w:rPr>
                <w:sz w:val="24"/>
                <w:szCs w:val="24"/>
              </w:rPr>
            </w:pPr>
            <w:r>
              <w:rPr>
                <w:rFonts w:hint="eastAsia"/>
                <w:sz w:val="24"/>
                <w:szCs w:val="24"/>
              </w:rPr>
              <w:t>项</w:t>
            </w:r>
          </w:p>
        </w:tc>
        <w:tc>
          <w:tcPr>
            <w:tcW w:w="345" w:type="pct"/>
            <w:vAlign w:val="center"/>
          </w:tcPr>
          <w:p w14:paraId="7B21E819">
            <w:pPr>
              <w:widowControl/>
              <w:jc w:val="center"/>
              <w:textAlignment w:val="center"/>
              <w:rPr>
                <w:sz w:val="24"/>
                <w:szCs w:val="24"/>
              </w:rPr>
            </w:pPr>
            <w:r>
              <w:rPr>
                <w:rFonts w:hint="eastAsia"/>
                <w:sz w:val="24"/>
                <w:szCs w:val="24"/>
              </w:rPr>
              <w:t>1</w:t>
            </w:r>
          </w:p>
        </w:tc>
        <w:tc>
          <w:tcPr>
            <w:tcW w:w="1243" w:type="pct"/>
            <w:vAlign w:val="center"/>
          </w:tcPr>
          <w:p w14:paraId="51AB6F23">
            <w:pPr>
              <w:spacing w:line="360" w:lineRule="auto"/>
              <w:jc w:val="center"/>
              <w:rPr>
                <w:sz w:val="24"/>
                <w:szCs w:val="24"/>
              </w:rPr>
            </w:pPr>
            <w:r>
              <w:rPr>
                <w:rFonts w:hint="eastAsia"/>
                <w:sz w:val="24"/>
                <w:szCs w:val="24"/>
              </w:rPr>
              <w:t>杭州发动机有限公司</w:t>
            </w:r>
          </w:p>
        </w:tc>
        <w:tc>
          <w:tcPr>
            <w:tcW w:w="584" w:type="pct"/>
            <w:vAlign w:val="center"/>
          </w:tcPr>
          <w:p w14:paraId="7794C906">
            <w:pPr>
              <w:spacing w:line="360" w:lineRule="auto"/>
              <w:jc w:val="center"/>
              <w:rPr>
                <w:sz w:val="24"/>
                <w:szCs w:val="24"/>
              </w:rPr>
            </w:pPr>
            <w:r>
              <w:rPr>
                <w:rFonts w:hint="eastAsia"/>
                <w:sz w:val="24"/>
                <w:szCs w:val="24"/>
              </w:rPr>
              <w:t>交钥匙</w:t>
            </w:r>
          </w:p>
        </w:tc>
        <w:tc>
          <w:tcPr>
            <w:tcW w:w="310" w:type="pct"/>
            <w:vAlign w:val="center"/>
          </w:tcPr>
          <w:p w14:paraId="523D71E3">
            <w:pPr>
              <w:spacing w:line="360" w:lineRule="auto"/>
              <w:jc w:val="center"/>
              <w:rPr>
                <w:sz w:val="24"/>
                <w:szCs w:val="24"/>
              </w:rPr>
            </w:pPr>
          </w:p>
        </w:tc>
      </w:tr>
    </w:tbl>
    <w:p w14:paraId="57EBD784">
      <w:pPr>
        <w:spacing w:line="360" w:lineRule="auto"/>
        <w:rPr>
          <w:sz w:val="24"/>
          <w:szCs w:val="24"/>
        </w:rPr>
      </w:pPr>
    </w:p>
    <w:p w14:paraId="7CDE9C5E">
      <w:pPr>
        <w:spacing w:line="360" w:lineRule="auto"/>
        <w:rPr>
          <w:sz w:val="24"/>
          <w:szCs w:val="24"/>
        </w:rPr>
      </w:pPr>
      <w:r>
        <w:rPr>
          <w:rFonts w:hint="eastAsia"/>
          <w:sz w:val="24"/>
          <w:szCs w:val="24"/>
        </w:rPr>
        <w:t>备注：</w:t>
      </w:r>
    </w:p>
    <w:p w14:paraId="44B47F31">
      <w:pPr>
        <w:spacing w:line="360" w:lineRule="auto"/>
        <w:rPr>
          <w:sz w:val="24"/>
          <w:szCs w:val="24"/>
        </w:rPr>
      </w:pPr>
      <w:r>
        <w:rPr>
          <w:rFonts w:hint="eastAsia"/>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1F861B6D">
      <w:pPr>
        <w:spacing w:line="360" w:lineRule="auto"/>
        <w:rPr>
          <w:sz w:val="24"/>
          <w:szCs w:val="24"/>
        </w:rPr>
      </w:pPr>
      <w:r>
        <w:rPr>
          <w:rFonts w:hint="eastAsia"/>
          <w:sz w:val="24"/>
          <w:szCs w:val="24"/>
        </w:rPr>
        <w:t>2、本表“供货方式”指：交钥匙方式——包括制造、运输、定点卸货、安装、调试和协助验收以及约定培训等。</w:t>
      </w:r>
    </w:p>
    <w:p w14:paraId="6AF0FCDC">
      <w:pPr>
        <w:spacing w:line="360" w:lineRule="auto"/>
        <w:rPr>
          <w:sz w:val="24"/>
          <w:szCs w:val="24"/>
        </w:rPr>
      </w:pPr>
      <w:r>
        <w:rPr>
          <w:rFonts w:hint="eastAsia"/>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5CF829F5">
      <w:pPr>
        <w:spacing w:line="360" w:lineRule="auto"/>
        <w:rPr>
          <w:sz w:val="24"/>
          <w:szCs w:val="24"/>
        </w:rPr>
      </w:pPr>
      <w:r>
        <w:rPr>
          <w:rFonts w:hint="eastAsia"/>
          <w:sz w:val="24"/>
          <w:szCs w:val="24"/>
        </w:rPr>
        <w:t>五、采购货物特别说明</w:t>
      </w:r>
    </w:p>
    <w:p w14:paraId="09785C4A">
      <w:pPr>
        <w:spacing w:line="360" w:lineRule="auto"/>
        <w:rPr>
          <w:sz w:val="24"/>
          <w:szCs w:val="24"/>
        </w:rPr>
      </w:pPr>
      <w:r>
        <w:rPr>
          <w:rFonts w:hint="eastAsia"/>
          <w:sz w:val="24"/>
          <w:szCs w:val="24"/>
        </w:rPr>
        <w:t>招标人所列货物的名称和规格型号，如为某一供应商所特有，则该名称和规格型号可作参考，但要求投标人所提供的货物必须满足本技术标书实质性要求</w:t>
      </w:r>
      <w:r>
        <w:rPr>
          <w:rFonts w:hint="eastAsia" w:cs="Times New Roman"/>
          <w:sz w:val="24"/>
          <w:szCs w:val="24"/>
        </w:rPr>
        <w:t>。</w:t>
      </w:r>
    </w:p>
    <w:p w14:paraId="2D2D4527">
      <w:pPr>
        <w:spacing w:before="120" w:after="120" w:line="360" w:lineRule="auto"/>
        <w:jc w:val="center"/>
        <w:rPr>
          <w:b/>
          <w:bCs/>
          <w:sz w:val="28"/>
          <w:szCs w:val="28"/>
        </w:rPr>
      </w:pPr>
      <w:r>
        <w:rPr>
          <w:rFonts w:hint="eastAsia"/>
          <w:b/>
          <w:bCs/>
          <w:sz w:val="28"/>
          <w:szCs w:val="28"/>
        </w:rPr>
        <w:t>第二章  技术要求</w:t>
      </w:r>
    </w:p>
    <w:p w14:paraId="2930EF22">
      <w:pPr>
        <w:spacing w:line="360" w:lineRule="auto"/>
        <w:rPr>
          <w:rFonts w:ascii="黑体" w:hAnsi="黑体" w:eastAsia="黑体" w:cs="黑体"/>
          <w:sz w:val="24"/>
          <w:szCs w:val="24"/>
        </w:rPr>
      </w:pPr>
      <w:r>
        <w:rPr>
          <w:rFonts w:hint="eastAsia" w:ascii="黑体" w:hAnsi="黑体" w:eastAsia="黑体" w:cs="黑体"/>
          <w:sz w:val="24"/>
          <w:szCs w:val="24"/>
        </w:rPr>
        <w:t>一、基本要求</w:t>
      </w:r>
    </w:p>
    <w:p w14:paraId="54366227">
      <w:pPr>
        <w:spacing w:line="360" w:lineRule="auto"/>
        <w:rPr>
          <w:sz w:val="24"/>
          <w:szCs w:val="24"/>
        </w:rPr>
      </w:pPr>
      <w:r>
        <w:rPr>
          <w:rFonts w:hint="eastAsia"/>
          <w:sz w:val="24"/>
          <w:szCs w:val="24"/>
        </w:rPr>
        <w:t>1、本章技术要求，仅对功能、设计、结构、性能、安装和试验检验等方面，提出了最低和一般性的技术要求，并未对一切技术细节作出规定。</w:t>
      </w:r>
    </w:p>
    <w:p w14:paraId="68155967">
      <w:pPr>
        <w:spacing w:line="360" w:lineRule="auto"/>
        <w:rPr>
          <w:sz w:val="24"/>
          <w:szCs w:val="24"/>
        </w:rPr>
      </w:pPr>
      <w:r>
        <w:rPr>
          <w:rFonts w:hint="eastAsia"/>
          <w:sz w:val="24"/>
          <w:szCs w:val="24"/>
        </w:rPr>
        <w:t>2、本技术要求所使用的标准、规范等，如与投标人所执行的标准、规范不一致时，应按高于本技术要求所列的标准、规范执行。</w:t>
      </w:r>
    </w:p>
    <w:p w14:paraId="4BBE8116">
      <w:pPr>
        <w:spacing w:line="360" w:lineRule="auto"/>
        <w:rPr>
          <w:sz w:val="24"/>
          <w:szCs w:val="24"/>
        </w:rPr>
      </w:pPr>
      <w:r>
        <w:rPr>
          <w:rFonts w:hint="eastAsia"/>
          <w:sz w:val="24"/>
          <w:szCs w:val="24"/>
        </w:rPr>
        <w:t>3、投标人认为所供货物必需由招标人配备、解决或提供的其他要求，如设备基础隔振和减振设施、软化水、洁净气源等，均应在投标档“技术偏离”中予以充分说明。</w:t>
      </w:r>
    </w:p>
    <w:p w14:paraId="0169C877">
      <w:pPr>
        <w:spacing w:line="360" w:lineRule="auto"/>
        <w:rPr>
          <w:sz w:val="24"/>
          <w:szCs w:val="24"/>
        </w:rPr>
      </w:pPr>
      <w:r>
        <w:rPr>
          <w:rFonts w:hint="eastAsia"/>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604D3F80">
      <w:pPr>
        <w:spacing w:line="360" w:lineRule="auto"/>
        <w:rPr>
          <w:sz w:val="24"/>
          <w:szCs w:val="24"/>
        </w:rPr>
      </w:pPr>
      <w:r>
        <w:rPr>
          <w:rFonts w:hint="eastAsia"/>
          <w:sz w:val="24"/>
          <w:szCs w:val="24"/>
        </w:rPr>
        <w:t>5、无论是否有技术偏离，投标人均应在投标档“技术偏离”中明确作出有无说明。若有异议，不管是多么微小，投标人必须予以明确和详细的说明或澄清。</w:t>
      </w:r>
    </w:p>
    <w:p w14:paraId="26B21B69">
      <w:pPr>
        <w:spacing w:line="360" w:lineRule="auto"/>
        <w:rPr>
          <w:sz w:val="24"/>
          <w:szCs w:val="24"/>
        </w:rPr>
      </w:pPr>
      <w:r>
        <w:rPr>
          <w:rFonts w:hint="eastAsia"/>
          <w:sz w:val="24"/>
          <w:szCs w:val="24"/>
        </w:rPr>
        <w:t>6、为避免投标人优势在招标评审时漏项，质保期超出本技术标书要求的，应当在投标档“技术偏离”中特别注明。</w:t>
      </w:r>
    </w:p>
    <w:p w14:paraId="559B3218">
      <w:pPr>
        <w:spacing w:line="360" w:lineRule="auto"/>
        <w:rPr>
          <w:sz w:val="24"/>
          <w:szCs w:val="24"/>
        </w:rPr>
      </w:pPr>
      <w:r>
        <w:rPr>
          <w:rFonts w:hint="eastAsia"/>
          <w:sz w:val="24"/>
          <w:szCs w:val="24"/>
        </w:rPr>
        <w:t>7、投标档中，针对“特别提示”条款所做的回应，将作为投标人能否中标的重要依据之一。</w:t>
      </w:r>
    </w:p>
    <w:p w14:paraId="45756639">
      <w:pPr>
        <w:spacing w:line="360" w:lineRule="auto"/>
        <w:rPr>
          <w:rFonts w:ascii="黑体" w:hAnsi="黑体" w:eastAsia="黑体" w:cs="黑体"/>
          <w:sz w:val="24"/>
          <w:szCs w:val="24"/>
        </w:rPr>
      </w:pPr>
      <w:r>
        <w:rPr>
          <w:rFonts w:hint="eastAsia" w:ascii="黑体" w:hAnsi="黑体" w:eastAsia="黑体" w:cs="黑体"/>
          <w:sz w:val="24"/>
          <w:szCs w:val="24"/>
        </w:rPr>
        <w:t>二、执行标准</w:t>
      </w:r>
    </w:p>
    <w:p w14:paraId="7075E7F3">
      <w:pPr>
        <w:spacing w:line="360" w:lineRule="auto"/>
        <w:rPr>
          <w:sz w:val="24"/>
          <w:szCs w:val="24"/>
        </w:rPr>
      </w:pPr>
      <w:r>
        <w:rPr>
          <w:rFonts w:hint="eastAsia"/>
          <w:sz w:val="24"/>
          <w:szCs w:val="24"/>
        </w:rPr>
        <w:t>1、投标人所供的货物，必须符合中国最新版的法律、法规和相关标准、规范的要求，符合项目所在地政府有关特殊要求。</w:t>
      </w:r>
    </w:p>
    <w:p w14:paraId="4B537CEF">
      <w:pPr>
        <w:spacing w:line="360" w:lineRule="auto"/>
        <w:rPr>
          <w:sz w:val="24"/>
          <w:szCs w:val="24"/>
        </w:rPr>
      </w:pPr>
      <w:r>
        <w:rPr>
          <w:rFonts w:hint="eastAsia"/>
          <w:sz w:val="24"/>
          <w:szCs w:val="24"/>
        </w:rPr>
        <w:t>2、投标人所供货物涉及的专利权技术以及知识产权保护的其他技术等，应保证招标人不因此受到任何侵权指控以及实际损失。</w:t>
      </w:r>
    </w:p>
    <w:p w14:paraId="068B5444">
      <w:pPr>
        <w:spacing w:line="360" w:lineRule="auto"/>
        <w:rPr>
          <w:sz w:val="24"/>
          <w:szCs w:val="24"/>
        </w:rPr>
      </w:pPr>
      <w:r>
        <w:rPr>
          <w:rFonts w:hint="eastAsia"/>
          <w:sz w:val="24"/>
          <w:szCs w:val="24"/>
        </w:rPr>
        <w:t>3、投标人应保证所供货物的先进性、可靠性、经济性和实用性，并为全新货物（或设备）。</w:t>
      </w:r>
    </w:p>
    <w:p w14:paraId="7A0FE00A">
      <w:pPr>
        <w:spacing w:line="360" w:lineRule="auto"/>
        <w:rPr>
          <w:sz w:val="24"/>
          <w:szCs w:val="24"/>
        </w:rPr>
      </w:pPr>
      <w:r>
        <w:rPr>
          <w:rFonts w:hint="eastAsia"/>
          <w:sz w:val="24"/>
          <w:szCs w:val="24"/>
        </w:rPr>
        <w:t>4、投标人应满足招标人提出的各项技术要求，必要时应当免费提供技术承诺或担保。</w:t>
      </w:r>
    </w:p>
    <w:p w14:paraId="461435E8">
      <w:pPr>
        <w:spacing w:line="360" w:lineRule="auto"/>
        <w:rPr>
          <w:sz w:val="24"/>
          <w:szCs w:val="24"/>
        </w:rPr>
      </w:pPr>
      <w:r>
        <w:rPr>
          <w:rFonts w:hint="eastAsia"/>
          <w:sz w:val="24"/>
          <w:szCs w:val="24"/>
        </w:rPr>
        <w:t>5、投标人应保证所供货物（或设备）为中国政府指定或规定的主管部门公布的非淘汰货物（或设备）。</w:t>
      </w:r>
    </w:p>
    <w:p w14:paraId="4CD5DDF3">
      <w:pPr>
        <w:spacing w:line="360" w:lineRule="auto"/>
        <w:rPr>
          <w:sz w:val="24"/>
          <w:szCs w:val="24"/>
        </w:rPr>
      </w:pPr>
      <w:r>
        <w:rPr>
          <w:rFonts w:hint="eastAsia"/>
          <w:sz w:val="24"/>
          <w:szCs w:val="24"/>
        </w:rPr>
        <w:t>6、投标人应保证所供货物的完整性和成套性，能保证货物的正常运行、使用。</w:t>
      </w:r>
    </w:p>
    <w:p w14:paraId="34597B41">
      <w:pPr>
        <w:spacing w:line="360" w:lineRule="auto"/>
        <w:rPr>
          <w:rFonts w:ascii="黑体" w:hAnsi="黑体" w:eastAsia="黑体" w:cs="黑体"/>
          <w:sz w:val="24"/>
          <w:szCs w:val="24"/>
        </w:rPr>
      </w:pPr>
      <w:r>
        <w:rPr>
          <w:rFonts w:hint="eastAsia"/>
          <w:sz w:val="24"/>
          <w:szCs w:val="24"/>
        </w:rPr>
        <w:t>7、投标人应对招标人采购的货物所涉及的技术、产能等信息负有保密义务，招标人拥有追究投标人泄密责任的权利；招标人如有需要，投标人应无条件签署保密协议。</w:t>
      </w:r>
      <w:r>
        <w:rPr>
          <w:rFonts w:hint="eastAsia" w:ascii="黑体" w:hAnsi="黑体" w:eastAsia="黑体" w:cs="黑体"/>
          <w:sz w:val="24"/>
          <w:szCs w:val="24"/>
        </w:rPr>
        <w:t>三、技术要求概况：</w:t>
      </w:r>
    </w:p>
    <w:p w14:paraId="2C4CF292">
      <w:pPr>
        <w:spacing w:line="360" w:lineRule="auto"/>
        <w:ind w:firstLine="420"/>
        <w:rPr>
          <w:sz w:val="24"/>
          <w:szCs w:val="24"/>
        </w:rPr>
      </w:pPr>
      <w:r>
        <w:rPr>
          <w:rFonts w:hint="eastAsia"/>
          <w:sz w:val="24"/>
          <w:szCs w:val="24"/>
        </w:rPr>
        <w:t>中走丝线切割机床本体采用高强度铸件，具有足够的刚性和稳定性；X、Y轴采用步进电机控制，X×Y×Z行程不小于630×500×350mm。</w:t>
      </w:r>
    </w:p>
    <w:p w14:paraId="62C2B01A">
      <w:pPr>
        <w:spacing w:line="360" w:lineRule="auto"/>
        <w:rPr>
          <w:sz w:val="24"/>
          <w:szCs w:val="24"/>
        </w:rPr>
      </w:pPr>
      <w:r>
        <w:rPr>
          <w:rFonts w:hint="eastAsia" w:ascii="黑体" w:hAnsi="黑体" w:eastAsia="黑体" w:cs="黑体"/>
          <w:sz w:val="24"/>
          <w:szCs w:val="24"/>
        </w:rPr>
        <w:t>四、设备主要技术规格</w:t>
      </w:r>
    </w:p>
    <w:p w14:paraId="4B6B3544">
      <w:pPr>
        <w:spacing w:line="360" w:lineRule="auto"/>
        <w:rPr>
          <w:sz w:val="24"/>
          <w:szCs w:val="24"/>
        </w:rPr>
      </w:pPr>
      <w:r>
        <w:rPr>
          <w:rFonts w:hint="eastAsia"/>
          <w:sz w:val="24"/>
          <w:szCs w:val="24"/>
        </w:rPr>
        <w:t>1、工作台尺寸不小于930×650mm，最大承载重量不小于500kg。</w:t>
      </w:r>
    </w:p>
    <w:p w14:paraId="39BDE9DB">
      <w:pPr>
        <w:spacing w:line="360" w:lineRule="auto"/>
        <w:rPr>
          <w:sz w:val="24"/>
          <w:szCs w:val="24"/>
        </w:rPr>
      </w:pPr>
      <w:r>
        <w:rPr>
          <w:rFonts w:hint="eastAsia"/>
          <w:sz w:val="24"/>
          <w:szCs w:val="24"/>
        </w:rPr>
        <w:t>2、X、Y轴数显，采用步进电机控制。</w:t>
      </w:r>
    </w:p>
    <w:p w14:paraId="00F60E43">
      <w:pPr>
        <w:spacing w:line="360" w:lineRule="auto"/>
        <w:rPr>
          <w:sz w:val="24"/>
          <w:szCs w:val="24"/>
        </w:rPr>
      </w:pPr>
      <w:r>
        <w:rPr>
          <w:rFonts w:hint="eastAsia"/>
          <w:sz w:val="24"/>
          <w:szCs w:val="24"/>
        </w:rPr>
        <w:t>3、最佳加工表面粗糙度Ra≤1.6μm。</w:t>
      </w:r>
    </w:p>
    <w:p w14:paraId="3D6B87EA">
      <w:pPr>
        <w:spacing w:line="360" w:lineRule="auto"/>
        <w:rPr>
          <w:sz w:val="24"/>
          <w:szCs w:val="24"/>
        </w:rPr>
      </w:pPr>
      <w:r>
        <w:rPr>
          <w:rFonts w:hint="eastAsia"/>
          <w:sz w:val="24"/>
          <w:szCs w:val="24"/>
        </w:rPr>
        <w:t>4、最佳切割精度≤0.01mm。</w:t>
      </w:r>
    </w:p>
    <w:p w14:paraId="3697C8E2">
      <w:pPr>
        <w:spacing w:line="360" w:lineRule="auto"/>
        <w:rPr>
          <w:sz w:val="24"/>
          <w:szCs w:val="24"/>
        </w:rPr>
      </w:pPr>
      <w:r>
        <w:rPr>
          <w:rFonts w:hint="eastAsia"/>
          <w:sz w:val="24"/>
          <w:szCs w:val="24"/>
        </w:rPr>
        <w:t>5、最大切割效率不小于120mm²/min。</w:t>
      </w:r>
    </w:p>
    <w:p w14:paraId="1691260F">
      <w:pPr>
        <w:spacing w:line="360" w:lineRule="auto"/>
        <w:rPr>
          <w:sz w:val="24"/>
          <w:szCs w:val="24"/>
        </w:rPr>
      </w:pPr>
      <w:r>
        <w:rPr>
          <w:rFonts w:hint="eastAsia"/>
          <w:sz w:val="24"/>
          <w:szCs w:val="24"/>
        </w:rPr>
        <w:t>6、具有恒张力控制的走丝机构。</w:t>
      </w:r>
    </w:p>
    <w:p w14:paraId="373EA5BE">
      <w:pPr>
        <w:spacing w:line="360" w:lineRule="auto"/>
        <w:rPr>
          <w:sz w:val="24"/>
          <w:szCs w:val="24"/>
        </w:rPr>
      </w:pPr>
      <w:r>
        <w:rPr>
          <w:rFonts w:hint="eastAsia"/>
          <w:sz w:val="24"/>
          <w:szCs w:val="24"/>
        </w:rPr>
        <w:t>7、电极丝直径φ0.12—0.20 mm。</w:t>
      </w:r>
    </w:p>
    <w:p w14:paraId="7D3F4294">
      <w:pPr>
        <w:spacing w:line="360" w:lineRule="auto"/>
        <w:rPr>
          <w:sz w:val="24"/>
          <w:szCs w:val="24"/>
        </w:rPr>
      </w:pPr>
      <w:r>
        <w:rPr>
          <w:rFonts w:hint="eastAsia"/>
          <w:sz w:val="24"/>
          <w:szCs w:val="24"/>
        </w:rPr>
        <w:t>8、走丝速度可变频调速。</w:t>
      </w:r>
    </w:p>
    <w:p w14:paraId="7A3CFA06">
      <w:pPr>
        <w:spacing w:line="360" w:lineRule="auto"/>
        <w:rPr>
          <w:sz w:val="24"/>
          <w:szCs w:val="24"/>
        </w:rPr>
      </w:pPr>
      <w:r>
        <w:rPr>
          <w:rFonts w:hint="eastAsia"/>
          <w:sz w:val="24"/>
          <w:szCs w:val="24"/>
        </w:rPr>
        <w:t>9、支持加工图形显示和绘制编辑，图形自动编程加工，支持ISO代码程序；具有加工进程实时跟踪，错误信息提示功能。</w:t>
      </w:r>
    </w:p>
    <w:p w14:paraId="543B8C03">
      <w:pPr>
        <w:spacing w:line="360" w:lineRule="auto"/>
        <w:rPr>
          <w:sz w:val="24"/>
          <w:szCs w:val="24"/>
        </w:rPr>
      </w:pPr>
      <w:r>
        <w:rPr>
          <w:rFonts w:hint="eastAsia"/>
          <w:sz w:val="24"/>
          <w:szCs w:val="24"/>
        </w:rPr>
        <w:t>10、配备必要的夹具、防护罩等基础机床附件以及钼丝校正器、上丝轮等专用工具；提供设备安装调试期间及终验收前所需的钼丝用量。</w:t>
      </w:r>
    </w:p>
    <w:p w14:paraId="6735F026">
      <w:pPr>
        <w:jc w:val="center"/>
        <w:rPr>
          <w:b/>
          <w:bCs/>
          <w:sz w:val="28"/>
          <w:szCs w:val="28"/>
        </w:rPr>
      </w:pPr>
      <w:r>
        <w:rPr>
          <w:rFonts w:hint="eastAsia"/>
          <w:b/>
          <w:bCs/>
          <w:sz w:val="28"/>
          <w:szCs w:val="28"/>
        </w:rPr>
        <w:t>第三章  供货范围及供货方式</w:t>
      </w:r>
    </w:p>
    <w:p w14:paraId="4D08E1FB">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第一节  供货范围</w:t>
      </w:r>
    </w:p>
    <w:p w14:paraId="646CFBBD">
      <w:pPr>
        <w:spacing w:line="360" w:lineRule="auto"/>
        <w:rPr>
          <w:rFonts w:ascii="黑体" w:hAnsi="黑体" w:eastAsia="黑体" w:cs="黑体"/>
          <w:sz w:val="24"/>
          <w:szCs w:val="24"/>
        </w:rPr>
      </w:pPr>
      <w:r>
        <w:rPr>
          <w:rFonts w:hint="eastAsia" w:ascii="黑体" w:hAnsi="黑体" w:eastAsia="黑体" w:cs="黑体"/>
          <w:sz w:val="24"/>
          <w:szCs w:val="24"/>
        </w:rPr>
        <w:t>一、供货范围</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51"/>
        <w:gridCol w:w="913"/>
        <w:gridCol w:w="6838"/>
        <w:gridCol w:w="709"/>
      </w:tblGrid>
      <w:tr w14:paraId="2CBA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7" w:type="pct"/>
            <w:vAlign w:val="center"/>
          </w:tcPr>
          <w:p w14:paraId="1DFC6293">
            <w:pPr>
              <w:jc w:val="center"/>
              <w:rPr>
                <w:b/>
                <w:bCs/>
                <w:sz w:val="24"/>
                <w:szCs w:val="24"/>
              </w:rPr>
            </w:pPr>
            <w:r>
              <w:rPr>
                <w:rFonts w:hint="eastAsia"/>
                <w:b/>
                <w:bCs/>
                <w:sz w:val="24"/>
                <w:szCs w:val="24"/>
              </w:rPr>
              <w:t>序号</w:t>
            </w:r>
          </w:p>
        </w:tc>
        <w:tc>
          <w:tcPr>
            <w:tcW w:w="501" w:type="pct"/>
            <w:vAlign w:val="center"/>
          </w:tcPr>
          <w:p w14:paraId="44476ED2">
            <w:pPr>
              <w:jc w:val="center"/>
              <w:rPr>
                <w:b/>
                <w:bCs/>
                <w:sz w:val="24"/>
                <w:szCs w:val="24"/>
              </w:rPr>
            </w:pPr>
            <w:r>
              <w:rPr>
                <w:rFonts w:hint="eastAsia"/>
                <w:b/>
                <w:bCs/>
                <w:sz w:val="24"/>
                <w:szCs w:val="24"/>
              </w:rPr>
              <w:t>名称</w:t>
            </w:r>
          </w:p>
        </w:tc>
        <w:tc>
          <w:tcPr>
            <w:tcW w:w="3752" w:type="pct"/>
            <w:vAlign w:val="center"/>
          </w:tcPr>
          <w:p w14:paraId="7BC091A9">
            <w:pPr>
              <w:jc w:val="center"/>
              <w:rPr>
                <w:b/>
                <w:bCs/>
                <w:sz w:val="24"/>
                <w:szCs w:val="24"/>
              </w:rPr>
            </w:pPr>
            <w:r>
              <w:rPr>
                <w:rFonts w:hint="eastAsia" w:ascii="宋体" w:hAnsi="宋体" w:eastAsia="宋体" w:cs="宋体"/>
                <w:b/>
                <w:bCs/>
                <w:color w:val="000000" w:themeColor="text1"/>
                <w:sz w:val="24"/>
                <w:szCs w:val="24"/>
                <w14:textFill>
                  <w14:solidFill>
                    <w14:schemeClr w14:val="tx1"/>
                  </w14:solidFill>
                </w14:textFill>
              </w:rPr>
              <w:t>内容</w:t>
            </w:r>
          </w:p>
        </w:tc>
        <w:tc>
          <w:tcPr>
            <w:tcW w:w="389" w:type="pct"/>
            <w:vAlign w:val="center"/>
          </w:tcPr>
          <w:p w14:paraId="48623D6D">
            <w:pPr>
              <w:jc w:val="center"/>
              <w:rPr>
                <w:b/>
                <w:bCs/>
                <w:sz w:val="24"/>
                <w:szCs w:val="24"/>
              </w:rPr>
            </w:pPr>
            <w:r>
              <w:rPr>
                <w:rFonts w:hint="eastAsia"/>
                <w:b/>
                <w:bCs/>
                <w:sz w:val="24"/>
                <w:szCs w:val="24"/>
              </w:rPr>
              <w:t>数量</w:t>
            </w:r>
          </w:p>
        </w:tc>
      </w:tr>
      <w:tr w14:paraId="51E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50DA5B3C">
            <w:pPr>
              <w:jc w:val="center"/>
              <w:rPr>
                <w:szCs w:val="21"/>
              </w:rPr>
            </w:pPr>
            <w:r>
              <w:rPr>
                <w:rFonts w:hint="eastAsia"/>
                <w:szCs w:val="21"/>
              </w:rPr>
              <w:t>1</w:t>
            </w:r>
          </w:p>
        </w:tc>
        <w:tc>
          <w:tcPr>
            <w:tcW w:w="501" w:type="pct"/>
            <w:vAlign w:val="center"/>
          </w:tcPr>
          <w:p w14:paraId="4A8A775B">
            <w:pPr>
              <w:jc w:val="center"/>
              <w:rPr>
                <w:szCs w:val="21"/>
              </w:rPr>
            </w:pPr>
            <w:r>
              <w:rPr>
                <w:rFonts w:hint="eastAsia"/>
                <w:szCs w:val="21"/>
              </w:rPr>
              <w:t>中走丝线切割机床</w:t>
            </w:r>
          </w:p>
        </w:tc>
        <w:tc>
          <w:tcPr>
            <w:tcW w:w="3752" w:type="pct"/>
            <w:vAlign w:val="center"/>
          </w:tcPr>
          <w:p w14:paraId="20E5D1C2">
            <w:pPr>
              <w:rPr>
                <w:szCs w:val="21"/>
              </w:rPr>
            </w:pPr>
            <w:r>
              <w:rPr>
                <w:rFonts w:hint="eastAsia"/>
                <w:szCs w:val="21"/>
              </w:rPr>
              <w:t>机床主体、控制柜、工作台、运丝系统、冷却润滑系统、控制系统（含显示器、键盘、鼠标）、安全防护装置、夹具、钼丝校正器、上丝轮</w:t>
            </w:r>
          </w:p>
        </w:tc>
        <w:tc>
          <w:tcPr>
            <w:tcW w:w="389" w:type="pct"/>
            <w:vAlign w:val="center"/>
          </w:tcPr>
          <w:p w14:paraId="13F05A57">
            <w:pPr>
              <w:rPr>
                <w:sz w:val="24"/>
                <w:szCs w:val="24"/>
              </w:rPr>
            </w:pPr>
            <w:r>
              <w:rPr>
                <w:rFonts w:hint="eastAsia"/>
                <w:sz w:val="24"/>
                <w:szCs w:val="24"/>
              </w:rPr>
              <w:t>1</w:t>
            </w:r>
          </w:p>
        </w:tc>
      </w:tr>
      <w:tr w14:paraId="5C1B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7298B758">
            <w:pPr>
              <w:jc w:val="center"/>
              <w:rPr>
                <w:szCs w:val="21"/>
              </w:rPr>
            </w:pPr>
            <w:r>
              <w:rPr>
                <w:rFonts w:hint="eastAsia"/>
                <w:szCs w:val="21"/>
              </w:rPr>
              <w:t>2</w:t>
            </w:r>
          </w:p>
        </w:tc>
        <w:tc>
          <w:tcPr>
            <w:tcW w:w="501" w:type="pct"/>
            <w:vAlign w:val="center"/>
          </w:tcPr>
          <w:p w14:paraId="60F587C2">
            <w:pPr>
              <w:jc w:val="center"/>
              <w:rPr>
                <w:szCs w:val="21"/>
              </w:rPr>
            </w:pPr>
            <w:r>
              <w:rPr>
                <w:rFonts w:hint="eastAsia"/>
                <w:szCs w:val="21"/>
              </w:rPr>
              <w:t>耗材</w:t>
            </w:r>
          </w:p>
        </w:tc>
        <w:tc>
          <w:tcPr>
            <w:tcW w:w="3752" w:type="pct"/>
            <w:vAlign w:val="center"/>
          </w:tcPr>
          <w:p w14:paraId="3070574E">
            <w:pPr>
              <w:rPr>
                <w:szCs w:val="21"/>
              </w:rPr>
            </w:pPr>
            <w:r>
              <w:rPr>
                <w:rFonts w:hint="eastAsia"/>
                <w:szCs w:val="21"/>
              </w:rPr>
              <w:t>钼丝</w:t>
            </w:r>
          </w:p>
        </w:tc>
        <w:tc>
          <w:tcPr>
            <w:tcW w:w="389" w:type="pct"/>
            <w:vAlign w:val="center"/>
          </w:tcPr>
          <w:p w14:paraId="114A4647">
            <w:pPr>
              <w:rPr>
                <w:sz w:val="24"/>
                <w:szCs w:val="24"/>
              </w:rPr>
            </w:pPr>
            <w:r>
              <w:rPr>
                <w:rFonts w:hint="eastAsia"/>
                <w:sz w:val="24"/>
                <w:szCs w:val="24"/>
              </w:rPr>
              <w:t>1</w:t>
            </w:r>
          </w:p>
        </w:tc>
      </w:tr>
      <w:tr w14:paraId="4494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4F7195C3">
            <w:pPr>
              <w:jc w:val="center"/>
              <w:rPr>
                <w:szCs w:val="21"/>
              </w:rPr>
            </w:pPr>
            <w:r>
              <w:rPr>
                <w:rFonts w:hint="eastAsia"/>
                <w:szCs w:val="21"/>
              </w:rPr>
              <w:t>3</w:t>
            </w:r>
          </w:p>
        </w:tc>
        <w:tc>
          <w:tcPr>
            <w:tcW w:w="501" w:type="pct"/>
            <w:vAlign w:val="center"/>
          </w:tcPr>
          <w:p w14:paraId="1707568F">
            <w:pPr>
              <w:jc w:val="center"/>
              <w:rPr>
                <w:szCs w:val="21"/>
              </w:rPr>
            </w:pPr>
            <w:r>
              <w:rPr>
                <w:rFonts w:hint="eastAsia"/>
                <w:szCs w:val="21"/>
              </w:rPr>
              <w:t>安装、调试</w:t>
            </w:r>
          </w:p>
        </w:tc>
        <w:tc>
          <w:tcPr>
            <w:tcW w:w="3752" w:type="pct"/>
            <w:vAlign w:val="center"/>
          </w:tcPr>
          <w:p w14:paraId="17C83E23">
            <w:pPr>
              <w:rPr>
                <w:szCs w:val="21"/>
              </w:rPr>
            </w:pPr>
            <w:r>
              <w:rPr>
                <w:rFonts w:hint="eastAsia"/>
                <w:szCs w:val="21"/>
              </w:rPr>
              <w:t>卖方负责安装、调试工作</w:t>
            </w:r>
          </w:p>
        </w:tc>
        <w:tc>
          <w:tcPr>
            <w:tcW w:w="389" w:type="pct"/>
            <w:vAlign w:val="center"/>
          </w:tcPr>
          <w:p w14:paraId="74A1008A">
            <w:pPr>
              <w:rPr>
                <w:sz w:val="24"/>
                <w:szCs w:val="24"/>
              </w:rPr>
            </w:pPr>
            <w:r>
              <w:rPr>
                <w:rFonts w:hint="eastAsia"/>
                <w:sz w:val="24"/>
                <w:szCs w:val="24"/>
              </w:rPr>
              <w:t>1</w:t>
            </w:r>
          </w:p>
        </w:tc>
      </w:tr>
      <w:tr w14:paraId="104B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57" w:type="pct"/>
            <w:vAlign w:val="center"/>
          </w:tcPr>
          <w:p w14:paraId="4ECBB300">
            <w:pPr>
              <w:jc w:val="center"/>
              <w:rPr>
                <w:szCs w:val="21"/>
              </w:rPr>
            </w:pPr>
            <w:r>
              <w:rPr>
                <w:rFonts w:hint="eastAsia"/>
                <w:szCs w:val="21"/>
              </w:rPr>
              <w:t>4</w:t>
            </w:r>
          </w:p>
        </w:tc>
        <w:tc>
          <w:tcPr>
            <w:tcW w:w="501" w:type="pct"/>
            <w:vAlign w:val="center"/>
          </w:tcPr>
          <w:p w14:paraId="12357B81">
            <w:pPr>
              <w:jc w:val="center"/>
              <w:rPr>
                <w:szCs w:val="21"/>
              </w:rPr>
            </w:pPr>
            <w:r>
              <w:rPr>
                <w:rFonts w:hint="eastAsia"/>
                <w:szCs w:val="21"/>
              </w:rPr>
              <w:t>培训</w:t>
            </w:r>
          </w:p>
        </w:tc>
        <w:tc>
          <w:tcPr>
            <w:tcW w:w="3752" w:type="pct"/>
            <w:vAlign w:val="center"/>
          </w:tcPr>
          <w:p w14:paraId="32C62760">
            <w:pPr>
              <w:rPr>
                <w:szCs w:val="21"/>
              </w:rPr>
            </w:pPr>
            <w:r>
              <w:rPr>
                <w:rFonts w:hint="eastAsia"/>
                <w:szCs w:val="21"/>
              </w:rPr>
              <w:t>负责对买方操作、维修人员进行培训</w:t>
            </w:r>
          </w:p>
        </w:tc>
        <w:tc>
          <w:tcPr>
            <w:tcW w:w="389" w:type="pct"/>
            <w:vAlign w:val="center"/>
          </w:tcPr>
          <w:p w14:paraId="1E711FD5">
            <w:pPr>
              <w:rPr>
                <w:sz w:val="24"/>
                <w:szCs w:val="24"/>
              </w:rPr>
            </w:pPr>
            <w:r>
              <w:rPr>
                <w:rFonts w:hint="eastAsia"/>
                <w:sz w:val="24"/>
                <w:szCs w:val="24"/>
              </w:rPr>
              <w:t>1</w:t>
            </w:r>
          </w:p>
        </w:tc>
      </w:tr>
    </w:tbl>
    <w:p w14:paraId="25F0D5C9">
      <w:pPr>
        <w:spacing w:line="360" w:lineRule="auto"/>
        <w:rPr>
          <w:rFonts w:ascii="黑体" w:hAnsi="黑体" w:eastAsia="黑体" w:cs="黑体"/>
          <w:sz w:val="24"/>
          <w:szCs w:val="24"/>
        </w:rPr>
      </w:pPr>
      <w:r>
        <w:rPr>
          <w:rFonts w:hint="eastAsia" w:ascii="黑体" w:hAnsi="黑体" w:eastAsia="黑体" w:cs="黑体"/>
          <w:sz w:val="24"/>
          <w:szCs w:val="24"/>
        </w:rPr>
        <w:t>二、一般界定</w:t>
      </w:r>
    </w:p>
    <w:p w14:paraId="02CB8EAA">
      <w:pPr>
        <w:spacing w:line="360" w:lineRule="auto"/>
        <w:rPr>
          <w:sz w:val="24"/>
          <w:szCs w:val="24"/>
        </w:rPr>
      </w:pPr>
      <w:r>
        <w:rPr>
          <w:rFonts w:hint="eastAsia"/>
          <w:sz w:val="24"/>
          <w:szCs w:val="24"/>
        </w:rPr>
        <w:t>1、供货范围包括本技术标书“采购货物概况” 所列及所要求的货物。</w:t>
      </w:r>
    </w:p>
    <w:p w14:paraId="229C9EBF">
      <w:pPr>
        <w:spacing w:line="360" w:lineRule="auto"/>
        <w:rPr>
          <w:sz w:val="24"/>
          <w:szCs w:val="24"/>
        </w:rPr>
      </w:pPr>
      <w:r>
        <w:rPr>
          <w:rFonts w:hint="eastAsia"/>
          <w:sz w:val="24"/>
          <w:szCs w:val="24"/>
        </w:rPr>
        <w:t>2、供货范围包括为保证货物（或生产线）正常安装、调试和验收完成及以前所必需的整套配件、附件及材料、油料、控制软件及程序或指令等。</w:t>
      </w:r>
    </w:p>
    <w:p w14:paraId="2863476F">
      <w:pPr>
        <w:spacing w:line="360" w:lineRule="auto"/>
        <w:rPr>
          <w:sz w:val="24"/>
          <w:szCs w:val="24"/>
        </w:rPr>
      </w:pPr>
      <w:r>
        <w:rPr>
          <w:rFonts w:hint="eastAsia"/>
          <w:sz w:val="24"/>
          <w:szCs w:val="24"/>
        </w:rPr>
        <w:t>如果终验收完成后，投标方有需要收回的配件、附件、材料、油料等，应当在投标档的技术偏离条款中，予以详细说明；否则视同包括在供货范围之内。</w:t>
      </w:r>
    </w:p>
    <w:p w14:paraId="36A8005C">
      <w:pPr>
        <w:spacing w:line="360" w:lineRule="auto"/>
        <w:rPr>
          <w:sz w:val="24"/>
          <w:szCs w:val="24"/>
        </w:rPr>
      </w:pPr>
      <w:r>
        <w:rPr>
          <w:rFonts w:hint="eastAsia"/>
          <w:sz w:val="24"/>
          <w:szCs w:val="24"/>
        </w:rPr>
        <w:t>3、供货范围包括货物（或生产线）维护维修所必需的专用工具。</w:t>
      </w:r>
    </w:p>
    <w:p w14:paraId="48523B70">
      <w:pPr>
        <w:spacing w:line="360" w:lineRule="auto"/>
        <w:rPr>
          <w:sz w:val="24"/>
          <w:szCs w:val="24"/>
        </w:rPr>
      </w:pPr>
      <w:r>
        <w:rPr>
          <w:rFonts w:hint="eastAsia"/>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FB1A5A1">
      <w:pPr>
        <w:spacing w:line="360" w:lineRule="auto"/>
        <w:rPr>
          <w:sz w:val="24"/>
          <w:szCs w:val="24"/>
        </w:rPr>
      </w:pPr>
      <w:r>
        <w:rPr>
          <w:rFonts w:hint="eastAsia"/>
          <w:sz w:val="24"/>
          <w:szCs w:val="24"/>
        </w:rPr>
        <w:t>如投标方难以提供或无优势提供以及属于选用配置的，则应当在投标档的技术偏离条款中，予以详细说明并注明投标报价未包含该部分的货值。</w:t>
      </w:r>
    </w:p>
    <w:p w14:paraId="788A584A">
      <w:pPr>
        <w:spacing w:line="360" w:lineRule="auto"/>
        <w:rPr>
          <w:sz w:val="24"/>
          <w:szCs w:val="24"/>
        </w:rPr>
      </w:pPr>
      <w:r>
        <w:rPr>
          <w:rFonts w:hint="eastAsia"/>
          <w:sz w:val="24"/>
          <w:szCs w:val="24"/>
        </w:rPr>
        <w:t>5、供货范围包括为保证货物（或生产线）自身正常运行所必需的、满足使用地点环境条件的通风、冷却、降温等必需设施。</w:t>
      </w:r>
    </w:p>
    <w:p w14:paraId="02ADA376">
      <w:pPr>
        <w:spacing w:line="360" w:lineRule="auto"/>
        <w:rPr>
          <w:sz w:val="24"/>
          <w:szCs w:val="24"/>
        </w:rPr>
      </w:pPr>
      <w:r>
        <w:rPr>
          <w:rFonts w:hint="eastAsia"/>
          <w:sz w:val="24"/>
          <w:szCs w:val="24"/>
        </w:rPr>
        <w:t>6、以“交钥匙”方式采购的货物，在满足技术标书本节上述要求之外，供货范围还包括如下界定（货物）：</w:t>
      </w:r>
    </w:p>
    <w:p w14:paraId="2C355E23">
      <w:pPr>
        <w:spacing w:line="360" w:lineRule="auto"/>
        <w:rPr>
          <w:sz w:val="24"/>
          <w:szCs w:val="24"/>
        </w:rPr>
      </w:pPr>
      <w:r>
        <w:rPr>
          <w:rFonts w:hint="eastAsia"/>
          <w:sz w:val="24"/>
          <w:szCs w:val="24"/>
        </w:rPr>
        <w:t>①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735C0BBE">
      <w:pPr>
        <w:spacing w:line="360" w:lineRule="auto"/>
        <w:rPr>
          <w:sz w:val="24"/>
          <w:szCs w:val="24"/>
        </w:rPr>
      </w:pPr>
      <w:r>
        <w:rPr>
          <w:rFonts w:hint="eastAsia"/>
          <w:sz w:val="24"/>
          <w:szCs w:val="24"/>
        </w:rPr>
        <w:t>② 供货范围包括货物（或生产线）正常运行所必需的全套连线设备、材料等。如货物端联接法兰外端面之内的、电气系统界面压线板（插座等）之内的设备、材料、联接螺栓、垫片等。</w:t>
      </w:r>
    </w:p>
    <w:p w14:paraId="34C6B01D">
      <w:pPr>
        <w:spacing w:line="360" w:lineRule="auto"/>
        <w:rPr>
          <w:sz w:val="24"/>
          <w:szCs w:val="24"/>
        </w:rPr>
      </w:pPr>
      <w:r>
        <w:rPr>
          <w:rFonts w:hint="eastAsia"/>
          <w:sz w:val="24"/>
          <w:szCs w:val="24"/>
        </w:rPr>
        <w:t>③ 供货范围包括货物（或生产线）正常运行、使用所需要的过桥、护栏、防护网、盖板等辅助设施。</w:t>
      </w:r>
    </w:p>
    <w:p w14:paraId="3F97BE56">
      <w:pPr>
        <w:spacing w:line="360" w:lineRule="auto"/>
        <w:rPr>
          <w:rFonts w:ascii="Times New Roman" w:hAnsi="Times New Roman" w:cs="Times New Roman"/>
          <w:color w:val="000000"/>
          <w:sz w:val="24"/>
          <w:szCs w:val="24"/>
        </w:rPr>
      </w:pPr>
      <w:r>
        <w:rPr>
          <w:rFonts w:hint="eastAsia"/>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cs="Times New Roman"/>
          <w:color w:val="000000"/>
          <w:sz w:val="24"/>
          <w:szCs w:val="24"/>
        </w:rPr>
        <w:t>。</w:t>
      </w:r>
    </w:p>
    <w:p w14:paraId="078FF703">
      <w:pPr>
        <w:spacing w:line="360" w:lineRule="auto"/>
        <w:rPr>
          <w:rFonts w:ascii="黑体" w:hAnsi="黑体" w:eastAsia="黑体" w:cs="黑体"/>
          <w:sz w:val="24"/>
          <w:szCs w:val="24"/>
        </w:rPr>
      </w:pPr>
      <w:r>
        <w:rPr>
          <w:rFonts w:hint="eastAsia" w:ascii="黑体" w:hAnsi="黑体" w:eastAsia="黑体" w:cs="黑体"/>
          <w:sz w:val="24"/>
          <w:szCs w:val="24"/>
        </w:rPr>
        <w:t>三、备品备件、易损件和专用耗材供货范围</w:t>
      </w:r>
    </w:p>
    <w:p w14:paraId="7B7537CB">
      <w:pPr>
        <w:spacing w:line="360" w:lineRule="auto"/>
        <w:rPr>
          <w:sz w:val="24"/>
          <w:szCs w:val="24"/>
        </w:rPr>
      </w:pPr>
      <w:r>
        <w:rPr>
          <w:rFonts w:hint="eastAsia"/>
          <w:sz w:val="24"/>
          <w:szCs w:val="24"/>
        </w:rPr>
        <w:t>1、招标方招标档所指备品备件、易损件和专用耗材，是招标方为保证设备终验收前正常运行所用的备品备件、易损件和专用耗材；</w:t>
      </w:r>
    </w:p>
    <w:p w14:paraId="3EA2CFCC">
      <w:pPr>
        <w:spacing w:line="360" w:lineRule="auto"/>
        <w:rPr>
          <w:sz w:val="24"/>
          <w:szCs w:val="24"/>
        </w:rPr>
      </w:pPr>
      <w:r>
        <w:rPr>
          <w:rFonts w:hint="eastAsia"/>
          <w:sz w:val="24"/>
          <w:szCs w:val="24"/>
        </w:rPr>
        <w:t>2、投标方应提供设备维修所必需的专用工具，并附详细清单（包括名称、型号、规格、单位、数量、生产厂家、单价、总价等条目）；</w:t>
      </w:r>
    </w:p>
    <w:p w14:paraId="4419178A">
      <w:pPr>
        <w:spacing w:line="360" w:lineRule="auto"/>
        <w:rPr>
          <w:sz w:val="24"/>
          <w:szCs w:val="24"/>
        </w:rPr>
      </w:pPr>
      <w:r>
        <w:rPr>
          <w:rFonts w:hint="eastAsia"/>
          <w:sz w:val="24"/>
          <w:szCs w:val="24"/>
        </w:rPr>
        <w:t>3、投标方应提供易损件和专用耗材的制造图纸及其技术要求等资料；</w:t>
      </w:r>
    </w:p>
    <w:p w14:paraId="3A406A46">
      <w:pPr>
        <w:spacing w:line="360" w:lineRule="auto"/>
        <w:rPr>
          <w:sz w:val="24"/>
          <w:szCs w:val="24"/>
        </w:rPr>
      </w:pPr>
      <w:r>
        <w:rPr>
          <w:sz w:val="24"/>
          <w:szCs w:val="24"/>
        </w:rPr>
        <w:t>4</w:t>
      </w:r>
      <w:r>
        <w:rPr>
          <w:rFonts w:hint="eastAsia"/>
          <w:sz w:val="24"/>
          <w:szCs w:val="24"/>
        </w:rPr>
        <w:t>、备品备件、易损件和专用耗材，其费用应分类单列，并计入投标总报价之内。</w:t>
      </w:r>
    </w:p>
    <w:p w14:paraId="431C47FD">
      <w:pPr>
        <w:spacing w:line="360" w:lineRule="auto"/>
        <w:rPr>
          <w:rFonts w:ascii="黑体" w:hAnsi="黑体" w:eastAsia="黑体" w:cs="黑体"/>
          <w:sz w:val="24"/>
          <w:szCs w:val="24"/>
        </w:rPr>
      </w:pPr>
      <w:r>
        <w:rPr>
          <w:rFonts w:hint="eastAsia" w:ascii="黑体" w:hAnsi="黑体" w:eastAsia="黑体" w:cs="黑体"/>
          <w:sz w:val="24"/>
          <w:szCs w:val="24"/>
        </w:rPr>
        <w:t>四、技术资料供货范围</w:t>
      </w:r>
    </w:p>
    <w:p w14:paraId="15CA33D1">
      <w:pPr>
        <w:spacing w:line="360" w:lineRule="auto"/>
        <w:rPr>
          <w:sz w:val="24"/>
          <w:szCs w:val="24"/>
        </w:rPr>
      </w:pPr>
      <w:r>
        <w:rPr>
          <w:rFonts w:hint="eastAsia"/>
          <w:sz w:val="24"/>
          <w:szCs w:val="24"/>
        </w:rPr>
        <w:t>1、在终验收前，提供确定的维修所需要且招标方可以自行采购的外购件、外协件、电气元件及主要原材料的供货厂家明细表。</w:t>
      </w:r>
    </w:p>
    <w:p w14:paraId="2B847690">
      <w:pPr>
        <w:spacing w:line="360" w:lineRule="auto"/>
        <w:rPr>
          <w:sz w:val="24"/>
          <w:szCs w:val="24"/>
        </w:rPr>
      </w:pPr>
      <w:r>
        <w:rPr>
          <w:rFonts w:hint="eastAsia"/>
          <w:sz w:val="24"/>
          <w:szCs w:val="24"/>
        </w:rPr>
        <w:t>2、在终验收后、终验收后的第一笔货款支付日之前，提供包括货物的备品备件、易损件和专用耗材的图纸及技术参数、技术要求等资料。</w:t>
      </w:r>
    </w:p>
    <w:p w14:paraId="737E971D">
      <w:pPr>
        <w:spacing w:line="360" w:lineRule="auto"/>
        <w:rPr>
          <w:sz w:val="24"/>
          <w:szCs w:val="24"/>
        </w:rPr>
      </w:pPr>
      <w:r>
        <w:rPr>
          <w:rFonts w:hint="eastAsia"/>
          <w:sz w:val="24"/>
          <w:szCs w:val="24"/>
        </w:rPr>
        <w:t>3、在终验收后、终验收后的第一笔货款支付日之前，提供关于采购货物的使用说明书、合格证等技术资料。</w:t>
      </w:r>
    </w:p>
    <w:p w14:paraId="6E29B52D">
      <w:pPr>
        <w:spacing w:line="360" w:lineRule="auto"/>
        <w:rPr>
          <w:sz w:val="24"/>
          <w:szCs w:val="24"/>
        </w:rPr>
      </w:pPr>
      <w:r>
        <w:rPr>
          <w:rFonts w:hint="eastAsia"/>
          <w:sz w:val="24"/>
          <w:szCs w:val="24"/>
        </w:rPr>
        <w:t>4、在终验收后、终验收后的第一笔货款支付日之前，提供关于采购货物（或生产线）的电气资料（包括接线图、原理图、布线图、梯形图等）。</w:t>
      </w:r>
    </w:p>
    <w:p w14:paraId="48BCDAB0">
      <w:pPr>
        <w:spacing w:line="360" w:lineRule="auto"/>
        <w:rPr>
          <w:sz w:val="24"/>
          <w:szCs w:val="24"/>
        </w:rPr>
      </w:pPr>
      <w:r>
        <w:rPr>
          <w:rFonts w:hint="eastAsia"/>
          <w:sz w:val="24"/>
          <w:szCs w:val="24"/>
        </w:rPr>
        <w:t>5、本条款所列的技术资料、图片等，投标方应各</w:t>
      </w:r>
      <w:r>
        <w:rPr>
          <w:rFonts w:hint="eastAsia"/>
          <w:color w:val="000000"/>
          <w:sz w:val="24"/>
          <w:szCs w:val="24"/>
        </w:rPr>
        <w:t>提供2套，其中1套</w:t>
      </w:r>
      <w:r>
        <w:rPr>
          <w:rFonts w:hint="eastAsia"/>
          <w:sz w:val="24"/>
          <w:szCs w:val="24"/>
        </w:rPr>
        <w:t>为电子版；每份技术档应装有目录清单，电子版及纸板内容编排一致，方便查阅。</w:t>
      </w:r>
    </w:p>
    <w:p w14:paraId="2CCF407E">
      <w:pPr>
        <w:spacing w:line="360" w:lineRule="auto"/>
        <w:rPr>
          <w:rFonts w:ascii="Times New Roman" w:hAnsi="Times New Roman" w:cs="Times New Roman"/>
          <w:color w:val="000000"/>
          <w:sz w:val="24"/>
          <w:szCs w:val="24"/>
        </w:rPr>
      </w:pPr>
      <w:r>
        <w:rPr>
          <w:rFonts w:hint="eastAsia"/>
          <w:sz w:val="24"/>
          <w:szCs w:val="24"/>
        </w:rPr>
        <w:t>6、本条款所列要求，如招标方认为投标方提供的资料不能满足要求时，有权要求投标方免费补充或增加。</w:t>
      </w:r>
    </w:p>
    <w:p w14:paraId="52054302">
      <w:pPr>
        <w:spacing w:line="360" w:lineRule="auto"/>
        <w:rPr>
          <w:rFonts w:ascii="黑体" w:hAnsi="黑体" w:eastAsia="黑体" w:cs="黑体"/>
          <w:sz w:val="24"/>
          <w:szCs w:val="24"/>
        </w:rPr>
      </w:pPr>
      <w:r>
        <w:rPr>
          <w:rFonts w:hint="eastAsia" w:ascii="黑体" w:hAnsi="黑体" w:eastAsia="黑体" w:cs="黑体"/>
          <w:sz w:val="24"/>
          <w:szCs w:val="24"/>
        </w:rPr>
        <w:t>五、供货范围特别提示</w:t>
      </w:r>
    </w:p>
    <w:p w14:paraId="0F8AA532">
      <w:pPr>
        <w:spacing w:line="360" w:lineRule="auto"/>
        <w:rPr>
          <w:sz w:val="24"/>
          <w:szCs w:val="24"/>
        </w:rPr>
      </w:pPr>
      <w:r>
        <w:rPr>
          <w:sz w:val="24"/>
          <w:szCs w:val="24"/>
        </w:rPr>
        <w:t>如果投标方认为本节所列的供货范围难以满足，则仍需要按照本要求提供，但该部分货物应当在投标报价中单独列明货物名称及质量、货值。</w:t>
      </w:r>
    </w:p>
    <w:p w14:paraId="17F7696B">
      <w:pPr>
        <w:spacing w:before="120" w:after="120" w:line="360" w:lineRule="auto"/>
        <w:jc w:val="center"/>
        <w:rPr>
          <w:rFonts w:ascii="黑体" w:hAnsi="黑体" w:eastAsia="黑体" w:cs="黑体"/>
          <w:sz w:val="24"/>
          <w:szCs w:val="24"/>
        </w:rPr>
      </w:pPr>
      <w:r>
        <w:rPr>
          <w:rFonts w:hint="eastAsia" w:ascii="黑体" w:hAnsi="黑体" w:eastAsia="黑体" w:cs="黑体"/>
          <w:sz w:val="24"/>
          <w:szCs w:val="24"/>
        </w:rPr>
        <w:t>第二节  供货方式</w:t>
      </w:r>
    </w:p>
    <w:p w14:paraId="25AD4E21">
      <w:pPr>
        <w:spacing w:line="360" w:lineRule="auto"/>
        <w:rPr>
          <w:rFonts w:ascii="黑体" w:hAnsi="黑体" w:eastAsia="黑体" w:cs="黑体"/>
          <w:sz w:val="24"/>
          <w:szCs w:val="24"/>
        </w:rPr>
      </w:pPr>
      <w:r>
        <w:rPr>
          <w:rFonts w:hint="eastAsia" w:ascii="黑体" w:hAnsi="黑体" w:eastAsia="黑体" w:cs="黑体"/>
          <w:sz w:val="24"/>
          <w:szCs w:val="24"/>
        </w:rPr>
        <w:t>一、供货方式</w:t>
      </w:r>
    </w:p>
    <w:p w14:paraId="2D51058F">
      <w:pPr>
        <w:spacing w:line="360" w:lineRule="auto"/>
        <w:ind w:firstLine="420"/>
        <w:rPr>
          <w:sz w:val="24"/>
          <w:szCs w:val="24"/>
        </w:rPr>
      </w:pPr>
      <w:r>
        <w:rPr>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FB8E726">
      <w:pPr>
        <w:spacing w:line="360" w:lineRule="auto"/>
        <w:rPr>
          <w:rFonts w:ascii="黑体" w:hAnsi="黑体" w:eastAsia="黑体" w:cs="黑体"/>
          <w:sz w:val="24"/>
          <w:szCs w:val="24"/>
        </w:rPr>
      </w:pPr>
      <w:r>
        <w:rPr>
          <w:rFonts w:hint="eastAsia" w:ascii="黑体" w:hAnsi="黑体" w:eastAsia="黑体" w:cs="黑体"/>
          <w:sz w:val="24"/>
          <w:szCs w:val="24"/>
        </w:rPr>
        <w:t>二、供货地点</w:t>
      </w:r>
    </w:p>
    <w:p w14:paraId="09C06A41">
      <w:pPr>
        <w:spacing w:line="360" w:lineRule="auto"/>
        <w:rPr>
          <w:sz w:val="24"/>
          <w:szCs w:val="24"/>
        </w:rPr>
      </w:pPr>
      <w:r>
        <w:rPr>
          <w:rFonts w:hint="eastAsia"/>
          <w:sz w:val="24"/>
          <w:szCs w:val="24"/>
        </w:rPr>
        <w:t>中国重汽集团杭州发动机有限公司</w:t>
      </w:r>
      <w:r>
        <w:rPr>
          <w:sz w:val="24"/>
          <w:szCs w:val="24"/>
        </w:rPr>
        <w:t>。</w:t>
      </w:r>
    </w:p>
    <w:p w14:paraId="341A86C8">
      <w:pPr>
        <w:spacing w:line="360" w:lineRule="auto"/>
        <w:rPr>
          <w:rFonts w:ascii="黑体" w:hAnsi="黑体" w:eastAsia="黑体" w:cs="黑体"/>
          <w:sz w:val="24"/>
          <w:szCs w:val="24"/>
        </w:rPr>
      </w:pPr>
      <w:r>
        <w:rPr>
          <w:rFonts w:hint="eastAsia" w:ascii="黑体" w:hAnsi="黑体" w:eastAsia="黑体" w:cs="黑体"/>
          <w:sz w:val="24"/>
          <w:szCs w:val="24"/>
        </w:rPr>
        <w:t>三、供货时间：</w:t>
      </w:r>
    </w:p>
    <w:p w14:paraId="160C3FBF">
      <w:pPr>
        <w:spacing w:line="360" w:lineRule="auto"/>
        <w:rPr>
          <w:sz w:val="24"/>
          <w:szCs w:val="24"/>
        </w:rPr>
      </w:pPr>
      <w:r>
        <w:rPr>
          <w:rFonts w:hint="eastAsia"/>
          <w:sz w:val="24"/>
          <w:szCs w:val="24"/>
        </w:rPr>
        <w:t>自合同签定生效之日起，</w:t>
      </w:r>
      <w:r>
        <w:rPr>
          <w:rFonts w:hint="eastAsia"/>
          <w:sz w:val="24"/>
          <w:szCs w:val="24"/>
          <w:u w:val="single"/>
        </w:rPr>
        <w:t>25</w:t>
      </w:r>
      <w:r>
        <w:rPr>
          <w:rFonts w:hint="eastAsia"/>
          <w:sz w:val="24"/>
          <w:szCs w:val="24"/>
        </w:rPr>
        <w:t>个日历日之内交货至供货地点。</w:t>
      </w:r>
    </w:p>
    <w:p w14:paraId="7057D3C0">
      <w:pPr>
        <w:spacing w:line="360" w:lineRule="auto"/>
        <w:rPr>
          <w:sz w:val="24"/>
          <w:szCs w:val="24"/>
        </w:rPr>
      </w:pPr>
      <w:r>
        <w:rPr>
          <w:rFonts w:hint="eastAsia"/>
          <w:sz w:val="24"/>
          <w:szCs w:val="24"/>
        </w:rPr>
        <w:t>接续</w:t>
      </w:r>
      <w:r>
        <w:rPr>
          <w:rFonts w:hint="eastAsia"/>
          <w:sz w:val="24"/>
          <w:szCs w:val="24"/>
          <w:u w:val="single"/>
        </w:rPr>
        <w:t>10</w:t>
      </w:r>
      <w:r>
        <w:rPr>
          <w:rFonts w:hint="eastAsia"/>
          <w:sz w:val="24"/>
          <w:szCs w:val="24"/>
        </w:rPr>
        <w:t>个日历日之内安装调试完毕。</w:t>
      </w:r>
    </w:p>
    <w:p w14:paraId="0208C035">
      <w:pPr>
        <w:spacing w:line="360" w:lineRule="auto"/>
        <w:rPr>
          <w:sz w:val="24"/>
          <w:szCs w:val="24"/>
        </w:rPr>
      </w:pPr>
      <w:r>
        <w:rPr>
          <w:rFonts w:hint="eastAsia"/>
          <w:sz w:val="24"/>
          <w:szCs w:val="24"/>
        </w:rPr>
        <w:t>接续</w:t>
      </w:r>
      <w:r>
        <w:rPr>
          <w:rFonts w:hint="eastAsia"/>
          <w:sz w:val="24"/>
          <w:szCs w:val="24"/>
          <w:u w:val="single"/>
        </w:rPr>
        <w:t xml:space="preserve"> 30</w:t>
      </w:r>
      <w:r>
        <w:rPr>
          <w:rFonts w:hint="eastAsia"/>
          <w:sz w:val="24"/>
          <w:szCs w:val="24"/>
        </w:rPr>
        <w:t>个日历日之内完成终验收。</w:t>
      </w:r>
    </w:p>
    <w:p w14:paraId="26E97F55">
      <w:pPr>
        <w:spacing w:line="360" w:lineRule="auto"/>
        <w:rPr>
          <w:sz w:val="24"/>
          <w:szCs w:val="24"/>
        </w:rPr>
      </w:pPr>
      <w:r>
        <w:rPr>
          <w:rFonts w:hint="eastAsia"/>
          <w:sz w:val="24"/>
          <w:szCs w:val="24"/>
        </w:rPr>
        <w:t>安装调试工期超过规定时间的，投标人应当随标书提供详细的工期计划。</w:t>
      </w:r>
    </w:p>
    <w:p w14:paraId="6AE015BB">
      <w:pPr>
        <w:spacing w:line="360" w:lineRule="auto"/>
        <w:rPr>
          <w:rFonts w:ascii="黑体" w:hAnsi="黑体" w:eastAsia="黑体" w:cs="黑体"/>
          <w:sz w:val="24"/>
          <w:szCs w:val="24"/>
        </w:rPr>
      </w:pPr>
      <w:r>
        <w:rPr>
          <w:rFonts w:hint="eastAsia" w:ascii="黑体" w:hAnsi="黑体" w:eastAsia="黑体" w:cs="黑体"/>
          <w:sz w:val="24"/>
          <w:szCs w:val="24"/>
        </w:rPr>
        <w:t>四、包装</w:t>
      </w:r>
    </w:p>
    <w:p w14:paraId="292712E3">
      <w:pPr>
        <w:spacing w:line="360" w:lineRule="auto"/>
        <w:rPr>
          <w:sz w:val="24"/>
          <w:szCs w:val="24"/>
        </w:rPr>
      </w:pPr>
      <w:r>
        <w:rPr>
          <w:sz w:val="24"/>
          <w:szCs w:val="24"/>
        </w:rPr>
        <w:t>1、所提供货物（或设备）的包装，应遵照国家标准和有关包装、包皮的技术条件，或按照最好的商业惯例进行包装。</w:t>
      </w:r>
    </w:p>
    <w:p w14:paraId="19FEEB24">
      <w:pPr>
        <w:spacing w:line="360" w:lineRule="auto"/>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14:paraId="6D3DEE86">
      <w:pPr>
        <w:spacing w:line="360" w:lineRule="auto"/>
        <w:rPr>
          <w:sz w:val="24"/>
          <w:szCs w:val="24"/>
        </w:rPr>
      </w:pPr>
      <w:r>
        <w:rPr>
          <w:sz w:val="24"/>
          <w:szCs w:val="24"/>
        </w:rPr>
        <w:t>3、所提供货物（或设备）的包装，应能防止其一般性被窃或受外力破坏；一般不得采用有大缝隙的板条包装。</w:t>
      </w:r>
    </w:p>
    <w:p w14:paraId="131F1627">
      <w:pPr>
        <w:spacing w:line="360" w:lineRule="auto"/>
        <w:rPr>
          <w:sz w:val="24"/>
          <w:szCs w:val="24"/>
        </w:rPr>
      </w:pPr>
      <w:r>
        <w:rPr>
          <w:sz w:val="24"/>
          <w:szCs w:val="24"/>
        </w:rPr>
        <w:t>4、应对包装件做必要的加固和固定，以防止运输可能造成的损坏。</w:t>
      </w:r>
    </w:p>
    <w:p w14:paraId="7E1EDCCE">
      <w:pPr>
        <w:spacing w:line="360" w:lineRule="auto"/>
        <w:rPr>
          <w:sz w:val="24"/>
          <w:szCs w:val="24"/>
        </w:rPr>
      </w:pPr>
      <w:r>
        <w:rPr>
          <w:sz w:val="24"/>
          <w:szCs w:val="24"/>
        </w:rPr>
        <w:t>5、每个包装件应有装箱单，并至少标明名称、型号规格、数量、净重和毛重、投标方（或供货商）名称和制造日期等相关内容。</w:t>
      </w:r>
    </w:p>
    <w:p w14:paraId="1585D6D5">
      <w:pPr>
        <w:spacing w:line="360" w:lineRule="auto"/>
        <w:rPr>
          <w:sz w:val="24"/>
          <w:szCs w:val="24"/>
        </w:rPr>
      </w:pPr>
      <w:r>
        <w:rPr>
          <w:sz w:val="24"/>
          <w:szCs w:val="24"/>
        </w:rPr>
        <w:t>6、每个包装箱应有明显标志，并具有中文书写的合同号、装运标志、发货和到货地点名称、发货人和收货人名称、货物名称和项目号、箱号和外型尺寸等内容。</w:t>
      </w:r>
    </w:p>
    <w:p w14:paraId="63136607">
      <w:pPr>
        <w:spacing w:line="360" w:lineRule="auto"/>
        <w:rPr>
          <w:sz w:val="24"/>
          <w:szCs w:val="24"/>
        </w:rPr>
      </w:pPr>
      <w:r>
        <w:rPr>
          <w:sz w:val="24"/>
          <w:szCs w:val="24"/>
        </w:rPr>
        <w:t>7、应按照不同的装运要求在包装箱上标明“小心轻放”、“箭头向上”、“防潮”、“防磁”、“不准平放”等标志，以及其他适用的国标通用标志。</w:t>
      </w:r>
    </w:p>
    <w:p w14:paraId="3F52C911">
      <w:pPr>
        <w:spacing w:line="360" w:lineRule="auto"/>
        <w:rPr>
          <w:sz w:val="24"/>
          <w:szCs w:val="24"/>
        </w:rPr>
      </w:pPr>
      <w:r>
        <w:rPr>
          <w:sz w:val="24"/>
          <w:szCs w:val="24"/>
        </w:rPr>
        <w:t>8、包装箱应连续编号，不应出现重复编号。</w:t>
      </w:r>
    </w:p>
    <w:p w14:paraId="49A04664">
      <w:pPr>
        <w:spacing w:line="360" w:lineRule="auto"/>
        <w:rPr>
          <w:sz w:val="24"/>
          <w:szCs w:val="24"/>
        </w:rPr>
      </w:pPr>
      <w:r>
        <w:rPr>
          <w:sz w:val="24"/>
          <w:szCs w:val="24"/>
        </w:rPr>
        <w:t>9、在不受到外界破坏情况下，包装应保证自交货日起一年内货物（或设备）完好无损。</w:t>
      </w:r>
    </w:p>
    <w:p w14:paraId="79941224">
      <w:pPr>
        <w:spacing w:line="360" w:lineRule="auto"/>
        <w:rPr>
          <w:rFonts w:ascii="黑体" w:hAnsi="黑体" w:eastAsia="黑体" w:cs="黑体"/>
          <w:sz w:val="24"/>
          <w:szCs w:val="24"/>
        </w:rPr>
      </w:pPr>
      <w:r>
        <w:rPr>
          <w:rFonts w:hint="eastAsia" w:ascii="黑体" w:hAnsi="黑体" w:eastAsia="黑体" w:cs="黑体"/>
          <w:sz w:val="24"/>
          <w:szCs w:val="24"/>
        </w:rPr>
        <w:t>五、运输</w:t>
      </w:r>
    </w:p>
    <w:p w14:paraId="2569FE1C">
      <w:pPr>
        <w:spacing w:line="360" w:lineRule="auto"/>
        <w:rPr>
          <w:sz w:val="24"/>
          <w:szCs w:val="24"/>
        </w:rPr>
      </w:pPr>
      <w:r>
        <w:rPr>
          <w:sz w:val="24"/>
          <w:szCs w:val="24"/>
        </w:rPr>
        <w:t>1、应负责将货物（或设备）运到目的地，并必须做到货物（或设备）在任何运输过程中不受损坏和遗失。</w:t>
      </w:r>
    </w:p>
    <w:p w14:paraId="66EDB2B8">
      <w:pPr>
        <w:spacing w:line="360" w:lineRule="auto"/>
        <w:rPr>
          <w:sz w:val="24"/>
          <w:szCs w:val="24"/>
        </w:rPr>
      </w:pPr>
      <w:r>
        <w:rPr>
          <w:sz w:val="24"/>
          <w:szCs w:val="24"/>
        </w:rPr>
        <w:t>2、一般情况下，经由铁路、公路运输的包装件尺寸和重量不应超过国家所规定的尺寸限制。特殊情况应予以说明。</w:t>
      </w:r>
    </w:p>
    <w:p w14:paraId="5EE6106B">
      <w:pPr>
        <w:spacing w:line="360" w:lineRule="auto"/>
        <w:rPr>
          <w:sz w:val="24"/>
          <w:szCs w:val="24"/>
        </w:rPr>
      </w:pPr>
      <w:r>
        <w:rPr>
          <w:sz w:val="24"/>
          <w:szCs w:val="24"/>
        </w:rPr>
        <w:t>3、在每批货物（或设备）发出后，应立即通知买方；通知中应指明：合同号、货运单号、件数、重量和货物（或设备）发出日期等相关内容。</w:t>
      </w:r>
    </w:p>
    <w:p w14:paraId="7074930E">
      <w:pPr>
        <w:spacing w:line="360" w:lineRule="auto"/>
        <w:rPr>
          <w:sz w:val="24"/>
          <w:szCs w:val="24"/>
        </w:rPr>
      </w:pPr>
      <w:r>
        <w:rPr>
          <w:sz w:val="24"/>
          <w:szCs w:val="24"/>
        </w:rPr>
        <w:t>4、货物（或设备）运抵交货地点后，应负责货物（或设备）的卸货、搬运、保管等事宜；或按照合同约定。</w:t>
      </w:r>
    </w:p>
    <w:p w14:paraId="64E0AE43">
      <w:pPr>
        <w:spacing w:before="120" w:after="120" w:line="360" w:lineRule="auto"/>
        <w:jc w:val="center"/>
        <w:rPr>
          <w:b/>
          <w:bCs/>
          <w:sz w:val="28"/>
          <w:szCs w:val="28"/>
        </w:rPr>
      </w:pPr>
      <w:r>
        <w:rPr>
          <w:rFonts w:hint="eastAsia"/>
          <w:b/>
          <w:bCs/>
          <w:sz w:val="28"/>
          <w:szCs w:val="28"/>
        </w:rPr>
        <w:t>第四章  质保期及售后服务</w:t>
      </w:r>
    </w:p>
    <w:p w14:paraId="273BDDA5">
      <w:pPr>
        <w:spacing w:line="360" w:lineRule="auto"/>
        <w:rPr>
          <w:rFonts w:ascii="黑体" w:hAnsi="黑体" w:eastAsia="黑体" w:cs="黑体"/>
          <w:sz w:val="24"/>
          <w:szCs w:val="24"/>
        </w:rPr>
      </w:pPr>
      <w:r>
        <w:rPr>
          <w:rFonts w:hint="eastAsia" w:ascii="黑体" w:hAnsi="黑体" w:eastAsia="黑体" w:cs="黑体"/>
          <w:sz w:val="24"/>
          <w:szCs w:val="24"/>
        </w:rPr>
        <w:t>一、质保期及质保要求</w:t>
      </w:r>
    </w:p>
    <w:p w14:paraId="429B58FB">
      <w:pPr>
        <w:spacing w:line="360" w:lineRule="auto"/>
        <w:rPr>
          <w:sz w:val="24"/>
          <w:szCs w:val="24"/>
        </w:rPr>
      </w:pPr>
      <w:r>
        <w:rPr>
          <w:sz w:val="24"/>
          <w:szCs w:val="24"/>
        </w:rPr>
        <w:t>1、全部供货范围内的设备、材料、零配件和工器具等，除合同特别约定外，其质保期均自终验收签字生效之日起</w:t>
      </w:r>
      <w:r>
        <w:rPr>
          <w:rFonts w:hint="eastAsia"/>
          <w:sz w:val="24"/>
          <w:szCs w:val="24"/>
          <w:u w:val="single"/>
        </w:rPr>
        <w:t xml:space="preserve"> </w:t>
      </w:r>
      <w:r>
        <w:rPr>
          <w:sz w:val="24"/>
          <w:szCs w:val="24"/>
          <w:u w:val="single"/>
        </w:rPr>
        <w:t>12</w:t>
      </w:r>
      <w:r>
        <w:rPr>
          <w:rFonts w:hint="eastAsia"/>
          <w:sz w:val="24"/>
          <w:szCs w:val="24"/>
          <w:u w:val="single"/>
        </w:rPr>
        <w:t xml:space="preserve"> </w:t>
      </w:r>
      <w:r>
        <w:rPr>
          <w:sz w:val="24"/>
          <w:szCs w:val="24"/>
        </w:rPr>
        <w:t>个月。</w:t>
      </w:r>
    </w:p>
    <w:p w14:paraId="2F6DFC1B">
      <w:pPr>
        <w:spacing w:line="360" w:lineRule="auto"/>
        <w:rPr>
          <w:sz w:val="24"/>
          <w:szCs w:val="24"/>
        </w:rPr>
      </w:pPr>
      <w:r>
        <w:rPr>
          <w:sz w:val="24"/>
          <w:szCs w:val="24"/>
        </w:rPr>
        <w:t>投标货物或涉及的关键总成和零件，如果有更长时间质保期，允许更改并说明，此将有利于投标方。设计使用寿命短于质保期的易损件除外，但属于易损件的，应当有明确说明。</w:t>
      </w:r>
    </w:p>
    <w:p w14:paraId="6C92CBB0">
      <w:pPr>
        <w:spacing w:line="360" w:lineRule="auto"/>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14:paraId="719E4ACC">
      <w:pPr>
        <w:spacing w:line="360" w:lineRule="auto"/>
        <w:rPr>
          <w:sz w:val="24"/>
          <w:szCs w:val="24"/>
        </w:rPr>
      </w:pPr>
      <w:r>
        <w:rPr>
          <w:sz w:val="24"/>
          <w:szCs w:val="24"/>
        </w:rPr>
        <w:t>3、质保期内免费提供零部件和及时有效的服务。质保期内因货物本身缺陷造成的各种故障，卖方应负责免费维修和服务。</w:t>
      </w:r>
    </w:p>
    <w:p w14:paraId="2AFD4B9F">
      <w:pPr>
        <w:spacing w:line="360" w:lineRule="auto"/>
        <w:rPr>
          <w:sz w:val="24"/>
          <w:szCs w:val="24"/>
        </w:rPr>
      </w:pPr>
      <w:r>
        <w:rPr>
          <w:sz w:val="24"/>
          <w:szCs w:val="24"/>
        </w:rPr>
        <w:t>4、质保期终止之日起一年内重复出现的质保期之内出现的故障，仍属质保范围而且应当免费。</w:t>
      </w:r>
    </w:p>
    <w:p w14:paraId="279D0C25">
      <w:pPr>
        <w:spacing w:line="360" w:lineRule="auto"/>
        <w:rPr>
          <w:rFonts w:ascii="黑体" w:hAnsi="黑体" w:eastAsia="黑体" w:cs="黑体"/>
          <w:sz w:val="24"/>
          <w:szCs w:val="24"/>
        </w:rPr>
      </w:pPr>
      <w:r>
        <w:rPr>
          <w:rFonts w:hint="eastAsia" w:ascii="黑体" w:hAnsi="黑体" w:eastAsia="黑体" w:cs="黑体"/>
          <w:sz w:val="24"/>
          <w:szCs w:val="24"/>
        </w:rPr>
        <w:t>二、技术及培训服务</w:t>
      </w:r>
    </w:p>
    <w:p w14:paraId="390D5C83">
      <w:pPr>
        <w:spacing w:line="360" w:lineRule="auto"/>
        <w:rPr>
          <w:sz w:val="24"/>
          <w:szCs w:val="24"/>
        </w:rPr>
      </w:pPr>
      <w:r>
        <w:rPr>
          <w:sz w:val="24"/>
          <w:szCs w:val="24"/>
        </w:rPr>
        <w:t>1</w:t>
      </w:r>
      <w:r>
        <w:rPr>
          <w:rFonts w:hint="eastAsia"/>
          <w:sz w:val="24"/>
          <w:szCs w:val="24"/>
        </w:rPr>
        <w:t>、应负责在买方货物使用现场，对技术、维修和操作人员提供免费的理论、技术和操作、维修等方面的技术指导和培训，并接受买方有关人员的技术咨询。培训工作日不少于</w:t>
      </w:r>
      <w:r>
        <w:rPr>
          <w:sz w:val="24"/>
          <w:szCs w:val="24"/>
          <w:u w:val="single"/>
        </w:rPr>
        <w:t>1</w:t>
      </w:r>
      <w:r>
        <w:rPr>
          <w:rFonts w:hint="eastAsia"/>
          <w:sz w:val="24"/>
          <w:szCs w:val="24"/>
        </w:rPr>
        <w:t>个工作日。</w:t>
      </w:r>
    </w:p>
    <w:p w14:paraId="6F09ED05">
      <w:pPr>
        <w:spacing w:line="360" w:lineRule="auto"/>
        <w:rPr>
          <w:sz w:val="24"/>
          <w:szCs w:val="24"/>
        </w:rPr>
      </w:pPr>
      <w:r>
        <w:rPr>
          <w:sz w:val="24"/>
          <w:szCs w:val="24"/>
        </w:rPr>
        <w:t>2、应免费提供一定数量的培训资料。</w:t>
      </w:r>
    </w:p>
    <w:p w14:paraId="275B679C">
      <w:pPr>
        <w:spacing w:line="360" w:lineRule="auto"/>
        <w:rPr>
          <w:sz w:val="24"/>
          <w:szCs w:val="24"/>
        </w:rPr>
      </w:pPr>
      <w:r>
        <w:rPr>
          <w:sz w:val="24"/>
          <w:szCs w:val="24"/>
        </w:rPr>
        <w:t>3、应按要求免费积极协助和提供买方以及买方所委托的工程设计单位有关人员所需要的、与货物有关的工程设计资料、技术咨询等。</w:t>
      </w:r>
    </w:p>
    <w:p w14:paraId="160F38B4">
      <w:pPr>
        <w:spacing w:line="360" w:lineRule="auto"/>
        <w:rPr>
          <w:sz w:val="24"/>
          <w:szCs w:val="24"/>
        </w:rPr>
      </w:pPr>
      <w:r>
        <w:rPr>
          <w:sz w:val="24"/>
          <w:szCs w:val="24"/>
        </w:rPr>
        <w:t>4、若卖方提供货物涉及到外购外协货物、而且该货物的技术质量等较为关键时，卖方应能保证得到配套厂家的技术支持，并免费为买方提供技术服务。</w:t>
      </w:r>
    </w:p>
    <w:p w14:paraId="1BEFACF9">
      <w:pPr>
        <w:spacing w:line="360" w:lineRule="auto"/>
        <w:rPr>
          <w:sz w:val="24"/>
          <w:szCs w:val="24"/>
        </w:rPr>
      </w:pPr>
      <w:r>
        <w:rPr>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1AA70D9">
      <w:pPr>
        <w:spacing w:line="360" w:lineRule="auto"/>
        <w:rPr>
          <w:rFonts w:ascii="黑体" w:hAnsi="黑体" w:eastAsia="黑体" w:cs="黑体"/>
          <w:sz w:val="24"/>
          <w:szCs w:val="24"/>
        </w:rPr>
      </w:pPr>
      <w:r>
        <w:rPr>
          <w:rFonts w:hint="eastAsia" w:ascii="黑体" w:hAnsi="黑体" w:eastAsia="黑体" w:cs="黑体"/>
          <w:sz w:val="24"/>
          <w:szCs w:val="24"/>
        </w:rPr>
        <w:t>三、安装调试及验收服务</w:t>
      </w:r>
    </w:p>
    <w:p w14:paraId="29BBE1A5">
      <w:pPr>
        <w:spacing w:line="360" w:lineRule="auto"/>
        <w:rPr>
          <w:sz w:val="24"/>
          <w:szCs w:val="24"/>
        </w:rPr>
      </w:pPr>
      <w:r>
        <w:rPr>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6F914468">
      <w:pPr>
        <w:spacing w:line="360" w:lineRule="auto"/>
        <w:rPr>
          <w:sz w:val="24"/>
          <w:szCs w:val="24"/>
        </w:rPr>
      </w:pPr>
      <w:r>
        <w:rPr>
          <w:sz w:val="24"/>
          <w:szCs w:val="24"/>
        </w:rPr>
        <w:t>2、若卖方提供的货物涉及到外购外协货物、而且该货物的技术质量等较为关键时，应保证能得到供应商的技术支持，并免费为买方提供安装使用现场的指导与培训。</w:t>
      </w:r>
    </w:p>
    <w:p w14:paraId="0278EFB6">
      <w:pPr>
        <w:spacing w:line="360" w:lineRule="auto"/>
        <w:rPr>
          <w:sz w:val="24"/>
          <w:szCs w:val="24"/>
        </w:rPr>
      </w:pPr>
      <w:r>
        <w:rPr>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254CAE">
      <w:pPr>
        <w:spacing w:line="360" w:lineRule="auto"/>
        <w:rPr>
          <w:sz w:val="24"/>
          <w:szCs w:val="24"/>
        </w:rPr>
      </w:pPr>
      <w:r>
        <w:rPr>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C64EA99">
      <w:pPr>
        <w:spacing w:line="360" w:lineRule="auto"/>
        <w:rPr>
          <w:sz w:val="24"/>
          <w:szCs w:val="24"/>
        </w:rPr>
      </w:pPr>
      <w:r>
        <w:rPr>
          <w:sz w:val="24"/>
          <w:szCs w:val="24"/>
        </w:rPr>
        <w:t>5、卖方应当向买方提供货物试验、验收的有关标准、规范和方法，同时提供货物涉及并使用的软件合法性证明。</w:t>
      </w:r>
    </w:p>
    <w:p w14:paraId="1ACE1E2B">
      <w:pPr>
        <w:spacing w:line="360" w:lineRule="auto"/>
        <w:rPr>
          <w:sz w:val="24"/>
          <w:szCs w:val="24"/>
        </w:rPr>
      </w:pPr>
      <w:r>
        <w:rPr>
          <w:sz w:val="24"/>
          <w:szCs w:val="24"/>
        </w:rPr>
        <w:t>6、服务缺陷视同货物缺陷和履约延期。</w:t>
      </w:r>
    </w:p>
    <w:p w14:paraId="7EE0FAE4">
      <w:pPr>
        <w:spacing w:line="360" w:lineRule="auto"/>
        <w:rPr>
          <w:rFonts w:ascii="黑体" w:hAnsi="黑体" w:eastAsia="黑体" w:cs="黑体"/>
          <w:sz w:val="24"/>
          <w:szCs w:val="24"/>
        </w:rPr>
      </w:pPr>
      <w:r>
        <w:rPr>
          <w:rFonts w:hint="eastAsia" w:ascii="黑体" w:hAnsi="黑体" w:eastAsia="黑体" w:cs="黑体"/>
          <w:sz w:val="24"/>
          <w:szCs w:val="24"/>
        </w:rPr>
        <w:t>四、售后服务</w:t>
      </w:r>
    </w:p>
    <w:p w14:paraId="2F7C06E5">
      <w:pPr>
        <w:spacing w:line="360" w:lineRule="auto"/>
        <w:rPr>
          <w:sz w:val="24"/>
          <w:szCs w:val="24"/>
        </w:rPr>
      </w:pPr>
      <w:r>
        <w:rPr>
          <w:sz w:val="24"/>
          <w:szCs w:val="24"/>
        </w:rPr>
        <w:t>1、卖方提供的货物涉及的所有售后服务均由卖方负责。如果发生问题并且收到通知，卖方应当在2小时内予以答复。</w:t>
      </w:r>
    </w:p>
    <w:p w14:paraId="3E59DB82">
      <w:pPr>
        <w:spacing w:line="360" w:lineRule="auto"/>
        <w:rPr>
          <w:sz w:val="24"/>
          <w:szCs w:val="24"/>
        </w:rPr>
      </w:pPr>
      <w:r>
        <w:rPr>
          <w:sz w:val="24"/>
          <w:szCs w:val="24"/>
        </w:rPr>
        <w:t>2、</w:t>
      </w:r>
      <w:r>
        <w:rPr>
          <w:rFonts w:hint="eastAsia"/>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sz w:val="24"/>
          <w:szCs w:val="24"/>
        </w:rPr>
        <w:t>。</w:t>
      </w:r>
    </w:p>
    <w:p w14:paraId="1BDF4083">
      <w:pPr>
        <w:spacing w:line="360" w:lineRule="auto"/>
        <w:rPr>
          <w:sz w:val="24"/>
          <w:szCs w:val="24"/>
        </w:rPr>
      </w:pPr>
      <w:r>
        <w:rPr>
          <w:sz w:val="24"/>
          <w:szCs w:val="24"/>
        </w:rPr>
        <w:t>3、卖方派往买方使用现场的人员，应具有较高的业务素质；现场解决问题时，不得无故拖延或推迟，应为买方提供最佳的服务。</w:t>
      </w:r>
    </w:p>
    <w:p w14:paraId="4D46583A">
      <w:pPr>
        <w:spacing w:line="360" w:lineRule="auto"/>
        <w:rPr>
          <w:rFonts w:ascii="黑体" w:hAnsi="黑体" w:eastAsia="黑体" w:cs="黑体"/>
          <w:sz w:val="24"/>
          <w:szCs w:val="24"/>
        </w:rPr>
      </w:pPr>
      <w:r>
        <w:rPr>
          <w:rFonts w:hint="eastAsia" w:ascii="黑体" w:hAnsi="黑体" w:eastAsia="黑体" w:cs="黑体"/>
          <w:sz w:val="24"/>
          <w:szCs w:val="24"/>
        </w:rPr>
        <w:t>五、其他服务</w:t>
      </w:r>
    </w:p>
    <w:p w14:paraId="35361F14">
      <w:pPr>
        <w:spacing w:line="360" w:lineRule="auto"/>
        <w:rPr>
          <w:sz w:val="24"/>
          <w:szCs w:val="24"/>
        </w:rPr>
      </w:pPr>
      <w:r>
        <w:rPr>
          <w:sz w:val="24"/>
          <w:szCs w:val="24"/>
        </w:rPr>
        <w:t>1、若卖方所提供货物有需要进口的，卖方一般应自行、自费办理；必要时，买卖双方共同办理。</w:t>
      </w:r>
    </w:p>
    <w:p w14:paraId="668E4511">
      <w:pPr>
        <w:spacing w:line="360" w:lineRule="auto"/>
        <w:rPr>
          <w:sz w:val="24"/>
          <w:szCs w:val="24"/>
        </w:rPr>
      </w:pPr>
      <w:r>
        <w:rPr>
          <w:sz w:val="24"/>
          <w:szCs w:val="24"/>
        </w:rPr>
        <w:t>2、除招标档、投标档、答疑档、技术协议、合同等约定之外，卖方应免费负责必要的或强制性的货物的检验、试验、化验等直接费用。</w:t>
      </w:r>
    </w:p>
    <w:p w14:paraId="3644CB3A">
      <w:pPr>
        <w:spacing w:line="360" w:lineRule="auto"/>
        <w:rPr>
          <w:sz w:val="24"/>
          <w:szCs w:val="24"/>
        </w:rPr>
      </w:pPr>
      <w:r>
        <w:rPr>
          <w:sz w:val="24"/>
          <w:szCs w:val="24"/>
        </w:rPr>
        <w:t>3、本章节条款所列“免费”，并非指定不可收费，而是指招标档、投标档、答疑档、技术交流档、技术协议书和合同等范围之外，投标方不可另行收取的费用。</w:t>
      </w:r>
    </w:p>
    <w:p w14:paraId="1FFFD515">
      <w:pPr>
        <w:spacing w:line="360" w:lineRule="auto"/>
        <w:jc w:val="center"/>
        <w:rPr>
          <w:b/>
          <w:bCs/>
          <w:sz w:val="28"/>
          <w:szCs w:val="28"/>
        </w:rPr>
      </w:pPr>
      <w:r>
        <w:rPr>
          <w:rFonts w:hint="eastAsia"/>
          <w:b/>
          <w:bCs/>
          <w:sz w:val="28"/>
          <w:szCs w:val="28"/>
        </w:rPr>
        <w:t>第五章  预验收和终验收</w:t>
      </w:r>
    </w:p>
    <w:p w14:paraId="44443EF6">
      <w:pPr>
        <w:spacing w:line="360" w:lineRule="auto"/>
        <w:rPr>
          <w:rFonts w:ascii="黑体" w:hAnsi="黑体" w:eastAsia="黑体" w:cs="黑体"/>
          <w:sz w:val="24"/>
          <w:szCs w:val="24"/>
        </w:rPr>
      </w:pPr>
      <w:r>
        <w:rPr>
          <w:rFonts w:hint="eastAsia" w:ascii="黑体" w:hAnsi="黑体" w:eastAsia="黑体" w:cs="黑体"/>
          <w:sz w:val="24"/>
          <w:szCs w:val="24"/>
        </w:rPr>
        <w:t>一、验收依据和验收标准</w:t>
      </w:r>
    </w:p>
    <w:p w14:paraId="6D86DB89">
      <w:pPr>
        <w:spacing w:line="360" w:lineRule="auto"/>
        <w:rPr>
          <w:sz w:val="24"/>
          <w:szCs w:val="24"/>
        </w:rPr>
      </w:pPr>
      <w:r>
        <w:rPr>
          <w:sz w:val="24"/>
          <w:szCs w:val="24"/>
        </w:rPr>
        <w:t>1、验收标准一般以技术协议书和合同规定验收。无论技术协议书和合同，是否全部并准确列明验收所涉及的相关标准，均作为验收标准之一。</w:t>
      </w:r>
    </w:p>
    <w:p w14:paraId="68941B64">
      <w:pPr>
        <w:spacing w:line="360" w:lineRule="auto"/>
        <w:rPr>
          <w:sz w:val="24"/>
          <w:szCs w:val="24"/>
        </w:rPr>
      </w:pPr>
      <w:r>
        <w:rPr>
          <w:sz w:val="24"/>
          <w:szCs w:val="24"/>
        </w:rPr>
        <w:t>2、如果验收过程中，发现招标档、投标档、答疑档、技术交流档等与技术协议书、合同存在差异，原则上以涉及条款中对买方最有利条款为验收依据。</w:t>
      </w:r>
    </w:p>
    <w:p w14:paraId="4EEFBBB5">
      <w:pPr>
        <w:spacing w:line="360" w:lineRule="auto"/>
        <w:rPr>
          <w:rFonts w:ascii="黑体" w:hAnsi="黑体" w:eastAsia="黑体" w:cs="黑体"/>
          <w:sz w:val="24"/>
          <w:szCs w:val="24"/>
        </w:rPr>
      </w:pPr>
      <w:r>
        <w:rPr>
          <w:rFonts w:hint="eastAsia" w:ascii="黑体" w:hAnsi="黑体" w:eastAsia="黑体" w:cs="黑体"/>
          <w:sz w:val="24"/>
          <w:szCs w:val="24"/>
        </w:rPr>
        <w:t>二、检验</w:t>
      </w:r>
    </w:p>
    <w:p w14:paraId="6C670292">
      <w:pPr>
        <w:spacing w:line="360" w:lineRule="auto"/>
        <w:ind w:firstLine="480" w:firstLineChars="200"/>
        <w:rPr>
          <w:sz w:val="24"/>
          <w:szCs w:val="24"/>
        </w:rPr>
      </w:pPr>
      <w:r>
        <w:rPr>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24DCE621">
      <w:pPr>
        <w:spacing w:line="360" w:lineRule="auto"/>
        <w:rPr>
          <w:sz w:val="24"/>
          <w:szCs w:val="24"/>
        </w:rPr>
      </w:pPr>
      <w:r>
        <w:rPr>
          <w:sz w:val="24"/>
          <w:szCs w:val="24"/>
        </w:rPr>
        <w:t>1、国产货物的检验一般由买卖双方共同进行或按照合同要求进行。</w:t>
      </w:r>
    </w:p>
    <w:p w14:paraId="45D76CD0">
      <w:pPr>
        <w:spacing w:line="360" w:lineRule="auto"/>
        <w:rPr>
          <w:sz w:val="24"/>
          <w:szCs w:val="24"/>
        </w:rPr>
      </w:pPr>
      <w:r>
        <w:rPr>
          <w:sz w:val="24"/>
          <w:szCs w:val="24"/>
        </w:rPr>
        <w:t>2、进口货物的检验，卖方需要按照下述要求进行：</w:t>
      </w:r>
    </w:p>
    <w:p w14:paraId="4E1D8A7F">
      <w:pPr>
        <w:spacing w:line="360" w:lineRule="auto"/>
        <w:rPr>
          <w:sz w:val="24"/>
          <w:szCs w:val="24"/>
        </w:rPr>
      </w:pPr>
      <w:r>
        <w:rPr>
          <w:sz w:val="24"/>
          <w:szCs w:val="24"/>
        </w:rPr>
        <w:t>2.1  进口货物发货前，应对货物的质量、型号、规格、性能和数量/重量作精密、全面的检验，并出具证明书，证明所供货物符合合同规定。</w:t>
      </w:r>
    </w:p>
    <w:p w14:paraId="35945D3D">
      <w:pPr>
        <w:spacing w:line="360" w:lineRule="auto"/>
        <w:rPr>
          <w:sz w:val="24"/>
          <w:szCs w:val="24"/>
        </w:rPr>
      </w:pPr>
      <w:r>
        <w:rPr>
          <w:sz w:val="24"/>
          <w:szCs w:val="24"/>
        </w:rPr>
        <w:t>2.2  应依据合同规定的要求，提供买卖双方达成一致的货物的验收标准和装箱单，作为买方检验的依据。</w:t>
      </w:r>
    </w:p>
    <w:p w14:paraId="12096ADE">
      <w:pPr>
        <w:spacing w:line="360" w:lineRule="auto"/>
        <w:rPr>
          <w:sz w:val="24"/>
          <w:szCs w:val="24"/>
        </w:rPr>
      </w:pPr>
      <w:r>
        <w:rPr>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2D5F7FC">
      <w:pPr>
        <w:spacing w:line="360" w:lineRule="auto"/>
        <w:rPr>
          <w:rFonts w:ascii="黑体" w:hAnsi="黑体" w:eastAsia="黑体" w:cs="黑体"/>
          <w:sz w:val="24"/>
          <w:szCs w:val="24"/>
        </w:rPr>
      </w:pPr>
      <w:r>
        <w:rPr>
          <w:rFonts w:hint="eastAsia" w:ascii="黑体" w:hAnsi="黑体" w:eastAsia="黑体" w:cs="黑体"/>
          <w:sz w:val="24"/>
          <w:szCs w:val="24"/>
        </w:rPr>
        <w:t>三、验收基本条件</w:t>
      </w:r>
    </w:p>
    <w:p w14:paraId="5A5FDD16">
      <w:pPr>
        <w:spacing w:line="360" w:lineRule="auto"/>
        <w:ind w:firstLine="480" w:firstLineChars="200"/>
        <w:rPr>
          <w:sz w:val="24"/>
          <w:szCs w:val="24"/>
        </w:rPr>
      </w:pPr>
      <w:r>
        <w:rPr>
          <w:rFonts w:hint="eastAsia"/>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8A7FBDF">
      <w:pPr>
        <w:spacing w:line="360" w:lineRule="auto"/>
        <w:ind w:firstLine="480" w:firstLineChars="200"/>
        <w:rPr>
          <w:sz w:val="24"/>
          <w:szCs w:val="24"/>
        </w:rPr>
      </w:pPr>
      <w:r>
        <w:rPr>
          <w:rFonts w:hint="eastAsia"/>
          <w:sz w:val="24"/>
          <w:szCs w:val="24"/>
        </w:rPr>
        <w:t>买卖双方按照合同约定执行了合同，同时货物完成了试运行并经检验合格，则具备验收条件。</w:t>
      </w:r>
    </w:p>
    <w:p w14:paraId="7C765BB0">
      <w:pPr>
        <w:spacing w:line="360" w:lineRule="auto"/>
        <w:rPr>
          <w:sz w:val="24"/>
          <w:szCs w:val="24"/>
        </w:rPr>
      </w:pPr>
      <w:r>
        <w:rPr>
          <w:rFonts w:hint="eastAsia"/>
          <w:sz w:val="24"/>
          <w:szCs w:val="24"/>
        </w:rPr>
        <w:t>1、预验收一般条件</w:t>
      </w:r>
    </w:p>
    <w:p w14:paraId="0544B225">
      <w:pPr>
        <w:spacing w:line="360" w:lineRule="auto"/>
        <w:rPr>
          <w:sz w:val="24"/>
          <w:szCs w:val="24"/>
        </w:rPr>
      </w:pPr>
      <w:r>
        <w:rPr>
          <w:rFonts w:hint="eastAsia"/>
          <w:sz w:val="24"/>
          <w:szCs w:val="24"/>
        </w:rPr>
        <w:t>1.1  卖方已经按照“供货范围”要求提供了预验收资料，并且资料齐全、完整和有效。</w:t>
      </w:r>
    </w:p>
    <w:p w14:paraId="2972072A">
      <w:pPr>
        <w:spacing w:line="360" w:lineRule="auto"/>
        <w:rPr>
          <w:sz w:val="24"/>
          <w:szCs w:val="24"/>
        </w:rPr>
      </w:pPr>
      <w:r>
        <w:rPr>
          <w:rFonts w:hint="eastAsia"/>
          <w:sz w:val="24"/>
          <w:szCs w:val="24"/>
        </w:rPr>
        <w:t>1.</w:t>
      </w:r>
      <w:r>
        <w:rPr>
          <w:sz w:val="24"/>
          <w:szCs w:val="24"/>
        </w:rPr>
        <w:t>2</w:t>
      </w:r>
      <w:r>
        <w:rPr>
          <w:rFonts w:hint="eastAsia"/>
          <w:sz w:val="24"/>
          <w:szCs w:val="24"/>
        </w:rPr>
        <w:t xml:space="preserve">  货物应完整且所有的零部件应该安装牢固，外观无损伤，所有的焊缝饱满、无残渣等缺陷。</w:t>
      </w:r>
    </w:p>
    <w:p w14:paraId="568041E0">
      <w:pPr>
        <w:spacing w:line="360" w:lineRule="auto"/>
        <w:rPr>
          <w:sz w:val="24"/>
          <w:szCs w:val="24"/>
        </w:rPr>
      </w:pPr>
      <w:r>
        <w:rPr>
          <w:rFonts w:hint="eastAsia"/>
          <w:sz w:val="24"/>
          <w:szCs w:val="24"/>
        </w:rPr>
        <w:t>1.</w:t>
      </w:r>
      <w:r>
        <w:rPr>
          <w:sz w:val="24"/>
          <w:szCs w:val="24"/>
        </w:rPr>
        <w:t>3</w:t>
      </w:r>
      <w:r>
        <w:rPr>
          <w:rFonts w:hint="eastAsia"/>
          <w:sz w:val="24"/>
          <w:szCs w:val="24"/>
        </w:rPr>
        <w:t xml:space="preserve">  一般情况下，所有的管路和线缆等，接头应完全正确、可靠地联接；应排列有序（正确、牢固、整齐），有必要的防护，无皱褶、收缩和裂缝等不良现象。</w:t>
      </w:r>
    </w:p>
    <w:p w14:paraId="6EDD423C">
      <w:pPr>
        <w:spacing w:line="360" w:lineRule="auto"/>
        <w:rPr>
          <w:sz w:val="24"/>
          <w:szCs w:val="24"/>
        </w:rPr>
      </w:pPr>
      <w:r>
        <w:rPr>
          <w:rFonts w:hint="eastAsia"/>
          <w:sz w:val="24"/>
          <w:szCs w:val="24"/>
        </w:rPr>
        <w:t>1.4  使用的压力容器、电气等应具备合格证（如果有压力容器）。</w:t>
      </w:r>
    </w:p>
    <w:p w14:paraId="7B98522D">
      <w:pPr>
        <w:spacing w:line="360" w:lineRule="auto"/>
        <w:rPr>
          <w:sz w:val="24"/>
          <w:szCs w:val="24"/>
        </w:rPr>
      </w:pPr>
      <w:r>
        <w:rPr>
          <w:rFonts w:hint="eastAsia"/>
          <w:sz w:val="24"/>
          <w:szCs w:val="24"/>
        </w:rPr>
        <w:t>1.5  货物的油漆质量应饱满、有光泽，无掉漆、无色差、无“桔皮”等不良现象（特殊标志除外）。</w:t>
      </w:r>
    </w:p>
    <w:p w14:paraId="44F165C0">
      <w:pPr>
        <w:spacing w:line="360" w:lineRule="auto"/>
        <w:rPr>
          <w:sz w:val="24"/>
          <w:szCs w:val="24"/>
        </w:rPr>
      </w:pPr>
      <w:r>
        <w:rPr>
          <w:rFonts w:hint="eastAsia"/>
          <w:sz w:val="24"/>
          <w:szCs w:val="24"/>
        </w:rPr>
        <w:t>1.6  货物标牌完整、清晰、明确。</w:t>
      </w:r>
    </w:p>
    <w:p w14:paraId="601612F0">
      <w:pPr>
        <w:spacing w:line="360" w:lineRule="auto"/>
        <w:rPr>
          <w:sz w:val="24"/>
          <w:szCs w:val="24"/>
        </w:rPr>
      </w:pPr>
      <w:r>
        <w:rPr>
          <w:rFonts w:hint="eastAsia"/>
          <w:sz w:val="24"/>
          <w:szCs w:val="24"/>
        </w:rPr>
        <w:t>1.7  货物的安全要求符合中国最新的相关法律、法规、标准和规范以及合同要求。</w:t>
      </w:r>
    </w:p>
    <w:p w14:paraId="7EB9B04B">
      <w:pPr>
        <w:spacing w:line="360" w:lineRule="auto"/>
        <w:rPr>
          <w:sz w:val="24"/>
          <w:szCs w:val="24"/>
        </w:rPr>
      </w:pPr>
      <w:r>
        <w:rPr>
          <w:rFonts w:hint="eastAsia"/>
          <w:sz w:val="24"/>
          <w:szCs w:val="24"/>
        </w:rPr>
        <w:t>1.8  设备（或材料）应运行灵活、稳定、可靠、安全，无异常声音和非正常振动，设备不允许出现漏水、漏液、漏气（汽）、漏电。</w:t>
      </w:r>
    </w:p>
    <w:p w14:paraId="09FE9FF4">
      <w:pPr>
        <w:spacing w:line="360" w:lineRule="auto"/>
        <w:rPr>
          <w:sz w:val="24"/>
          <w:szCs w:val="24"/>
        </w:rPr>
      </w:pPr>
      <w:r>
        <w:rPr>
          <w:rFonts w:hint="eastAsia"/>
          <w:sz w:val="24"/>
          <w:szCs w:val="24"/>
        </w:rPr>
        <w:t>2、预验收基本要求</w:t>
      </w:r>
    </w:p>
    <w:p w14:paraId="21599A9E">
      <w:pPr>
        <w:spacing w:line="360" w:lineRule="auto"/>
        <w:rPr>
          <w:sz w:val="24"/>
          <w:szCs w:val="24"/>
        </w:rPr>
      </w:pPr>
      <w:r>
        <w:rPr>
          <w:rFonts w:hint="eastAsia"/>
          <w:sz w:val="24"/>
          <w:szCs w:val="24"/>
        </w:rPr>
        <w:t>2.1  设备构成、备件齐全</w:t>
      </w:r>
    </w:p>
    <w:p w14:paraId="511EEAA9">
      <w:pPr>
        <w:spacing w:line="360" w:lineRule="auto"/>
        <w:rPr>
          <w:sz w:val="24"/>
          <w:szCs w:val="24"/>
        </w:rPr>
      </w:pPr>
      <w:r>
        <w:rPr>
          <w:rFonts w:hint="eastAsia"/>
          <w:sz w:val="24"/>
          <w:szCs w:val="24"/>
        </w:rPr>
        <w:t>2.2  设备技术原理符合标书要求</w:t>
      </w:r>
    </w:p>
    <w:p w14:paraId="1A72BA22">
      <w:pPr>
        <w:spacing w:line="360" w:lineRule="auto"/>
        <w:rPr>
          <w:sz w:val="24"/>
          <w:szCs w:val="24"/>
        </w:rPr>
      </w:pPr>
      <w:r>
        <w:rPr>
          <w:rFonts w:hint="eastAsia"/>
          <w:sz w:val="24"/>
          <w:szCs w:val="24"/>
        </w:rPr>
        <w:t>2.3  预验收原则上要求一次完成。若一次验收不成功，最多允许两次；如果出现第三次验收失败，重新作价或退货；</w:t>
      </w:r>
    </w:p>
    <w:p w14:paraId="28EB6434">
      <w:pPr>
        <w:spacing w:line="360" w:lineRule="auto"/>
        <w:rPr>
          <w:sz w:val="24"/>
          <w:szCs w:val="24"/>
        </w:rPr>
      </w:pPr>
      <w:r>
        <w:rPr>
          <w:rFonts w:hint="eastAsia"/>
          <w:sz w:val="24"/>
          <w:szCs w:val="24"/>
        </w:rPr>
        <w:t>3、终验收条件</w:t>
      </w:r>
    </w:p>
    <w:p w14:paraId="57F854E8">
      <w:pPr>
        <w:spacing w:line="360" w:lineRule="auto"/>
        <w:rPr>
          <w:sz w:val="24"/>
          <w:szCs w:val="24"/>
        </w:rPr>
      </w:pPr>
      <w:r>
        <w:rPr>
          <w:rFonts w:hint="eastAsia"/>
          <w:sz w:val="24"/>
          <w:szCs w:val="24"/>
        </w:rPr>
        <w:t>3.1依据招标档、投标档、答疑档、技术交流档等形成并达成一致的技术协议书和合同规定的终验收条件验收。</w:t>
      </w:r>
    </w:p>
    <w:p w14:paraId="13AB7D65">
      <w:pPr>
        <w:spacing w:line="360" w:lineRule="auto"/>
        <w:rPr>
          <w:sz w:val="24"/>
          <w:szCs w:val="24"/>
        </w:rPr>
      </w:pPr>
      <w:r>
        <w:rPr>
          <w:rFonts w:hint="eastAsia"/>
          <w:sz w:val="24"/>
          <w:szCs w:val="24"/>
        </w:rPr>
        <w:t>3.2终验收时试加工内切圆直径φ20mm、厚40mm的正八边形，以此考核设备的加工精度和表面质量。</w:t>
      </w:r>
    </w:p>
    <w:p w14:paraId="1FD136C6">
      <w:pPr>
        <w:spacing w:line="360" w:lineRule="auto"/>
        <w:rPr>
          <w:sz w:val="24"/>
          <w:szCs w:val="24"/>
        </w:rPr>
      </w:pPr>
      <w:r>
        <w:rPr>
          <w:rFonts w:hint="eastAsia"/>
          <w:sz w:val="24"/>
          <w:szCs w:val="24"/>
        </w:rPr>
        <w:t>3.3出现下列问题之一，视作验收失败：</w:t>
      </w:r>
    </w:p>
    <w:p w14:paraId="5758EC2B">
      <w:pPr>
        <w:spacing w:line="360" w:lineRule="auto"/>
        <w:rPr>
          <w:sz w:val="24"/>
          <w:szCs w:val="24"/>
        </w:rPr>
      </w:pPr>
      <w:r>
        <w:rPr>
          <w:rFonts w:hint="eastAsia"/>
          <w:sz w:val="24"/>
          <w:szCs w:val="24"/>
        </w:rPr>
        <w:t>3.3.1 设备验收时，其参数无法满足招标书中的技术要求。</w:t>
      </w:r>
    </w:p>
    <w:p w14:paraId="3F184878">
      <w:pPr>
        <w:spacing w:line="360" w:lineRule="auto"/>
        <w:rPr>
          <w:sz w:val="24"/>
          <w:szCs w:val="24"/>
        </w:rPr>
      </w:pPr>
      <w:r>
        <w:rPr>
          <w:rFonts w:hint="eastAsia"/>
          <w:sz w:val="24"/>
          <w:szCs w:val="24"/>
        </w:rPr>
        <w:t>3.3.2 在整个验收过程中发生关键零部件损坏或重大故障；</w:t>
      </w:r>
    </w:p>
    <w:p w14:paraId="689531D2">
      <w:pPr>
        <w:spacing w:line="360" w:lineRule="auto"/>
        <w:rPr>
          <w:sz w:val="24"/>
          <w:szCs w:val="24"/>
        </w:rPr>
      </w:pPr>
      <w:r>
        <w:rPr>
          <w:rFonts w:hint="eastAsia"/>
          <w:sz w:val="24"/>
          <w:szCs w:val="24"/>
        </w:rPr>
        <w:t>3.3.3 更换的零部件货值超过总货值的1%。</w:t>
      </w:r>
    </w:p>
    <w:p w14:paraId="39E56975">
      <w:pPr>
        <w:spacing w:line="360" w:lineRule="auto"/>
        <w:rPr>
          <w:sz w:val="24"/>
          <w:szCs w:val="24"/>
        </w:rPr>
      </w:pPr>
      <w:r>
        <w:rPr>
          <w:rFonts w:hint="eastAsia"/>
          <w:sz w:val="24"/>
          <w:szCs w:val="24"/>
        </w:rPr>
        <w:t>3.4 累计负载运行实际性能（或生产率）达不到技术协议约定；</w:t>
      </w:r>
    </w:p>
    <w:p w14:paraId="37F80B3D">
      <w:pPr>
        <w:spacing w:line="360" w:lineRule="auto"/>
        <w:rPr>
          <w:sz w:val="24"/>
          <w:szCs w:val="24"/>
        </w:rPr>
      </w:pPr>
      <w:r>
        <w:rPr>
          <w:rFonts w:hint="eastAsia"/>
          <w:sz w:val="24"/>
          <w:szCs w:val="24"/>
        </w:rPr>
        <w:t>3.5 终验收原则上要求一次完成。若一次验收不成功，最多允许两次；如果出现第三次验收失败，重新作价或退货；</w:t>
      </w:r>
    </w:p>
    <w:p w14:paraId="4E2395D9">
      <w:pPr>
        <w:spacing w:line="360" w:lineRule="auto"/>
        <w:rPr>
          <w:sz w:val="24"/>
          <w:szCs w:val="24"/>
        </w:rPr>
      </w:pPr>
      <w:r>
        <w:rPr>
          <w:rFonts w:hint="eastAsia"/>
          <w:sz w:val="24"/>
          <w:szCs w:val="24"/>
        </w:rPr>
        <w:t>3.6 终验收通过后买卖双方共同签署终验收报告，并移交、核对全部供货范围内物品。</w:t>
      </w:r>
    </w:p>
    <w:p w14:paraId="6890E97F">
      <w:pPr>
        <w:spacing w:line="360" w:lineRule="auto"/>
        <w:jc w:val="center"/>
        <w:rPr>
          <w:b/>
          <w:bCs/>
          <w:sz w:val="28"/>
          <w:szCs w:val="28"/>
        </w:rPr>
      </w:pPr>
      <w:r>
        <w:rPr>
          <w:rFonts w:hint="eastAsia"/>
          <w:b/>
          <w:bCs/>
          <w:sz w:val="28"/>
          <w:szCs w:val="28"/>
        </w:rPr>
        <w:t>第六章  投标技术档一般要求</w:t>
      </w:r>
    </w:p>
    <w:p w14:paraId="0AAE8006">
      <w:pPr>
        <w:spacing w:line="360" w:lineRule="auto"/>
        <w:rPr>
          <w:rFonts w:ascii="黑体" w:hAnsi="黑体" w:eastAsia="黑体" w:cs="黑体"/>
          <w:sz w:val="24"/>
          <w:szCs w:val="24"/>
        </w:rPr>
      </w:pPr>
      <w:r>
        <w:rPr>
          <w:rFonts w:hint="eastAsia" w:ascii="黑体" w:hAnsi="黑体" w:eastAsia="黑体" w:cs="黑体"/>
          <w:sz w:val="24"/>
          <w:szCs w:val="24"/>
        </w:rPr>
        <w:t>一、技术档一般内容要求</w:t>
      </w:r>
    </w:p>
    <w:p w14:paraId="1810BBBD">
      <w:pPr>
        <w:spacing w:line="360" w:lineRule="auto"/>
        <w:rPr>
          <w:sz w:val="24"/>
          <w:szCs w:val="24"/>
        </w:rPr>
      </w:pPr>
      <w:r>
        <w:rPr>
          <w:sz w:val="24"/>
          <w:szCs w:val="24"/>
        </w:rPr>
        <w:t>1、投标方应认真阅读招标档和本技术标书，并按要求编写投标技术档。</w:t>
      </w:r>
    </w:p>
    <w:p w14:paraId="78162D20">
      <w:pPr>
        <w:spacing w:line="360" w:lineRule="auto"/>
        <w:rPr>
          <w:sz w:val="24"/>
          <w:szCs w:val="24"/>
        </w:rPr>
      </w:pPr>
      <w:r>
        <w:rPr>
          <w:sz w:val="24"/>
          <w:szCs w:val="24"/>
        </w:rPr>
        <w:t>2、投标技术档至少应对投标货物的功能用途、技术性能、质量标准、技术参数等作出详细说明。</w:t>
      </w:r>
    </w:p>
    <w:p w14:paraId="3C818F3F">
      <w:pPr>
        <w:spacing w:line="360" w:lineRule="auto"/>
        <w:rPr>
          <w:sz w:val="24"/>
          <w:szCs w:val="24"/>
        </w:rPr>
      </w:pPr>
      <w:r>
        <w:rPr>
          <w:sz w:val="24"/>
          <w:szCs w:val="24"/>
        </w:rPr>
        <w:t>3、投标技术档至少应根据投标货物的关键设备、总成、零部件或系统作出满足或优于招标档要求的详细说明。</w:t>
      </w:r>
    </w:p>
    <w:p w14:paraId="12E61E49">
      <w:pPr>
        <w:spacing w:line="360" w:lineRule="auto"/>
        <w:rPr>
          <w:sz w:val="24"/>
          <w:szCs w:val="24"/>
        </w:rPr>
      </w:pPr>
      <w:r>
        <w:rPr>
          <w:sz w:val="24"/>
          <w:szCs w:val="24"/>
        </w:rPr>
        <w:t>4、投标技术档至少应按照招标档要求（或投标方建议）列明备品备件、易损件和专用耗材明细。</w:t>
      </w:r>
    </w:p>
    <w:p w14:paraId="44D80939">
      <w:pPr>
        <w:spacing w:line="360" w:lineRule="auto"/>
        <w:rPr>
          <w:sz w:val="24"/>
          <w:szCs w:val="24"/>
        </w:rPr>
      </w:pPr>
      <w:r>
        <w:rPr>
          <w:sz w:val="24"/>
          <w:szCs w:val="24"/>
        </w:rPr>
        <w:t>5、投标方应当而且必须分别说明所列备品备件、易损件和专用耗材的使用寿命（以有效工作小时数说明）。</w:t>
      </w:r>
    </w:p>
    <w:p w14:paraId="5192A570">
      <w:pPr>
        <w:spacing w:line="360" w:lineRule="auto"/>
        <w:rPr>
          <w:sz w:val="24"/>
          <w:szCs w:val="24"/>
        </w:rPr>
      </w:pPr>
      <w:r>
        <w:rPr>
          <w:sz w:val="24"/>
          <w:szCs w:val="24"/>
        </w:rPr>
        <w:t>6</w:t>
      </w:r>
      <w:r>
        <w:rPr>
          <w:rFonts w:hint="eastAsia"/>
          <w:sz w:val="24"/>
          <w:szCs w:val="24"/>
        </w:rPr>
        <w:t>、</w:t>
      </w:r>
      <w:r>
        <w:rPr>
          <w:sz w:val="24"/>
          <w:szCs w:val="24"/>
        </w:rPr>
        <w:t>“开标一览表”和“明细表”仅作为投标方编制投标技术档的一般格式。其中序号编写应当便于招标方了解分类或分项货物之间的所属关系，如1、1.1、1.2。</w:t>
      </w:r>
    </w:p>
    <w:p w14:paraId="43E03D1A">
      <w:pPr>
        <w:spacing w:line="360" w:lineRule="auto"/>
        <w:rPr>
          <w:sz w:val="24"/>
          <w:szCs w:val="24"/>
        </w:rPr>
      </w:pPr>
      <w:r>
        <w:rPr>
          <w:rFonts w:hint="eastAsia"/>
          <w:sz w:val="24"/>
          <w:szCs w:val="24"/>
        </w:rPr>
        <w:t>7、</w:t>
      </w:r>
      <w:r>
        <w:rPr>
          <w:sz w:val="24"/>
          <w:szCs w:val="24"/>
        </w:rPr>
        <w:t>应当尽可能将货物的配置列全、列细，这将有助于投标方胜出。</w:t>
      </w:r>
    </w:p>
    <w:p w14:paraId="5C1B33D6">
      <w:pPr>
        <w:spacing w:line="360" w:lineRule="auto"/>
        <w:rPr>
          <w:sz w:val="24"/>
          <w:szCs w:val="24"/>
        </w:rPr>
      </w:pPr>
      <w:r>
        <w:rPr>
          <w:rFonts w:hint="eastAsia"/>
          <w:sz w:val="24"/>
          <w:szCs w:val="24"/>
        </w:rPr>
        <w:t>8、</w:t>
      </w:r>
      <w:r>
        <w:rPr>
          <w:sz w:val="24"/>
          <w:szCs w:val="24"/>
        </w:rPr>
        <w:t>单价与总价之间、总价与分类小计价之间、分类小计价与合计价之间数据应当齐全而且准确。</w:t>
      </w:r>
    </w:p>
    <w:p w14:paraId="1F8FC6A8">
      <w:pPr>
        <w:spacing w:line="360" w:lineRule="auto"/>
        <w:rPr>
          <w:sz w:val="24"/>
          <w:szCs w:val="24"/>
        </w:rPr>
      </w:pPr>
      <w:r>
        <w:rPr>
          <w:rFonts w:hint="eastAsia"/>
          <w:sz w:val="24"/>
          <w:szCs w:val="24"/>
        </w:rPr>
        <w:t>9、</w:t>
      </w:r>
      <w:r>
        <w:rPr>
          <w:sz w:val="24"/>
          <w:szCs w:val="24"/>
        </w:rPr>
        <w:t>本条款表格中的制造商，应当为全称或公认的简称。</w:t>
      </w:r>
    </w:p>
    <w:p w14:paraId="68332CFF">
      <w:pPr>
        <w:spacing w:line="360" w:lineRule="auto"/>
        <w:rPr>
          <w:rFonts w:ascii="黑体" w:hAnsi="黑体" w:eastAsia="黑体" w:cs="黑体"/>
          <w:sz w:val="24"/>
          <w:szCs w:val="24"/>
        </w:rPr>
      </w:pPr>
      <w:r>
        <w:rPr>
          <w:rFonts w:hint="eastAsia" w:ascii="黑体" w:hAnsi="黑体" w:eastAsia="黑体" w:cs="黑体"/>
          <w:sz w:val="24"/>
          <w:szCs w:val="24"/>
        </w:rPr>
        <w:t>二、技术档中货物报价格式要求</w:t>
      </w:r>
    </w:p>
    <w:p w14:paraId="2E08AE11">
      <w:pPr>
        <w:spacing w:line="360" w:lineRule="auto"/>
        <w:rPr>
          <w:sz w:val="24"/>
          <w:szCs w:val="24"/>
        </w:rPr>
      </w:pPr>
      <w:r>
        <w:rPr>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7DDD0C3C">
      <w:pPr>
        <w:spacing w:line="360" w:lineRule="auto"/>
        <w:rPr>
          <w:sz w:val="24"/>
          <w:szCs w:val="24"/>
        </w:rPr>
      </w:pPr>
      <w:r>
        <w:rPr>
          <w:sz w:val="24"/>
          <w:szCs w:val="24"/>
        </w:rPr>
        <w:t>2、如果投标总报价与其它价格出现错误或不一致，将有可能导致废标。</w:t>
      </w:r>
    </w:p>
    <w:p w14:paraId="7888295A">
      <w:pPr>
        <w:spacing w:line="360" w:lineRule="auto"/>
        <w:rPr>
          <w:sz w:val="24"/>
          <w:szCs w:val="24"/>
        </w:rPr>
      </w:pPr>
      <w:r>
        <w:rPr>
          <w:sz w:val="24"/>
          <w:szCs w:val="24"/>
        </w:rPr>
        <w:t>3、投标总报价为自合同签定生效至合同无异议执行完毕涉及的买方需要支付的全部费用。如投标方认为本招标及投标货物涉及特需或专门的设计，应当单独列明设计费。</w:t>
      </w:r>
    </w:p>
    <w:p w14:paraId="2F18E451">
      <w:pPr>
        <w:spacing w:line="360" w:lineRule="auto"/>
        <w:rPr>
          <w:sz w:val="24"/>
          <w:szCs w:val="24"/>
        </w:rPr>
      </w:pPr>
      <w:r>
        <w:rPr>
          <w:rFonts w:hint="eastAsia"/>
          <w:sz w:val="24"/>
          <w:szCs w:val="24"/>
        </w:rPr>
        <w:t>4</w:t>
      </w:r>
      <w:r>
        <w:rPr>
          <w:sz w:val="24"/>
          <w:szCs w:val="24"/>
        </w:rPr>
        <w:t>、要求投标总报价、分项报价、明细报价之间应当具有相互间对应关系以及填报分项和明细报价，仅为便于评标而不妨碍投标人以最合适的形式签署合同。</w:t>
      </w:r>
    </w:p>
    <w:p w14:paraId="4FA6989F">
      <w:pPr>
        <w:spacing w:line="360" w:lineRule="auto"/>
        <w:rPr>
          <w:rFonts w:ascii="黑体" w:hAnsi="黑体" w:eastAsia="黑体" w:cs="黑体"/>
          <w:sz w:val="24"/>
          <w:szCs w:val="24"/>
        </w:rPr>
      </w:pPr>
      <w:r>
        <w:rPr>
          <w:rFonts w:hint="eastAsia" w:ascii="黑体" w:hAnsi="黑体" w:eastAsia="黑体" w:cs="黑体"/>
          <w:sz w:val="24"/>
          <w:szCs w:val="24"/>
        </w:rPr>
        <w:t>三、验收标准及内容要求</w:t>
      </w:r>
    </w:p>
    <w:p w14:paraId="2EF7D79A">
      <w:pPr>
        <w:spacing w:line="360" w:lineRule="auto"/>
        <w:ind w:firstLine="420"/>
        <w:rPr>
          <w:sz w:val="24"/>
          <w:szCs w:val="24"/>
        </w:rPr>
      </w:pPr>
      <w:r>
        <w:rPr>
          <w:rFonts w:hint="eastAsia"/>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4A0C60D4">
      <w:pPr>
        <w:spacing w:line="360" w:lineRule="auto"/>
        <w:jc w:val="center"/>
        <w:rPr>
          <w:b/>
          <w:bCs/>
          <w:sz w:val="28"/>
          <w:szCs w:val="28"/>
        </w:rPr>
      </w:pPr>
      <w:r>
        <w:rPr>
          <w:rFonts w:hint="eastAsia"/>
          <w:b/>
          <w:bCs/>
          <w:sz w:val="28"/>
          <w:szCs w:val="28"/>
        </w:rPr>
        <w:t>第七章  其他要求及说明</w:t>
      </w:r>
    </w:p>
    <w:p w14:paraId="58F9E3FA">
      <w:pPr>
        <w:spacing w:line="360" w:lineRule="auto"/>
        <w:rPr>
          <w:rFonts w:ascii="黑体" w:hAnsi="黑体" w:eastAsia="黑体" w:cs="黑体"/>
          <w:sz w:val="24"/>
          <w:szCs w:val="24"/>
        </w:rPr>
      </w:pPr>
      <w:r>
        <w:rPr>
          <w:rFonts w:hint="eastAsia" w:ascii="黑体" w:hAnsi="黑体" w:eastAsia="黑体" w:cs="黑体"/>
          <w:sz w:val="24"/>
          <w:szCs w:val="24"/>
        </w:rPr>
        <w:t>一、要求</w:t>
      </w:r>
    </w:p>
    <w:p w14:paraId="7CE8CF12">
      <w:pPr>
        <w:spacing w:line="360" w:lineRule="auto"/>
        <w:ind w:firstLine="420"/>
        <w:rPr>
          <w:sz w:val="24"/>
          <w:szCs w:val="24"/>
        </w:rPr>
      </w:pPr>
      <w:r>
        <w:rPr>
          <w:rFonts w:hint="eastAsia"/>
          <w:sz w:val="24"/>
          <w:szCs w:val="24"/>
        </w:rPr>
        <w:t>为保证本技术标书所列采购货物的质量以及先进性、可靠性、经济性和实用性，要求投标方在投标档中，至少应具备以下资格证明档或资料：</w:t>
      </w:r>
    </w:p>
    <w:p w14:paraId="47676904">
      <w:pPr>
        <w:spacing w:line="360" w:lineRule="auto"/>
        <w:rPr>
          <w:sz w:val="24"/>
          <w:szCs w:val="24"/>
        </w:rPr>
      </w:pPr>
      <w:r>
        <w:rPr>
          <w:rFonts w:hint="eastAsia"/>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6D1DA604">
      <w:pPr>
        <w:spacing w:line="360" w:lineRule="auto"/>
        <w:rPr>
          <w:rFonts w:ascii="Times New Roman" w:hAnsi="Times New Roman" w:cs="Times New Roman"/>
          <w:sz w:val="24"/>
          <w:szCs w:val="24"/>
        </w:rPr>
      </w:pPr>
      <w:r>
        <w:rPr>
          <w:rFonts w:hint="eastAsia"/>
          <w:sz w:val="24"/>
          <w:szCs w:val="24"/>
        </w:rPr>
        <w:t>2、必须附有：2022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6BE43971">
      <w:pPr>
        <w:spacing w:line="360" w:lineRule="auto"/>
        <w:rPr>
          <w:rFonts w:ascii="黑体" w:hAnsi="黑体" w:eastAsia="黑体" w:cs="黑体"/>
          <w:sz w:val="24"/>
          <w:szCs w:val="24"/>
        </w:rPr>
      </w:pPr>
      <w:r>
        <w:rPr>
          <w:rFonts w:hint="eastAsia" w:ascii="黑体" w:hAnsi="黑体" w:eastAsia="黑体" w:cs="黑体"/>
          <w:sz w:val="24"/>
          <w:szCs w:val="24"/>
        </w:rPr>
        <w:t>二、说明</w:t>
      </w:r>
    </w:p>
    <w:p w14:paraId="5EB63BAD">
      <w:pPr>
        <w:spacing w:line="360" w:lineRule="auto"/>
        <w:rPr>
          <w:sz w:val="24"/>
          <w:szCs w:val="24"/>
        </w:rPr>
      </w:pPr>
      <w:r>
        <w:rPr>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52254459">
      <w:pPr>
        <w:spacing w:line="360" w:lineRule="auto"/>
        <w:rPr>
          <w:sz w:val="24"/>
          <w:szCs w:val="24"/>
        </w:rPr>
      </w:pPr>
      <w:r>
        <w:rPr>
          <w:sz w:val="24"/>
          <w:szCs w:val="24"/>
        </w:rPr>
        <w:t>2、即使有建议意见或建议方案，仍应依据招标档和本技术标书要求，编写符合要求的投标档。建议方案或建议意见，应以单独篇章或档，予以说明和报价。</w:t>
      </w:r>
    </w:p>
    <w:p w14:paraId="2B3AC318">
      <w:pPr>
        <w:spacing w:line="360" w:lineRule="auto"/>
        <w:rPr>
          <w:sz w:val="24"/>
          <w:szCs w:val="24"/>
        </w:rPr>
      </w:pPr>
      <w:r>
        <w:rPr>
          <w:rFonts w:hint="eastAsia"/>
          <w:sz w:val="24"/>
          <w:szCs w:val="24"/>
        </w:rPr>
        <w:t>3</w:t>
      </w:r>
      <w:r>
        <w:rPr>
          <w:sz w:val="24"/>
          <w:szCs w:val="24"/>
        </w:rPr>
        <w:t>、招标档、投标档、答疑档、技术交流档、技术协议书等，在采购过程全部为有效档，如有差异，以对招标方最有利的条款为准。</w:t>
      </w:r>
    </w:p>
    <w:p w14:paraId="71D6F7A2">
      <w:pPr>
        <w:spacing w:line="360" w:lineRule="auto"/>
        <w:rPr>
          <w:sz w:val="24"/>
          <w:szCs w:val="24"/>
        </w:rPr>
      </w:pPr>
      <w:r>
        <w:rPr>
          <w:rFonts w:hint="eastAsia"/>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13"/>
    </w:p>
    <w:p w14:paraId="22A08ACD">
      <w:pPr>
        <w:pStyle w:val="76"/>
        <w:rPr>
          <w:b w:val="0"/>
          <w:bCs w:val="0"/>
        </w:rPr>
      </w:pPr>
    </w:p>
    <w:p w14:paraId="41362990">
      <w:pPr>
        <w:pStyle w:val="76"/>
        <w:rPr>
          <w:b/>
          <w:bCs/>
        </w:rPr>
      </w:pPr>
    </w:p>
    <w:p w14:paraId="56105630">
      <w:pPr>
        <w:rPr>
          <w:rFonts w:ascii="宋体" w:hAnsi="宋体"/>
          <w:b/>
          <w:sz w:val="28"/>
          <w:szCs w:val="28"/>
        </w:rPr>
      </w:pPr>
      <w:bookmarkStart w:id="19" w:name="_Toc47976609"/>
      <w:r>
        <w:rPr>
          <w:rFonts w:hint="eastAsia"/>
        </w:rPr>
        <w:br w:type="page"/>
      </w:r>
      <w:bookmarkEnd w:id="19"/>
    </w:p>
    <w:p w14:paraId="71B3C43D">
      <w:pPr>
        <w:rPr>
          <w:rFonts w:hint="eastAsia"/>
        </w:rPr>
      </w:pPr>
      <w:bookmarkStart w:id="20" w:name="_Toc47976615"/>
    </w:p>
    <w:p w14:paraId="1A67A1AE">
      <w:pPr>
        <w:rPr>
          <w:rFonts w:hint="eastAsia"/>
        </w:rPr>
      </w:pPr>
    </w:p>
    <w:p w14:paraId="50D9D845">
      <w:pPr>
        <w:pStyle w:val="71"/>
        <w:rPr>
          <w:rFonts w:ascii="黑体" w:hAnsi="Calibri" w:eastAsia="黑体" w:cs="Times New Roman"/>
          <w:color w:val="000000"/>
          <w:sz w:val="24"/>
          <w:szCs w:val="24"/>
        </w:rPr>
      </w:pPr>
      <w:bookmarkStart w:id="21" w:name="_Toc16500"/>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32681108">
      <w:pPr>
        <w:jc w:val="both"/>
        <w:rPr>
          <w:rFonts w:ascii="宋体"/>
          <w:b/>
          <w:color w:val="000000"/>
          <w:szCs w:val="24"/>
        </w:rPr>
      </w:pPr>
    </w:p>
    <w:p w14:paraId="6220DDA8">
      <w:pPr>
        <w:pStyle w:val="2"/>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2" w:name="_Toc47976618"/>
      <w:bookmarkStart w:id="23" w:name="_Toc29366869"/>
      <w:bookmarkStart w:id="24" w:name="_Toc29366865"/>
      <w:r>
        <w:rPr>
          <w:rFonts w:hint="eastAsia" w:ascii="宋体" w:hAnsi="宋体" w:eastAsia="宋体" w:cs="宋体"/>
          <w:sz w:val="32"/>
          <w:szCs w:val="32"/>
          <w:highlight w:val="none"/>
          <w:lang w:val="en-US" w:eastAsia="zh-CN"/>
        </w:rPr>
        <w:t>附件1 法定代表人授权委托书</w:t>
      </w:r>
    </w:p>
    <w:bookmarkEnd w:id="22"/>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机械加工设备更新改造项目 子项3：中走丝线切割机床更新项目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191ECA72">
      <w:pPr>
        <w:pStyle w:val="2"/>
        <w:rPr>
          <w:rFonts w:ascii="Calibri" w:hAnsi="Calibri" w:eastAsia="黑体" w:cs="Times New Roman"/>
          <w:b/>
          <w:bCs/>
          <w:color w:val="000000"/>
          <w:sz w:val="28"/>
          <w:szCs w:val="20"/>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
        <w:rPr>
          <w:rFonts w:ascii="Times New Roman" w:hAnsi="Times New Roman" w:eastAsia="宋体" w:cs="Times New Roman"/>
          <w:b/>
          <w:bCs/>
          <w:color w:val="000000"/>
          <w:sz w:val="24"/>
          <w:szCs w:val="24"/>
        </w:rPr>
      </w:pPr>
    </w:p>
    <w:p w14:paraId="37100778">
      <w:pPr>
        <w:pStyle w:val="2"/>
        <w:rPr>
          <w:rFonts w:ascii="Times New Roman" w:hAnsi="Times New Roman" w:eastAsia="宋体" w:cs="Times New Roman"/>
          <w:b/>
          <w:bCs/>
          <w:color w:val="000000"/>
          <w:sz w:val="24"/>
          <w:szCs w:val="24"/>
        </w:rPr>
      </w:pPr>
    </w:p>
    <w:p w14:paraId="39756F36">
      <w:pPr>
        <w:pStyle w:val="2"/>
        <w:rPr>
          <w:rFonts w:ascii="Times New Roman" w:hAnsi="Times New Roman" w:eastAsia="宋体" w:cs="Times New Roman"/>
          <w:b/>
          <w:bCs/>
          <w:color w:val="000000"/>
          <w:sz w:val="24"/>
          <w:szCs w:val="24"/>
        </w:rPr>
      </w:pPr>
    </w:p>
    <w:p w14:paraId="527F4C72">
      <w:pPr>
        <w:pStyle w:val="2"/>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047A1A">
      <w:pPr>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机械加工设备更新改造项目 子项3：中走丝线切割机床更新项目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3"/>
    <w:bookmarkEnd w:id="24"/>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机械加工设备更新改造项目 子项3：中走丝线切割机床更新项目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2"/>
        <w:rPr>
          <w:rFonts w:hint="eastAsia" w:hAnsi="宋体" w:eastAsia="宋体" w:cs="Times New Roman"/>
          <w:b/>
          <w:bCs/>
          <w:szCs w:val="21"/>
          <w:highlight w:val="yellow"/>
        </w:rPr>
      </w:pPr>
    </w:p>
    <w:p w14:paraId="31061A95">
      <w:pPr>
        <w:pStyle w:val="2"/>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5" w:name="_Toc4225"/>
      <w:bookmarkStart w:id="26"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5"/>
      <w:bookmarkEnd w:id="26"/>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w:t>
      </w:r>
      <w:r>
        <w:rPr>
          <w:rFonts w:hint="eastAsia" w:ascii="宋体" w:hAnsi="宋体" w:eastAsia="宋体" w:cs="Times New Roman"/>
          <w:color w:val="000000"/>
          <w:sz w:val="24"/>
          <w:szCs w:val="24"/>
          <w:highlight w:val="none"/>
        </w:rPr>
        <w:t>方</w:t>
      </w:r>
      <w:r>
        <w:rPr>
          <w:rFonts w:hint="eastAsia" w:ascii="宋体" w:hAnsi="宋体" w:cs="Times New Roman"/>
          <w:color w:val="000000"/>
          <w:sz w:val="24"/>
          <w:szCs w:val="24"/>
          <w:highlight w:val="none"/>
          <w:u w:val="single"/>
          <w:lang w:val="en-US" w:eastAsia="zh-CN"/>
        </w:rPr>
        <w:t>机械加工设备更新改造项目 子项3：中走丝线切割机床更新项目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机械加工设备更新改造项目 子项3：中走丝线切割机床更新项目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2"/>
        <w:rPr>
          <w:rFonts w:hint="default"/>
          <w:lang w:val="en-US" w:eastAsia="zh-CN"/>
        </w:rPr>
      </w:pPr>
    </w:p>
    <w:p w14:paraId="0D0184EF">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object>
          <v:shape id="_x0000_i1025" o:spt="75" type="#_x0000_t75" style="height:65.4pt;width:72.6pt;" o:ole="t" filled="f" o:preferrelative="t" stroked="f" coordsize="21600,21600">
            <v:fill on="f" focussize="0,0"/>
            <v:stroke on="f"/>
            <v:imagedata r:id="rId20" o:title=""/>
            <o:lock v:ext="edit" aspectratio="t"/>
            <w10:wrap type="none"/>
            <w10:anchorlock/>
          </v:shape>
          <o:OLEObject Type="Embed" ProgID="Excel.Sheet.12" ShapeID="_x0000_i1025" DrawAspect="Icon" ObjectID="_1468075725" r:id="rId19">
            <o:LockedField>false</o:LockedField>
          </o:OLEObject>
        </w:object>
      </w: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6"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2"/>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非生产招标</w:t>
      </w:r>
      <w:r>
        <w:rPr>
          <w:rFonts w:hint="eastAsia"/>
          <w:b/>
          <w:bCs/>
          <w:lang w:val="en-US" w:eastAsia="zh-CN"/>
        </w:rPr>
        <w:t>/</w:t>
      </w:r>
      <w:r>
        <w:rPr>
          <w:rFonts w:hint="eastAsia"/>
          <w:b/>
          <w:bCs/>
        </w:rPr>
        <w:t>工艺设备 / 工艺设备”</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2"/>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4" w:type="first"/>
      <w:footerReference r:id="rId16" w:type="firs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AEEA">
    <w:pPr>
      <w:pStyle w:val="18"/>
      <w:jc w:val="center"/>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1E3A08E">
                          <w:pPr>
                            <w:pStyle w:val="114"/>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61312;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o4/QwgEAAIEDAAAOAAAAAAAAAAEAIAAAACIBAABkcnMvZTJvRG9jLnht&#10;bFBLBQYAAAAABgAGAFkBAABWBQAAAAA=&#10;">
              <v:fill on="f" focussize="0,0"/>
              <v:stroke on="f" weight="0.5pt"/>
              <v:imagedata o:title=""/>
              <o:lock v:ext="edit" aspectratio="f"/>
              <v:textbox inset="0mm,0mm,0mm,0mm" style="mso-fit-shape-to-text:t;">
                <w:txbxContent>
                  <w:p w14:paraId="61E3A08E">
                    <w:pPr>
                      <w:pStyle w:val="114"/>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- 1 -</w:t>
                    </w:r>
                    <w:r>
                      <w:rPr>
                        <w:color w:val="000000"/>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9427">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486315"/>
    <w:rsid w:val="0A63147A"/>
    <w:rsid w:val="0A702930"/>
    <w:rsid w:val="0ADB2EF0"/>
    <w:rsid w:val="0ADD4CBE"/>
    <w:rsid w:val="0C83309C"/>
    <w:rsid w:val="0CB51572"/>
    <w:rsid w:val="0DE73E36"/>
    <w:rsid w:val="0E4D31E3"/>
    <w:rsid w:val="0E530E38"/>
    <w:rsid w:val="10DC2AA3"/>
    <w:rsid w:val="10FA7C8C"/>
    <w:rsid w:val="12F64B6E"/>
    <w:rsid w:val="130B198F"/>
    <w:rsid w:val="13B54178"/>
    <w:rsid w:val="13FA68E0"/>
    <w:rsid w:val="15BB1367"/>
    <w:rsid w:val="15D2452A"/>
    <w:rsid w:val="16383321"/>
    <w:rsid w:val="16A918E4"/>
    <w:rsid w:val="17D966D6"/>
    <w:rsid w:val="19517BDA"/>
    <w:rsid w:val="19E33213"/>
    <w:rsid w:val="1A463A67"/>
    <w:rsid w:val="1B481CDF"/>
    <w:rsid w:val="1BA3160C"/>
    <w:rsid w:val="1BBB4BA7"/>
    <w:rsid w:val="1BC71D3B"/>
    <w:rsid w:val="1C59115B"/>
    <w:rsid w:val="1D596BD7"/>
    <w:rsid w:val="1E296445"/>
    <w:rsid w:val="1EFD1680"/>
    <w:rsid w:val="1FB23E60"/>
    <w:rsid w:val="1FBA79B4"/>
    <w:rsid w:val="212F23EA"/>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B271A58"/>
    <w:rsid w:val="2B6304A7"/>
    <w:rsid w:val="2BAC194A"/>
    <w:rsid w:val="2BCB24AC"/>
    <w:rsid w:val="2C642D3E"/>
    <w:rsid w:val="2CEA145B"/>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2C1164"/>
    <w:rsid w:val="4B592E71"/>
    <w:rsid w:val="4DF75369"/>
    <w:rsid w:val="4EA23B01"/>
    <w:rsid w:val="4EB0217D"/>
    <w:rsid w:val="4F482E54"/>
    <w:rsid w:val="4F8B220C"/>
    <w:rsid w:val="4FC961E8"/>
    <w:rsid w:val="504F4EAF"/>
    <w:rsid w:val="516C4BAA"/>
    <w:rsid w:val="51D51447"/>
    <w:rsid w:val="52B9239A"/>
    <w:rsid w:val="52D52A7F"/>
    <w:rsid w:val="54BD78FD"/>
    <w:rsid w:val="552A3C28"/>
    <w:rsid w:val="555A2DA3"/>
    <w:rsid w:val="555D784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FC523EB"/>
    <w:rsid w:val="6FE22646"/>
    <w:rsid w:val="6FE40756"/>
    <w:rsid w:val="70825D63"/>
    <w:rsid w:val="71F00129"/>
    <w:rsid w:val="71FE41EB"/>
    <w:rsid w:val="72895F2E"/>
    <w:rsid w:val="72C02EBE"/>
    <w:rsid w:val="72C507AD"/>
    <w:rsid w:val="72D028D8"/>
    <w:rsid w:val="745D47C3"/>
    <w:rsid w:val="751B1584"/>
    <w:rsid w:val="75341FA7"/>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框架内容"/>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16529</Words>
  <Characters>17076</Characters>
  <Lines>127</Lines>
  <Paragraphs>35</Paragraphs>
  <TotalTime>0</TotalTime>
  <ScaleCrop>false</ScaleCrop>
  <LinksUpToDate>false</LinksUpToDate>
  <CharactersWithSpaces>18751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2025-12-03T08:51:34Z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