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13D53F">
      <w:pPr>
        <w:rPr>
          <w:rFonts w:ascii="宋体" w:hAnsi="宋体"/>
          <w:sz w:val="30"/>
          <w:szCs w:val="30"/>
        </w:rPr>
      </w:pPr>
    </w:p>
    <w:p w14:paraId="5A4C3F48">
      <w:pPr>
        <w:ind w:right="280"/>
        <w:jc w:val="center"/>
        <w:rPr>
          <w:rFonts w:hint="eastAsia" w:ascii="宋体" w:hAnsi="宋体"/>
          <w:bCs/>
          <w:sz w:val="48"/>
          <w:szCs w:val="48"/>
        </w:rPr>
      </w:pPr>
    </w:p>
    <w:p w14:paraId="3F9BE8CD">
      <w:pPr>
        <w:ind w:right="280"/>
        <w:jc w:val="center"/>
        <w:rPr>
          <w:rFonts w:ascii="宋体" w:hAnsi="宋体"/>
          <w:bCs/>
          <w:sz w:val="48"/>
          <w:szCs w:val="48"/>
        </w:rPr>
      </w:pPr>
      <w:r>
        <w:rPr>
          <w:rFonts w:hint="eastAsia" w:ascii="宋体" w:hAnsi="宋体"/>
          <w:bCs/>
          <w:sz w:val="48"/>
          <w:szCs w:val="48"/>
        </w:rPr>
        <w:t>中国重汽集团</w:t>
      </w:r>
    </w:p>
    <w:p w14:paraId="1EB2B261">
      <w:pPr>
        <w:ind w:right="280"/>
        <w:jc w:val="center"/>
        <w:rPr>
          <w:rFonts w:ascii="宋体" w:hAnsi="宋体"/>
          <w:bCs/>
          <w:sz w:val="48"/>
          <w:szCs w:val="48"/>
        </w:rPr>
      </w:pPr>
      <w:r>
        <w:rPr>
          <w:rFonts w:hint="eastAsia" w:ascii="宋体" w:hAnsi="宋体"/>
          <w:bCs/>
          <w:sz w:val="48"/>
          <w:szCs w:val="48"/>
        </w:rPr>
        <w:t>202</w:t>
      </w:r>
      <w:r>
        <w:rPr>
          <w:rFonts w:hint="eastAsia" w:ascii="宋体" w:hAnsi="宋体"/>
          <w:bCs/>
          <w:sz w:val="48"/>
          <w:szCs w:val="48"/>
          <w:lang w:val="en-US" w:eastAsia="zh-CN"/>
        </w:rPr>
        <w:t>5</w:t>
      </w:r>
      <w:r>
        <w:rPr>
          <w:rFonts w:hint="eastAsia" w:ascii="宋体" w:hAnsi="宋体"/>
          <w:bCs/>
          <w:sz w:val="48"/>
          <w:szCs w:val="48"/>
        </w:rPr>
        <w:t>年标识牌宣传牌招标采购项目</w:t>
      </w:r>
    </w:p>
    <w:p w14:paraId="6541813C">
      <w:pPr>
        <w:ind w:right="280"/>
        <w:jc w:val="center"/>
        <w:rPr>
          <w:sz w:val="28"/>
          <w:szCs w:val="28"/>
        </w:rPr>
      </w:pPr>
    </w:p>
    <w:p w14:paraId="5B5EFD05">
      <w:pPr>
        <w:ind w:right="280"/>
        <w:jc w:val="center"/>
        <w:rPr>
          <w:sz w:val="28"/>
          <w:szCs w:val="28"/>
        </w:rPr>
      </w:pPr>
    </w:p>
    <w:p w14:paraId="0495E3B0">
      <w:pPr>
        <w:jc w:val="center"/>
        <w:rPr>
          <w:rFonts w:hint="default" w:ascii="宋体" w:hAnsi="宋体" w:eastAsia="宋体" w:cs="宋体"/>
          <w:sz w:val="72"/>
          <w:szCs w:val="72"/>
          <w:lang w:val="en-US" w:eastAsia="zh-CN"/>
        </w:rPr>
      </w:pPr>
      <w:r>
        <w:rPr>
          <w:rFonts w:hint="eastAsia" w:ascii="宋体" w:hAnsi="宋体" w:cs="宋体"/>
          <w:sz w:val="72"/>
          <w:szCs w:val="72"/>
          <w:lang w:val="en-US" w:eastAsia="zh-CN"/>
        </w:rPr>
        <w:t>评分标准</w:t>
      </w:r>
    </w:p>
    <w:p w14:paraId="20807E04">
      <w:pPr>
        <w:jc w:val="center"/>
        <w:rPr>
          <w:rFonts w:ascii="宋体" w:hAnsi="宋体"/>
          <w:sz w:val="48"/>
          <w:szCs w:val="48"/>
        </w:rPr>
      </w:pPr>
    </w:p>
    <w:p w14:paraId="2C177100">
      <w:pPr>
        <w:jc w:val="center"/>
        <w:rPr>
          <w:rFonts w:ascii="宋体" w:hAnsi="宋体"/>
          <w:sz w:val="48"/>
          <w:szCs w:val="48"/>
        </w:rPr>
      </w:pPr>
    </w:p>
    <w:p w14:paraId="39832F92">
      <w:pPr>
        <w:widowControl/>
        <w:spacing w:line="360" w:lineRule="auto"/>
        <w:jc w:val="center"/>
        <w:rPr>
          <w:rFonts w:hint="default" w:ascii="宋体" w:hAnsi="宋体" w:eastAsia="宋体" w:cs="宋体"/>
          <w:b/>
          <w:bCs/>
          <w:kern w:val="0"/>
          <w:sz w:val="32"/>
          <w:szCs w:val="32"/>
          <w:u w:val="single"/>
          <w:lang w:val="en-US" w:eastAsia="zh-CN"/>
        </w:rPr>
      </w:pPr>
      <w:r>
        <w:rPr>
          <w:rFonts w:hint="eastAsia" w:ascii="宋体" w:hAnsi="宋体" w:cs="宋体"/>
          <w:b/>
          <w:bCs/>
          <w:kern w:val="0"/>
          <w:sz w:val="32"/>
          <w:szCs w:val="32"/>
        </w:rPr>
        <w:t>项目编号</w:t>
      </w:r>
      <w:r>
        <w:rPr>
          <w:rFonts w:hint="eastAsia" w:ascii="宋体" w:hAnsi="宋体" w:cs="宋体"/>
          <w:b/>
          <w:bCs/>
          <w:kern w:val="0"/>
          <w:sz w:val="32"/>
          <w:szCs w:val="32"/>
          <w:lang w:eastAsia="zh-CN"/>
        </w:rPr>
        <w:t>：FSCZB2025110378</w:t>
      </w:r>
    </w:p>
    <w:p w14:paraId="65DA9CB7">
      <w:pPr>
        <w:jc w:val="center"/>
        <w:rPr>
          <w:rFonts w:ascii="宋体" w:hAnsi="宋体"/>
          <w:sz w:val="48"/>
          <w:szCs w:val="48"/>
        </w:rPr>
      </w:pPr>
    </w:p>
    <w:p w14:paraId="2E2436E4">
      <w:pPr>
        <w:jc w:val="center"/>
        <w:rPr>
          <w:rFonts w:ascii="宋体" w:hAnsi="宋体"/>
          <w:sz w:val="48"/>
          <w:szCs w:val="48"/>
          <w:highlight w:val="none"/>
        </w:rPr>
      </w:pPr>
    </w:p>
    <w:p w14:paraId="2E0DAA5C">
      <w:pPr>
        <w:jc w:val="center"/>
        <w:rPr>
          <w:rFonts w:ascii="宋体" w:hAnsi="宋体"/>
          <w:sz w:val="48"/>
          <w:szCs w:val="48"/>
          <w:highlight w:val="none"/>
        </w:rPr>
      </w:pPr>
    </w:p>
    <w:p w14:paraId="238A9500">
      <w:pPr>
        <w:jc w:val="center"/>
        <w:rPr>
          <w:rFonts w:hint="default" w:ascii="宋体" w:hAnsi="Calibri" w:eastAsia="宋体" w:cs="Times New Roman"/>
          <w:b/>
          <w:bCs/>
          <w:color w:val="000000"/>
          <w:sz w:val="28"/>
          <w:szCs w:val="28"/>
          <w:highlight w:val="none"/>
          <w:lang w:val="en-US" w:eastAsia="zh-CN"/>
        </w:rPr>
      </w:pPr>
      <w:r>
        <w:rPr>
          <w:rFonts w:hint="eastAsia" w:ascii="宋体" w:hAnsi="宋体"/>
          <w:b/>
          <w:bCs/>
          <w:sz w:val="28"/>
          <w:szCs w:val="28"/>
          <w:highlight w:val="none"/>
        </w:rPr>
        <w:t>招 标 人：</w:t>
      </w:r>
      <w:r>
        <w:rPr>
          <w:rFonts w:hint="eastAsia" w:ascii="宋体" w:hAnsi="宋体" w:eastAsia="宋体" w:cs="Times New Roman"/>
          <w:b/>
          <w:bCs/>
          <w:color w:val="000000"/>
          <w:sz w:val="28"/>
          <w:szCs w:val="28"/>
          <w:highlight w:val="none"/>
        </w:rPr>
        <w:t>中国重汽集团</w:t>
      </w:r>
      <w:r>
        <w:rPr>
          <w:rFonts w:hint="eastAsia" w:ascii="宋体" w:hAnsi="宋体" w:cs="Times New Roman"/>
          <w:b/>
          <w:bCs/>
          <w:color w:val="000000"/>
          <w:sz w:val="28"/>
          <w:szCs w:val="28"/>
          <w:highlight w:val="none"/>
          <w:lang w:eastAsia="zh-CN"/>
        </w:rPr>
        <w:t>济南动力有限公司</w:t>
      </w:r>
    </w:p>
    <w:p w14:paraId="4AB0D8A6">
      <w:pPr>
        <w:jc w:val="center"/>
        <w:rPr>
          <w:rFonts w:ascii="宋体" w:hAnsi="宋体"/>
          <w:sz w:val="28"/>
          <w:szCs w:val="28"/>
          <w:highlight w:val="none"/>
        </w:rPr>
      </w:pPr>
    </w:p>
    <w:p w14:paraId="6617A57C">
      <w:pPr>
        <w:jc w:val="center"/>
        <w:rPr>
          <w:b/>
          <w:bCs/>
          <w:highlight w:val="none"/>
        </w:rPr>
      </w:pPr>
      <w:r>
        <w:rPr>
          <w:rFonts w:hint="eastAsia" w:ascii="宋体" w:hAnsi="宋体"/>
          <w:b/>
          <w:bCs/>
          <w:sz w:val="28"/>
          <w:szCs w:val="28"/>
          <w:highlight w:val="none"/>
          <w:u w:val="single"/>
          <w:lang w:val="en-US" w:eastAsia="zh-CN"/>
        </w:rPr>
        <w:t>2025</w:t>
      </w:r>
      <w:r>
        <w:rPr>
          <w:rFonts w:hint="eastAsia" w:ascii="宋体" w:hAnsi="宋体"/>
          <w:b/>
          <w:bCs/>
          <w:sz w:val="28"/>
          <w:szCs w:val="28"/>
          <w:highlight w:val="none"/>
          <w:u w:val="single"/>
        </w:rPr>
        <w:t>年</w:t>
      </w:r>
      <w:r>
        <w:rPr>
          <w:rFonts w:hint="eastAsia" w:ascii="宋体" w:hAnsi="宋体"/>
          <w:b/>
          <w:bCs/>
          <w:sz w:val="28"/>
          <w:szCs w:val="28"/>
          <w:highlight w:val="none"/>
          <w:u w:val="single"/>
          <w:lang w:val="en-US" w:eastAsia="zh-CN"/>
        </w:rPr>
        <w:t>12</w:t>
      </w:r>
      <w:r>
        <w:rPr>
          <w:rFonts w:hint="eastAsia" w:ascii="宋体" w:hAnsi="宋体"/>
          <w:b/>
          <w:bCs/>
          <w:sz w:val="28"/>
          <w:szCs w:val="28"/>
          <w:highlight w:val="none"/>
          <w:u w:val="single"/>
        </w:rPr>
        <w:t>月</w:t>
      </w:r>
    </w:p>
    <w:p w14:paraId="1D35E114">
      <w:pPr>
        <w:ind w:right="280"/>
        <w:jc w:val="center"/>
        <w:rPr>
          <w:sz w:val="28"/>
          <w:szCs w:val="28"/>
        </w:rPr>
      </w:pPr>
    </w:p>
    <w:p w14:paraId="1D00D660">
      <w:pPr>
        <w:jc w:val="right"/>
        <w:rPr>
          <w:sz w:val="28"/>
          <w:szCs w:val="28"/>
        </w:rPr>
      </w:pPr>
    </w:p>
    <w:p w14:paraId="54227E0B">
      <w:pPr>
        <w:spacing w:line="480" w:lineRule="auto"/>
        <w:jc w:val="center"/>
        <w:rPr>
          <w:rFonts w:ascii="宋体" w:hAnsi="宋体"/>
          <w:b/>
          <w:bCs/>
          <w:sz w:val="48"/>
          <w:szCs w:val="48"/>
        </w:rPr>
      </w:pPr>
    </w:p>
    <w:p w14:paraId="07B33A52">
      <w:pPr>
        <w:spacing w:line="480" w:lineRule="auto"/>
        <w:jc w:val="center"/>
        <w:rPr>
          <w:rFonts w:ascii="宋体" w:hAnsi="宋体"/>
          <w:b/>
          <w:bCs/>
          <w:sz w:val="48"/>
          <w:szCs w:val="48"/>
        </w:rPr>
      </w:pPr>
    </w:p>
    <w:p w14:paraId="6A548684">
      <w:pPr>
        <w:spacing w:line="480" w:lineRule="auto"/>
        <w:jc w:val="center"/>
        <w:rPr>
          <w:rFonts w:ascii="宋体" w:hAnsi="宋体"/>
          <w:b/>
          <w:bCs/>
          <w:sz w:val="48"/>
          <w:szCs w:val="48"/>
        </w:rPr>
      </w:pPr>
    </w:p>
    <w:p w14:paraId="6909D022">
      <w:pPr>
        <w:pStyle w:val="2"/>
        <w:spacing w:line="360" w:lineRule="auto"/>
        <w:rPr>
          <w:rFonts w:ascii="黑体" w:eastAsia="黑体"/>
          <w:b/>
          <w:bCs/>
          <w:sz w:val="36"/>
          <w:szCs w:val="36"/>
        </w:rPr>
      </w:pPr>
    </w:p>
    <w:p w14:paraId="7E7819C0">
      <w:pPr>
        <w:pStyle w:val="2"/>
        <w:spacing w:line="360" w:lineRule="auto"/>
        <w:rPr>
          <w:bCs/>
        </w:rPr>
      </w:pPr>
    </w:p>
    <w:p w14:paraId="2681F13D">
      <w:pPr>
        <w:pStyle w:val="2"/>
        <w:spacing w:line="360" w:lineRule="auto"/>
        <w:jc w:val="center"/>
      </w:pPr>
      <w:r>
        <w:rPr>
          <w:rFonts w:hint="eastAsia" w:ascii="黑体" w:eastAsia="黑体"/>
          <w:b/>
          <w:bCs/>
          <w:sz w:val="36"/>
          <w:szCs w:val="36"/>
        </w:rPr>
        <w:t>评标流程与标准</w:t>
      </w:r>
    </w:p>
    <w:p w14:paraId="2CB1352D">
      <w:pPr>
        <w:pStyle w:val="2"/>
        <w:spacing w:line="360" w:lineRule="auto"/>
        <w:ind w:firstLine="562" w:firstLineChars="200"/>
        <w:rPr>
          <w:rFonts w:ascii="黑体" w:hAnsi="黑体" w:eastAsia="黑体"/>
          <w:b/>
          <w:bCs/>
          <w:sz w:val="28"/>
          <w:szCs w:val="28"/>
        </w:rPr>
      </w:pPr>
      <w:r>
        <w:rPr>
          <w:rFonts w:hint="eastAsia" w:ascii="黑体" w:hAnsi="黑体" w:eastAsia="黑体"/>
          <w:b/>
          <w:bCs/>
          <w:sz w:val="28"/>
          <w:szCs w:val="28"/>
        </w:rPr>
        <w:t>一、评标流程</w:t>
      </w:r>
    </w:p>
    <w:p w14:paraId="354679DB">
      <w:pPr>
        <w:pStyle w:val="2"/>
        <w:spacing w:line="360" w:lineRule="auto"/>
        <w:ind w:firstLine="420" w:firstLineChars="200"/>
        <w:rPr>
          <w:rFonts w:hint="eastAsia" w:hAnsi="宋体"/>
          <w:szCs w:val="21"/>
        </w:rPr>
      </w:pPr>
      <w:r>
        <w:rPr>
          <w:rFonts w:hint="eastAsia" w:hAnsi="宋体"/>
          <w:szCs w:val="21"/>
        </w:rPr>
        <w:t>1.招标人将坚持“公开、公平、公正”原则，严格按照国家法律法规及公司规章制度要求，设立专家评审小组进行招标评审。由相关人员与专家组共同确定中标人。</w:t>
      </w:r>
    </w:p>
    <w:p w14:paraId="1E7A04BF">
      <w:pPr>
        <w:pStyle w:val="2"/>
        <w:spacing w:line="360" w:lineRule="auto"/>
        <w:ind w:firstLine="420" w:firstLineChars="200"/>
        <w:rPr>
          <w:rFonts w:hint="eastAsia" w:hAnsi="宋体"/>
          <w:szCs w:val="21"/>
        </w:rPr>
      </w:pPr>
      <w:r>
        <w:rPr>
          <w:rFonts w:hint="eastAsia" w:hAnsi="宋体"/>
          <w:szCs w:val="21"/>
        </w:rPr>
        <w:t>2.评标顺序：评审小组专家成员先进行资质审查，再进行唱标，随后进行技术部分评标，</w:t>
      </w:r>
      <w:r>
        <w:rPr>
          <w:rFonts w:hint="eastAsia" w:hAnsi="宋体"/>
          <w:szCs w:val="21"/>
          <w:lang w:val="en-US" w:eastAsia="zh-CN"/>
        </w:rPr>
        <w:t>样品质量偏离招标方技术标准低于80分直接淘汰，</w:t>
      </w:r>
      <w:r>
        <w:rPr>
          <w:rFonts w:hint="eastAsia" w:hAnsi="宋体"/>
          <w:szCs w:val="21"/>
        </w:rPr>
        <w:t>根据技术标评标结果决定入围商务标的名单。最后进行商务标评标，每轮商务部分得分=当前轮次最低价/当前轮次投标方投标价×100分，每轮根据技术部分及商务部分得分进行综合评定（技术部分评分占比40%，商务部分评分占比60%，</w:t>
      </w:r>
      <w:r>
        <w:rPr>
          <w:rFonts w:hint="eastAsia" w:hAnsi="宋体"/>
          <w:szCs w:val="21"/>
          <w:lang w:val="en-US" w:eastAsia="zh-CN"/>
        </w:rPr>
        <w:t>技术</w:t>
      </w:r>
      <w:r>
        <w:rPr>
          <w:rFonts w:hint="eastAsia" w:hAnsi="宋体"/>
          <w:szCs w:val="21"/>
        </w:rPr>
        <w:t>评分标准见下表，不保证最低价格中标），根据综合评定结果确定中标候选人，对未中标单位不做任何解释。</w:t>
      </w:r>
    </w:p>
    <w:p w14:paraId="3E211E66">
      <w:pPr>
        <w:pStyle w:val="2"/>
        <w:spacing w:line="360" w:lineRule="auto"/>
        <w:ind w:firstLine="562" w:firstLineChars="200"/>
        <w:rPr>
          <w:rFonts w:ascii="黑体" w:hAnsi="黑体" w:eastAsia="黑体"/>
          <w:b/>
          <w:bCs/>
          <w:sz w:val="28"/>
          <w:szCs w:val="28"/>
        </w:rPr>
      </w:pPr>
      <w:r>
        <w:rPr>
          <w:rFonts w:hint="eastAsia" w:ascii="黑体" w:hAnsi="黑体" w:eastAsia="黑体"/>
          <w:b/>
          <w:bCs/>
          <w:sz w:val="28"/>
          <w:szCs w:val="28"/>
        </w:rPr>
        <w:t>二、评分标准</w:t>
      </w:r>
    </w:p>
    <w:p w14:paraId="55D1A002">
      <w:pPr>
        <w:pStyle w:val="2"/>
        <w:spacing w:line="360" w:lineRule="auto"/>
        <w:ind w:firstLine="482" w:firstLineChars="200"/>
        <w:jc w:val="center"/>
        <w:rPr>
          <w:b/>
          <w:bCs/>
          <w:sz w:val="24"/>
          <w:szCs w:val="24"/>
        </w:rPr>
      </w:pPr>
      <w:r>
        <w:rPr>
          <w:rFonts w:hint="eastAsia"/>
          <w:b/>
          <w:sz w:val="24"/>
          <w:szCs w:val="24"/>
        </w:rPr>
        <w:t>技术</w:t>
      </w:r>
      <w:r>
        <w:rPr>
          <w:rFonts w:hint="eastAsia"/>
          <w:b/>
          <w:bCs/>
          <w:sz w:val="24"/>
          <w:szCs w:val="24"/>
        </w:rPr>
        <w:t>评分标准</w:t>
      </w:r>
    </w:p>
    <w:tbl>
      <w:tblPr>
        <w:tblStyle w:val="5"/>
        <w:tblW w:w="935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4"/>
        <w:gridCol w:w="7997"/>
      </w:tblGrid>
      <w:tr w14:paraId="2EE76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1354" w:type="dxa"/>
            <w:tcBorders>
              <w:top w:val="single" w:color="auto" w:sz="4" w:space="0"/>
              <w:left w:val="single" w:color="auto" w:sz="4" w:space="0"/>
              <w:bottom w:val="single" w:color="auto" w:sz="4" w:space="0"/>
              <w:right w:val="single" w:color="auto" w:sz="4" w:space="0"/>
            </w:tcBorders>
            <w:vAlign w:val="center"/>
          </w:tcPr>
          <w:p w14:paraId="66F6F0DA">
            <w:pPr>
              <w:pStyle w:val="2"/>
              <w:jc w:val="center"/>
              <w:rPr>
                <w:rFonts w:hAnsi="宋体"/>
                <w:bCs/>
                <w:sz w:val="20"/>
                <w:szCs w:val="28"/>
              </w:rPr>
            </w:pPr>
            <w:r>
              <w:rPr>
                <w:rFonts w:hint="eastAsia" w:hAnsi="宋体"/>
                <w:bCs/>
                <w:sz w:val="20"/>
                <w:szCs w:val="28"/>
              </w:rPr>
              <w:t>评分内容</w:t>
            </w:r>
          </w:p>
        </w:tc>
        <w:tc>
          <w:tcPr>
            <w:tcW w:w="7997" w:type="dxa"/>
            <w:tcBorders>
              <w:top w:val="single" w:color="auto" w:sz="4" w:space="0"/>
              <w:left w:val="single" w:color="auto" w:sz="4" w:space="0"/>
              <w:bottom w:val="single" w:color="auto" w:sz="4" w:space="0"/>
              <w:right w:val="single" w:color="auto" w:sz="4" w:space="0"/>
            </w:tcBorders>
            <w:vAlign w:val="center"/>
          </w:tcPr>
          <w:p w14:paraId="4BD23E48">
            <w:pPr>
              <w:pStyle w:val="2"/>
              <w:jc w:val="center"/>
              <w:rPr>
                <w:rFonts w:hAnsi="宋体"/>
                <w:bCs/>
                <w:sz w:val="20"/>
                <w:szCs w:val="28"/>
              </w:rPr>
            </w:pPr>
            <w:r>
              <w:rPr>
                <w:rFonts w:hint="eastAsia" w:hAnsi="宋体"/>
                <w:bCs/>
                <w:sz w:val="20"/>
                <w:szCs w:val="28"/>
              </w:rPr>
              <w:t>评分标准</w:t>
            </w:r>
          </w:p>
        </w:tc>
      </w:tr>
      <w:tr w14:paraId="33C63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1354" w:type="dxa"/>
            <w:tcBorders>
              <w:top w:val="single" w:color="auto" w:sz="4" w:space="0"/>
              <w:left w:val="single" w:color="auto" w:sz="4" w:space="0"/>
              <w:bottom w:val="single" w:color="auto" w:sz="4" w:space="0"/>
              <w:right w:val="single" w:color="auto" w:sz="4" w:space="0"/>
            </w:tcBorders>
            <w:vAlign w:val="center"/>
          </w:tcPr>
          <w:p w14:paraId="37624F0F">
            <w:pPr>
              <w:pStyle w:val="2"/>
              <w:jc w:val="center"/>
              <w:rPr>
                <w:rFonts w:hAnsi="宋体"/>
                <w:bCs/>
                <w:sz w:val="20"/>
                <w:szCs w:val="28"/>
              </w:rPr>
            </w:pPr>
            <w:r>
              <w:rPr>
                <w:rFonts w:hint="eastAsia" w:hAnsi="宋体"/>
                <w:bCs/>
                <w:sz w:val="20"/>
                <w:szCs w:val="28"/>
              </w:rPr>
              <w:t>产品质量</w:t>
            </w:r>
          </w:p>
          <w:p w14:paraId="4743F5BE">
            <w:pPr>
              <w:pStyle w:val="2"/>
              <w:jc w:val="center"/>
              <w:rPr>
                <w:rFonts w:hAnsi="宋体"/>
                <w:bCs/>
                <w:sz w:val="20"/>
                <w:szCs w:val="28"/>
              </w:rPr>
            </w:pPr>
            <w:r>
              <w:rPr>
                <w:rFonts w:hint="eastAsia" w:hAnsi="宋体"/>
                <w:bCs/>
                <w:sz w:val="20"/>
                <w:szCs w:val="28"/>
              </w:rPr>
              <w:t>（</w:t>
            </w:r>
            <w:r>
              <w:rPr>
                <w:rFonts w:hint="eastAsia" w:hAnsi="宋体"/>
                <w:bCs/>
                <w:sz w:val="20"/>
                <w:szCs w:val="28"/>
                <w:lang w:val="en-US" w:eastAsia="zh-CN"/>
              </w:rPr>
              <w:t>50</w:t>
            </w:r>
            <w:r>
              <w:rPr>
                <w:rFonts w:hint="eastAsia" w:hAnsi="宋体"/>
                <w:bCs/>
                <w:sz w:val="20"/>
                <w:szCs w:val="28"/>
              </w:rPr>
              <w:t>分）</w:t>
            </w:r>
          </w:p>
        </w:tc>
        <w:tc>
          <w:tcPr>
            <w:tcW w:w="7997" w:type="dxa"/>
            <w:tcBorders>
              <w:top w:val="single" w:color="auto" w:sz="4" w:space="0"/>
              <w:left w:val="single" w:color="auto" w:sz="4" w:space="0"/>
              <w:bottom w:val="single" w:color="auto" w:sz="4" w:space="0"/>
              <w:right w:val="single" w:color="auto" w:sz="4" w:space="0"/>
            </w:tcBorders>
          </w:tcPr>
          <w:p w14:paraId="33C4D6A5">
            <w:pPr>
              <w:pStyle w:val="2"/>
              <w:jc w:val="left"/>
              <w:rPr>
                <w:rFonts w:hAnsi="宋体" w:cs="宋体"/>
                <w:kern w:val="0"/>
                <w:sz w:val="20"/>
                <w:szCs w:val="28"/>
              </w:rPr>
            </w:pPr>
            <w:r>
              <w:rPr>
                <w:rFonts w:hint="eastAsia" w:hAnsi="宋体" w:cs="宋体"/>
                <w:kern w:val="0"/>
                <w:sz w:val="20"/>
                <w:szCs w:val="28"/>
              </w:rPr>
              <w:t>投标单位根据</w:t>
            </w:r>
            <w:r>
              <w:rPr>
                <w:rFonts w:hint="eastAsia" w:hAnsi="宋体" w:cs="宋体"/>
                <w:b/>
                <w:kern w:val="0"/>
                <w:sz w:val="20"/>
                <w:szCs w:val="28"/>
              </w:rPr>
              <w:t>样品清单</w:t>
            </w:r>
            <w:r>
              <w:rPr>
                <w:rFonts w:hint="eastAsia" w:hAnsi="宋体" w:cs="宋体"/>
                <w:kern w:val="0"/>
                <w:sz w:val="20"/>
                <w:szCs w:val="28"/>
              </w:rPr>
              <w:t>要求，务必携带投标相关样品，</w:t>
            </w:r>
            <w:r>
              <w:rPr>
                <w:rFonts w:hint="eastAsia" w:hAnsi="宋体"/>
                <w:bCs/>
                <w:sz w:val="20"/>
                <w:szCs w:val="28"/>
              </w:rPr>
              <w:t>中标厂家提供的样品需封样，如中标后发现实际采购与样品不符，一次性扣除履约保证金并纳入供应商黑名单。样品请供应商自备纸箱或捆扎类器具，便于封存。</w:t>
            </w:r>
          </w:p>
          <w:p w14:paraId="57B6B068">
            <w:pPr>
              <w:pStyle w:val="2"/>
              <w:ind w:firstLine="200" w:firstLineChars="100"/>
              <w:jc w:val="left"/>
              <w:rPr>
                <w:rFonts w:hAnsi="宋体" w:cs="宋体"/>
                <w:kern w:val="0"/>
                <w:sz w:val="20"/>
                <w:szCs w:val="28"/>
              </w:rPr>
            </w:pPr>
            <w:r>
              <w:rPr>
                <w:rFonts w:hint="eastAsia" w:hAnsi="宋体"/>
                <w:bCs/>
                <w:sz w:val="20"/>
                <w:szCs w:val="28"/>
              </w:rPr>
              <w:t>经综合评定携带投标样品种类齐全、质量为“优”的，赋</w:t>
            </w:r>
            <w:r>
              <w:rPr>
                <w:rFonts w:hint="eastAsia" w:hAnsi="宋体"/>
                <w:bCs/>
                <w:sz w:val="20"/>
                <w:szCs w:val="28"/>
                <w:lang w:val="en-US" w:eastAsia="zh-CN"/>
              </w:rPr>
              <w:t>4</w:t>
            </w:r>
            <w:r>
              <w:rPr>
                <w:rFonts w:hAnsi="宋体"/>
                <w:bCs/>
                <w:sz w:val="20"/>
                <w:szCs w:val="28"/>
              </w:rPr>
              <w:t>0</w:t>
            </w:r>
            <w:r>
              <w:rPr>
                <w:rFonts w:hint="eastAsia" w:hAnsi="宋体"/>
                <w:bCs/>
                <w:sz w:val="20"/>
                <w:szCs w:val="28"/>
              </w:rPr>
              <w:t>～</w:t>
            </w:r>
            <w:r>
              <w:rPr>
                <w:rFonts w:hint="eastAsia" w:hAnsi="宋体"/>
                <w:bCs/>
                <w:sz w:val="20"/>
                <w:szCs w:val="28"/>
                <w:lang w:val="en-US" w:eastAsia="zh-CN"/>
              </w:rPr>
              <w:t>50</w:t>
            </w:r>
            <w:r>
              <w:rPr>
                <w:rFonts w:hint="eastAsia" w:hAnsi="宋体"/>
                <w:bCs/>
                <w:sz w:val="20"/>
                <w:szCs w:val="28"/>
              </w:rPr>
              <w:t>分；情况为“良”的，赋</w:t>
            </w:r>
            <w:r>
              <w:rPr>
                <w:rFonts w:hint="eastAsia" w:hAnsi="宋体"/>
                <w:bCs/>
                <w:sz w:val="20"/>
                <w:szCs w:val="28"/>
                <w:lang w:val="en-US" w:eastAsia="zh-CN"/>
              </w:rPr>
              <w:t>30</w:t>
            </w:r>
            <w:r>
              <w:rPr>
                <w:rFonts w:hint="eastAsia" w:hAnsi="宋体"/>
                <w:bCs/>
                <w:sz w:val="20"/>
                <w:szCs w:val="28"/>
              </w:rPr>
              <w:t>～</w:t>
            </w:r>
            <w:r>
              <w:rPr>
                <w:rFonts w:hint="eastAsia" w:hAnsi="宋体"/>
                <w:bCs/>
                <w:sz w:val="20"/>
                <w:szCs w:val="28"/>
                <w:lang w:val="en-US" w:eastAsia="zh-CN"/>
              </w:rPr>
              <w:t>39</w:t>
            </w:r>
            <w:r>
              <w:rPr>
                <w:rFonts w:hint="eastAsia" w:hAnsi="宋体"/>
                <w:bCs/>
                <w:sz w:val="20"/>
                <w:szCs w:val="28"/>
              </w:rPr>
              <w:t>分；情况为“一般”的，赋</w:t>
            </w:r>
            <w:r>
              <w:rPr>
                <w:rFonts w:hint="eastAsia" w:hAnsi="宋体"/>
                <w:bCs/>
                <w:sz w:val="20"/>
                <w:szCs w:val="28"/>
                <w:lang w:val="en-US" w:eastAsia="zh-CN"/>
              </w:rPr>
              <w:t>29</w:t>
            </w:r>
            <w:r>
              <w:rPr>
                <w:rFonts w:hint="eastAsia" w:hAnsi="宋体"/>
                <w:bCs/>
                <w:sz w:val="20"/>
                <w:szCs w:val="28"/>
              </w:rPr>
              <w:t>分及以下，不提供样品为0分。</w:t>
            </w:r>
          </w:p>
        </w:tc>
      </w:tr>
      <w:tr w14:paraId="23508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354" w:type="dxa"/>
            <w:tcBorders>
              <w:top w:val="single" w:color="auto" w:sz="4" w:space="0"/>
              <w:left w:val="single" w:color="auto" w:sz="4" w:space="0"/>
              <w:bottom w:val="single" w:color="auto" w:sz="4" w:space="0"/>
              <w:right w:val="single" w:color="auto" w:sz="4" w:space="0"/>
            </w:tcBorders>
            <w:vAlign w:val="center"/>
          </w:tcPr>
          <w:p w14:paraId="6E59CB78">
            <w:pPr>
              <w:pStyle w:val="2"/>
              <w:jc w:val="center"/>
              <w:rPr>
                <w:rFonts w:hAnsi="宋体"/>
                <w:bCs/>
                <w:sz w:val="20"/>
                <w:szCs w:val="28"/>
              </w:rPr>
            </w:pPr>
            <w:r>
              <w:rPr>
                <w:rFonts w:hint="eastAsia" w:hAnsi="宋体"/>
                <w:bCs/>
                <w:sz w:val="20"/>
                <w:szCs w:val="28"/>
              </w:rPr>
              <w:t>履约能力</w:t>
            </w:r>
          </w:p>
          <w:p w14:paraId="71E26F99">
            <w:pPr>
              <w:pStyle w:val="2"/>
              <w:jc w:val="center"/>
              <w:rPr>
                <w:rFonts w:hAnsi="宋体"/>
                <w:bCs/>
                <w:sz w:val="20"/>
                <w:szCs w:val="28"/>
              </w:rPr>
            </w:pPr>
            <w:r>
              <w:rPr>
                <w:rFonts w:hint="eastAsia" w:hAnsi="宋体"/>
                <w:bCs/>
                <w:sz w:val="20"/>
                <w:szCs w:val="28"/>
              </w:rPr>
              <w:t>（</w:t>
            </w:r>
            <w:r>
              <w:rPr>
                <w:rFonts w:hint="eastAsia" w:hAnsi="宋体"/>
                <w:bCs/>
                <w:sz w:val="20"/>
                <w:szCs w:val="28"/>
                <w:lang w:val="en-US" w:eastAsia="zh-CN"/>
              </w:rPr>
              <w:t>2</w:t>
            </w:r>
            <w:r>
              <w:rPr>
                <w:rFonts w:hAnsi="宋体"/>
                <w:bCs/>
                <w:sz w:val="20"/>
                <w:szCs w:val="28"/>
              </w:rPr>
              <w:t>0</w:t>
            </w:r>
            <w:r>
              <w:rPr>
                <w:rFonts w:hint="eastAsia" w:hAnsi="宋体"/>
                <w:bCs/>
                <w:sz w:val="20"/>
                <w:szCs w:val="28"/>
              </w:rPr>
              <w:t>分）</w:t>
            </w:r>
          </w:p>
        </w:tc>
        <w:tc>
          <w:tcPr>
            <w:tcW w:w="7997" w:type="dxa"/>
            <w:tcBorders>
              <w:top w:val="single" w:color="auto" w:sz="4" w:space="0"/>
              <w:left w:val="single" w:color="auto" w:sz="4" w:space="0"/>
              <w:bottom w:val="single" w:color="auto" w:sz="4" w:space="0"/>
              <w:right w:val="single" w:color="auto" w:sz="4" w:space="0"/>
            </w:tcBorders>
          </w:tcPr>
          <w:p w14:paraId="653BF9CA">
            <w:pPr>
              <w:pStyle w:val="2"/>
              <w:jc w:val="left"/>
              <w:rPr>
                <w:rFonts w:hAnsi="宋体"/>
                <w:bCs/>
                <w:sz w:val="20"/>
                <w:szCs w:val="28"/>
              </w:rPr>
            </w:pPr>
            <w:r>
              <w:rPr>
                <w:rFonts w:hint="eastAsia" w:hAnsi="宋体" w:cs="宋体"/>
                <w:kern w:val="0"/>
                <w:sz w:val="20"/>
                <w:szCs w:val="28"/>
              </w:rPr>
              <w:t>根据投标单位的规模、公司总人数及相关物料设备数量进行评分，如弄虚作假行为，一经发现</w:t>
            </w:r>
            <w:r>
              <w:rPr>
                <w:rFonts w:hint="eastAsia" w:hAnsi="宋体"/>
                <w:bCs/>
                <w:sz w:val="20"/>
                <w:szCs w:val="28"/>
              </w:rPr>
              <w:t>一次性扣除履约保证金并纳入供应商黑名单。</w:t>
            </w:r>
          </w:p>
          <w:p w14:paraId="4B52BC20">
            <w:pPr>
              <w:pStyle w:val="2"/>
              <w:ind w:firstLine="200" w:firstLineChars="100"/>
              <w:jc w:val="left"/>
              <w:rPr>
                <w:rFonts w:hAnsi="宋体" w:cs="宋体"/>
                <w:kern w:val="0"/>
                <w:sz w:val="20"/>
                <w:szCs w:val="28"/>
              </w:rPr>
            </w:pPr>
            <w:r>
              <w:rPr>
                <w:rFonts w:hint="eastAsia" w:hAnsi="宋体"/>
                <w:bCs/>
                <w:sz w:val="20"/>
                <w:szCs w:val="28"/>
              </w:rPr>
              <w:t>经综合评定：</w:t>
            </w:r>
          </w:p>
          <w:p w14:paraId="02B7F2F1">
            <w:pPr>
              <w:pStyle w:val="2"/>
              <w:jc w:val="left"/>
              <w:rPr>
                <w:rFonts w:hAnsi="宋体" w:cs="宋体"/>
                <w:kern w:val="0"/>
                <w:sz w:val="20"/>
                <w:szCs w:val="28"/>
              </w:rPr>
            </w:pPr>
            <w:r>
              <w:rPr>
                <w:rFonts w:hint="eastAsia" w:hAnsi="宋体" w:cs="宋体"/>
                <w:kern w:val="0"/>
                <w:sz w:val="20"/>
                <w:szCs w:val="28"/>
              </w:rPr>
              <w:t>1、投标厂家正式在职人员大于5</w:t>
            </w:r>
            <w:r>
              <w:rPr>
                <w:rFonts w:hAnsi="宋体" w:cs="宋体"/>
                <w:kern w:val="0"/>
                <w:sz w:val="20"/>
                <w:szCs w:val="28"/>
              </w:rPr>
              <w:t>0</w:t>
            </w:r>
            <w:r>
              <w:rPr>
                <w:rFonts w:hint="eastAsia" w:hAnsi="宋体" w:cs="宋体"/>
                <w:kern w:val="0"/>
                <w:sz w:val="20"/>
                <w:szCs w:val="28"/>
              </w:rPr>
              <w:t>人以上（需提供缴纳社保证明），能提供购买操作设备的合同原件、发票等证明材料完整且规模较大，</w:t>
            </w:r>
            <w:r>
              <w:rPr>
                <w:rFonts w:hint="eastAsia" w:hAnsi="宋体"/>
                <w:bCs/>
                <w:sz w:val="20"/>
                <w:szCs w:val="28"/>
              </w:rPr>
              <w:t>综合实力为“优”的，赋</w:t>
            </w:r>
            <w:r>
              <w:rPr>
                <w:rFonts w:hint="eastAsia" w:hAnsi="宋体"/>
                <w:bCs/>
                <w:sz w:val="20"/>
                <w:szCs w:val="28"/>
                <w:lang w:val="en-US" w:eastAsia="zh-CN"/>
              </w:rPr>
              <w:t>16</w:t>
            </w:r>
            <w:r>
              <w:rPr>
                <w:rFonts w:hint="eastAsia" w:hAnsi="宋体"/>
                <w:bCs/>
                <w:sz w:val="20"/>
                <w:szCs w:val="28"/>
              </w:rPr>
              <w:t>～</w:t>
            </w:r>
            <w:r>
              <w:rPr>
                <w:rFonts w:hint="eastAsia" w:hAnsi="宋体"/>
                <w:bCs/>
                <w:sz w:val="20"/>
                <w:szCs w:val="28"/>
                <w:lang w:val="en-US" w:eastAsia="zh-CN"/>
              </w:rPr>
              <w:t>2</w:t>
            </w:r>
            <w:r>
              <w:rPr>
                <w:rFonts w:hAnsi="宋体"/>
                <w:bCs/>
                <w:sz w:val="20"/>
                <w:szCs w:val="28"/>
              </w:rPr>
              <w:t>0</w:t>
            </w:r>
            <w:r>
              <w:rPr>
                <w:rFonts w:hint="eastAsia" w:hAnsi="宋体"/>
                <w:bCs/>
                <w:sz w:val="20"/>
                <w:szCs w:val="28"/>
              </w:rPr>
              <w:t>分；</w:t>
            </w:r>
          </w:p>
          <w:p w14:paraId="2DAB6422">
            <w:pPr>
              <w:pStyle w:val="2"/>
              <w:jc w:val="left"/>
              <w:rPr>
                <w:rFonts w:hAnsi="宋体"/>
                <w:bCs/>
                <w:sz w:val="20"/>
                <w:szCs w:val="28"/>
              </w:rPr>
            </w:pPr>
            <w:r>
              <w:rPr>
                <w:rFonts w:hint="eastAsia" w:hAnsi="宋体" w:cs="宋体"/>
                <w:kern w:val="0"/>
                <w:sz w:val="20"/>
                <w:szCs w:val="28"/>
              </w:rPr>
              <w:t>2、投标厂家正式在职人员大于</w:t>
            </w:r>
            <w:r>
              <w:rPr>
                <w:rFonts w:hAnsi="宋体" w:cs="宋体"/>
                <w:kern w:val="0"/>
                <w:sz w:val="20"/>
                <w:szCs w:val="28"/>
              </w:rPr>
              <w:t>30</w:t>
            </w:r>
            <w:r>
              <w:rPr>
                <w:rFonts w:hint="eastAsia" w:hAnsi="宋体" w:cs="宋体"/>
                <w:kern w:val="0"/>
                <w:sz w:val="20"/>
                <w:szCs w:val="28"/>
              </w:rPr>
              <w:t>人以上（需提缴纳供社保证明），能提供购买操作设备的合同原件、发票等证明材料完整且规模一般，</w:t>
            </w:r>
            <w:r>
              <w:rPr>
                <w:rFonts w:hint="eastAsia" w:hAnsi="宋体"/>
                <w:bCs/>
                <w:sz w:val="20"/>
                <w:szCs w:val="28"/>
              </w:rPr>
              <w:t>综合实力为“良”的，赋</w:t>
            </w:r>
            <w:r>
              <w:rPr>
                <w:rFonts w:hint="eastAsia" w:hAnsi="宋体"/>
                <w:bCs/>
                <w:sz w:val="20"/>
                <w:szCs w:val="28"/>
                <w:lang w:val="en-US" w:eastAsia="zh-CN"/>
              </w:rPr>
              <w:t>10</w:t>
            </w:r>
            <w:r>
              <w:rPr>
                <w:rFonts w:hint="eastAsia" w:hAnsi="宋体"/>
                <w:bCs/>
                <w:sz w:val="20"/>
                <w:szCs w:val="28"/>
              </w:rPr>
              <w:t>～</w:t>
            </w:r>
            <w:r>
              <w:rPr>
                <w:rFonts w:hint="eastAsia" w:hAnsi="宋体"/>
                <w:bCs/>
                <w:sz w:val="20"/>
                <w:szCs w:val="28"/>
                <w:lang w:val="en-US" w:eastAsia="zh-CN"/>
              </w:rPr>
              <w:t>15</w:t>
            </w:r>
            <w:r>
              <w:rPr>
                <w:rFonts w:hint="eastAsia" w:hAnsi="宋体"/>
                <w:bCs/>
                <w:sz w:val="20"/>
                <w:szCs w:val="28"/>
              </w:rPr>
              <w:t>分；</w:t>
            </w:r>
          </w:p>
          <w:p w14:paraId="074AE52A">
            <w:pPr>
              <w:pStyle w:val="2"/>
              <w:jc w:val="left"/>
              <w:rPr>
                <w:rFonts w:hAnsi="宋体" w:cs="宋体"/>
                <w:kern w:val="0"/>
                <w:sz w:val="20"/>
                <w:szCs w:val="28"/>
              </w:rPr>
            </w:pPr>
            <w:r>
              <w:rPr>
                <w:rFonts w:hAnsi="宋体"/>
                <w:bCs/>
                <w:sz w:val="20"/>
                <w:szCs w:val="28"/>
              </w:rPr>
              <w:t>3</w:t>
            </w:r>
            <w:r>
              <w:rPr>
                <w:rFonts w:hint="eastAsia" w:hAnsi="宋体"/>
                <w:bCs/>
                <w:sz w:val="20"/>
                <w:szCs w:val="28"/>
              </w:rPr>
              <w:t>、</w:t>
            </w:r>
            <w:r>
              <w:rPr>
                <w:rFonts w:hint="eastAsia" w:hAnsi="宋体" w:cs="宋体"/>
                <w:kern w:val="0"/>
                <w:sz w:val="20"/>
                <w:szCs w:val="28"/>
              </w:rPr>
              <w:t>投标厂家正式在职人员小于</w:t>
            </w:r>
            <w:r>
              <w:rPr>
                <w:rFonts w:hAnsi="宋体" w:cs="宋体"/>
                <w:kern w:val="0"/>
                <w:sz w:val="20"/>
                <w:szCs w:val="28"/>
              </w:rPr>
              <w:t>30</w:t>
            </w:r>
            <w:r>
              <w:rPr>
                <w:rFonts w:hint="eastAsia" w:hAnsi="宋体" w:cs="宋体"/>
                <w:kern w:val="0"/>
                <w:sz w:val="20"/>
                <w:szCs w:val="28"/>
              </w:rPr>
              <w:t>人（需提供缴纳社保证明），能提供购买操作设备的合同原件、发票等证明材料完整且规模较小，</w:t>
            </w:r>
            <w:r>
              <w:rPr>
                <w:rFonts w:hint="eastAsia" w:hAnsi="宋体"/>
                <w:bCs/>
                <w:sz w:val="20"/>
                <w:szCs w:val="28"/>
              </w:rPr>
              <w:t>综合实力为“一般”的，赋</w:t>
            </w:r>
            <w:r>
              <w:rPr>
                <w:rFonts w:hAnsi="宋体"/>
                <w:bCs/>
                <w:sz w:val="20"/>
                <w:szCs w:val="28"/>
              </w:rPr>
              <w:t>0</w:t>
            </w:r>
            <w:r>
              <w:rPr>
                <w:rFonts w:hint="eastAsia" w:hAnsi="宋体"/>
                <w:bCs/>
                <w:sz w:val="20"/>
                <w:szCs w:val="28"/>
              </w:rPr>
              <w:t>～</w:t>
            </w:r>
            <w:r>
              <w:rPr>
                <w:rFonts w:hint="eastAsia" w:hAnsi="宋体"/>
                <w:bCs/>
                <w:sz w:val="20"/>
                <w:szCs w:val="28"/>
                <w:lang w:val="en-US" w:eastAsia="zh-CN"/>
              </w:rPr>
              <w:t>9</w:t>
            </w:r>
            <w:r>
              <w:rPr>
                <w:rFonts w:hint="eastAsia" w:hAnsi="宋体"/>
                <w:bCs/>
                <w:sz w:val="20"/>
                <w:szCs w:val="28"/>
              </w:rPr>
              <w:t>分；</w:t>
            </w:r>
          </w:p>
          <w:p w14:paraId="233D85FC">
            <w:pPr>
              <w:pStyle w:val="2"/>
              <w:jc w:val="left"/>
              <w:rPr>
                <w:rFonts w:hAnsi="宋体" w:cs="宋体"/>
                <w:kern w:val="0"/>
                <w:sz w:val="20"/>
                <w:szCs w:val="28"/>
              </w:rPr>
            </w:pPr>
            <w:r>
              <w:rPr>
                <w:rFonts w:hAnsi="宋体" w:cs="宋体"/>
                <w:b/>
                <w:kern w:val="0"/>
                <w:sz w:val="20"/>
                <w:szCs w:val="28"/>
              </w:rPr>
              <w:t>4</w:t>
            </w:r>
            <w:r>
              <w:rPr>
                <w:rFonts w:hint="eastAsia" w:hAnsi="宋体" w:cs="宋体"/>
                <w:b/>
                <w:kern w:val="0"/>
                <w:sz w:val="20"/>
                <w:szCs w:val="28"/>
              </w:rPr>
              <w:t>、无法证明厂家履约能力且不提供证明材料的</w:t>
            </w:r>
            <w:r>
              <w:rPr>
                <w:rFonts w:hint="eastAsia" w:hAnsi="宋体"/>
                <w:b/>
                <w:bCs/>
                <w:sz w:val="20"/>
                <w:szCs w:val="28"/>
              </w:rPr>
              <w:t>，即认为无效投标，取消参标资格。</w:t>
            </w:r>
          </w:p>
        </w:tc>
      </w:tr>
      <w:tr w14:paraId="507D8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1354" w:type="dxa"/>
            <w:tcBorders>
              <w:top w:val="single" w:color="auto" w:sz="4" w:space="0"/>
              <w:left w:val="single" w:color="auto" w:sz="4" w:space="0"/>
              <w:bottom w:val="single" w:color="auto" w:sz="4" w:space="0"/>
              <w:right w:val="single" w:color="auto" w:sz="4" w:space="0"/>
            </w:tcBorders>
          </w:tcPr>
          <w:p w14:paraId="70B4DB75">
            <w:pPr>
              <w:pStyle w:val="2"/>
              <w:jc w:val="center"/>
              <w:rPr>
                <w:rFonts w:hAnsi="宋体"/>
                <w:bCs/>
                <w:sz w:val="20"/>
                <w:szCs w:val="28"/>
              </w:rPr>
            </w:pPr>
            <w:r>
              <w:rPr>
                <w:rFonts w:hint="eastAsia" w:hAnsi="宋体"/>
                <w:bCs/>
                <w:sz w:val="20"/>
                <w:szCs w:val="28"/>
              </w:rPr>
              <w:t>设计能力及人员配备情况（</w:t>
            </w:r>
            <w:r>
              <w:rPr>
                <w:rFonts w:hint="eastAsia" w:hAnsi="宋体"/>
                <w:bCs/>
                <w:sz w:val="20"/>
                <w:szCs w:val="28"/>
                <w:lang w:val="en-US" w:eastAsia="zh-CN"/>
              </w:rPr>
              <w:t>2</w:t>
            </w:r>
            <w:r>
              <w:rPr>
                <w:rFonts w:hAnsi="宋体"/>
                <w:bCs/>
                <w:sz w:val="20"/>
                <w:szCs w:val="28"/>
              </w:rPr>
              <w:t>0</w:t>
            </w:r>
            <w:r>
              <w:rPr>
                <w:rFonts w:hint="eastAsia" w:hAnsi="宋体"/>
                <w:bCs/>
                <w:sz w:val="20"/>
                <w:szCs w:val="28"/>
              </w:rPr>
              <w:t>分）</w:t>
            </w:r>
          </w:p>
        </w:tc>
        <w:tc>
          <w:tcPr>
            <w:tcW w:w="7997" w:type="dxa"/>
            <w:tcBorders>
              <w:top w:val="single" w:color="auto" w:sz="4" w:space="0"/>
              <w:left w:val="single" w:color="auto" w:sz="4" w:space="0"/>
              <w:bottom w:val="single" w:color="auto" w:sz="4" w:space="0"/>
              <w:right w:val="single" w:color="auto" w:sz="4" w:space="0"/>
            </w:tcBorders>
          </w:tcPr>
          <w:p w14:paraId="5949A6B4">
            <w:pPr>
              <w:pStyle w:val="2"/>
              <w:jc w:val="left"/>
              <w:rPr>
                <w:rFonts w:hAnsi="宋体" w:cs="宋体"/>
                <w:kern w:val="0"/>
                <w:sz w:val="20"/>
                <w:szCs w:val="28"/>
              </w:rPr>
            </w:pPr>
            <w:r>
              <w:rPr>
                <w:rFonts w:hint="eastAsia" w:hAnsi="宋体" w:cs="宋体"/>
                <w:kern w:val="0"/>
                <w:sz w:val="20"/>
                <w:szCs w:val="28"/>
              </w:rPr>
              <w:t>投标单位需具备一定水平的设计及排版能力人员，请投标单位在标书内明确现阶段本公司设计人员的数量及证明其设计水平的相关作品。</w:t>
            </w:r>
          </w:p>
          <w:p w14:paraId="1C777AE1">
            <w:pPr>
              <w:pStyle w:val="2"/>
              <w:ind w:firstLine="400" w:firstLineChars="200"/>
              <w:jc w:val="left"/>
              <w:rPr>
                <w:rFonts w:hAnsi="宋体"/>
                <w:bCs/>
                <w:sz w:val="20"/>
                <w:szCs w:val="28"/>
              </w:rPr>
            </w:pPr>
            <w:r>
              <w:rPr>
                <w:rFonts w:hint="eastAsia" w:hAnsi="宋体"/>
                <w:bCs/>
                <w:sz w:val="20"/>
                <w:szCs w:val="28"/>
              </w:rPr>
              <w:t>经综合评定设计服务能力为“优”的，赋</w:t>
            </w:r>
            <w:r>
              <w:rPr>
                <w:rFonts w:hint="eastAsia" w:hAnsi="宋体"/>
                <w:bCs/>
                <w:sz w:val="20"/>
                <w:szCs w:val="28"/>
                <w:lang w:val="en-US" w:eastAsia="zh-CN"/>
              </w:rPr>
              <w:t>16</w:t>
            </w:r>
            <w:r>
              <w:rPr>
                <w:rFonts w:hint="eastAsia" w:hAnsi="宋体"/>
                <w:bCs/>
                <w:sz w:val="20"/>
                <w:szCs w:val="28"/>
              </w:rPr>
              <w:t>～</w:t>
            </w:r>
            <w:r>
              <w:rPr>
                <w:rFonts w:hint="eastAsia" w:hAnsi="宋体"/>
                <w:bCs/>
                <w:sz w:val="20"/>
                <w:szCs w:val="28"/>
                <w:lang w:val="en-US" w:eastAsia="zh-CN"/>
              </w:rPr>
              <w:t>2</w:t>
            </w:r>
            <w:r>
              <w:rPr>
                <w:rFonts w:hAnsi="宋体"/>
                <w:bCs/>
                <w:sz w:val="20"/>
                <w:szCs w:val="28"/>
              </w:rPr>
              <w:t>0</w:t>
            </w:r>
            <w:r>
              <w:rPr>
                <w:rFonts w:hint="eastAsia" w:hAnsi="宋体"/>
                <w:bCs/>
                <w:sz w:val="20"/>
                <w:szCs w:val="28"/>
              </w:rPr>
              <w:t>分；情况为“良”的，赋</w:t>
            </w:r>
            <w:r>
              <w:rPr>
                <w:rFonts w:hint="eastAsia" w:hAnsi="宋体"/>
                <w:bCs/>
                <w:sz w:val="20"/>
                <w:szCs w:val="28"/>
                <w:lang w:val="en-US" w:eastAsia="zh-CN"/>
              </w:rPr>
              <w:t>10</w:t>
            </w:r>
            <w:r>
              <w:rPr>
                <w:rFonts w:hint="eastAsia" w:hAnsi="宋体"/>
                <w:bCs/>
                <w:sz w:val="20"/>
                <w:szCs w:val="28"/>
              </w:rPr>
              <w:t>～</w:t>
            </w:r>
            <w:r>
              <w:rPr>
                <w:rFonts w:hint="eastAsia" w:hAnsi="宋体"/>
                <w:bCs/>
                <w:sz w:val="20"/>
                <w:szCs w:val="28"/>
                <w:lang w:val="en-US" w:eastAsia="zh-CN"/>
              </w:rPr>
              <w:t>15</w:t>
            </w:r>
            <w:r>
              <w:rPr>
                <w:rFonts w:hint="eastAsia" w:hAnsi="宋体"/>
                <w:bCs/>
                <w:sz w:val="20"/>
                <w:szCs w:val="28"/>
              </w:rPr>
              <w:t>分；“一般”的，赋</w:t>
            </w:r>
            <w:r>
              <w:rPr>
                <w:rFonts w:hAnsi="宋体"/>
                <w:bCs/>
                <w:sz w:val="20"/>
                <w:szCs w:val="28"/>
              </w:rPr>
              <w:t>0</w:t>
            </w:r>
            <w:r>
              <w:rPr>
                <w:rFonts w:hint="eastAsia" w:hAnsi="宋体"/>
                <w:bCs/>
                <w:sz w:val="20"/>
                <w:szCs w:val="28"/>
              </w:rPr>
              <w:t>～</w:t>
            </w:r>
            <w:r>
              <w:rPr>
                <w:rFonts w:hint="eastAsia" w:hAnsi="宋体"/>
                <w:bCs/>
                <w:sz w:val="20"/>
                <w:szCs w:val="28"/>
                <w:lang w:val="en-US" w:eastAsia="zh-CN"/>
              </w:rPr>
              <w:t>9</w:t>
            </w:r>
            <w:r>
              <w:rPr>
                <w:rFonts w:hint="eastAsia" w:hAnsi="宋体"/>
                <w:bCs/>
                <w:sz w:val="20"/>
                <w:szCs w:val="28"/>
              </w:rPr>
              <w:t>分，不能提供的赋</w:t>
            </w:r>
            <w:r>
              <w:rPr>
                <w:rFonts w:hAnsi="宋体"/>
                <w:bCs/>
                <w:sz w:val="20"/>
                <w:szCs w:val="28"/>
              </w:rPr>
              <w:t>0</w:t>
            </w:r>
            <w:r>
              <w:rPr>
                <w:rFonts w:hint="eastAsia" w:hAnsi="宋体"/>
                <w:bCs/>
                <w:sz w:val="20"/>
                <w:szCs w:val="28"/>
              </w:rPr>
              <w:t>分。</w:t>
            </w:r>
          </w:p>
        </w:tc>
      </w:tr>
      <w:tr w14:paraId="6A3CC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1354" w:type="dxa"/>
            <w:tcBorders>
              <w:top w:val="single" w:color="auto" w:sz="4" w:space="0"/>
              <w:left w:val="single" w:color="auto" w:sz="4" w:space="0"/>
              <w:bottom w:val="single" w:color="auto" w:sz="4" w:space="0"/>
              <w:right w:val="single" w:color="auto" w:sz="4" w:space="0"/>
            </w:tcBorders>
          </w:tcPr>
          <w:p w14:paraId="5B1A88C7">
            <w:pPr>
              <w:pStyle w:val="2"/>
              <w:jc w:val="center"/>
              <w:rPr>
                <w:rFonts w:hAnsi="宋体"/>
                <w:bCs/>
                <w:sz w:val="20"/>
                <w:szCs w:val="28"/>
              </w:rPr>
            </w:pPr>
            <w:r>
              <w:rPr>
                <w:rFonts w:hint="eastAsia" w:hAnsi="宋体"/>
                <w:bCs/>
                <w:sz w:val="20"/>
                <w:szCs w:val="28"/>
              </w:rPr>
              <w:t>响应程度</w:t>
            </w:r>
          </w:p>
          <w:p w14:paraId="73B65011">
            <w:pPr>
              <w:pStyle w:val="2"/>
              <w:jc w:val="center"/>
              <w:rPr>
                <w:rFonts w:hAnsi="宋体"/>
                <w:bCs/>
                <w:sz w:val="20"/>
                <w:szCs w:val="28"/>
              </w:rPr>
            </w:pPr>
            <w:r>
              <w:rPr>
                <w:rFonts w:hint="eastAsia" w:hAnsi="宋体"/>
                <w:bCs/>
                <w:sz w:val="20"/>
                <w:szCs w:val="28"/>
              </w:rPr>
              <w:t>（</w:t>
            </w:r>
            <w:r>
              <w:rPr>
                <w:rFonts w:hint="eastAsia" w:hAnsi="宋体"/>
                <w:bCs/>
                <w:sz w:val="20"/>
                <w:szCs w:val="28"/>
                <w:lang w:val="en-US" w:eastAsia="zh-CN"/>
              </w:rPr>
              <w:t>10</w:t>
            </w:r>
            <w:r>
              <w:rPr>
                <w:rFonts w:hint="eastAsia" w:hAnsi="宋体"/>
                <w:bCs/>
                <w:sz w:val="20"/>
                <w:szCs w:val="28"/>
              </w:rPr>
              <w:t>分）</w:t>
            </w:r>
          </w:p>
        </w:tc>
        <w:tc>
          <w:tcPr>
            <w:tcW w:w="7997" w:type="dxa"/>
            <w:tcBorders>
              <w:top w:val="single" w:color="auto" w:sz="4" w:space="0"/>
              <w:left w:val="single" w:color="auto" w:sz="4" w:space="0"/>
              <w:bottom w:val="single" w:color="auto" w:sz="4" w:space="0"/>
              <w:right w:val="single" w:color="auto" w:sz="4" w:space="0"/>
            </w:tcBorders>
          </w:tcPr>
          <w:p w14:paraId="2DBB31A1">
            <w:pPr>
              <w:pStyle w:val="2"/>
              <w:jc w:val="left"/>
              <w:rPr>
                <w:rFonts w:hAnsi="宋体" w:cs="宋体"/>
                <w:kern w:val="0"/>
                <w:sz w:val="20"/>
                <w:szCs w:val="28"/>
              </w:rPr>
            </w:pPr>
            <w:r>
              <w:rPr>
                <w:rFonts w:hint="eastAsia" w:hAnsi="宋体" w:cs="宋体"/>
                <w:kern w:val="0"/>
                <w:sz w:val="20"/>
                <w:szCs w:val="28"/>
              </w:rPr>
              <w:t>投标单位为保证招标方物料及时到位，所能提供的服务内容及响应程度进行打分，包含服务承诺、响应承诺、售后及质保期承诺、交付期承诺等四项内容，明确服务重汽集团的送货车辆数量、总安装团队的人数等，均需说明，格式自拟。</w:t>
            </w:r>
          </w:p>
          <w:p w14:paraId="615FC0AE">
            <w:pPr>
              <w:pStyle w:val="2"/>
              <w:ind w:firstLine="200" w:firstLineChars="100"/>
              <w:jc w:val="left"/>
              <w:rPr>
                <w:rFonts w:hAnsi="宋体"/>
                <w:bCs/>
                <w:sz w:val="20"/>
                <w:szCs w:val="28"/>
              </w:rPr>
            </w:pPr>
            <w:r>
              <w:rPr>
                <w:rFonts w:hint="eastAsia" w:hAnsi="宋体"/>
                <w:bCs/>
                <w:sz w:val="20"/>
                <w:szCs w:val="28"/>
              </w:rPr>
              <w:t>经综合评定承诺后续服务安排及时合理的为“优”的，赋</w:t>
            </w:r>
            <w:r>
              <w:rPr>
                <w:rFonts w:hint="eastAsia" w:hAnsi="宋体"/>
                <w:bCs/>
                <w:sz w:val="20"/>
                <w:szCs w:val="28"/>
                <w:lang w:val="en-US" w:eastAsia="zh-CN"/>
              </w:rPr>
              <w:t>7</w:t>
            </w:r>
            <w:r>
              <w:rPr>
                <w:rFonts w:hint="eastAsia" w:hAnsi="宋体"/>
                <w:bCs/>
                <w:sz w:val="20"/>
                <w:szCs w:val="28"/>
              </w:rPr>
              <w:t>～</w:t>
            </w:r>
            <w:r>
              <w:rPr>
                <w:rFonts w:hint="eastAsia" w:hAnsi="宋体"/>
                <w:bCs/>
                <w:sz w:val="20"/>
                <w:szCs w:val="28"/>
                <w:lang w:val="en-US" w:eastAsia="zh-CN"/>
              </w:rPr>
              <w:t>1</w:t>
            </w:r>
            <w:r>
              <w:rPr>
                <w:rFonts w:hAnsi="宋体"/>
                <w:bCs/>
                <w:sz w:val="20"/>
                <w:szCs w:val="28"/>
              </w:rPr>
              <w:t>0</w:t>
            </w:r>
            <w:r>
              <w:rPr>
                <w:rFonts w:hint="eastAsia" w:hAnsi="宋体"/>
                <w:bCs/>
                <w:sz w:val="20"/>
                <w:szCs w:val="28"/>
              </w:rPr>
              <w:t>分；情况为“良”的，赋</w:t>
            </w:r>
            <w:r>
              <w:rPr>
                <w:rFonts w:hint="eastAsia" w:hAnsi="宋体"/>
                <w:bCs/>
                <w:sz w:val="20"/>
                <w:szCs w:val="28"/>
                <w:lang w:val="en-US" w:eastAsia="zh-CN"/>
              </w:rPr>
              <w:t>4</w:t>
            </w:r>
            <w:r>
              <w:rPr>
                <w:rFonts w:hint="eastAsia" w:hAnsi="宋体"/>
                <w:bCs/>
                <w:sz w:val="20"/>
                <w:szCs w:val="28"/>
              </w:rPr>
              <w:t>～</w:t>
            </w:r>
            <w:r>
              <w:rPr>
                <w:rFonts w:hint="eastAsia" w:hAnsi="宋体"/>
                <w:bCs/>
                <w:sz w:val="20"/>
                <w:szCs w:val="28"/>
                <w:lang w:val="en-US" w:eastAsia="zh-CN"/>
              </w:rPr>
              <w:t>6</w:t>
            </w:r>
            <w:r>
              <w:rPr>
                <w:rFonts w:hint="eastAsia" w:hAnsi="宋体"/>
                <w:bCs/>
                <w:sz w:val="20"/>
                <w:szCs w:val="28"/>
              </w:rPr>
              <w:t>分；情况为“差”的，赋</w:t>
            </w:r>
            <w:r>
              <w:rPr>
                <w:rFonts w:hint="eastAsia" w:hAnsi="宋体"/>
                <w:bCs/>
                <w:sz w:val="20"/>
                <w:szCs w:val="28"/>
                <w:lang w:val="en-US" w:eastAsia="zh-CN"/>
              </w:rPr>
              <w:t>0</w:t>
            </w:r>
            <w:r>
              <w:rPr>
                <w:rFonts w:hint="eastAsia" w:hAnsi="宋体"/>
                <w:bCs/>
                <w:sz w:val="20"/>
                <w:szCs w:val="28"/>
              </w:rPr>
              <w:t>～</w:t>
            </w:r>
            <w:r>
              <w:rPr>
                <w:rFonts w:hint="eastAsia" w:hAnsi="宋体"/>
                <w:bCs/>
                <w:sz w:val="20"/>
                <w:szCs w:val="28"/>
                <w:lang w:val="en-US" w:eastAsia="zh-CN"/>
              </w:rPr>
              <w:t>3</w:t>
            </w:r>
            <w:r>
              <w:rPr>
                <w:rFonts w:hint="eastAsia" w:hAnsi="宋体"/>
                <w:bCs/>
                <w:sz w:val="20"/>
                <w:szCs w:val="28"/>
              </w:rPr>
              <w:t>分以下。</w:t>
            </w:r>
          </w:p>
        </w:tc>
      </w:tr>
    </w:tbl>
    <w:p w14:paraId="36375227">
      <w:pPr>
        <w:rPr>
          <w:rFonts w:hint="eastAsia"/>
        </w:rPr>
      </w:pPr>
      <w:bookmarkStart w:id="0" w:name="_GoBack"/>
      <w:bookmarkEnd w:id="0"/>
    </w:p>
    <w:sectPr>
      <w:headerReference r:id="rId4" w:type="first"/>
      <w:headerReference r:id="rId3" w:type="default"/>
      <w:footerReference r:id="rId5" w:type="default"/>
      <w:pgSz w:w="11906" w:h="16838"/>
      <w:pgMar w:top="1701" w:right="1418" w:bottom="1134" w:left="1418" w:header="851" w:footer="992" w:gutter="0"/>
      <w:pgNumType w:fmt="numberInDash"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734F8">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- 1 -</w:t>
    </w:r>
    <w:r>
      <w:fldChar w:fldCharType="end"/>
    </w:r>
  </w:p>
  <w:p w14:paraId="5B282A1C">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A0F78">
    <w:pPr>
      <w:pStyle w:val="4"/>
      <w:rPr>
        <w:rFonts w:ascii="楷体_GB2312" w:eastAsia="楷体_GB2312"/>
        <w:sz w:val="28"/>
        <w:szCs w:val="28"/>
      </w:rPr>
    </w:pPr>
    <w:r>
      <w:rPr>
        <w:rFonts w:hint="eastAsia"/>
      </w:rPr>
      <w:drawing>
        <wp:anchor distT="0" distB="0" distL="114300" distR="114300" simplePos="0" relativeHeight="251659264" behindDoc="0" locked="0" layoutInCell="1" allowOverlap="1">
          <wp:simplePos x="0" y="0"/>
          <wp:positionH relativeFrom="column">
            <wp:posOffset>-807085</wp:posOffset>
          </wp:positionH>
          <wp:positionV relativeFrom="paragraph">
            <wp:posOffset>-662940</wp:posOffset>
          </wp:positionV>
          <wp:extent cx="1881505" cy="1330960"/>
          <wp:effectExtent l="0" t="0" r="0" b="0"/>
          <wp:wrapNone/>
          <wp:docPr id="6" name="图片 6" descr="集团品牌为子品牌标志以文字背书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集团品牌为子品牌标志以文字背书组合"/>
                  <pic:cNvPicPr>
                    <a:picLocks noChangeAspect="1"/>
                  </pic:cNvPicPr>
                </pic:nvPicPr>
                <pic:blipFill>
                  <a:blip r:embed="rId1"/>
                  <a:stretch>
                    <a:fillRect/>
                  </a:stretch>
                </pic:blipFill>
                <pic:spPr>
                  <a:xfrm>
                    <a:off x="0" y="0"/>
                    <a:ext cx="1881505" cy="1330960"/>
                  </a:xfrm>
                  <a:prstGeom prst="rect">
                    <a:avLst/>
                  </a:prstGeom>
                </pic:spPr>
              </pic:pic>
            </a:graphicData>
          </a:graphic>
        </wp:anchor>
      </w:drawing>
    </w:r>
    <w:r>
      <w:rPr>
        <w:rFonts w:hint="eastAsia"/>
      </w:rPr>
      <w:t>　　　　　　　　　　　　　　　　　　　　　　　　　　　　　　　　　　</w:t>
    </w:r>
    <w:r>
      <w:rPr>
        <w:rFonts w:hint="eastAsia" w:ascii="楷体_GB2312" w:eastAsia="楷体_GB2312"/>
      </w:rPr>
      <w:t>　　</w:t>
    </w:r>
    <w:r>
      <w:rPr>
        <w:rFonts w:hint="eastAsia" w:ascii="楷体_GB2312" w:eastAsia="楷体_GB2312"/>
        <w:sz w:val="28"/>
        <w:szCs w:val="28"/>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D5F29">
    <w:pPr>
      <w:pStyle w:val="4"/>
      <w:pBdr>
        <w:bottom w:val="single" w:color="auto" w:sz="6" w:space="22"/>
      </w:pBdr>
      <w:rPr>
        <w:rFonts w:hint="eastAsia" w:eastAsia="宋体"/>
        <w:lang w:eastAsia="zh-CN"/>
      </w:rPr>
    </w:pPr>
    <w:r>
      <w:rPr>
        <w:rFonts w:hint="eastAsia" w:eastAsia="宋体"/>
        <w:lang w:eastAsia="zh-CN"/>
      </w:rPr>
      <w:drawing>
        <wp:anchor distT="0" distB="0" distL="114300" distR="114300" simplePos="0" relativeHeight="251660288" behindDoc="0" locked="0" layoutInCell="1" allowOverlap="1">
          <wp:simplePos x="0" y="0"/>
          <wp:positionH relativeFrom="column">
            <wp:posOffset>-852170</wp:posOffset>
          </wp:positionH>
          <wp:positionV relativeFrom="paragraph">
            <wp:posOffset>-603250</wp:posOffset>
          </wp:positionV>
          <wp:extent cx="2014855" cy="1425575"/>
          <wp:effectExtent l="0" t="0" r="0" b="0"/>
          <wp:wrapNone/>
          <wp:docPr id="7" name="图片 7" descr="集团品牌为子品牌标志以文字背书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集团品牌为子品牌标志以文字背书组合"/>
                  <pic:cNvPicPr>
                    <a:picLocks noChangeAspect="1"/>
                  </pic:cNvPicPr>
                </pic:nvPicPr>
                <pic:blipFill>
                  <a:blip r:embed="rId1"/>
                  <a:stretch>
                    <a:fillRect/>
                  </a:stretch>
                </pic:blipFill>
                <pic:spPr>
                  <a:xfrm>
                    <a:off x="0" y="0"/>
                    <a:ext cx="2014855" cy="142557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F03"/>
    <w:rsid w:val="000005B8"/>
    <w:rsid w:val="00007ACE"/>
    <w:rsid w:val="0003157E"/>
    <w:rsid w:val="0025235F"/>
    <w:rsid w:val="002852C9"/>
    <w:rsid w:val="002A3E1F"/>
    <w:rsid w:val="002E2C84"/>
    <w:rsid w:val="00301B61"/>
    <w:rsid w:val="00313227"/>
    <w:rsid w:val="003274CA"/>
    <w:rsid w:val="00341141"/>
    <w:rsid w:val="00374367"/>
    <w:rsid w:val="00387BD9"/>
    <w:rsid w:val="003C385E"/>
    <w:rsid w:val="00417FBD"/>
    <w:rsid w:val="0046162B"/>
    <w:rsid w:val="00464A19"/>
    <w:rsid w:val="00474126"/>
    <w:rsid w:val="00480C42"/>
    <w:rsid w:val="004D424C"/>
    <w:rsid w:val="00572B92"/>
    <w:rsid w:val="005841E5"/>
    <w:rsid w:val="005938CC"/>
    <w:rsid w:val="005B2671"/>
    <w:rsid w:val="005E5A73"/>
    <w:rsid w:val="00660F6D"/>
    <w:rsid w:val="00675582"/>
    <w:rsid w:val="00685B24"/>
    <w:rsid w:val="00690F03"/>
    <w:rsid w:val="006A04CF"/>
    <w:rsid w:val="00701AD2"/>
    <w:rsid w:val="007205CC"/>
    <w:rsid w:val="00765A60"/>
    <w:rsid w:val="00780B72"/>
    <w:rsid w:val="007B5477"/>
    <w:rsid w:val="00804308"/>
    <w:rsid w:val="0080720B"/>
    <w:rsid w:val="008740DF"/>
    <w:rsid w:val="008D69F7"/>
    <w:rsid w:val="008D6A90"/>
    <w:rsid w:val="00961B9B"/>
    <w:rsid w:val="009B7334"/>
    <w:rsid w:val="009E40F1"/>
    <w:rsid w:val="00A27729"/>
    <w:rsid w:val="00A54FAA"/>
    <w:rsid w:val="00A67734"/>
    <w:rsid w:val="00A71B09"/>
    <w:rsid w:val="00A94A17"/>
    <w:rsid w:val="00AD5F7D"/>
    <w:rsid w:val="00B03ABC"/>
    <w:rsid w:val="00B62C90"/>
    <w:rsid w:val="00B92415"/>
    <w:rsid w:val="00C14181"/>
    <w:rsid w:val="00C2414A"/>
    <w:rsid w:val="00C4200B"/>
    <w:rsid w:val="00C60013"/>
    <w:rsid w:val="00C645C4"/>
    <w:rsid w:val="00CB4942"/>
    <w:rsid w:val="00CC1A85"/>
    <w:rsid w:val="00CF05D3"/>
    <w:rsid w:val="00D04946"/>
    <w:rsid w:val="00D2180C"/>
    <w:rsid w:val="00D537DD"/>
    <w:rsid w:val="00D569B3"/>
    <w:rsid w:val="00D64BB4"/>
    <w:rsid w:val="00DB415C"/>
    <w:rsid w:val="00DF5AD7"/>
    <w:rsid w:val="00E24115"/>
    <w:rsid w:val="00E33A47"/>
    <w:rsid w:val="00E5279A"/>
    <w:rsid w:val="00E5345A"/>
    <w:rsid w:val="00E72903"/>
    <w:rsid w:val="00E9736B"/>
    <w:rsid w:val="00EA15E3"/>
    <w:rsid w:val="00EF7951"/>
    <w:rsid w:val="00F06E86"/>
    <w:rsid w:val="00F4073F"/>
    <w:rsid w:val="00F64B1D"/>
    <w:rsid w:val="00F90849"/>
    <w:rsid w:val="00F92D5F"/>
    <w:rsid w:val="00FC34B7"/>
    <w:rsid w:val="0BFC4726"/>
    <w:rsid w:val="108B0131"/>
    <w:rsid w:val="13A825CD"/>
    <w:rsid w:val="19037FE5"/>
    <w:rsid w:val="1A790466"/>
    <w:rsid w:val="1CB83509"/>
    <w:rsid w:val="1F420209"/>
    <w:rsid w:val="1FDE0E64"/>
    <w:rsid w:val="25996BF6"/>
    <w:rsid w:val="2A0A1509"/>
    <w:rsid w:val="2D9E2791"/>
    <w:rsid w:val="2EA869CA"/>
    <w:rsid w:val="32A55A49"/>
    <w:rsid w:val="427E48DA"/>
    <w:rsid w:val="46417969"/>
    <w:rsid w:val="49267254"/>
    <w:rsid w:val="493F0316"/>
    <w:rsid w:val="4AB90841"/>
    <w:rsid w:val="4C6912E9"/>
    <w:rsid w:val="4E233B3D"/>
    <w:rsid w:val="50792360"/>
    <w:rsid w:val="58CB62B5"/>
    <w:rsid w:val="5D5723B1"/>
    <w:rsid w:val="5E0A5CA5"/>
    <w:rsid w:val="63E078BD"/>
    <w:rsid w:val="6418303F"/>
    <w:rsid w:val="682C3364"/>
    <w:rsid w:val="68B515E3"/>
    <w:rsid w:val="7EBD2035"/>
    <w:rsid w:val="7EC56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1"/>
    <w:qFormat/>
    <w:uiPriority w:val="0"/>
    <w:rPr>
      <w:rFonts w:ascii="宋体" w:hAnsi="Courier New" w:cstheme="minorBidi"/>
      <w:szCs w:val="22"/>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styleId="8">
    <w:name w:val="Hyperlink"/>
    <w:basedOn w:val="6"/>
    <w:semiHidden/>
    <w:qFormat/>
    <w:uiPriority w:val="99"/>
    <w:rPr>
      <w:rFonts w:cs="Times New Roman"/>
      <w:color w:val="1F4F88"/>
      <w:u w:val="none"/>
    </w:rPr>
  </w:style>
  <w:style w:type="character" w:customStyle="1" w:styleId="9">
    <w:name w:val="页眉 字符"/>
    <w:basedOn w:val="6"/>
    <w:link w:val="4"/>
    <w:qFormat/>
    <w:uiPriority w:val="99"/>
    <w:rPr>
      <w:sz w:val="18"/>
      <w:szCs w:val="18"/>
    </w:rPr>
  </w:style>
  <w:style w:type="character" w:customStyle="1" w:styleId="10">
    <w:name w:val="页脚 字符"/>
    <w:basedOn w:val="6"/>
    <w:link w:val="3"/>
    <w:qFormat/>
    <w:uiPriority w:val="99"/>
    <w:rPr>
      <w:sz w:val="18"/>
      <w:szCs w:val="18"/>
    </w:rPr>
  </w:style>
  <w:style w:type="character" w:customStyle="1" w:styleId="11">
    <w:name w:val="纯文本 字符"/>
    <w:link w:val="2"/>
    <w:qFormat/>
    <w:uiPriority w:val="0"/>
    <w:rPr>
      <w:rFonts w:ascii="宋体" w:hAnsi="Courier New" w:eastAsia="宋体"/>
    </w:rPr>
  </w:style>
  <w:style w:type="character" w:customStyle="1" w:styleId="12">
    <w:name w:val="纯文本 字符1"/>
    <w:basedOn w:val="6"/>
    <w:semiHidden/>
    <w:qFormat/>
    <w:uiPriority w:val="99"/>
    <w:rPr>
      <w:rFonts w:hAnsi="Courier New" w:cs="Courier New" w:asciiTheme="minorEastAsia"/>
      <w:szCs w:val="20"/>
    </w:rPr>
  </w:style>
  <w:style w:type="character" w:customStyle="1" w:styleId="13">
    <w:name w:val="Unresolved Mention"/>
    <w:basedOn w:val="6"/>
    <w:semiHidden/>
    <w:unhideWhenUsed/>
    <w:qFormat/>
    <w:uiPriority w:val="99"/>
    <w:rPr>
      <w:color w:val="605E5C"/>
      <w:shd w:val="clear" w:color="auto" w:fill="E1DFDD"/>
    </w:rPr>
  </w:style>
  <w:style w:type="paragraph" w:customStyle="1" w:styleId="14">
    <w:name w:val="标书正文"/>
    <w:basedOn w:val="2"/>
    <w:qFormat/>
    <w:uiPriority w:val="9"/>
    <w:pPr>
      <w:spacing w:line="360" w:lineRule="auto"/>
      <w:jc w:val="lef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3</Pages>
  <Words>454</Words>
  <Characters>482</Characters>
  <Lines>69</Lines>
  <Paragraphs>19</Paragraphs>
  <TotalTime>0</TotalTime>
  <ScaleCrop>false</ScaleCrop>
  <LinksUpToDate>false</LinksUpToDate>
  <CharactersWithSpaces>484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2023-10-10T05:47:00Z</dcterms:created>
  <dc:creator>JonMMx 2000</dc:creator>
  <cp:lastModifiedBy>董浩</cp:lastModifiedBy>
  <dcterms:modified xsi:type="dcterms:W3CDTF">2025-12-03T07:11:27Z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9FC0351895C2479FA90BA51F8450BA6A_13</vt:lpwstr>
  </property>
  <property fmtid="{D5CDD505-2E9C-101B-9397-08002B2CF9AE}" pid="4" name="KSOTemplateDocerSaveRecord">
    <vt:lpwstr>eyJoZGlkIjoiMzVmODk5NGZmNjQwNDVhNGUyNmE3ODljODFhM2Y5MzQiLCJ1c2VySWQiOiIzNDgzMDAyNjAifQ==</vt:lpwstr>
  </property>
</Properties>
</file>