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color w:val="000000"/>
          <w:sz w:val="30"/>
          <w:szCs w:val="30"/>
        </w:rPr>
      </w:pPr>
    </w:p>
    <w:p>
      <w:pPr>
        <w:spacing w:line="276" w:lineRule="auto"/>
        <w:jc w:val="center"/>
        <w:rPr>
          <w:rFonts w:hint="eastAsia" w:ascii="仿宋_GB2312" w:hAnsi="仿宋_GB2312" w:eastAsia="仿宋_GB2312" w:cs="仿宋_GB2312"/>
          <w:b/>
          <w:bCs/>
          <w:color w:val="000000"/>
          <w:spacing w:val="-8"/>
          <w:sz w:val="48"/>
          <w:szCs w:val="48"/>
        </w:rPr>
      </w:pPr>
      <w:r>
        <w:rPr>
          <w:rFonts w:hint="eastAsia" w:ascii="仿宋_GB2312" w:hAnsi="仿宋_GB2312" w:eastAsia="仿宋_GB2312" w:cs="仿宋_GB2312"/>
          <w:b/>
          <w:bCs/>
          <w:color w:val="000000"/>
          <w:spacing w:val="-8"/>
          <w:sz w:val="48"/>
          <w:szCs w:val="48"/>
        </w:rPr>
        <w:t>济南车桥公司润滑脂注脂质量提升技改项目</w:t>
      </w:r>
    </w:p>
    <w:p>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pPr>
        <w:pStyle w:val="23"/>
        <w:rPr>
          <w:rFonts w:hint="eastAsia" w:ascii="仿宋_GB2312" w:hAnsi="仿宋_GB2312" w:eastAsia="仿宋_GB2312" w:cs="仿宋_GB2312"/>
        </w:rPr>
      </w:pPr>
    </w:p>
    <w:p>
      <w:pPr>
        <w:pStyle w:val="23"/>
        <w:rPr>
          <w:rFonts w:hint="eastAsia" w:ascii="仿宋_GB2312" w:hAnsi="仿宋_GB2312" w:eastAsia="仿宋_GB2312" w:cs="仿宋_GB2312"/>
        </w:rPr>
      </w:pPr>
    </w:p>
    <w:p>
      <w:pPr>
        <w:pStyle w:val="23"/>
        <w:rPr>
          <w:rFonts w:hint="eastAsia" w:ascii="仿宋_GB2312" w:hAnsi="仿宋_GB2312" w:eastAsia="仿宋_GB2312" w:cs="仿宋_GB2312"/>
        </w:rPr>
      </w:pPr>
    </w:p>
    <w:p>
      <w:pPr>
        <w:jc w:val="right"/>
        <w:rPr>
          <w:rFonts w:hint="eastAsia" w:ascii="仿宋_GB2312" w:hAnsi="仿宋_GB2312" w:eastAsia="仿宋_GB2312" w:cs="仿宋_GB2312"/>
          <w:color w:val="000000"/>
          <w:sz w:val="28"/>
          <w:szCs w:val="28"/>
        </w:rPr>
      </w:pP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pPr>
        <w:jc w:val="center"/>
        <w:rPr>
          <w:rFonts w:hint="eastAsia" w:ascii="仿宋_GB2312" w:hAnsi="仿宋_GB2312" w:eastAsia="仿宋_GB2312" w:cs="仿宋_GB2312"/>
          <w:color w:val="000000"/>
          <w:sz w:val="72"/>
          <w:szCs w:val="72"/>
        </w:rPr>
      </w:pPr>
    </w:p>
    <w:p>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pPr>
        <w:spacing w:line="860" w:lineRule="exact"/>
        <w:rPr>
          <w:rFonts w:hint="eastAsia" w:ascii="仿宋_GB2312" w:hAnsi="仿宋_GB2312" w:eastAsia="仿宋_GB2312" w:cs="仿宋_GB2312"/>
          <w:b/>
          <w:bCs/>
          <w:sz w:val="32"/>
          <w:szCs w:val="28"/>
        </w:rPr>
      </w:pP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pPr>
        <w:pStyle w:val="23"/>
        <w:rPr>
          <w:rFonts w:hint="eastAsia" w:ascii="仿宋_GB2312" w:hAnsi="仿宋_GB2312" w:eastAsia="仿宋_GB2312" w:cs="仿宋_GB2312"/>
          <w:b/>
          <w:bCs/>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both"/>
        <w:rPr>
          <w:rFonts w:hint="eastAsia" w:ascii="仿宋_GB2312" w:hAnsi="仿宋_GB2312" w:eastAsia="仿宋_GB2312" w:cs="仿宋_GB2312"/>
          <w:color w:val="000000"/>
          <w:sz w:val="28"/>
          <w:szCs w:val="28"/>
        </w:rPr>
      </w:pPr>
    </w:p>
    <w:p>
      <w:pPr>
        <w:spacing w:line="360" w:lineRule="auto"/>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招 标 人</w:t>
      </w:r>
      <w:r>
        <w:rPr>
          <w:rFonts w:hint="eastAsia" w:ascii="仿宋_GB2312" w:hAnsi="仿宋_GB2312" w:eastAsia="仿宋_GB2312" w:cs="仿宋_GB2312"/>
          <w:color w:val="000000"/>
          <w:sz w:val="28"/>
          <w:szCs w:val="28"/>
          <w:lang w:eastAsia="zh-CN"/>
        </w:rPr>
        <w:t>：重汽（济南）车桥有限公司</w:t>
      </w:r>
    </w:p>
    <w:p>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11</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pPr>
            <w:pStyle w:val="17"/>
            <w:rPr>
              <w:rFonts w:hint="eastAsia"/>
            </w:rPr>
          </w:pPr>
        </w:p>
        <w:p>
          <w:pPr>
            <w:pStyle w:val="30"/>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pPr>
            <w:pStyle w:val="30"/>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pPr>
            <w:pStyle w:val="23"/>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3"/>
        <w:jc w:val="both"/>
        <w:rPr>
          <w:rFonts w:hint="eastAsia" w:ascii="仿宋_GB2312" w:hAnsi="仿宋_GB2312" w:eastAsia="仿宋_GB2312" w:cs="仿宋_GB2312"/>
          <w:sz w:val="44"/>
        </w:rPr>
      </w:pPr>
      <w:bookmarkStart w:id="0" w:name="_Toc23693"/>
      <w:bookmarkStart w:id="1" w:name="_Toc15480"/>
      <w:bookmarkStart w:id="2" w:name="_Toc22242"/>
      <w:bookmarkStart w:id="3" w:name="_Toc29994"/>
      <w:bookmarkStart w:id="4" w:name="_Toc5202"/>
    </w:p>
    <w:p>
      <w:pPr>
        <w:pStyle w:val="3"/>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2"/>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5"/>
                <w:rFonts w:hint="eastAsia" w:ascii="仿宋_GB2312" w:hAnsi="仿宋_GB2312" w:eastAsia="仿宋_GB2312" w:cs="仿宋_GB2312"/>
                <w:b/>
                <w:sz w:val="24"/>
                <w:szCs w:val="24"/>
              </w:rPr>
            </w:pPr>
            <w:bookmarkStart w:id="6" w:name="_Toc346372875"/>
            <w:r>
              <w:rPr>
                <w:rStyle w:val="135"/>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482" w:firstLineChars="200"/>
              <w:jc w:val="center"/>
              <w:rPr>
                <w:rFonts w:hint="eastAsia" w:ascii="仿宋_GB2312" w:hAnsi="仿宋_GB2312" w:eastAsia="仿宋_GB2312" w:cs="仿宋_GB2312"/>
                <w:b/>
                <w:bCs/>
                <w:sz w:val="24"/>
                <w:szCs w:val="24"/>
              </w:rPr>
            </w:pPr>
            <w:r>
              <w:rPr>
                <w:rStyle w:val="135"/>
                <w:rFonts w:hint="eastAsia" w:ascii="仿宋_GB2312" w:hAnsi="仿宋_GB2312" w:eastAsia="仿宋_GB2312" w:cs="仿宋_GB2312"/>
                <w:b/>
                <w:sz w:val="24"/>
                <w:szCs w:val="24"/>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项目名称：济南车桥公司润滑脂注脂质量提升技改项目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项目编号：FSCZB2025110270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招标内容：采购自动注脂设备，实现轮毂总成、轮毂轴承内环、拨叉轴和范围档活塞的自动定量注脂。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lang w:val="en-US"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Cs/>
                <w:snapToGrid w:val="0"/>
                <w:kern w:val="0"/>
                <w:sz w:val="24"/>
                <w:szCs w:val="24"/>
              </w:rPr>
            </w:pPr>
            <w:r>
              <w:rPr>
                <w:rFonts w:hint="eastAsia" w:ascii="仿宋_GB2312" w:hAnsi="仿宋_GB2312" w:eastAsia="仿宋_GB2312" w:cs="仿宋_GB2312"/>
                <w:b/>
                <w:snapToGrid w:val="0"/>
                <w:kern w:val="0"/>
                <w:sz w:val="24"/>
                <w:szCs w:val="24"/>
              </w:rPr>
              <w:t>招标人名称：</w:t>
            </w:r>
            <w:r>
              <w:rPr>
                <w:rFonts w:hint="eastAsia" w:ascii="仿宋_GB2312" w:hAnsi="仿宋_GB2312" w:eastAsia="仿宋_GB2312" w:cs="仿宋_GB2312"/>
                <w:b/>
                <w:snapToGrid w:val="0"/>
                <w:kern w:val="0"/>
                <w:sz w:val="24"/>
                <w:szCs w:val="24"/>
                <w:lang w:eastAsia="zh-CN"/>
              </w:rPr>
              <w:t>重汽（济南）车桥有限公司</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napToGrid w:val="0"/>
                <w:kern w:val="0"/>
                <w:sz w:val="24"/>
                <w:szCs w:val="24"/>
              </w:rPr>
              <w:t>招标人地址：济南市高新区世纪大道 757 号</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none"/>
                <w:lang w:val="en-US" w:eastAsia="zh-CN"/>
              </w:rPr>
              <w:t>杨淑超</w:t>
            </w:r>
          </w:p>
          <w:p>
            <w:pPr>
              <w:ind w:firstLine="482" w:firstLineChars="200"/>
              <w:rPr>
                <w:rFonts w:hint="default" w:ascii="仿宋_GB2312" w:hAnsi="仿宋_GB2312" w:eastAsia="仿宋_GB2312" w:cs="仿宋_GB2312"/>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电话：1786060</w:t>
            </w:r>
            <w:r>
              <w:rPr>
                <w:rFonts w:hint="eastAsia" w:ascii="仿宋_GB2312" w:hAnsi="仿宋_GB2312" w:eastAsia="仿宋_GB2312" w:cs="仿宋_GB2312"/>
                <w:b/>
                <w:snapToGrid w:val="0"/>
                <w:kern w:val="0"/>
                <w:sz w:val="24"/>
                <w:szCs w:val="24"/>
                <w:highlight w:val="none"/>
                <w:lang w:val="en-US" w:eastAsia="zh-CN"/>
              </w:rPr>
              <w:t>5820</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邮箱：yangshuchao@sinotruk.com</w:t>
            </w:r>
          </w:p>
          <w:p>
            <w:pPr>
              <w:ind w:firstLine="482" w:firstLineChars="200"/>
              <w:rPr>
                <w:rFonts w:hint="eastAsia"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rPr>
              <w:t>技术联系人：刘延民</w:t>
            </w:r>
          </w:p>
          <w:p>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电话：15275120878</w:t>
            </w:r>
            <w:bookmarkStart w:id="1425" w:name="_GoBack"/>
            <w:bookmarkEnd w:id="1425"/>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196.06</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13%</w:t>
            </w:r>
            <w:r>
              <w:rPr>
                <w:rFonts w:hint="eastAsia" w:ascii="仿宋_GB2312" w:hAnsi="仿宋_GB2312" w:eastAsia="仿宋_GB2312" w:cs="仿宋_GB2312"/>
                <w:color w:val="000000"/>
                <w:sz w:val="24"/>
                <w:szCs w:val="24"/>
              </w:rPr>
              <w:t>），超过投标限价无法投标。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1.拟投标人必须是在中华人民共和国境内注册的独立法人机构，具有独立承担民事责任能力；注册资金不少于</w:t>
            </w:r>
            <w:r>
              <w:rPr>
                <w:rFonts w:hint="eastAsia" w:ascii="仿宋_GB2312" w:hAnsi="仿宋_GB2312" w:eastAsia="仿宋_GB2312" w:cs="仿宋_GB2312"/>
                <w:color w:val="000000"/>
                <w:sz w:val="24"/>
                <w:szCs w:val="24"/>
                <w:lang w:val="en-US" w:eastAsia="zh-CN"/>
              </w:rPr>
              <w:t>200</w:t>
            </w:r>
            <w:r>
              <w:rPr>
                <w:rFonts w:hint="eastAsia" w:ascii="仿宋_GB2312" w:hAnsi="仿宋_GB2312" w:eastAsia="仿宋_GB2312" w:cs="仿宋_GB2312"/>
                <w:color w:val="000000"/>
                <w:sz w:val="24"/>
                <w:szCs w:val="24"/>
              </w:rPr>
              <w:t>万人民币（或等值其他货币）；公司成立三年以上（以营业执照成立日期到开标当日满三年为准），且经营范围满足招标人需求；并在人员、设备、资金等方面具有承担本项目的能力；</w:t>
            </w:r>
          </w:p>
          <w:p>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2.拟投标人应提供营业执照副本原件和扫描件（需盖章）；</w:t>
            </w:r>
          </w:p>
          <w:p>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3.拟投标人应提供法定代表人资格证明文件；</w:t>
            </w:r>
          </w:p>
          <w:p>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4.在“国家企业信用信息公示系统”“中国执行信息公开网”“信用中国”“天眼查”“裁判文书网”等信息平台中，无行政处罚及失信记录等信息；</w:t>
            </w:r>
          </w:p>
          <w:p>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5.拟投标人不存在严重违规或被列入招标人“黑名单”的声明；</w:t>
            </w:r>
          </w:p>
          <w:p>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6.拟投标人应提供2022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7.拟投标人有与本次招标内容相同或类似项目业绩，且近3年内无因服务不当而造成重大事故；</w:t>
            </w:r>
          </w:p>
          <w:p>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8.拟投标人近三年内在经营活动中无与本项目有关的违法及重大违规情况；</w:t>
            </w:r>
          </w:p>
          <w:p>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9.拟投标人须认可招标人的工作指令，包括节、假日能正常开展工作的要求；</w:t>
            </w:r>
          </w:p>
          <w:p>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10.拟投标人财务状况良好，最近半年纳税正常；</w:t>
            </w:r>
          </w:p>
          <w:p>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11.拟投标人信用证明材料（征信中心出具的信用报告）未显示异常；</w:t>
            </w:r>
          </w:p>
          <w:p>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12.拟投标人的直接或间接股东、法定代表人、董事、监事、高管非重汽员工及其亲属；</w:t>
            </w:r>
          </w:p>
          <w:p>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w:t>
            </w:r>
            <w:r>
              <w:rPr>
                <w:rFonts w:hint="eastAsia" w:ascii="仿宋_GB2312" w:hAnsi="仿宋_GB2312" w:eastAsia="仿宋_GB2312" w:cs="仿宋_GB2312"/>
                <w:color w:val="000000"/>
                <w:sz w:val="24"/>
                <w:szCs w:val="24"/>
                <w:lang w:val="en-US" w:eastAsia="zh-CN"/>
              </w:rPr>
              <w:t>投标单位需为设备制造单位</w:t>
            </w:r>
            <w:r>
              <w:rPr>
                <w:rFonts w:hint="eastAsia" w:ascii="仿宋_GB2312" w:hAnsi="仿宋_GB2312" w:eastAsia="仿宋_GB2312" w:cs="仿宋_GB2312"/>
                <w:color w:val="000000"/>
                <w:sz w:val="24"/>
                <w:szCs w:val="24"/>
              </w:rPr>
              <w:t>；</w:t>
            </w:r>
          </w:p>
          <w:p>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14.本项目</w:t>
            </w:r>
            <w:r>
              <w:rPr>
                <w:rFonts w:hint="eastAsia" w:ascii="仿宋_GB2312" w:hAnsi="仿宋_GB2312" w:eastAsia="仿宋_GB2312" w:cs="仿宋_GB2312"/>
                <w:color w:val="000000"/>
                <w:sz w:val="24"/>
                <w:szCs w:val="24"/>
                <w:highlight w:val="yellow"/>
              </w:rPr>
              <w:t>不接受联合体投标，</w:t>
            </w:r>
            <w:r>
              <w:rPr>
                <w:rFonts w:hint="eastAsia" w:ascii="仿宋_GB2312" w:hAnsi="仿宋_GB2312" w:eastAsia="仿宋_GB2312" w:cs="仿宋_GB2312"/>
                <w:color w:val="000000"/>
                <w:sz w:val="24"/>
                <w:szCs w:val="24"/>
                <w:highlight w:val="yellow"/>
                <w:lang w:val="en-US" w:eastAsia="zh-CN"/>
              </w:rPr>
              <w:t>不允许代理商投标</w:t>
            </w:r>
            <w:r>
              <w:rPr>
                <w:rFonts w:hint="eastAsia" w:ascii="仿宋_GB2312" w:hAnsi="仿宋_GB2312" w:eastAsia="仿宋_GB2312" w:cs="仿宋_GB2312"/>
                <w:color w:val="000000"/>
                <w:sz w:val="24"/>
                <w:szCs w:val="24"/>
                <w:lang w:val="en-US" w:eastAsia="zh-CN"/>
              </w:rPr>
              <w:t>，</w:t>
            </w:r>
            <w:r>
              <w:rPr>
                <w:rFonts w:hint="eastAsia" w:ascii="仿宋_GB2312" w:hAnsi="仿宋_GB2312" w:eastAsia="仿宋_GB2312" w:cs="仿宋_GB2312"/>
                <w:color w:val="000000"/>
                <w:sz w:val="24"/>
                <w:szCs w:val="24"/>
              </w:rPr>
              <w:t>拟投标人必须是最终投标单位和签订合同单位，不得以任何理由将已中标项目以任何形式分包或转包给其他单位；</w:t>
            </w:r>
          </w:p>
          <w:p>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15.无招标违规、谎报年度报告信息、提供虚假资质资料等行为或其他行政处罚记录。</w:t>
            </w:r>
          </w:p>
          <w:p>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2025年11月19日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中国重汽官网、山东省阳光采购服务平台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2025年11月30日前</w:t>
            </w:r>
            <w:r>
              <w:rPr>
                <w:rFonts w:hint="eastAsia" w:ascii="仿宋_GB2312" w:hAnsi="仿宋_GB2312" w:eastAsia="仿宋_GB2312" w:cs="仿宋_GB2312"/>
                <w:b/>
                <w:snapToGrid w:val="0"/>
                <w:kern w:val="0"/>
                <w:sz w:val="24"/>
                <w:szCs w:val="24"/>
                <w:highlight w:val="none"/>
              </w:rPr>
              <w:t>。</w:t>
            </w:r>
          </w:p>
          <w:p>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2025年11月30日前</w:t>
            </w:r>
          </w:p>
          <w:p>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8"/>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1</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p>
            <w:pPr>
              <w:pStyle w:val="118"/>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8"/>
              <w:spacing w:line="240" w:lineRule="auto"/>
              <w:ind w:firstLine="482"/>
              <w:rPr>
                <w:rFonts w:hint="eastAsia"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2025年11月26日17：00</w:t>
            </w:r>
          </w:p>
          <w:p>
            <w:pPr>
              <w:pStyle w:val="118"/>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w:t>
            </w:r>
            <w:r>
              <w:rPr>
                <w:rFonts w:hint="eastAsia" w:ascii="仿宋_GB2312" w:hAnsi="仿宋_GB2312" w:eastAsia="仿宋_GB2312" w:cs="仿宋_GB2312"/>
                <w:b/>
                <w:bCs/>
                <w:lang w:eastAsia="zh-CN"/>
              </w:rPr>
              <w:t>，</w:t>
            </w:r>
            <w:r>
              <w:rPr>
                <w:rFonts w:hint="eastAsia" w:ascii="仿宋_GB2312" w:hAnsi="仿宋_GB2312" w:eastAsia="仿宋_GB2312" w:cs="仿宋_GB2312"/>
                <w:b/>
                <w:bCs/>
                <w:lang w:val="en-US" w:eastAsia="zh-CN"/>
              </w:rPr>
              <w:t>请预留出驳回修改时间</w:t>
            </w:r>
            <w:r>
              <w:rPr>
                <w:rFonts w:hint="eastAsia" w:ascii="仿宋_GB2312" w:hAnsi="仿宋_GB2312" w:eastAsia="仿宋_GB2312" w:cs="仿宋_GB2312"/>
                <w:b/>
                <w:bCs/>
              </w:rPr>
              <w:t>，应标截止时间精确到秒，逾期将无法应标。请自行掌握时间，避免无法应标。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rPr>
                <w:rFonts w:hint="eastAsia" w:ascii="仿宋_GB2312" w:hAnsi="仿宋_GB2312" w:eastAsia="仿宋_GB2312" w:cs="仿宋_GB2312"/>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2025年12月7日17：00前</w:t>
            </w:r>
          </w:p>
          <w:p>
            <w:pPr>
              <w:pStyle w:val="23"/>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20000</w:t>
            </w:r>
            <w:r>
              <w:rPr>
                <w:rFonts w:hint="eastAsia" w:ascii="仿宋_GB2312" w:hAnsi="仿宋_GB2312" w:eastAsia="仿宋_GB2312" w:cs="仿宋_GB2312"/>
                <w:sz w:val="24"/>
                <w:szCs w:val="24"/>
              </w:rPr>
              <w:t>元</w:t>
            </w:r>
          </w:p>
          <w:p>
            <w:pPr>
              <w:ind w:left="479" w:leftChars="228"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开户名称：重汽（济南）车桥有限公司</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开户银行：浙商银行股份有限公司济南分行</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银行帐号：4510000010120100527995</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41"/>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2025年12月7日17：00前</w:t>
            </w:r>
          </w:p>
          <w:p>
            <w:pPr>
              <w:pStyle w:val="41"/>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41"/>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2025年12月8日9：00</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color w:val="000000"/>
                <w:sz w:val="24"/>
                <w:szCs w:val="24"/>
                <w:highlight w:val="green"/>
                <w:lang w:val="en-US" w:eastAsia="zh-CN"/>
              </w:rPr>
              <w:t>线上会议室</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color w:val="FF0000"/>
                <w:sz w:val="24"/>
                <w:szCs w:val="24"/>
                <w:highlight w:val="green"/>
              </w:rPr>
              <w:t>评标方法：资质标审核→唱标→技术标评审→商务标评审。综合评分最高中标</w:t>
            </w:r>
            <w:r>
              <w:rPr>
                <w:rFonts w:hint="eastAsia" w:ascii="仿宋_GB2312" w:hAnsi="仿宋_GB2312" w:eastAsia="仿宋_GB2312" w:cs="仿宋_GB2312"/>
                <w:color w:val="FF0000"/>
                <w:sz w:val="24"/>
                <w:szCs w:val="24"/>
                <w:highlight w:val="green"/>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pPr>
              <w:spacing w:line="360" w:lineRule="auto"/>
              <w:ind w:firstLine="482" w:firstLineChars="200"/>
              <w:jc w:val="left"/>
              <w:outlineLvl w:val="3"/>
              <w:rPr>
                <w:rFonts w:hint="eastAsia" w:ascii="仿宋_GB2312" w:hAnsi="仿宋_GB2312" w:eastAsia="仿宋_GB2312" w:cs="仿宋_GB2312"/>
                <w:b/>
                <w:bCs/>
                <w:color w:val="000000"/>
                <w:sz w:val="24"/>
                <w:szCs w:val="24"/>
                <w:lang w:eastAsia="zh-CN"/>
              </w:rPr>
            </w:pPr>
            <w:r>
              <w:rPr>
                <w:rFonts w:hint="eastAsia" w:ascii="仿宋_GB2312" w:hAnsi="仿宋_GB2312" w:eastAsia="仿宋_GB2312" w:cs="仿宋_GB2312"/>
                <w:b/>
                <w:bCs/>
                <w:color w:val="000000"/>
                <w:sz w:val="24"/>
                <w:szCs w:val="24"/>
                <w:lang w:eastAsia="zh-CN"/>
              </w:rPr>
              <w:t xml:space="preserve">1 </w:t>
            </w:r>
            <w:r>
              <w:rPr>
                <w:rFonts w:hint="eastAsia" w:ascii="仿宋_GB2312" w:hAnsi="仿宋_GB2312" w:eastAsia="仿宋_GB2312" w:cs="仿宋_GB2312"/>
                <w:b/>
                <w:bCs/>
                <w:color w:val="000000"/>
                <w:sz w:val="24"/>
                <w:szCs w:val="24"/>
                <w:lang w:val="en-US" w:eastAsia="zh-CN"/>
              </w:rPr>
              <w:t>.</w:t>
            </w:r>
            <w:r>
              <w:rPr>
                <w:rFonts w:hint="eastAsia" w:ascii="仿宋_GB2312" w:hAnsi="仿宋_GB2312" w:eastAsia="仿宋_GB2312" w:cs="仿宋_GB2312"/>
                <w:b/>
                <w:bCs/>
                <w:color w:val="000000"/>
                <w:sz w:val="24"/>
                <w:szCs w:val="24"/>
                <w:lang w:eastAsia="zh-CN"/>
              </w:rPr>
              <w:t xml:space="preserve"> 投标方应自</w:t>
            </w:r>
            <w:r>
              <w:rPr>
                <w:rFonts w:hint="eastAsia" w:ascii="仿宋_GB2312" w:hAnsi="仿宋_GB2312" w:eastAsia="仿宋_GB2312" w:cs="仿宋_GB2312"/>
                <w:b/>
                <w:bCs/>
                <w:color w:val="000000"/>
                <w:sz w:val="24"/>
                <w:szCs w:val="24"/>
                <w:lang w:val="en-US" w:eastAsia="zh-CN"/>
              </w:rPr>
              <w:t>合同签定</w:t>
            </w:r>
            <w:r>
              <w:rPr>
                <w:rFonts w:hint="eastAsia" w:ascii="仿宋_GB2312" w:hAnsi="仿宋_GB2312" w:eastAsia="仿宋_GB2312" w:cs="仿宋_GB2312"/>
                <w:b/>
                <w:bCs/>
                <w:color w:val="000000"/>
                <w:sz w:val="24"/>
                <w:szCs w:val="24"/>
                <w:lang w:eastAsia="zh-CN"/>
              </w:rPr>
              <w:t>之日起，</w:t>
            </w:r>
            <w:r>
              <w:rPr>
                <w:rFonts w:hint="eastAsia" w:ascii="仿宋_GB2312" w:hAnsi="仿宋_GB2312" w:eastAsia="仿宋_GB2312" w:cs="仿宋_GB2312"/>
                <w:b/>
                <w:bCs/>
                <w:color w:val="000000"/>
                <w:sz w:val="24"/>
                <w:szCs w:val="24"/>
                <w:lang w:val="en-US" w:eastAsia="zh-CN"/>
              </w:rPr>
              <w:t>60</w:t>
            </w:r>
            <w:r>
              <w:rPr>
                <w:rFonts w:hint="eastAsia" w:ascii="仿宋_GB2312" w:hAnsi="仿宋_GB2312" w:eastAsia="仿宋_GB2312" w:cs="仿宋_GB2312"/>
                <w:b/>
                <w:bCs/>
                <w:color w:val="000000"/>
                <w:sz w:val="24"/>
                <w:szCs w:val="24"/>
                <w:lang w:eastAsia="zh-CN"/>
              </w:rPr>
              <w:t>个日历日之内交货至供货地点</w:t>
            </w:r>
          </w:p>
          <w:p>
            <w:pPr>
              <w:spacing w:line="360" w:lineRule="auto"/>
              <w:ind w:firstLine="482" w:firstLineChars="200"/>
              <w:jc w:val="left"/>
              <w:outlineLvl w:val="3"/>
              <w:rPr>
                <w:rFonts w:hint="eastAsia" w:ascii="仿宋_GB2312" w:hAnsi="仿宋_GB2312" w:eastAsia="仿宋_GB2312" w:cs="仿宋_GB2312"/>
                <w:b/>
                <w:bCs/>
                <w:color w:val="000000"/>
                <w:sz w:val="24"/>
                <w:szCs w:val="24"/>
                <w:lang w:eastAsia="zh-CN"/>
              </w:rPr>
            </w:pPr>
            <w:r>
              <w:rPr>
                <w:rFonts w:hint="eastAsia" w:ascii="仿宋_GB2312" w:hAnsi="仿宋_GB2312" w:eastAsia="仿宋_GB2312" w:cs="仿宋_GB2312"/>
                <w:b/>
                <w:bCs/>
                <w:color w:val="000000"/>
                <w:sz w:val="24"/>
                <w:szCs w:val="24"/>
                <w:lang w:eastAsia="zh-CN"/>
              </w:rPr>
              <w:t xml:space="preserve">2.  接续 </w:t>
            </w:r>
            <w:r>
              <w:rPr>
                <w:rFonts w:hint="eastAsia" w:ascii="仿宋_GB2312" w:hAnsi="仿宋_GB2312" w:eastAsia="仿宋_GB2312" w:cs="仿宋_GB2312"/>
                <w:b/>
                <w:bCs/>
                <w:color w:val="000000"/>
                <w:sz w:val="24"/>
                <w:szCs w:val="24"/>
                <w:lang w:val="en-US" w:eastAsia="zh-CN"/>
              </w:rPr>
              <w:t>15</w:t>
            </w:r>
            <w:r>
              <w:rPr>
                <w:rFonts w:hint="eastAsia" w:ascii="仿宋_GB2312" w:hAnsi="仿宋_GB2312" w:eastAsia="仿宋_GB2312" w:cs="仿宋_GB2312"/>
                <w:b/>
                <w:bCs/>
                <w:color w:val="000000"/>
                <w:sz w:val="24"/>
                <w:szCs w:val="24"/>
                <w:lang w:eastAsia="zh-CN"/>
              </w:rPr>
              <w:t xml:space="preserve">  个日历日之内安装调试完毕；</w:t>
            </w:r>
          </w:p>
          <w:p>
            <w:pPr>
              <w:spacing w:line="360" w:lineRule="auto"/>
              <w:ind w:firstLine="482" w:firstLineChars="200"/>
              <w:jc w:val="left"/>
              <w:outlineLvl w:val="3"/>
              <w:rPr>
                <w:rFonts w:hint="eastAsia" w:ascii="仿宋_GB2312" w:hAnsi="仿宋_GB2312" w:eastAsia="仿宋_GB2312" w:cs="仿宋_GB2312"/>
                <w:b/>
                <w:bCs/>
                <w:color w:val="000000"/>
                <w:sz w:val="24"/>
                <w:szCs w:val="24"/>
                <w:lang w:eastAsia="zh-CN"/>
              </w:rPr>
            </w:pPr>
            <w:r>
              <w:rPr>
                <w:rFonts w:hint="eastAsia" w:ascii="仿宋_GB2312" w:hAnsi="仿宋_GB2312" w:eastAsia="仿宋_GB2312" w:cs="仿宋_GB2312"/>
                <w:b/>
                <w:bCs/>
                <w:color w:val="000000"/>
                <w:sz w:val="24"/>
                <w:szCs w:val="24"/>
                <w:lang w:eastAsia="zh-CN"/>
              </w:rPr>
              <w:t>（</w:t>
            </w:r>
            <w:r>
              <w:rPr>
                <w:rFonts w:hint="eastAsia" w:ascii="仿宋_GB2312" w:hAnsi="仿宋_GB2312" w:eastAsia="仿宋_GB2312" w:cs="仿宋_GB2312"/>
                <w:b/>
                <w:bCs/>
                <w:color w:val="000000"/>
                <w:sz w:val="24"/>
                <w:szCs w:val="24"/>
                <w:lang w:val="en-US" w:eastAsia="zh-CN"/>
              </w:rPr>
              <w:t>以上时间若有调整以招标人实际要求为准</w:t>
            </w:r>
            <w:r>
              <w:rPr>
                <w:rFonts w:hint="eastAsia" w:ascii="仿宋_GB2312" w:hAnsi="仿宋_GB2312" w:eastAsia="仿宋_GB2312" w:cs="仿宋_GB2312"/>
                <w:b/>
                <w:bCs/>
                <w:color w:val="000000"/>
                <w:sz w:val="24"/>
                <w:szCs w:val="24"/>
                <w:lang w:eastAsia="zh-CN"/>
              </w:rPr>
              <w:t>）</w:t>
            </w:r>
          </w:p>
          <w:p>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b/>
                <w:bCs/>
                <w:color w:val="000000"/>
                <w:sz w:val="24"/>
                <w:szCs w:val="24"/>
                <w:highlight w:val="green"/>
                <w:lang w:val="en-US" w:eastAsia="zh-CN"/>
              </w:rPr>
              <w:t>重汽（济南）车桥公司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rPr>
              <w:t>质保期：自终验收签字生效之日起  12 个月。</w:t>
            </w:r>
          </w:p>
          <w:p>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41"/>
              <w:spacing w:after="0" w:line="240" w:lineRule="auto"/>
              <w:ind w:left="0" w:leftChars="0" w:firstLine="482" w:firstLineChars="200"/>
              <w:rPr>
                <w:rFonts w:ascii="宋体" w:hAnsi="宋体" w:cs="宋体"/>
                <w:b/>
                <w:bCs/>
                <w:sz w:val="24"/>
                <w:szCs w:val="24"/>
              </w:rPr>
            </w:pPr>
            <w:r>
              <w:rPr>
                <w:rFonts w:hint="eastAsia" w:ascii="宋体" w:hAnsi="宋体" w:cs="宋体"/>
                <w:b/>
                <w:bCs/>
                <w:sz w:val="24"/>
                <w:szCs w:val="24"/>
                <w:u w:val="single"/>
              </w:rPr>
              <w:t>付款方式：半年期商业汇票（包括银行承兑汇票和商业承兑汇票）</w:t>
            </w:r>
          </w:p>
          <w:p>
            <w:pPr>
              <w:ind w:firstLine="480" w:firstLineChars="200"/>
              <w:rPr>
                <w:rFonts w:ascii="宋体" w:hAnsi="宋体" w:eastAsia="宋体" w:cs="宋体"/>
                <w:sz w:val="24"/>
                <w:szCs w:val="24"/>
              </w:rPr>
            </w:pPr>
            <w:r>
              <w:rPr>
                <w:rFonts w:ascii="宋体" w:hAnsi="宋体" w:eastAsia="宋体" w:cs="宋体"/>
                <w:sz w:val="24"/>
                <w:szCs w:val="24"/>
              </w:rPr>
              <w:t>1.合同生效设备全部到齐无质量问题通过买方初步验收并到货后，卖方开具金额为该合同设备价格30%的增值税专用发票带30%的收据（含复印件二份），经买方依照财务制度审核无误后支付合同价款的30%。</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2.设备全部到齐，经现场安装、调试、验收合格交付使用后，卖方提交金额为合同价款60%的收据并附带下列单据，经买方依照财务制度审核无误后支付合同价款的60%。</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a.金额为该合同设备价格70%的增值税专用发票（含复印件二份），具体开票信息详见发票信息表，根据表中所列分别开具增值税发票。</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b.该套设备最终验收报告的原件及其复印件两份。</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3.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6"/>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8"/>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8"/>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8"/>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8"/>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6"/>
              <w:ind w:firstLine="480" w:firstLineChars="20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yellow"/>
                <w:lang w:val="en-US" w:eastAsia="zh-CN"/>
              </w:rPr>
              <w:t>后续冲突以此前附表为准。</w:t>
            </w:r>
          </w:p>
        </w:tc>
      </w:tr>
      <w:bookmarkEnd w:id="6"/>
    </w:tbl>
    <w:p>
      <w:pPr>
        <w:pStyle w:val="23"/>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pPr>
        <w:pStyle w:val="3"/>
        <w:rPr>
          <w:rFonts w:hint="eastAsia" w:ascii="仿宋_GB2312" w:hAnsi="仿宋_GB2312" w:eastAsia="仿宋_GB2312" w:cs="仿宋_GB2312"/>
          <w:sz w:val="44"/>
        </w:rPr>
      </w:pPr>
      <w:bookmarkStart w:id="7" w:name="_Toc27087"/>
      <w:bookmarkStart w:id="8" w:name="_Toc6577"/>
      <w:bookmarkStart w:id="9" w:name="_Toc11216"/>
      <w:bookmarkStart w:id="10" w:name="_Toc19183"/>
      <w:bookmarkStart w:id="11" w:name="_Toc427"/>
      <w:bookmarkStart w:id="12" w:name="_Toc9448"/>
      <w:r>
        <w:rPr>
          <w:rFonts w:hint="eastAsia" w:ascii="仿宋_GB2312" w:hAnsi="仿宋_GB2312" w:eastAsia="仿宋_GB2312" w:cs="仿宋_GB2312"/>
          <w:sz w:val="44"/>
        </w:rPr>
        <w:t>第二部分 投标须知</w:t>
      </w:r>
      <w:bookmarkEnd w:id="7"/>
      <w:bookmarkEnd w:id="8"/>
      <w:bookmarkEnd w:id="9"/>
      <w:bookmarkEnd w:id="10"/>
      <w:bookmarkEnd w:id="11"/>
      <w:bookmarkEnd w:id="12"/>
    </w:p>
    <w:p>
      <w:pPr>
        <w:pStyle w:val="4"/>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pPr>
        <w:pStyle w:val="4"/>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pPr>
        <w:pStyle w:val="23"/>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pPr>
        <w:pStyle w:val="4"/>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pPr>
        <w:pStyle w:val="23"/>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pPr>
        <w:pStyle w:val="4"/>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1</w:t>
      </w:r>
      <w:r>
        <w:rPr>
          <w:rFonts w:hint="eastAsia" w:ascii="仿宋_GB2312" w:hAnsi="仿宋_GB2312" w:eastAsia="仿宋_GB2312" w:cs="仿宋_GB2312"/>
          <w:color w:val="000000"/>
          <w:sz w:val="24"/>
          <w:szCs w:val="24"/>
        </w:rPr>
        <w:t>准备资料并上传，资质审查通过即为报名成功，公示期间请尽快报名。</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pPr>
        <w:pStyle w:val="23"/>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3.1评标流程以及规则详见本部分第六条评标原则。</w:t>
      </w:r>
    </w:p>
    <w:p>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3"/>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pPr>
        <w:pStyle w:val="23"/>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pPr>
        <w:pStyle w:val="4"/>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中国重汽官网、山东省阳光采购服务平台</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8"/>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pPr>
        <w:pStyle w:val="118"/>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pPr>
        <w:pStyle w:val="118"/>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pPr>
        <w:pStyle w:val="118"/>
        <w:ind w:firstLine="480"/>
        <w:rPr>
          <w:rFonts w:hint="eastAsia" w:ascii="仿宋_GB2312" w:hAnsi="仿宋_GB2312" w:eastAsia="仿宋_GB2312" w:cs="仿宋_GB2312"/>
        </w:rPr>
      </w:pPr>
      <w:r>
        <w:rPr>
          <w:rFonts w:hint="eastAsia" w:ascii="仿宋_GB2312" w:hAnsi="仿宋_GB2312" w:eastAsia="仿宋_GB2312" w:cs="仿宋_GB2312"/>
        </w:rPr>
        <w:t>4.3说明</w:t>
      </w:r>
    </w:p>
    <w:p>
      <w:pPr>
        <w:pStyle w:val="118"/>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pPr>
        <w:pStyle w:val="118"/>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pPr>
        <w:pStyle w:val="118"/>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pPr>
        <w:pStyle w:val="118"/>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pPr>
        <w:pStyle w:val="118"/>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pPr>
        <w:pStyle w:val="118"/>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pPr>
        <w:pStyle w:val="118"/>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pPr>
        <w:pStyle w:val="118"/>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pPr>
        <w:pStyle w:val="118"/>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pPr>
        <w:pStyle w:val="118"/>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pPr>
        <w:pStyle w:val="118"/>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pPr>
        <w:pStyle w:val="4"/>
        <w:rPr>
          <w:rFonts w:hint="eastAsia" w:ascii="仿宋_GB2312" w:hAnsi="仿宋_GB2312" w:eastAsia="仿宋_GB2312" w:cs="仿宋_GB2312"/>
          <w:sz w:val="36"/>
          <w:szCs w:val="36"/>
        </w:rPr>
      </w:pPr>
      <w:bookmarkStart w:id="19" w:name="_Toc33266914"/>
      <w:bookmarkStart w:id="20" w:name="_Toc33265752"/>
      <w:bookmarkStart w:id="21" w:name="_Toc33285487"/>
      <w:bookmarkStart w:id="22" w:name="_Toc33267001"/>
      <w:bookmarkStart w:id="23" w:name="_Toc33266950"/>
      <w:bookmarkStart w:id="24" w:name="_Toc33265653"/>
      <w:bookmarkStart w:id="25" w:name="_Toc33266627"/>
      <w:bookmarkStart w:id="26" w:name="_Toc30534"/>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pPr>
        <w:numPr>
          <w:ilvl w:val="0"/>
          <w:numId w:val="0"/>
        </w:numPr>
        <w:spacing w:line="360" w:lineRule="auto"/>
        <w:ind w:leftChars="0" w:firstLine="420" w:firstLineChars="0"/>
        <w:rPr>
          <w:rFonts w:hint="eastAsia" w:ascii="仿宋_GB2312" w:hAnsi="仿宋_GB2312" w:eastAsia="仿宋_GB2312" w:cs="仿宋_GB2312"/>
          <w:b/>
          <w:sz w:val="24"/>
          <w:szCs w:val="24"/>
          <w:lang w:val="en-US" w:eastAsia="zh-CN"/>
        </w:rPr>
      </w:pPr>
      <w:bookmarkStart w:id="28" w:name="_Toc28416"/>
      <w:r>
        <w:rPr>
          <w:rFonts w:hint="eastAsia" w:ascii="仿宋_GB2312" w:hAnsi="仿宋_GB2312" w:eastAsia="仿宋_GB2312" w:cs="仿宋_GB2312"/>
          <w:b/>
          <w:sz w:val="24"/>
          <w:szCs w:val="24"/>
          <w:lang w:val="en-US" w:eastAsia="zh-CN"/>
        </w:rPr>
        <w:t>综合评标法评标</w:t>
      </w:r>
    </w:p>
    <w:p>
      <w:pPr>
        <w:numPr>
          <w:ilvl w:val="0"/>
          <w:numId w:val="0"/>
        </w:numPr>
        <w:spacing w:line="360" w:lineRule="auto"/>
        <w:ind w:leftChars="0" w:firstLine="420" w:firstLineChars="0"/>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综合评标法，得分=技术标×30%+商务标×70%。</w:t>
      </w:r>
    </w:p>
    <w:p>
      <w:pPr>
        <w:numPr>
          <w:ilvl w:val="0"/>
          <w:numId w:val="0"/>
        </w:numPr>
        <w:spacing w:line="360" w:lineRule="auto"/>
        <w:ind w:leftChars="0" w:firstLine="420" w:firstLineChars="0"/>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商务标：商务标得分=当前轮次最低价/供方投标价×商务标总分。</w:t>
      </w:r>
    </w:p>
    <w:p>
      <w:pPr>
        <w:pStyle w:val="18"/>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评分原则</w:t>
      </w:r>
    </w:p>
    <w:tbl>
      <w:tblPr>
        <w:tblStyle w:val="42"/>
        <w:tblpPr w:leftFromText="180" w:rightFromText="180" w:vertAnchor="text" w:horzAnchor="page" w:tblpX="1436" w:tblpY="303"/>
        <w:tblOverlap w:val="never"/>
        <w:tblW w:w="98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3225"/>
        <w:gridCol w:w="775"/>
        <w:gridCol w:w="5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1"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360" w:lineRule="auto"/>
              <w:ind w:right="-6"/>
              <w:jc w:val="center"/>
              <w:rPr>
                <w:rFonts w:hint="eastAsia" w:ascii="宋体" w:hAnsi="宋体" w:eastAsiaTheme="minorEastAsia"/>
                <w:b/>
                <w:sz w:val="18"/>
                <w:szCs w:val="18"/>
                <w:lang w:val="en-US" w:eastAsia="zh-CN"/>
              </w:rPr>
            </w:pPr>
            <w:r>
              <w:rPr>
                <w:rFonts w:hint="eastAsia" w:ascii="宋体" w:hAnsi="宋体"/>
                <w:b/>
                <w:sz w:val="18"/>
                <w:szCs w:val="18"/>
                <w:lang w:val="en-US" w:eastAsia="zh-CN"/>
              </w:rPr>
              <w:t>一</w:t>
            </w:r>
          </w:p>
        </w:tc>
        <w:tc>
          <w:tcPr>
            <w:tcW w:w="9000"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ind w:right="-6"/>
              <w:jc w:val="center"/>
              <w:rPr>
                <w:rFonts w:hint="eastAsia" w:ascii="宋体" w:hAnsi="宋体" w:eastAsiaTheme="minorEastAsia"/>
                <w:b/>
                <w:sz w:val="18"/>
                <w:szCs w:val="18"/>
                <w:lang w:val="en-US" w:eastAsia="zh-CN"/>
              </w:rPr>
            </w:pPr>
            <w:r>
              <w:rPr>
                <w:rFonts w:hint="eastAsia" w:ascii="宋体" w:hAnsi="宋体" w:eastAsia="宋体" w:cs="宋体"/>
                <w:b/>
                <w:sz w:val="28"/>
                <w:szCs w:val="28"/>
                <w:lang w:val="en-US" w:eastAsia="zh-CN"/>
              </w:rPr>
              <w:t>技术标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360" w:lineRule="auto"/>
              <w:ind w:right="-6"/>
              <w:jc w:val="center"/>
              <w:rPr>
                <w:rFonts w:ascii="宋体" w:hAnsi="Times New Roman" w:eastAsia="宋体"/>
                <w:b/>
                <w:sz w:val="18"/>
                <w:szCs w:val="18"/>
              </w:rPr>
            </w:pPr>
            <w:r>
              <w:rPr>
                <w:rFonts w:hint="eastAsia" w:ascii="宋体" w:hAnsi="宋体"/>
                <w:b/>
                <w:sz w:val="18"/>
                <w:szCs w:val="18"/>
              </w:rPr>
              <w:t>序号</w:t>
            </w:r>
          </w:p>
        </w:tc>
        <w:tc>
          <w:tcPr>
            <w:tcW w:w="3225" w:type="dxa"/>
            <w:tcBorders>
              <w:top w:val="single" w:color="auto" w:sz="4" w:space="0"/>
              <w:left w:val="single" w:color="auto" w:sz="4" w:space="0"/>
              <w:bottom w:val="single" w:color="auto" w:sz="4" w:space="0"/>
              <w:right w:val="single" w:color="auto" w:sz="4" w:space="0"/>
            </w:tcBorders>
            <w:vAlign w:val="center"/>
          </w:tcPr>
          <w:p>
            <w:pPr>
              <w:spacing w:line="360" w:lineRule="auto"/>
              <w:ind w:right="-6"/>
              <w:jc w:val="center"/>
              <w:rPr>
                <w:rFonts w:ascii="宋体" w:hAnsi="Times New Roman" w:eastAsia="宋体"/>
                <w:b/>
                <w:sz w:val="18"/>
                <w:szCs w:val="18"/>
              </w:rPr>
            </w:pPr>
            <w:r>
              <w:rPr>
                <w:rFonts w:hint="eastAsia" w:ascii="宋体" w:hAnsi="宋体"/>
                <w:b/>
                <w:sz w:val="18"/>
                <w:szCs w:val="18"/>
              </w:rPr>
              <w:t>内   容</w:t>
            </w:r>
          </w:p>
        </w:tc>
        <w:tc>
          <w:tcPr>
            <w:tcW w:w="775" w:type="dxa"/>
            <w:tcBorders>
              <w:top w:val="single" w:color="auto" w:sz="4" w:space="0"/>
              <w:left w:val="single" w:color="auto" w:sz="4" w:space="0"/>
              <w:bottom w:val="single" w:color="auto" w:sz="4" w:space="0"/>
              <w:right w:val="single" w:color="auto" w:sz="4" w:space="0"/>
            </w:tcBorders>
            <w:vAlign w:val="center"/>
          </w:tcPr>
          <w:p>
            <w:pPr>
              <w:spacing w:line="360" w:lineRule="auto"/>
              <w:ind w:right="-6"/>
              <w:jc w:val="center"/>
              <w:rPr>
                <w:rFonts w:ascii="宋体" w:hAnsi="Times New Roman" w:eastAsia="宋体"/>
                <w:b/>
                <w:sz w:val="18"/>
                <w:szCs w:val="18"/>
              </w:rPr>
            </w:pPr>
            <w:r>
              <w:rPr>
                <w:rFonts w:hint="eastAsia" w:ascii="宋体" w:hAnsi="宋体"/>
                <w:b/>
                <w:sz w:val="18"/>
                <w:szCs w:val="18"/>
              </w:rPr>
              <w:t>标准分</w:t>
            </w:r>
          </w:p>
        </w:tc>
        <w:tc>
          <w:tcPr>
            <w:tcW w:w="5000" w:type="dxa"/>
            <w:tcBorders>
              <w:top w:val="single" w:color="auto" w:sz="4" w:space="0"/>
              <w:left w:val="single" w:color="auto" w:sz="4" w:space="0"/>
              <w:bottom w:val="single" w:color="auto" w:sz="4" w:space="0"/>
              <w:right w:val="single" w:color="auto" w:sz="4" w:space="0"/>
            </w:tcBorders>
            <w:vAlign w:val="center"/>
          </w:tcPr>
          <w:p>
            <w:pPr>
              <w:spacing w:line="360" w:lineRule="auto"/>
              <w:ind w:right="-6"/>
              <w:jc w:val="center"/>
              <w:rPr>
                <w:rFonts w:ascii="宋体" w:hAnsi="Times New Roman" w:eastAsia="宋体"/>
                <w:b/>
                <w:sz w:val="18"/>
                <w:szCs w:val="18"/>
              </w:rPr>
            </w:pPr>
            <w:r>
              <w:rPr>
                <w:rFonts w:hint="eastAsia" w:ascii="宋体" w:hAnsi="宋体"/>
                <w:b/>
                <w:sz w:val="18"/>
                <w:szCs w:val="18"/>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eastAsia="宋体"/>
                <w:szCs w:val="21"/>
              </w:rPr>
            </w:pPr>
            <w:r>
              <w:rPr>
                <w:rFonts w:hint="eastAsia" w:ascii="宋体" w:hAnsi="宋体"/>
              </w:rPr>
              <w:t>1</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宋体" w:hAnsi="Times New Roman" w:eastAsiaTheme="minorEastAsia"/>
                <w:szCs w:val="21"/>
                <w:lang w:eastAsia="zh-CN"/>
              </w:rPr>
            </w:pPr>
            <w:r>
              <w:rPr>
                <w:rFonts w:hint="eastAsia" w:ascii="宋体" w:hAnsi="宋体"/>
                <w:bCs/>
              </w:rPr>
              <w:t>投标人资质</w:t>
            </w:r>
            <w:r>
              <w:rPr>
                <w:rFonts w:hint="eastAsia" w:ascii="宋体" w:hAnsi="宋体"/>
                <w:bCs/>
                <w:lang w:eastAsia="zh-CN"/>
              </w:rPr>
              <w:t>，</w:t>
            </w:r>
            <w:r>
              <w:rPr>
                <w:rFonts w:hint="eastAsia" w:ascii="宋体" w:hAnsi="宋体"/>
                <w:bCs/>
              </w:rPr>
              <w:t>具备有效营业执照且经营范围涵盖相关设备销售</w:t>
            </w:r>
            <w:r>
              <w:rPr>
                <w:rFonts w:hint="eastAsia" w:ascii="宋体" w:hAnsi="宋体"/>
                <w:bCs/>
                <w:lang w:eastAsia="zh-CN"/>
              </w:rPr>
              <w:t>，拥有设备生产或代理授权证明。</w:t>
            </w:r>
          </w:p>
        </w:tc>
        <w:tc>
          <w:tcPr>
            <w:tcW w:w="77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default" w:ascii="宋体" w:hAnsi="宋体" w:eastAsia="宋体"/>
                <w:szCs w:val="21"/>
                <w:lang w:val="en-US" w:eastAsia="zh-CN"/>
              </w:rPr>
            </w:pPr>
            <w:r>
              <w:rPr>
                <w:rFonts w:hint="eastAsia" w:ascii="宋体" w:hAnsi="宋体" w:eastAsia="宋体"/>
                <w:lang w:val="en-US" w:eastAsia="zh-CN"/>
              </w:rPr>
              <w:t>10</w:t>
            </w:r>
          </w:p>
        </w:tc>
        <w:tc>
          <w:tcPr>
            <w:tcW w:w="5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default" w:ascii="宋体" w:hAnsi="宋体" w:eastAsiaTheme="minorEastAsia"/>
                <w:bCs/>
                <w:szCs w:val="21"/>
                <w:lang w:val="en-US" w:eastAsia="zh-CN"/>
              </w:rPr>
            </w:pPr>
            <w:r>
              <w:rPr>
                <w:rFonts w:hint="eastAsia" w:ascii="宋体" w:hAnsi="宋体"/>
                <w:bCs/>
              </w:rPr>
              <w:t>投标人资质</w:t>
            </w:r>
            <w:r>
              <w:rPr>
                <w:rFonts w:hint="eastAsia" w:ascii="宋体" w:hAnsi="宋体"/>
                <w:bCs/>
                <w:lang w:eastAsia="zh-CN"/>
              </w:rPr>
              <w:t>，</w:t>
            </w:r>
            <w:r>
              <w:rPr>
                <w:rFonts w:hint="eastAsia" w:ascii="宋体" w:hAnsi="宋体"/>
                <w:bCs/>
              </w:rPr>
              <w:t>具备有效营业执照且经营范围涵盖相关设备销售</w:t>
            </w:r>
            <w:r>
              <w:rPr>
                <w:rFonts w:hint="eastAsia" w:ascii="宋体" w:hAnsi="宋体"/>
                <w:bCs/>
                <w:lang w:eastAsia="zh-CN"/>
              </w:rPr>
              <w:t>，拥有设备生产或代理授权证明。</w:t>
            </w:r>
            <w:r>
              <w:rPr>
                <w:rFonts w:hint="eastAsia" w:ascii="宋体" w:hAnsi="宋体"/>
                <w:bCs/>
              </w:rPr>
              <w:t>视情况得0-</w:t>
            </w:r>
            <w:r>
              <w:rPr>
                <w:rFonts w:hint="eastAsia" w:ascii="宋体" w:hAnsi="宋体"/>
                <w:bCs/>
                <w:lang w:val="en-US" w:eastAsia="zh-CN"/>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eastAsia="宋体"/>
                <w:szCs w:val="21"/>
              </w:rPr>
            </w:pPr>
            <w:r>
              <w:rPr>
                <w:rFonts w:hint="eastAsia" w:ascii="宋体" w:hAnsi="宋体"/>
              </w:rPr>
              <w:t>2</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default" w:ascii="宋体" w:hAnsi="Times New Roman" w:eastAsiaTheme="minorEastAsia"/>
                <w:bCs/>
                <w:szCs w:val="21"/>
                <w:lang w:val="en-US" w:eastAsia="zh-CN"/>
              </w:rPr>
            </w:pPr>
            <w:r>
              <w:rPr>
                <w:rFonts w:hint="eastAsia" w:ascii="宋体" w:hAnsi="宋体"/>
                <w:bCs/>
              </w:rPr>
              <w:t>产品方案技术先进、各系统完善、性能可靠，设备主要核心部件，具备自身技术优势</w:t>
            </w:r>
          </w:p>
        </w:tc>
        <w:tc>
          <w:tcPr>
            <w:tcW w:w="77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default" w:ascii="宋体" w:hAnsi="宋体" w:eastAsia="宋体"/>
                <w:szCs w:val="21"/>
                <w:lang w:val="en-US" w:eastAsia="zh-CN"/>
              </w:rPr>
            </w:pPr>
            <w:r>
              <w:rPr>
                <w:rFonts w:hint="eastAsia" w:ascii="宋体" w:hAnsi="宋体" w:eastAsia="宋体"/>
                <w:lang w:val="en-US" w:eastAsia="zh-CN"/>
              </w:rPr>
              <w:t>50</w:t>
            </w:r>
          </w:p>
        </w:tc>
        <w:tc>
          <w:tcPr>
            <w:tcW w:w="5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default" w:ascii="宋体" w:hAnsi="宋体" w:eastAsiaTheme="minorEastAsia"/>
                <w:bCs/>
                <w:szCs w:val="21"/>
                <w:lang w:val="en-US" w:eastAsia="zh-CN"/>
              </w:rPr>
            </w:pPr>
            <w:r>
              <w:rPr>
                <w:rFonts w:hint="eastAsia" w:ascii="宋体" w:hAnsi="宋体"/>
                <w:bCs/>
              </w:rPr>
              <w:t>产品方案技术先进、各系统完善、性能可靠，设备主要核心部件，具备自身技术优势，节能环保</w:t>
            </w:r>
            <w:r>
              <w:rPr>
                <w:rFonts w:hint="eastAsia" w:ascii="宋体" w:hAnsi="宋体"/>
                <w:bCs/>
                <w:lang w:eastAsia="zh-CN"/>
              </w:rPr>
              <w:t>；</w:t>
            </w:r>
            <w:r>
              <w:rPr>
                <w:rFonts w:hint="eastAsia" w:ascii="宋体" w:hAnsi="宋体"/>
                <w:bCs/>
                <w:lang w:val="en-US" w:eastAsia="zh-CN"/>
              </w:rPr>
              <w:t>注脂泵流量、压力合理，注脂节拍、注脂量误差符合要求，注脂工装简便、实用，避免出现润滑脂污染现场，</w:t>
            </w:r>
            <w:r>
              <w:rPr>
                <w:rFonts w:hint="eastAsia" w:ascii="宋体" w:hAnsi="宋体"/>
                <w:bCs/>
              </w:rPr>
              <w:t>视情况得0-</w:t>
            </w:r>
            <w:r>
              <w:rPr>
                <w:rFonts w:hint="eastAsia" w:ascii="宋体" w:hAnsi="宋体"/>
                <w:bCs/>
                <w:lang w:val="en-US" w:eastAsia="zh-CN"/>
              </w:rPr>
              <w:t>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5"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eastAsia="宋体"/>
                <w:szCs w:val="21"/>
              </w:rPr>
            </w:pPr>
            <w:r>
              <w:rPr>
                <w:rFonts w:hint="eastAsia" w:ascii="宋体" w:hAnsi="宋体"/>
              </w:rPr>
              <w:t>3</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Times New Roman" w:eastAsia="宋体"/>
                <w:bCs/>
                <w:szCs w:val="21"/>
              </w:rPr>
            </w:pPr>
            <w:r>
              <w:rPr>
                <w:rFonts w:hint="eastAsia" w:ascii="宋体" w:hAnsi="宋体"/>
                <w:bCs/>
              </w:rPr>
              <w:t>产品维保</w:t>
            </w:r>
          </w:p>
        </w:tc>
        <w:tc>
          <w:tcPr>
            <w:tcW w:w="77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default" w:ascii="宋体" w:hAnsi="宋体" w:eastAsia="宋体"/>
                <w:szCs w:val="21"/>
                <w:lang w:val="en-US" w:eastAsia="zh-CN"/>
              </w:rPr>
            </w:pPr>
            <w:r>
              <w:rPr>
                <w:rFonts w:hint="eastAsia" w:ascii="宋体" w:hAnsi="宋体" w:eastAsia="宋体"/>
                <w:lang w:val="en-US" w:eastAsia="zh-CN"/>
              </w:rPr>
              <w:t>10</w:t>
            </w:r>
          </w:p>
        </w:tc>
        <w:tc>
          <w:tcPr>
            <w:tcW w:w="5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eastAsia="宋体"/>
                <w:bCs/>
                <w:szCs w:val="21"/>
              </w:rPr>
            </w:pPr>
            <w:r>
              <w:rPr>
                <w:rFonts w:hint="eastAsia" w:ascii="宋体" w:hAnsi="宋体"/>
                <w:bCs/>
              </w:rPr>
              <w:t>易于维修、操作方便，产品附件配置齐全，质量可靠，设备在使用期内的维护费用，视情况得0-5</w:t>
            </w:r>
            <w:r>
              <w:rPr>
                <w:rFonts w:hint="eastAsia" w:ascii="宋体" w:hAnsi="宋体"/>
                <w:bCs/>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宋体"/>
                <w:szCs w:val="21"/>
                <w:lang w:eastAsia="zh-CN"/>
              </w:rPr>
            </w:pPr>
            <w:r>
              <w:rPr>
                <w:rFonts w:hint="eastAsia" w:ascii="宋体" w:hAnsi="宋体" w:eastAsia="宋体"/>
                <w:lang w:val="en-US" w:eastAsia="zh-CN"/>
              </w:rPr>
              <w:t>4</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Times New Roman" w:eastAsia="宋体"/>
                <w:szCs w:val="21"/>
              </w:rPr>
            </w:pPr>
            <w:r>
              <w:rPr>
                <w:rFonts w:hint="eastAsia" w:ascii="宋体" w:hAnsi="宋体"/>
              </w:rPr>
              <w:t>计划控制</w:t>
            </w:r>
          </w:p>
        </w:tc>
        <w:tc>
          <w:tcPr>
            <w:tcW w:w="77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eastAsia="宋体"/>
                <w:szCs w:val="21"/>
              </w:rPr>
            </w:pPr>
            <w:r>
              <w:rPr>
                <w:rFonts w:hint="eastAsia" w:ascii="宋体" w:hAnsi="宋体"/>
                <w:bCs/>
              </w:rPr>
              <w:t>5</w:t>
            </w:r>
          </w:p>
        </w:tc>
        <w:tc>
          <w:tcPr>
            <w:tcW w:w="5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Times New Roman" w:eastAsia="宋体"/>
                <w:bCs/>
                <w:szCs w:val="21"/>
              </w:rPr>
            </w:pPr>
            <w:r>
              <w:rPr>
                <w:rFonts w:hint="eastAsia" w:ascii="宋体" w:hAnsi="宋体"/>
                <w:bCs/>
              </w:rPr>
              <w:t>有详细可行的行动计划能保证项目进度，有风险管理。综合评审，自主赋分。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宋体"/>
                <w:szCs w:val="21"/>
                <w:lang w:eastAsia="zh-CN"/>
              </w:rPr>
            </w:pPr>
            <w:r>
              <w:rPr>
                <w:rFonts w:hint="eastAsia" w:ascii="宋体" w:hAnsi="宋体" w:eastAsia="宋体"/>
                <w:lang w:val="en-US" w:eastAsia="zh-CN"/>
              </w:rPr>
              <w:t>5</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Times New Roman" w:eastAsia="宋体"/>
                <w:szCs w:val="21"/>
              </w:rPr>
            </w:pPr>
            <w:r>
              <w:rPr>
                <w:rFonts w:hint="eastAsia" w:ascii="宋体" w:hAnsi="宋体"/>
              </w:rPr>
              <w:t>业绩</w:t>
            </w:r>
          </w:p>
        </w:tc>
        <w:tc>
          <w:tcPr>
            <w:tcW w:w="77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eastAsia="宋体"/>
                <w:szCs w:val="21"/>
              </w:rPr>
            </w:pPr>
            <w:r>
              <w:rPr>
                <w:rFonts w:hint="eastAsia" w:ascii="宋体" w:hAnsi="宋体"/>
              </w:rPr>
              <w:t>5</w:t>
            </w:r>
          </w:p>
        </w:tc>
        <w:tc>
          <w:tcPr>
            <w:tcW w:w="5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Times New Roman" w:eastAsia="宋体"/>
                <w:bCs/>
                <w:szCs w:val="21"/>
              </w:rPr>
            </w:pPr>
            <w:r>
              <w:rPr>
                <w:rFonts w:hint="eastAsia" w:ascii="宋体" w:hAnsi="宋体"/>
                <w:bCs/>
              </w:rPr>
              <w:t>最近连续三年有国内外知名</w:t>
            </w:r>
            <w:r>
              <w:rPr>
                <w:rFonts w:hint="eastAsia" w:ascii="宋体" w:hAnsi="宋体"/>
                <w:bCs/>
                <w:lang w:val="en-US" w:eastAsia="zh-CN"/>
              </w:rPr>
              <w:t>厂家同类设备的</w:t>
            </w:r>
            <w:r>
              <w:rPr>
                <w:rFonts w:hint="eastAsia" w:ascii="宋体" w:hAnsi="宋体"/>
                <w:bCs/>
              </w:rPr>
              <w:t>供货经历或其他大型供货经历</w:t>
            </w:r>
            <w:r>
              <w:rPr>
                <w:rFonts w:hint="eastAsia" w:ascii="宋体" w:hAnsi="宋体"/>
                <w:bCs/>
                <w:lang w:eastAsia="zh-CN"/>
              </w:rPr>
              <w:t>、</w:t>
            </w:r>
            <w:r>
              <w:rPr>
                <w:rFonts w:hint="eastAsia" w:ascii="宋体" w:hAnsi="宋体"/>
                <w:bCs/>
                <w:lang w:val="en-US" w:eastAsia="zh-CN"/>
              </w:rPr>
              <w:t>安装施工经验，并提供从调试完毕后截至目前实际正常运行时间证明，</w:t>
            </w:r>
            <w:r>
              <w:rPr>
                <w:rFonts w:hint="eastAsia" w:ascii="宋体" w:hAnsi="宋体"/>
                <w:bCs/>
              </w:rPr>
              <w:t>提供3份以上投标同类产品开发合同证明材料，得5分；提供3份得4分；提供2份得3分；提供1份证明材料的，得2分；无证明材料的，不得分。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宋体"/>
                <w:szCs w:val="21"/>
                <w:lang w:eastAsia="zh-CN"/>
              </w:rPr>
            </w:pPr>
            <w:r>
              <w:rPr>
                <w:rFonts w:hint="eastAsia" w:ascii="宋体" w:hAnsi="宋体" w:eastAsia="宋体"/>
                <w:lang w:val="en-US" w:eastAsia="zh-CN"/>
              </w:rPr>
              <w:t>6</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eastAsia="宋体"/>
                <w:szCs w:val="21"/>
              </w:rPr>
            </w:pPr>
            <w:r>
              <w:rPr>
                <w:rFonts w:hint="eastAsia" w:ascii="宋体" w:hAnsi="宋体"/>
              </w:rPr>
              <w:t>质量保证</w:t>
            </w:r>
          </w:p>
        </w:tc>
        <w:tc>
          <w:tcPr>
            <w:tcW w:w="77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eastAsia="宋体"/>
                <w:szCs w:val="21"/>
              </w:rPr>
            </w:pPr>
            <w:r>
              <w:rPr>
                <w:rFonts w:hint="eastAsia" w:ascii="宋体" w:hAnsi="宋体"/>
              </w:rPr>
              <w:t>5</w:t>
            </w:r>
          </w:p>
        </w:tc>
        <w:tc>
          <w:tcPr>
            <w:tcW w:w="5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Times New Roman" w:eastAsia="宋体"/>
                <w:bCs/>
                <w:szCs w:val="21"/>
              </w:rPr>
            </w:pPr>
            <w:r>
              <w:rPr>
                <w:rFonts w:hint="eastAsia" w:ascii="宋体" w:hAnsi="宋体"/>
                <w:bCs/>
              </w:rPr>
              <w:t>具有良好的质量管理体系和完备的检测体系，保证设备造质量符合要求（提供相应证明材料）。根据提供的资料综合评审，自主赋分。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default" w:ascii="宋体" w:hAnsi="宋体" w:eastAsia="宋体"/>
                <w:lang w:val="en-US" w:eastAsia="zh-CN"/>
              </w:rPr>
            </w:pPr>
            <w:r>
              <w:rPr>
                <w:rFonts w:hint="eastAsia" w:ascii="宋体" w:hAnsi="宋体" w:eastAsia="宋体"/>
                <w:lang w:val="en-US" w:eastAsia="zh-CN"/>
              </w:rPr>
              <w:t>7</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宋体" w:hAnsi="宋体" w:eastAsiaTheme="minorEastAsia"/>
                <w:lang w:val="en-US" w:eastAsia="zh-CN"/>
              </w:rPr>
            </w:pPr>
            <w:r>
              <w:rPr>
                <w:rFonts w:hint="eastAsia"/>
                <w:szCs w:val="21"/>
                <w:highlight w:val="none"/>
                <w:lang w:val="en-US" w:eastAsia="zh-CN"/>
              </w:rPr>
              <w:t>技术偏离</w:t>
            </w:r>
          </w:p>
        </w:tc>
        <w:tc>
          <w:tcPr>
            <w:tcW w:w="77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Theme="minorEastAsia"/>
                <w:lang w:val="en-US" w:eastAsia="zh-CN"/>
              </w:rPr>
            </w:pPr>
            <w:r>
              <w:rPr>
                <w:rFonts w:hint="eastAsia" w:ascii="宋体" w:hAnsi="宋体"/>
                <w:lang w:val="en-US" w:eastAsia="zh-CN"/>
              </w:rPr>
              <w:t>5</w:t>
            </w:r>
          </w:p>
        </w:tc>
        <w:tc>
          <w:tcPr>
            <w:tcW w:w="5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szCs w:val="21"/>
                <w:lang w:val="en-US" w:eastAsia="zh-CN"/>
              </w:rPr>
            </w:pPr>
            <w:r>
              <w:rPr>
                <w:rFonts w:hint="eastAsia"/>
                <w:szCs w:val="21"/>
                <w:lang w:val="en-US" w:eastAsia="zh-CN"/>
              </w:rPr>
              <w:t>技术方案优于招标要求的视情况加1-5分；</w:t>
            </w:r>
          </w:p>
          <w:p>
            <w:pPr>
              <w:spacing w:line="420" w:lineRule="exact"/>
              <w:rPr>
                <w:rFonts w:hint="eastAsia" w:ascii="宋体" w:hAnsi="宋体"/>
                <w:bCs/>
              </w:rPr>
            </w:pPr>
            <w:r>
              <w:rPr>
                <w:rFonts w:hint="eastAsia"/>
                <w:szCs w:val="21"/>
                <w:lang w:val="en-US" w:eastAsia="zh-CN"/>
              </w:rPr>
              <w:t>不满足招标要求的视情况减1-5分。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0"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宋体"/>
                <w:szCs w:val="21"/>
                <w:lang w:eastAsia="zh-CN"/>
              </w:rPr>
            </w:pPr>
            <w:r>
              <w:rPr>
                <w:rFonts w:hint="eastAsia" w:ascii="宋体" w:hAnsi="宋体" w:eastAsia="宋体"/>
                <w:lang w:val="en-US" w:eastAsia="zh-CN"/>
              </w:rPr>
              <w:t>8</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default" w:ascii="宋体" w:hAnsi="宋体" w:eastAsia="宋体"/>
                <w:szCs w:val="21"/>
                <w:lang w:val="en-US" w:eastAsia="zh-CN"/>
              </w:rPr>
            </w:pPr>
            <w:r>
              <w:rPr>
                <w:rFonts w:hint="eastAsia" w:ascii="宋体" w:hAnsi="宋体" w:eastAsia="宋体"/>
                <w:lang w:val="en-US" w:eastAsia="zh-CN"/>
              </w:rPr>
              <w:t>项目交期</w:t>
            </w:r>
          </w:p>
        </w:tc>
        <w:tc>
          <w:tcPr>
            <w:tcW w:w="77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default" w:ascii="宋体" w:hAnsi="宋体" w:eastAsia="宋体"/>
                <w:szCs w:val="21"/>
                <w:lang w:val="en-US" w:eastAsia="zh-CN"/>
              </w:rPr>
            </w:pPr>
            <w:r>
              <w:rPr>
                <w:rFonts w:hint="eastAsia" w:ascii="宋体" w:hAnsi="宋体" w:eastAsia="宋体"/>
                <w:lang w:val="en-US" w:eastAsia="zh-CN"/>
              </w:rPr>
              <w:t>10</w:t>
            </w:r>
          </w:p>
        </w:tc>
        <w:tc>
          <w:tcPr>
            <w:tcW w:w="5000" w:type="dxa"/>
            <w:tcBorders>
              <w:top w:val="single" w:color="auto" w:sz="4" w:space="0"/>
              <w:left w:val="single" w:color="auto" w:sz="4" w:space="0"/>
              <w:bottom w:val="single" w:color="auto" w:sz="4" w:space="0"/>
              <w:right w:val="single" w:color="auto" w:sz="4" w:space="0"/>
            </w:tcBorders>
            <w:vAlign w:val="center"/>
          </w:tcPr>
          <w:p>
            <w:pPr>
              <w:tabs>
                <w:tab w:val="left" w:pos="7854"/>
              </w:tabs>
              <w:rPr>
                <w:rFonts w:hint="default" w:ascii="宋体" w:hAnsi="Times New Roman" w:eastAsiaTheme="minorEastAsia"/>
                <w:bCs/>
                <w:szCs w:val="21"/>
                <w:lang w:val="en-US" w:eastAsia="zh-CN"/>
              </w:rPr>
            </w:pPr>
            <w:r>
              <w:rPr>
                <w:rFonts w:hint="eastAsia"/>
                <w:szCs w:val="21"/>
              </w:rPr>
              <w:t>可以提前完成项目交货，视情况得</w:t>
            </w:r>
            <w:r>
              <w:rPr>
                <w:szCs w:val="21"/>
              </w:rPr>
              <w:t>0-</w:t>
            </w:r>
            <w:r>
              <w:rPr>
                <w:rFonts w:hint="eastAsia"/>
                <w:szCs w:val="21"/>
                <w:lang w:val="en-US" w:eastAsia="zh-CN"/>
              </w:rPr>
              <w:t>10分。</w:t>
            </w:r>
          </w:p>
        </w:tc>
      </w:tr>
    </w:tbl>
    <w:p>
      <w:pPr>
        <w:rPr>
          <w:rFonts w:hint="eastAsia" w:ascii="宋体" w:hAnsi="宋体" w:eastAsia="宋体" w:cs="宋体"/>
          <w:sz w:val="18"/>
          <w:szCs w:val="18"/>
        </w:rPr>
      </w:pPr>
      <w:r>
        <w:rPr>
          <w:rFonts w:hint="eastAsia" w:ascii="宋体" w:hAnsi="宋体" w:eastAsia="宋体" w:cs="宋体"/>
          <w:sz w:val="18"/>
          <w:szCs w:val="18"/>
        </w:rPr>
        <w:br w:type="page"/>
      </w:r>
    </w:p>
    <w:p>
      <w:pPr>
        <w:pStyle w:val="18"/>
        <w:rPr>
          <w:rFonts w:hint="eastAsia"/>
        </w:rPr>
      </w:pPr>
    </w:p>
    <w:tbl>
      <w:tblPr>
        <w:tblStyle w:val="42"/>
        <w:tblW w:w="9825" w:type="dxa"/>
        <w:tblInd w:w="-3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Theme="minorEastAsia"/>
                <w:lang w:val="en-US" w:eastAsia="zh-CN"/>
              </w:rPr>
            </w:pPr>
            <w:r>
              <w:rPr>
                <w:rFonts w:hint="eastAsia" w:ascii="宋体" w:hAnsi="宋体" w:eastAsia="宋体" w:cs="宋体"/>
                <w:b/>
                <w:sz w:val="28"/>
                <w:szCs w:val="28"/>
                <w:lang w:val="en-US" w:eastAsia="zh-CN"/>
              </w:rPr>
              <w:t>二</w:t>
            </w:r>
          </w:p>
        </w:tc>
        <w:tc>
          <w:tcPr>
            <w:tcW w:w="9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宋体" w:hAnsi="宋体" w:eastAsiaTheme="minorEastAsia"/>
                <w:bCs/>
                <w:lang w:val="en-US" w:eastAsia="zh-CN"/>
              </w:rPr>
            </w:pPr>
            <w:r>
              <w:rPr>
                <w:rFonts w:hint="eastAsia" w:ascii="宋体" w:hAnsi="宋体" w:eastAsia="宋体" w:cs="宋体"/>
                <w:b/>
                <w:sz w:val="28"/>
                <w:szCs w:val="28"/>
                <w:lang w:val="en-US" w:eastAsia="zh-CN"/>
              </w:rPr>
              <w:t>商务标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trPr>
        <w:tc>
          <w:tcPr>
            <w:tcW w:w="982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1、评标基准价为所有合理有效的最终投标报价的最低价。</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w:t>
            </w:r>
            <w:r>
              <w:rPr>
                <w:rFonts w:hint="eastAsia" w:ascii="宋体" w:hAnsi="宋体" w:eastAsia="宋体" w:cs="Times New Roman"/>
                <w:bCs/>
                <w:sz w:val="24"/>
                <w:szCs w:val="24"/>
                <w:lang w:val="en-US" w:eastAsia="zh-CN"/>
              </w:rPr>
              <w:t>100</w:t>
            </w:r>
            <w:r>
              <w:rPr>
                <w:rFonts w:hint="eastAsia" w:ascii="宋体" w:hAnsi="宋体" w:eastAsia="宋体" w:cs="Times New Roman"/>
                <w:bCs/>
                <w:sz w:val="24"/>
                <w:szCs w:val="24"/>
              </w:rPr>
              <w:t>分；其他投标人的价格得分按下列公式计算：投标价格得分=</w:t>
            </w:r>
            <w:r>
              <w:rPr>
                <w:rFonts w:hint="eastAsia" w:ascii="宋体" w:hAnsi="宋体" w:eastAsia="宋体" w:cs="Times New Roman"/>
                <w:bCs/>
                <w:sz w:val="24"/>
                <w:szCs w:val="24"/>
                <w:lang w:val="en-US" w:eastAsia="zh-CN"/>
              </w:rPr>
              <w:t>100</w:t>
            </w:r>
            <w:r>
              <w:rPr>
                <w:rFonts w:hint="eastAsia" w:ascii="宋体" w:hAnsi="宋体" w:eastAsia="宋体" w:cs="Times New Roman"/>
                <w:bCs/>
                <w:sz w:val="24"/>
                <w:szCs w:val="24"/>
              </w:rPr>
              <w:t>×（评标基准价/投标报价）。</w:t>
            </w:r>
          </w:p>
          <w:p>
            <w:pPr>
              <w:spacing w:line="420" w:lineRule="exact"/>
              <w:rPr>
                <w:rFonts w:hint="eastAsia"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Theme="minorEastAsia"/>
                <w:lang w:val="en-US" w:eastAsia="zh-CN"/>
              </w:rPr>
            </w:pPr>
            <w:r>
              <w:rPr>
                <w:rFonts w:hint="eastAsia" w:ascii="宋体" w:hAnsi="宋体" w:eastAsia="宋体" w:cs="宋体"/>
                <w:b/>
                <w:sz w:val="28"/>
                <w:szCs w:val="28"/>
                <w:lang w:val="en-US" w:eastAsia="zh-CN"/>
              </w:rPr>
              <w:t>三</w:t>
            </w:r>
          </w:p>
        </w:tc>
        <w:tc>
          <w:tcPr>
            <w:tcW w:w="9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宋体" w:hAnsi="宋体"/>
                <w:bCs/>
                <w:lang w:val="en-US" w:eastAsia="zh-CN"/>
              </w:rPr>
            </w:pPr>
            <w:r>
              <w:rPr>
                <w:rFonts w:hint="eastAsia" w:ascii="宋体" w:hAnsi="宋体" w:eastAsia="宋体" w:cs="宋体"/>
                <w:b/>
                <w:sz w:val="28"/>
                <w:szCs w:val="28"/>
                <w:lang w:val="en-US" w:eastAsia="zh-CN"/>
              </w:rPr>
              <w:t>综合得分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trPr>
        <w:tc>
          <w:tcPr>
            <w:tcW w:w="9825" w:type="dxa"/>
            <w:gridSpan w:val="2"/>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宋体" w:hAnsi="宋体"/>
                <w:bCs/>
              </w:rPr>
            </w:pPr>
            <w:r>
              <w:rPr>
                <w:rFonts w:hint="eastAsia" w:ascii="宋体" w:hAnsi="Times New Roman" w:eastAsia="宋体" w:cs="Times New Roman"/>
                <w:b/>
                <w:bCs w:val="0"/>
                <w:sz w:val="24"/>
                <w:szCs w:val="24"/>
                <w:lang w:val="en-US" w:eastAsia="zh-CN"/>
              </w:rPr>
              <w:t>综合得分=技术分×30%＋商务标得分×70%</w:t>
            </w:r>
          </w:p>
        </w:tc>
      </w:tr>
    </w:tbl>
    <w:p/>
    <w:p>
      <w:pPr>
        <w:numPr>
          <w:ilvl w:val="0"/>
          <w:numId w:val="5"/>
        </w:numPr>
        <w:spacing w:line="360" w:lineRule="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投标文件包含《投标文件（资质标）》、《投标文件（技术标）》、《投标文件（商务标）》（开标一览表），共计三个文件。</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应标资格审查</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在“中国重汽e采通”应标报名时，</w:t>
      </w:r>
      <w:r>
        <w:rPr>
          <w:rFonts w:hint="eastAsia" w:ascii="仿宋_GB2312" w:hAnsi="仿宋_GB2312" w:eastAsia="仿宋_GB2312" w:cs="仿宋_GB2312"/>
          <w:b/>
          <w:sz w:val="24"/>
          <w:szCs w:val="24"/>
        </w:rPr>
        <w:t>按照第</w:t>
      </w:r>
      <w:r>
        <w:rPr>
          <w:rFonts w:hint="eastAsia" w:ascii="仿宋_GB2312" w:hAnsi="仿宋_GB2312" w:eastAsia="仿宋_GB2312" w:cs="仿宋_GB2312"/>
          <w:b/>
          <w:sz w:val="24"/>
          <w:szCs w:val="24"/>
          <w:lang w:val="en-US" w:eastAsia="zh-CN"/>
        </w:rPr>
        <w:t>三</w:t>
      </w:r>
      <w:r>
        <w:rPr>
          <w:rFonts w:hint="eastAsia" w:ascii="仿宋_GB2312" w:hAnsi="仿宋_GB2312" w:eastAsia="仿宋_GB2312" w:cs="仿宋_GB2312"/>
          <w:b/>
          <w:sz w:val="24"/>
          <w:szCs w:val="24"/>
        </w:rPr>
        <w:t>部分</w:t>
      </w:r>
      <w:r>
        <w:rPr>
          <w:rFonts w:hint="eastAsia" w:ascii="仿宋_GB2312" w:hAnsi="仿宋_GB2312" w:eastAsia="仿宋_GB2312" w:cs="仿宋_GB2312"/>
          <w:b/>
          <w:sz w:val="24"/>
          <w:szCs w:val="24"/>
          <w:lang w:val="en-US" w:eastAsia="zh-CN"/>
        </w:rPr>
        <w:t>第三条</w:t>
      </w:r>
      <w:r>
        <w:rPr>
          <w:rFonts w:hint="eastAsia" w:ascii="仿宋_GB2312" w:hAnsi="仿宋_GB2312" w:eastAsia="仿宋_GB2312" w:cs="仿宋_GB2312"/>
          <w:b/>
          <w:sz w:val="24"/>
          <w:szCs w:val="24"/>
        </w:rPr>
        <w:t>投标文件组成资格证明文件中的1.1-1.</w:t>
      </w:r>
      <w:r>
        <w:rPr>
          <w:rFonts w:hint="eastAsia" w:ascii="仿宋_GB2312" w:hAnsi="仿宋_GB2312" w:eastAsia="仿宋_GB2312" w:cs="仿宋_GB2312"/>
          <w:b/>
          <w:sz w:val="24"/>
          <w:szCs w:val="24"/>
          <w:lang w:val="en-US" w:eastAsia="zh-CN"/>
        </w:rPr>
        <w:t>11准备资料，上传完毕后，等待审核</w:t>
      </w:r>
      <w:r>
        <w:rPr>
          <w:rFonts w:hint="eastAsia" w:ascii="仿宋_GB2312" w:hAnsi="仿宋_GB2312" w:eastAsia="仿宋_GB2312" w:cs="仿宋_GB2312"/>
          <w:b/>
          <w:sz w:val="24"/>
          <w:szCs w:val="24"/>
        </w:rPr>
        <w:t>；</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通过</w:t>
      </w:r>
      <w:r>
        <w:rPr>
          <w:rFonts w:hint="eastAsia" w:ascii="仿宋_GB2312" w:hAnsi="仿宋_GB2312" w:eastAsia="仿宋_GB2312" w:cs="仿宋_GB2312"/>
          <w:b/>
          <w:sz w:val="24"/>
          <w:szCs w:val="24"/>
          <w:lang w:val="en-US" w:eastAsia="zh-CN"/>
        </w:rPr>
        <w:t>应标资格审查</w:t>
      </w:r>
      <w:r>
        <w:rPr>
          <w:rFonts w:hint="eastAsia" w:ascii="仿宋_GB2312" w:hAnsi="仿宋_GB2312" w:eastAsia="仿宋_GB2312" w:cs="仿宋_GB2312"/>
          <w:b/>
          <w:sz w:val="24"/>
          <w:szCs w:val="24"/>
        </w:rPr>
        <w:t>的单位进入</w:t>
      </w:r>
      <w:r>
        <w:rPr>
          <w:rFonts w:hint="eastAsia" w:ascii="仿宋_GB2312" w:hAnsi="仿宋_GB2312" w:eastAsia="仿宋_GB2312" w:cs="仿宋_GB2312"/>
          <w:b/>
          <w:sz w:val="24"/>
          <w:szCs w:val="24"/>
          <w:lang w:val="en-US" w:eastAsia="zh-CN"/>
        </w:rPr>
        <w:t>投标环节</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按照“SRM系统供应商用户手册（附件16）”，在重汽e采通平台投递电子标书（包含资质标、技术标、商务标）；</w:t>
      </w:r>
      <w:r>
        <w:rPr>
          <w:rFonts w:hint="eastAsia" w:ascii="仿宋_GB2312" w:hAnsi="仿宋_GB2312" w:eastAsia="仿宋_GB2312" w:cs="仿宋_GB2312"/>
          <w:b/>
          <w:sz w:val="24"/>
          <w:szCs w:val="24"/>
        </w:rPr>
        <w:t>没有通过</w:t>
      </w:r>
      <w:r>
        <w:rPr>
          <w:rFonts w:hint="eastAsia" w:ascii="仿宋_GB2312" w:hAnsi="仿宋_GB2312" w:eastAsia="仿宋_GB2312" w:cs="仿宋_GB2312"/>
          <w:b/>
          <w:sz w:val="24"/>
          <w:szCs w:val="24"/>
          <w:lang w:val="en-US" w:eastAsia="zh-CN"/>
        </w:rPr>
        <w:t>应标资质审查</w:t>
      </w:r>
      <w:r>
        <w:rPr>
          <w:rFonts w:hint="eastAsia" w:ascii="仿宋_GB2312" w:hAnsi="仿宋_GB2312" w:eastAsia="仿宋_GB2312" w:cs="仿宋_GB2312"/>
          <w:b/>
          <w:sz w:val="24"/>
          <w:szCs w:val="24"/>
        </w:rPr>
        <w:t>的单位不能进入</w:t>
      </w:r>
      <w:r>
        <w:rPr>
          <w:rFonts w:hint="eastAsia" w:ascii="仿宋_GB2312" w:hAnsi="仿宋_GB2312" w:eastAsia="仿宋_GB2312" w:cs="仿宋_GB2312"/>
          <w:b/>
          <w:sz w:val="24"/>
          <w:szCs w:val="24"/>
          <w:lang w:val="en-US" w:eastAsia="zh-CN"/>
        </w:rPr>
        <w:t>投标环节</w:t>
      </w:r>
      <w:r>
        <w:rPr>
          <w:rFonts w:hint="eastAsia" w:ascii="仿宋_GB2312" w:hAnsi="仿宋_GB2312" w:eastAsia="仿宋_GB2312" w:cs="仿宋_GB2312"/>
          <w:b/>
          <w:sz w:val="24"/>
          <w:szCs w:val="24"/>
        </w:rPr>
        <w:t>；</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资质标评审：资质标审核通过的单位，可以进入公开唱标环节；</w:t>
      </w:r>
    </w:p>
    <w:p>
      <w:pPr>
        <w:numPr>
          <w:ilvl w:val="0"/>
          <w:numId w:val="5"/>
        </w:numPr>
        <w:spacing w:line="360" w:lineRule="auto"/>
        <w:rPr>
          <w:rFonts w:hint="eastAsia" w:ascii="仿宋_GB2312" w:hAnsi="仿宋_GB2312" w:eastAsia="仿宋_GB2312" w:cs="仿宋_GB2312"/>
          <w:b/>
          <w:sz w:val="24"/>
          <w:szCs w:val="24"/>
          <w:lang w:val="en-US"/>
        </w:rPr>
      </w:pPr>
      <w:r>
        <w:rPr>
          <w:rFonts w:hint="eastAsia" w:ascii="仿宋_GB2312" w:hAnsi="仿宋_GB2312" w:eastAsia="仿宋_GB2312" w:cs="仿宋_GB2312"/>
          <w:b/>
          <w:sz w:val="24"/>
          <w:szCs w:val="24"/>
          <w:lang w:val="en-US" w:eastAsia="zh-CN"/>
        </w:rPr>
        <w:t>公开唱标：公示资质标入围单位的开标价格及商务条款响应情况；</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技术</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仿宋_GB2312" w:hAnsi="仿宋_GB2312" w:eastAsia="仿宋_GB2312" w:cs="仿宋_GB2312"/>
          <w:b/>
          <w:sz w:val="24"/>
          <w:szCs w:val="24"/>
        </w:rPr>
        <w:t>合格的单位进入商务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环节，</w:t>
      </w:r>
      <w:r>
        <w:rPr>
          <w:rFonts w:hint="eastAsia" w:ascii="仿宋_GB2312" w:hAnsi="仿宋_GB2312" w:eastAsia="仿宋_GB2312" w:cs="仿宋_GB2312"/>
          <w:b/>
          <w:sz w:val="24"/>
          <w:szCs w:val="24"/>
          <w:lang w:val="en-US" w:eastAsia="zh-CN"/>
        </w:rPr>
        <w:t>评审</w:t>
      </w:r>
      <w:r>
        <w:rPr>
          <w:rFonts w:hint="eastAsia" w:ascii="仿宋_GB2312" w:hAnsi="仿宋_GB2312" w:eastAsia="仿宋_GB2312" w:cs="仿宋_GB2312"/>
          <w:b/>
          <w:sz w:val="24"/>
          <w:szCs w:val="24"/>
        </w:rPr>
        <w:t>不合格的单位</w:t>
      </w:r>
      <w:r>
        <w:rPr>
          <w:rFonts w:hint="eastAsia" w:ascii="仿宋_GB2312" w:hAnsi="仿宋_GB2312" w:eastAsia="仿宋_GB2312" w:cs="仿宋_GB2312"/>
          <w:b/>
          <w:sz w:val="24"/>
          <w:szCs w:val="24"/>
          <w:lang w:val="en-US" w:eastAsia="zh-CN"/>
        </w:rPr>
        <w:t>被</w:t>
      </w:r>
      <w:r>
        <w:rPr>
          <w:rFonts w:hint="eastAsia" w:ascii="仿宋_GB2312" w:hAnsi="仿宋_GB2312" w:eastAsia="仿宋_GB2312" w:cs="仿宋_GB2312"/>
          <w:b/>
          <w:sz w:val="24"/>
          <w:szCs w:val="24"/>
        </w:rPr>
        <w:t>淘汰</w:t>
      </w:r>
      <w:r>
        <w:rPr>
          <w:rFonts w:hint="eastAsia" w:ascii="仿宋_GB2312" w:hAnsi="仿宋_GB2312" w:eastAsia="仿宋_GB2312" w:cs="仿宋_GB2312"/>
          <w:b/>
          <w:sz w:val="24"/>
          <w:szCs w:val="24"/>
          <w:lang w:val="en-US" w:eastAsia="zh-CN"/>
        </w:rPr>
        <w:t>；具体技术标</w:t>
      </w:r>
      <w:r>
        <w:rPr>
          <w:rFonts w:hint="eastAsia" w:ascii="仿宋_GB2312" w:hAnsi="仿宋_GB2312" w:eastAsia="仿宋_GB2312" w:cs="仿宋_GB2312"/>
          <w:b/>
          <w:sz w:val="24"/>
          <w:szCs w:val="24"/>
        </w:rPr>
        <w:t>评分标准</w:t>
      </w:r>
      <w:r>
        <w:rPr>
          <w:rFonts w:hint="eastAsia" w:ascii="仿宋_GB2312" w:hAnsi="仿宋_GB2312" w:eastAsia="仿宋_GB2312" w:cs="仿宋_GB2312"/>
          <w:b/>
          <w:sz w:val="24"/>
          <w:szCs w:val="24"/>
          <w:lang w:val="en-US" w:eastAsia="zh-CN"/>
        </w:rPr>
        <w:t>见附件14；</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：商务条款相应确认→</w:t>
      </w:r>
      <w:r>
        <w:rPr>
          <w:rFonts w:hint="eastAsia" w:ascii="仿宋_GB2312" w:hAnsi="仿宋_GB2312" w:eastAsia="仿宋_GB2312" w:cs="仿宋_GB2312"/>
          <w:b/>
          <w:sz w:val="24"/>
          <w:szCs w:val="24"/>
          <w:lang w:val="en-US" w:eastAsia="zh-CN"/>
        </w:rPr>
        <w:t>价格澄清</w:t>
      </w:r>
      <w:r>
        <w:rPr>
          <w:rFonts w:hint="eastAsia" w:ascii="仿宋_GB2312" w:hAnsi="仿宋_GB2312" w:eastAsia="仿宋_GB2312" w:cs="仿宋_GB2312"/>
          <w:b/>
          <w:sz w:val="24"/>
          <w:szCs w:val="24"/>
        </w:rPr>
        <w:t>→商务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评审期间产生的商务价格澄清均由投标人在重汽e采通平台限时内完成提交</w:t>
      </w:r>
      <w:r>
        <w:rPr>
          <w:rFonts w:hint="eastAsia" w:ascii="仿宋_GB2312" w:hAnsi="仿宋_GB2312" w:eastAsia="仿宋_GB2312" w:cs="仿宋_GB2312"/>
          <w:b/>
          <w:sz w:val="24"/>
          <w:szCs w:val="24"/>
        </w:rPr>
        <w:t>；</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注意：投标人均需要自带笔记本电脑在重汽e采通进行自主投标和提交澄清函；投标和提交澄清函均有时间限制，超时未提交的按无效处理。</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中标人确定</w:t>
      </w:r>
      <w:r>
        <w:rPr>
          <w:rFonts w:hint="eastAsia" w:ascii="仿宋_GB2312" w:hAnsi="仿宋_GB2312" w:eastAsia="仿宋_GB2312" w:cs="仿宋_GB2312"/>
          <w:b/>
          <w:sz w:val="24"/>
          <w:szCs w:val="24"/>
        </w:rPr>
        <w:t>：综合评标法，得分=技术标×30%+商务标×70% ，</w:t>
      </w:r>
      <w:r>
        <w:rPr>
          <w:rFonts w:hint="eastAsia" w:ascii="仿宋_GB2312" w:hAnsi="仿宋_GB2312" w:eastAsia="仿宋_GB2312" w:cs="仿宋_GB2312"/>
          <w:b/>
          <w:sz w:val="24"/>
          <w:szCs w:val="24"/>
          <w:highlight w:val="green"/>
        </w:rPr>
        <w:t>得分最高者为中标人</w:t>
      </w:r>
      <w:r>
        <w:rPr>
          <w:rFonts w:hint="eastAsia" w:ascii="仿宋_GB2312" w:hAnsi="仿宋_GB2312" w:eastAsia="仿宋_GB2312" w:cs="仿宋_GB2312"/>
          <w:b/>
          <w:sz w:val="24"/>
          <w:szCs w:val="24"/>
        </w:rPr>
        <w:t>。</w:t>
      </w:r>
    </w:p>
    <w:p>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pPr>
        <w:pStyle w:val="4"/>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28"/>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pPr>
        <w:pStyle w:val="4"/>
        <w:rPr>
          <w:rFonts w:hint="eastAsia" w:ascii="仿宋_GB2312" w:hAnsi="仿宋_GB2312" w:eastAsia="仿宋_GB2312" w:cs="仿宋_GB2312"/>
          <w:sz w:val="36"/>
          <w:szCs w:val="36"/>
        </w:rPr>
      </w:pPr>
      <w:bookmarkStart w:id="29" w:name="_Toc15650"/>
      <w:r>
        <w:rPr>
          <w:rFonts w:hint="eastAsia" w:ascii="仿宋_GB2312" w:hAnsi="仿宋_GB2312" w:eastAsia="仿宋_GB2312" w:cs="仿宋_GB2312"/>
          <w:sz w:val="36"/>
          <w:szCs w:val="36"/>
        </w:rPr>
        <w:t>八、废标及终止招标</w:t>
      </w:r>
      <w:bookmarkEnd w:id="29"/>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pPr>
        <w:pStyle w:val="23"/>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0" w:name="OLE_LINK26"/>
      <w:bookmarkStart w:id="31" w:name="OLE_LINK28"/>
      <w:bookmarkStart w:id="32" w:name="OLE_LINK27"/>
      <w:bookmarkStart w:id="33" w:name="OLE_LINK25"/>
      <w:bookmarkStart w:id="34" w:name="OLE_LINK29"/>
      <w:r>
        <w:rPr>
          <w:rFonts w:hint="eastAsia" w:ascii="仿宋_GB2312" w:hAnsi="仿宋_GB2312" w:eastAsia="仿宋_GB2312" w:cs="仿宋_GB2312"/>
          <w:bCs/>
          <w:sz w:val="24"/>
          <w:szCs w:val="24"/>
        </w:rPr>
        <w:t>；</w:t>
      </w:r>
      <w:bookmarkEnd w:id="30"/>
      <w:bookmarkEnd w:id="31"/>
      <w:bookmarkEnd w:id="32"/>
      <w:bookmarkEnd w:id="33"/>
      <w:bookmarkEnd w:id="34"/>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pPr>
        <w:pStyle w:val="23"/>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4"/>
        <w:rPr>
          <w:rFonts w:hint="eastAsia" w:ascii="仿宋_GB2312" w:hAnsi="仿宋_GB2312" w:eastAsia="仿宋_GB2312" w:cs="仿宋_GB2312"/>
          <w:sz w:val="36"/>
          <w:szCs w:val="36"/>
        </w:rPr>
      </w:pPr>
      <w:bookmarkStart w:id="35" w:name="_Toc14012"/>
      <w:r>
        <w:rPr>
          <w:rFonts w:hint="eastAsia" w:ascii="仿宋_GB2312" w:hAnsi="仿宋_GB2312" w:eastAsia="仿宋_GB2312" w:cs="仿宋_GB2312"/>
          <w:sz w:val="36"/>
          <w:szCs w:val="36"/>
        </w:rPr>
        <w:t>九、本次招标最终解释权归中国重汽集团济南动力有限公司。</w:t>
      </w:r>
      <w:bookmarkEnd w:id="35"/>
    </w:p>
    <w:p>
      <w:pPr>
        <w:pStyle w:val="23"/>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pPr>
        <w:pStyle w:val="3"/>
        <w:rPr>
          <w:rFonts w:hint="eastAsia" w:ascii="仿宋_GB2312" w:hAnsi="仿宋_GB2312" w:eastAsia="仿宋_GB2312" w:cs="仿宋_GB2312"/>
          <w:sz w:val="44"/>
        </w:rPr>
      </w:pPr>
      <w:bookmarkStart w:id="36" w:name="_Toc31869"/>
      <w:bookmarkStart w:id="37" w:name="_Toc762"/>
      <w:bookmarkStart w:id="38" w:name="_Toc2363"/>
      <w:bookmarkStart w:id="39" w:name="_Toc13479"/>
      <w:bookmarkStart w:id="40" w:name="_Toc13002"/>
      <w:bookmarkStart w:id="41" w:name="_Toc21022"/>
      <w:r>
        <w:rPr>
          <w:rFonts w:hint="eastAsia" w:ascii="仿宋_GB2312" w:hAnsi="仿宋_GB2312" w:eastAsia="仿宋_GB2312" w:cs="仿宋_GB2312"/>
          <w:sz w:val="44"/>
        </w:rPr>
        <w:t>第三部分 投标文件编制</w:t>
      </w:r>
      <w:bookmarkEnd w:id="36"/>
      <w:bookmarkEnd w:id="37"/>
      <w:bookmarkEnd w:id="38"/>
      <w:bookmarkEnd w:id="39"/>
      <w:bookmarkEnd w:id="40"/>
      <w:bookmarkEnd w:id="41"/>
    </w:p>
    <w:p>
      <w:pPr>
        <w:pStyle w:val="4"/>
        <w:rPr>
          <w:rFonts w:hint="eastAsia" w:ascii="仿宋_GB2312" w:hAnsi="仿宋_GB2312" w:eastAsia="仿宋_GB2312" w:cs="仿宋_GB2312"/>
          <w:sz w:val="36"/>
          <w:szCs w:val="36"/>
        </w:rPr>
      </w:pPr>
      <w:bookmarkStart w:id="42" w:name="_Toc2771"/>
      <w:r>
        <w:rPr>
          <w:rFonts w:hint="eastAsia" w:ascii="仿宋_GB2312" w:hAnsi="仿宋_GB2312" w:eastAsia="仿宋_GB2312" w:cs="仿宋_GB2312"/>
          <w:sz w:val="36"/>
          <w:szCs w:val="36"/>
        </w:rPr>
        <w:t>一、投标文件的编制</w:t>
      </w:r>
      <w:bookmarkEnd w:id="42"/>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pPr>
        <w:pStyle w:val="4"/>
        <w:rPr>
          <w:rFonts w:hint="eastAsia" w:ascii="仿宋_GB2312" w:hAnsi="仿宋_GB2312" w:eastAsia="仿宋_GB2312" w:cs="仿宋_GB2312"/>
          <w:sz w:val="36"/>
          <w:szCs w:val="36"/>
        </w:rPr>
      </w:pPr>
      <w:bookmarkStart w:id="43" w:name="_Toc5592"/>
      <w:r>
        <w:rPr>
          <w:rFonts w:hint="eastAsia" w:ascii="仿宋_GB2312" w:hAnsi="仿宋_GB2312" w:eastAsia="仿宋_GB2312" w:cs="仿宋_GB2312"/>
          <w:sz w:val="36"/>
          <w:szCs w:val="36"/>
        </w:rPr>
        <w:t>二、投标文件资料</w:t>
      </w:r>
      <w:bookmarkEnd w:id="43"/>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pPr>
        <w:pStyle w:val="4"/>
        <w:rPr>
          <w:rFonts w:hint="eastAsia" w:ascii="仿宋_GB2312" w:hAnsi="仿宋_GB2312" w:eastAsia="仿宋_GB2312" w:cs="仿宋_GB2312"/>
          <w:sz w:val="36"/>
          <w:szCs w:val="36"/>
        </w:rPr>
      </w:pPr>
      <w:bookmarkStart w:id="44" w:name="_Toc5199"/>
      <w:r>
        <w:rPr>
          <w:rFonts w:hint="eastAsia" w:ascii="仿宋_GB2312" w:hAnsi="仿宋_GB2312" w:eastAsia="仿宋_GB2312" w:cs="仿宋_GB2312"/>
          <w:sz w:val="36"/>
          <w:szCs w:val="36"/>
        </w:rPr>
        <w:t>三、投标文件的组成</w:t>
      </w:r>
      <w:bookmarkEnd w:id="44"/>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近6个月及以上在授权单位的社保缴纳证明</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w:t>
      </w:r>
      <w:r>
        <w:rPr>
          <w:rFonts w:hint="eastAsia" w:ascii="仿宋_GB2312" w:hAnsi="仿宋_GB2312" w:eastAsia="仿宋_GB2312" w:cs="仿宋_GB2312"/>
          <w:color w:val="000000"/>
          <w:sz w:val="24"/>
          <w:szCs w:val="24"/>
          <w:highlight w:val="none"/>
        </w:rPr>
        <w:t>供2022年1月</w:t>
      </w:r>
      <w:r>
        <w:rPr>
          <w:rFonts w:hint="eastAsia" w:ascii="仿宋_GB2312" w:hAnsi="仿宋_GB2312" w:eastAsia="仿宋_GB2312" w:cs="仿宋_GB2312"/>
          <w:color w:val="000000"/>
          <w:sz w:val="24"/>
          <w:szCs w:val="24"/>
        </w:rPr>
        <w:t>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1.10保密承诺函（附件4）；</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1.11 </w:t>
      </w:r>
      <w:r>
        <w:rPr>
          <w:rFonts w:hint="eastAsia" w:ascii="仿宋_GB2312" w:hAnsi="仿宋_GB2312" w:eastAsia="仿宋_GB2312" w:cs="仿宋_GB2312"/>
          <w:color w:val="000000"/>
          <w:sz w:val="24"/>
          <w:szCs w:val="24"/>
          <w:highlight w:val="none"/>
        </w:rPr>
        <w:t>202</w:t>
      </w:r>
      <w:r>
        <w:rPr>
          <w:rFonts w:hint="eastAsia" w:ascii="仿宋_GB2312" w:hAnsi="仿宋_GB2312" w:eastAsia="仿宋_GB2312" w:cs="仿宋_GB2312"/>
          <w:color w:val="000000"/>
          <w:sz w:val="24"/>
          <w:szCs w:val="24"/>
          <w:highlight w:val="none"/>
          <w:lang w:val="en-US" w:eastAsia="zh-CN"/>
        </w:rPr>
        <w:t>2</w:t>
      </w:r>
      <w:r>
        <w:rPr>
          <w:rFonts w:hint="eastAsia" w:ascii="仿宋_GB2312" w:hAnsi="仿宋_GB2312" w:eastAsia="仿宋_GB2312" w:cs="仿宋_GB2312"/>
          <w:color w:val="000000"/>
          <w:sz w:val="24"/>
          <w:szCs w:val="24"/>
          <w:highlight w:val="none"/>
        </w:rPr>
        <w:t>年1月1日至</w:t>
      </w:r>
      <w:r>
        <w:rPr>
          <w:rFonts w:hint="eastAsia" w:ascii="仿宋_GB2312" w:hAnsi="仿宋_GB2312" w:eastAsia="仿宋_GB2312" w:cs="仿宋_GB2312"/>
          <w:color w:val="000000"/>
          <w:sz w:val="24"/>
          <w:szCs w:val="24"/>
        </w:rPr>
        <w:t>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pPr>
        <w:spacing w:line="360" w:lineRule="auto"/>
        <w:ind w:firstLine="482" w:firstLineChars="200"/>
        <w:rPr>
          <w:rFonts w:hint="eastAsia" w:ascii="仿宋_GB2312" w:hAnsi="仿宋_GB2312" w:eastAsia="仿宋_GB2312" w:cs="仿宋_GB2312"/>
          <w:b/>
          <w:bCs/>
          <w:sz w:val="24"/>
          <w:szCs w:val="24"/>
        </w:rPr>
      </w:pPr>
      <w:bookmarkStart w:id="45"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45"/>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2.1技术规格偏离表（附件5-1），</w:t>
      </w:r>
      <w:r>
        <w:rPr>
          <w:rFonts w:hint="eastAsia" w:ascii="仿宋_GB2312" w:hAnsi="仿宋_GB2312" w:eastAsia="仿宋_GB2312" w:cs="仿宋_GB2312"/>
          <w:b/>
          <w:color w:val="000000"/>
          <w:sz w:val="24"/>
          <w:szCs w:val="24"/>
        </w:rPr>
        <w:t>必须先进行两列要求一一对照，不允许直接写无偏离；</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bCs/>
          <w:color w:val="000000"/>
          <w:sz w:val="24"/>
          <w:szCs w:val="24"/>
        </w:rPr>
        <w:t>2.2</w:t>
      </w:r>
      <w:r>
        <w:rPr>
          <w:rFonts w:hint="eastAsia" w:ascii="仿宋_GB2312" w:hAnsi="仿宋_GB2312" w:eastAsia="仿宋_GB2312" w:cs="仿宋_GB2312"/>
          <w:color w:val="000000"/>
          <w:sz w:val="24"/>
          <w:szCs w:val="24"/>
          <w:highlight w:val="yellow"/>
        </w:rPr>
        <w:t>设备分项配置表（附件5-2），列明项目设备分项配置规格型号、品牌等信息（要求分项明细与附表9-1完全对应），但</w:t>
      </w:r>
      <w:r>
        <w:rPr>
          <w:rFonts w:hint="eastAsia" w:ascii="仿宋_GB2312" w:hAnsi="仿宋_GB2312" w:eastAsia="仿宋_GB2312" w:cs="仿宋_GB2312"/>
          <w:b/>
          <w:color w:val="000000"/>
          <w:sz w:val="24"/>
          <w:szCs w:val="24"/>
          <w:highlight w:val="yellow"/>
        </w:rPr>
        <w:t>注意：此表在技术标书中，禁止出现任何分项价格及项目总价；</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2.3提供202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年1月1日以来同类产品的制造销售业绩（附件6，用户名单、联系方式），并附合同复印件。该同类项目业绩一览表必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bCs/>
          <w:color w:val="000000"/>
          <w:sz w:val="24"/>
          <w:szCs w:val="24"/>
        </w:rPr>
        <w:t>一览表最终的所有业绩合同总额汇总必填</w:t>
      </w:r>
      <w:r>
        <w:rPr>
          <w:rFonts w:hint="eastAsia" w:ascii="仿宋_GB2312" w:hAnsi="仿宋_GB2312" w:eastAsia="仿宋_GB2312" w:cs="仿宋_GB2312"/>
          <w:color w:val="000000"/>
          <w:sz w:val="24"/>
          <w:szCs w:val="24"/>
        </w:rPr>
        <w:t>，数据将影响现场评标专家组对投标单位的业绩考评；</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2.4供货期及保证措施；</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2.5产品的技术服务和售后服务内容及措施；</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2.6交货进度及计划；</w:t>
      </w:r>
    </w:p>
    <w:p>
      <w:pPr>
        <w:spacing w:line="360" w:lineRule="auto"/>
        <w:ind w:firstLine="480" w:firstLineChars="200"/>
        <w:rPr>
          <w:rFonts w:hint="eastAsia" w:ascii="仿宋_GB2312" w:hAnsi="仿宋_GB2312" w:eastAsia="仿宋_GB2312" w:cs="仿宋_GB2312"/>
          <w:color w:val="000000"/>
          <w:sz w:val="24"/>
          <w:szCs w:val="24"/>
        </w:rPr>
      </w:pPr>
      <w:bookmarkStart w:id="46" w:name="_Toc536542319"/>
      <w:r>
        <w:rPr>
          <w:rFonts w:hint="eastAsia" w:ascii="仿宋_GB2312" w:hAnsi="仿宋_GB2312" w:eastAsia="仿宋_GB2312" w:cs="仿宋_GB2312"/>
          <w:color w:val="000000"/>
          <w:sz w:val="24"/>
          <w:szCs w:val="24"/>
        </w:rPr>
        <w:t>2.7投标产品技术支持材料</w:t>
      </w:r>
      <w:bookmarkEnd w:id="46"/>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2.8设备质量承诺函（附件7）；</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2.9投标人需提交的其它资料。</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47" w:name="OLE_LINK18"/>
      <w:bookmarkStart w:id="48" w:name="OLE_LINK19"/>
      <w:r>
        <w:rPr>
          <w:rFonts w:hint="eastAsia" w:ascii="仿宋_GB2312" w:hAnsi="仿宋_GB2312" w:eastAsia="仿宋_GB2312" w:cs="仿宋_GB2312"/>
          <w:b/>
          <w:color w:val="000000"/>
          <w:sz w:val="24"/>
          <w:szCs w:val="24"/>
        </w:rPr>
        <w:t>；</w:t>
      </w:r>
      <w:bookmarkEnd w:id="47"/>
      <w:bookmarkEnd w:id="48"/>
      <w:r>
        <w:rPr>
          <w:rFonts w:hint="eastAsia" w:ascii="仿宋_GB2312" w:hAnsi="仿宋_GB2312" w:eastAsia="仿宋_GB2312" w:cs="仿宋_GB2312"/>
          <w:color w:val="000000"/>
          <w:sz w:val="24"/>
          <w:szCs w:val="24"/>
        </w:rPr>
        <w:t xml:space="preserve"> </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pPr>
        <w:pStyle w:val="4"/>
        <w:rPr>
          <w:rFonts w:hint="eastAsia" w:ascii="仿宋_GB2312" w:hAnsi="仿宋_GB2312" w:eastAsia="仿宋_GB2312" w:cs="仿宋_GB2312"/>
          <w:sz w:val="36"/>
          <w:szCs w:val="36"/>
        </w:rPr>
      </w:pPr>
      <w:bookmarkStart w:id="49" w:name="_Toc15748"/>
      <w:r>
        <w:rPr>
          <w:rFonts w:hint="eastAsia" w:ascii="仿宋_GB2312" w:hAnsi="仿宋_GB2312" w:eastAsia="仿宋_GB2312" w:cs="仿宋_GB2312"/>
          <w:sz w:val="36"/>
          <w:szCs w:val="36"/>
        </w:rPr>
        <w:t>四、投标文件格式</w:t>
      </w:r>
      <w:bookmarkEnd w:id="49"/>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pPr>
        <w:spacing w:line="360" w:lineRule="auto"/>
        <w:ind w:firstLine="480" w:firstLineChars="200"/>
        <w:rPr>
          <w:rFonts w:hint="eastAsia" w:ascii="仿宋_GB2312" w:hAnsi="仿宋_GB2312" w:eastAsia="仿宋_GB2312" w:cs="仿宋_GB2312"/>
          <w:color w:val="000000"/>
          <w:sz w:val="24"/>
          <w:szCs w:val="2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bidi w:val="0"/>
        <w:rPr>
          <w:rFonts w:hint="eastAsia"/>
        </w:rPr>
      </w:pPr>
      <w:bookmarkStart w:id="50" w:name="_Toc14517"/>
      <w:bookmarkStart w:id="51" w:name="_Toc13988"/>
      <w:bookmarkStart w:id="52" w:name="_Toc4532"/>
      <w:bookmarkStart w:id="53" w:name="_Toc4483"/>
      <w:bookmarkStart w:id="54" w:name="_Toc3372"/>
      <w:bookmarkStart w:id="55" w:name="_Toc6957"/>
      <w:bookmarkStart w:id="56" w:name="_Toc12552"/>
      <w:bookmarkStart w:id="57" w:name="_Toc18606"/>
      <w:bookmarkStart w:id="58" w:name="_Toc4029"/>
      <w:bookmarkStart w:id="59" w:name="_Toc20272"/>
      <w:bookmarkStart w:id="60" w:name="_Toc13605"/>
      <w:bookmarkStart w:id="61" w:name="_Toc7511"/>
      <w:bookmarkStart w:id="62" w:name="_Toc4194"/>
      <w:bookmarkStart w:id="63" w:name="_Toc24964"/>
      <w:bookmarkStart w:id="64" w:name="_Toc12563"/>
      <w:bookmarkStart w:id="65" w:name="_Toc16358"/>
      <w:bookmarkStart w:id="66" w:name="_Toc18805"/>
      <w:bookmarkStart w:id="67" w:name="_Toc12714"/>
      <w:bookmarkStart w:id="68" w:name="_Toc133783966"/>
      <w:bookmarkStart w:id="69" w:name="_Toc28236"/>
      <w:bookmarkStart w:id="70" w:name="_Toc8032"/>
      <w:bookmarkStart w:id="71" w:name="_Toc32378"/>
      <w:bookmarkStart w:id="72" w:name="_Toc13555"/>
      <w:bookmarkStart w:id="73" w:name="_Toc21497"/>
      <w:bookmarkStart w:id="74" w:name="_Toc24913"/>
      <w:bookmarkStart w:id="75" w:name="_Toc18182"/>
      <w:bookmarkStart w:id="76" w:name="_Toc7110"/>
      <w:bookmarkStart w:id="77" w:name="_Toc11355"/>
      <w:bookmarkStart w:id="78" w:name="_Toc8202"/>
      <w:bookmarkStart w:id="79" w:name="_Toc20467"/>
      <w:bookmarkStart w:id="80" w:name="_Toc23870"/>
      <w:bookmarkStart w:id="81" w:name="_Toc1884"/>
      <w:bookmarkStart w:id="82" w:name="_Toc30738"/>
      <w:bookmarkStart w:id="83" w:name="_Toc3565"/>
      <w:bookmarkStart w:id="84" w:name="_Toc13562"/>
      <w:bookmarkStart w:id="85" w:name="_Toc19672"/>
      <w:bookmarkStart w:id="86" w:name="_Toc22649"/>
      <w:bookmarkStart w:id="87" w:name="_Toc6346"/>
    </w:p>
    <w:p>
      <w:pPr>
        <w:bidi w:val="0"/>
        <w:rPr>
          <w:rFonts w:hint="eastAsia"/>
        </w:rPr>
      </w:pPr>
    </w:p>
    <w:p>
      <w:pPr>
        <w:bidi w:val="0"/>
        <w:rPr>
          <w:rFonts w:hint="eastAsia"/>
        </w:rPr>
      </w:pPr>
    </w:p>
    <w:p>
      <w:pPr>
        <w:bidi w:val="0"/>
        <w:rPr>
          <w:rFonts w:hint="eastAsia"/>
        </w:rPr>
      </w:pPr>
    </w:p>
    <w:p>
      <w:pPr>
        <w:bidi w:val="0"/>
        <w:rPr>
          <w:rFonts w:hint="eastAsia"/>
        </w:rPr>
      </w:pPr>
    </w:p>
    <w:p>
      <w:pPr>
        <w:pStyle w:val="3"/>
        <w:numPr>
          <w:ilvl w:val="0"/>
          <w:numId w:val="6"/>
        </w:numPr>
        <w:spacing w:line="360" w:lineRule="auto"/>
        <w:rPr>
          <w:rFonts w:hint="eastAsia" w:ascii="仿宋_GB2312" w:hAnsi="仿宋_GB2312" w:eastAsia="仿宋_GB2312" w:cs="仿宋_GB2312"/>
          <w:sz w:val="44"/>
          <w:highlight w:val="green"/>
        </w:rPr>
      </w:pPr>
      <w:bookmarkStart w:id="88" w:name="_Toc10008"/>
      <w:r>
        <w:rPr>
          <w:rFonts w:hint="eastAsia" w:ascii="仿宋_GB2312" w:hAnsi="仿宋_GB2312" w:eastAsia="仿宋_GB2312" w:cs="仿宋_GB2312"/>
          <w:sz w:val="44"/>
          <w:highlight w:val="green"/>
        </w:rPr>
        <w:t>技术标书</w:t>
      </w:r>
      <w:bookmarkEnd w:id="88"/>
    </w:p>
    <w:p>
      <w:pPr>
        <w:rPr>
          <w:rFonts w:hint="eastAsia" w:ascii="仿宋_GB2312" w:hAnsi="仿宋_GB2312" w:eastAsia="仿宋_GB2312" w:cs="仿宋_GB2312"/>
          <w:sz w:val="44"/>
          <w:highlight w:val="green"/>
        </w:rPr>
        <w:sectPr>
          <w:headerReference r:id="rId8" w:type="default"/>
          <w:footerReference r:id="rId9" w:type="default"/>
          <w:pgSz w:w="11907" w:h="16840"/>
          <w:pgMar w:top="1304" w:right="1418" w:bottom="1304" w:left="1418" w:header="724" w:footer="851" w:gutter="0"/>
          <w:cols w:space="720" w:num="1"/>
          <w:docGrid w:linePitch="290" w:charSpace="-3931"/>
        </w:sectPr>
      </w:pPr>
    </w:p>
    <w:p>
      <w:pPr>
        <w:spacing w:line="480" w:lineRule="exact"/>
        <w:ind w:firstLine="377" w:firstLineChars="118"/>
        <w:rPr>
          <w:rFonts w:ascii="仿宋" w:hAnsi="仿宋" w:eastAsia="仿宋" w:cs="仿宋"/>
          <w:sz w:val="32"/>
          <w:szCs w:val="32"/>
          <w:highlight w:val="none"/>
        </w:rPr>
      </w:pPr>
    </w:p>
    <w:p>
      <w:pPr>
        <w:keepNext w:val="0"/>
        <w:keepLines w:val="0"/>
        <w:widowControl/>
        <w:suppressLineNumbers w:val="0"/>
        <w:jc w:val="left"/>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rPr>
        <w:t>项目名称：</w:t>
      </w:r>
      <w:r>
        <w:rPr>
          <w:rFonts w:hint="eastAsia" w:ascii="仿宋" w:hAnsi="仿宋" w:eastAsia="仿宋" w:cs="仿宋"/>
          <w:bCs/>
          <w:sz w:val="32"/>
          <w:szCs w:val="32"/>
          <w:highlight w:val="none"/>
          <w:u w:val="single"/>
          <w:lang w:val="en-US" w:eastAsia="zh-CN"/>
        </w:rPr>
        <w:t>润滑脂注脂质量提升技改项目</w:t>
      </w:r>
    </w:p>
    <w:p>
      <w:pPr>
        <w:spacing w:line="480" w:lineRule="exact"/>
        <w:ind w:firstLine="377" w:firstLineChars="118"/>
        <w:rPr>
          <w:rFonts w:ascii="仿宋" w:hAnsi="仿宋" w:eastAsia="仿宋" w:cs="仿宋"/>
          <w:sz w:val="32"/>
          <w:szCs w:val="32"/>
          <w:highlight w:val="none"/>
          <w:u w:val="single"/>
        </w:rPr>
      </w:pPr>
    </w:p>
    <w:p>
      <w:pPr>
        <w:spacing w:line="480" w:lineRule="exact"/>
        <w:ind w:firstLine="377" w:firstLineChars="118"/>
        <w:rPr>
          <w:rFonts w:ascii="仿宋" w:hAnsi="仿宋" w:eastAsia="仿宋" w:cs="仿宋"/>
          <w:sz w:val="32"/>
          <w:szCs w:val="32"/>
          <w:highlight w:val="none"/>
        </w:rPr>
      </w:pPr>
    </w:p>
    <w:p>
      <w:pPr>
        <w:spacing w:line="480" w:lineRule="exact"/>
        <w:ind w:firstLine="377" w:firstLineChars="118"/>
        <w:rPr>
          <w:rFonts w:ascii="仿宋" w:hAnsi="仿宋" w:eastAsia="仿宋" w:cs="仿宋"/>
          <w:sz w:val="32"/>
          <w:szCs w:val="32"/>
          <w:highlight w:val="none"/>
        </w:rPr>
      </w:pPr>
    </w:p>
    <w:p>
      <w:pPr>
        <w:keepNext w:val="0"/>
        <w:keepLines w:val="0"/>
        <w:widowControl/>
        <w:suppressLineNumbers w:val="0"/>
        <w:jc w:val="left"/>
        <w:rPr>
          <w:rFonts w:hint="default"/>
          <w:highlight w:val="none"/>
          <w:lang w:val="en-US"/>
        </w:rPr>
      </w:pPr>
      <w:r>
        <w:rPr>
          <w:rFonts w:hint="eastAsia" w:ascii="仿宋" w:hAnsi="仿宋" w:eastAsia="仿宋" w:cs="仿宋"/>
          <w:sz w:val="32"/>
          <w:szCs w:val="32"/>
          <w:highlight w:val="none"/>
        </w:rPr>
        <w:t>货物名称：</w:t>
      </w:r>
      <w:r>
        <w:rPr>
          <w:rFonts w:hint="eastAsia" w:ascii="仿宋" w:hAnsi="仿宋" w:eastAsia="仿宋" w:cs="仿宋"/>
          <w:strike w:val="0"/>
          <w:dstrike w:val="0"/>
          <w:sz w:val="32"/>
          <w:szCs w:val="32"/>
          <w:highlight w:val="none"/>
          <w:u w:val="single"/>
          <w:lang w:val="en-US" w:eastAsia="zh-CN"/>
        </w:rPr>
        <w:t xml:space="preserve">  定量注脂机  </w:t>
      </w:r>
    </w:p>
    <w:p>
      <w:pPr>
        <w:spacing w:line="480" w:lineRule="exact"/>
        <w:ind w:firstLine="1014" w:firstLineChars="317"/>
        <w:rPr>
          <w:rFonts w:ascii="仿宋" w:hAnsi="仿宋" w:eastAsia="仿宋" w:cs="仿宋"/>
          <w:sz w:val="32"/>
          <w:szCs w:val="32"/>
          <w:highlight w:val="none"/>
        </w:rPr>
      </w:pPr>
    </w:p>
    <w:p>
      <w:pPr>
        <w:spacing w:line="480" w:lineRule="exact"/>
        <w:ind w:firstLine="377" w:firstLineChars="118"/>
        <w:rPr>
          <w:rFonts w:ascii="仿宋" w:hAnsi="仿宋" w:eastAsia="仿宋" w:cs="仿宋"/>
          <w:sz w:val="32"/>
          <w:szCs w:val="32"/>
          <w:highlight w:val="none"/>
          <w:u w:val="single"/>
        </w:rPr>
      </w:pPr>
    </w:p>
    <w:p>
      <w:pPr>
        <w:spacing w:line="480" w:lineRule="exact"/>
        <w:ind w:firstLine="377" w:firstLineChars="118"/>
        <w:rPr>
          <w:rFonts w:ascii="仿宋" w:hAnsi="仿宋" w:eastAsia="仿宋" w:cs="仿宋"/>
          <w:sz w:val="32"/>
          <w:szCs w:val="32"/>
          <w:highlight w:val="none"/>
          <w:u w:val="single"/>
        </w:rPr>
      </w:pPr>
    </w:p>
    <w:p>
      <w:pPr>
        <w:spacing w:line="480" w:lineRule="exact"/>
        <w:ind w:firstLine="377" w:firstLineChars="118"/>
        <w:rPr>
          <w:rFonts w:ascii="仿宋" w:hAnsi="仿宋" w:eastAsia="仿宋" w:cs="仿宋"/>
          <w:sz w:val="32"/>
          <w:szCs w:val="32"/>
          <w:highlight w:val="none"/>
          <w:u w:val="single"/>
        </w:rPr>
      </w:pPr>
    </w:p>
    <w:p>
      <w:pPr>
        <w:spacing w:line="480" w:lineRule="exact"/>
        <w:ind w:firstLine="377" w:firstLineChars="118"/>
        <w:rPr>
          <w:rFonts w:ascii="仿宋" w:hAnsi="仿宋" w:eastAsia="仿宋" w:cs="仿宋"/>
          <w:sz w:val="32"/>
          <w:szCs w:val="32"/>
          <w:highlight w:val="none"/>
          <w:u w:val="single"/>
        </w:rPr>
      </w:pPr>
    </w:p>
    <w:p>
      <w:pPr>
        <w:spacing w:line="480" w:lineRule="exact"/>
        <w:ind w:firstLine="377" w:firstLineChars="118"/>
        <w:rPr>
          <w:rFonts w:ascii="仿宋" w:hAnsi="仿宋" w:eastAsia="仿宋" w:cs="仿宋"/>
          <w:sz w:val="32"/>
          <w:szCs w:val="32"/>
          <w:highlight w:val="none"/>
          <w:u w:val="single"/>
        </w:rPr>
      </w:pPr>
    </w:p>
    <w:p>
      <w:pPr>
        <w:spacing w:line="480" w:lineRule="exact"/>
        <w:ind w:firstLine="377" w:firstLineChars="118"/>
        <w:rPr>
          <w:rFonts w:ascii="仿宋" w:hAnsi="仿宋" w:eastAsia="仿宋" w:cs="仿宋"/>
          <w:sz w:val="32"/>
          <w:szCs w:val="32"/>
          <w:highlight w:val="none"/>
          <w:u w:val="single"/>
        </w:rPr>
      </w:pPr>
    </w:p>
    <w:p>
      <w:pPr>
        <w:spacing w:line="480" w:lineRule="exact"/>
        <w:ind w:firstLine="377" w:firstLineChars="118"/>
        <w:rPr>
          <w:rFonts w:ascii="仿宋" w:hAnsi="仿宋" w:eastAsia="仿宋" w:cs="仿宋"/>
          <w:sz w:val="32"/>
          <w:szCs w:val="32"/>
          <w:highlight w:val="none"/>
          <w:u w:val="single"/>
        </w:rPr>
      </w:pPr>
    </w:p>
    <w:p>
      <w:pPr>
        <w:spacing w:line="480" w:lineRule="exact"/>
        <w:ind w:firstLine="377" w:firstLineChars="118"/>
        <w:rPr>
          <w:rFonts w:ascii="仿宋" w:hAnsi="仿宋" w:eastAsia="仿宋" w:cs="仿宋"/>
          <w:sz w:val="32"/>
          <w:szCs w:val="32"/>
          <w:highlight w:val="none"/>
          <w:u w:val="single"/>
        </w:rPr>
      </w:pPr>
    </w:p>
    <w:p>
      <w:pPr>
        <w:spacing w:line="480" w:lineRule="exact"/>
        <w:ind w:firstLine="377" w:firstLineChars="118"/>
        <w:rPr>
          <w:rFonts w:ascii="仿宋" w:hAnsi="仿宋" w:eastAsia="仿宋" w:cs="仿宋"/>
          <w:sz w:val="32"/>
          <w:szCs w:val="32"/>
          <w:highlight w:val="none"/>
          <w:u w:val="single"/>
        </w:rPr>
      </w:pPr>
    </w:p>
    <w:p>
      <w:pPr>
        <w:tabs>
          <w:tab w:val="left" w:pos="3675"/>
        </w:tabs>
        <w:spacing w:line="480" w:lineRule="exact"/>
        <w:ind w:firstLine="377" w:firstLineChars="118"/>
        <w:rPr>
          <w:rFonts w:ascii="仿宋" w:hAnsi="仿宋" w:eastAsia="仿宋" w:cs="仿宋"/>
          <w:sz w:val="32"/>
          <w:szCs w:val="32"/>
          <w:highlight w:val="none"/>
          <w:u w:val="single"/>
        </w:rPr>
      </w:pPr>
    </w:p>
    <w:p>
      <w:pPr>
        <w:tabs>
          <w:tab w:val="left" w:pos="3675"/>
        </w:tabs>
        <w:spacing w:line="480" w:lineRule="exact"/>
        <w:ind w:firstLine="377" w:firstLineChars="118"/>
        <w:rPr>
          <w:rFonts w:ascii="仿宋" w:hAnsi="仿宋" w:eastAsia="仿宋" w:cs="仿宋"/>
          <w:sz w:val="32"/>
          <w:szCs w:val="32"/>
          <w:highlight w:val="none"/>
        </w:rPr>
      </w:pPr>
    </w:p>
    <w:p>
      <w:pPr>
        <w:spacing w:line="480" w:lineRule="exact"/>
        <w:ind w:firstLine="377" w:firstLineChars="118"/>
        <w:rPr>
          <w:rFonts w:ascii="仿宋" w:hAnsi="仿宋" w:eastAsia="仿宋" w:cs="仿宋"/>
          <w:sz w:val="32"/>
          <w:szCs w:val="32"/>
          <w:highlight w:val="none"/>
        </w:rPr>
      </w:pPr>
    </w:p>
    <w:p>
      <w:pPr>
        <w:spacing w:line="480" w:lineRule="exact"/>
        <w:ind w:firstLine="377" w:firstLineChars="118"/>
        <w:jc w:val="center"/>
        <w:rPr>
          <w:rFonts w:ascii="仿宋" w:hAnsi="仿宋" w:eastAsia="仿宋" w:cs="仿宋"/>
          <w:sz w:val="32"/>
          <w:szCs w:val="32"/>
          <w:highlight w:val="none"/>
        </w:rPr>
      </w:pPr>
      <w:r>
        <w:rPr>
          <w:rFonts w:hint="eastAsia" w:ascii="仿宋" w:hAnsi="仿宋" w:eastAsia="仿宋" w:cs="仿宋"/>
          <w:sz w:val="32"/>
          <w:szCs w:val="32"/>
          <w:highlight w:val="none"/>
        </w:rPr>
        <w:t>项目单位技术负责人签名：</w:t>
      </w:r>
    </w:p>
    <w:p>
      <w:pPr>
        <w:spacing w:line="480" w:lineRule="exact"/>
        <w:ind w:firstLine="377" w:firstLineChars="118"/>
        <w:jc w:val="center"/>
        <w:rPr>
          <w:rFonts w:ascii="仿宋" w:hAnsi="仿宋" w:eastAsia="仿宋" w:cs="仿宋"/>
          <w:sz w:val="32"/>
          <w:szCs w:val="32"/>
          <w:highlight w:val="none"/>
        </w:rPr>
      </w:pPr>
    </w:p>
    <w:p>
      <w:pPr>
        <w:spacing w:line="480" w:lineRule="exact"/>
        <w:ind w:firstLine="377" w:firstLineChars="118"/>
        <w:jc w:val="center"/>
        <w:rPr>
          <w:rFonts w:ascii="仿宋" w:hAnsi="仿宋" w:eastAsia="仿宋" w:cs="仿宋"/>
          <w:sz w:val="32"/>
          <w:szCs w:val="32"/>
          <w:highlight w:val="none"/>
        </w:rPr>
      </w:pPr>
    </w:p>
    <w:p>
      <w:pPr>
        <w:spacing w:line="480" w:lineRule="exact"/>
        <w:ind w:firstLine="377" w:firstLineChars="118"/>
        <w:jc w:val="center"/>
        <w:rPr>
          <w:rFonts w:ascii="仿宋" w:hAnsi="仿宋" w:eastAsia="仿宋" w:cs="仿宋"/>
          <w:sz w:val="32"/>
          <w:szCs w:val="32"/>
          <w:highlight w:val="none"/>
        </w:rPr>
      </w:pPr>
      <w:r>
        <w:rPr>
          <w:rFonts w:hint="eastAsia" w:ascii="仿宋" w:hAnsi="仿宋" w:eastAsia="仿宋" w:cs="仿宋"/>
          <w:sz w:val="32"/>
          <w:szCs w:val="32"/>
          <w:highlight w:val="none"/>
        </w:rPr>
        <w:t>时间： 20</w:t>
      </w:r>
      <w:r>
        <w:rPr>
          <w:rFonts w:hint="eastAsia" w:ascii="仿宋" w:hAnsi="仿宋" w:eastAsia="仿宋" w:cs="仿宋"/>
          <w:sz w:val="32"/>
          <w:szCs w:val="32"/>
          <w:highlight w:val="none"/>
          <w:lang w:val="en-US" w:eastAsia="zh-CN"/>
        </w:rPr>
        <w:t>25</w:t>
      </w:r>
      <w:r>
        <w:rPr>
          <w:rFonts w:hint="eastAsia" w:ascii="仿宋" w:hAnsi="仿宋" w:eastAsia="仿宋" w:cs="仿宋"/>
          <w:sz w:val="32"/>
          <w:szCs w:val="32"/>
          <w:highlight w:val="none"/>
        </w:rPr>
        <w:t xml:space="preserve">年 </w:t>
      </w:r>
      <w:r>
        <w:rPr>
          <w:rFonts w:hint="eastAsia" w:ascii="仿宋" w:hAnsi="仿宋" w:eastAsia="仿宋" w:cs="仿宋"/>
          <w:sz w:val="32"/>
          <w:szCs w:val="32"/>
          <w:highlight w:val="none"/>
          <w:lang w:val="en-US" w:eastAsia="zh-CN"/>
        </w:rPr>
        <w:t>11</w:t>
      </w:r>
      <w:r>
        <w:rPr>
          <w:rFonts w:hint="eastAsia" w:ascii="仿宋" w:hAnsi="仿宋" w:eastAsia="仿宋" w:cs="仿宋"/>
          <w:sz w:val="32"/>
          <w:szCs w:val="32"/>
          <w:highlight w:val="none"/>
        </w:rPr>
        <w:t>月</w:t>
      </w:r>
      <w:r>
        <w:rPr>
          <w:rFonts w:hint="eastAsia" w:ascii="仿宋" w:hAnsi="仿宋" w:eastAsia="仿宋" w:cs="仿宋"/>
          <w:sz w:val="32"/>
          <w:szCs w:val="32"/>
          <w:highlight w:val="none"/>
          <w:lang w:val="en-US" w:eastAsia="zh-CN"/>
        </w:rPr>
        <w:t xml:space="preserve"> 06</w:t>
      </w:r>
      <w:r>
        <w:rPr>
          <w:rFonts w:hint="eastAsia" w:ascii="仿宋" w:hAnsi="仿宋" w:eastAsia="仿宋" w:cs="仿宋"/>
          <w:sz w:val="32"/>
          <w:szCs w:val="32"/>
          <w:highlight w:val="none"/>
        </w:rPr>
        <w:t>日</w:t>
      </w:r>
    </w:p>
    <w:p>
      <w:pPr>
        <w:spacing w:line="480" w:lineRule="exact"/>
        <w:ind w:firstLine="377" w:firstLineChars="118"/>
        <w:jc w:val="center"/>
        <w:rPr>
          <w:rFonts w:ascii="仿宋" w:hAnsi="仿宋" w:eastAsia="仿宋" w:cs="仿宋"/>
          <w:sz w:val="32"/>
          <w:szCs w:val="32"/>
          <w:highlight w:val="none"/>
        </w:rPr>
      </w:pPr>
    </w:p>
    <w:p>
      <w:pPr>
        <w:spacing w:line="480" w:lineRule="exact"/>
        <w:ind w:firstLine="377" w:firstLineChars="118"/>
        <w:jc w:val="center"/>
        <w:rPr>
          <w:rFonts w:ascii="仿宋" w:hAnsi="仿宋" w:eastAsia="仿宋" w:cs="仿宋"/>
          <w:sz w:val="32"/>
          <w:szCs w:val="32"/>
          <w:highlight w:val="none"/>
        </w:rPr>
      </w:pPr>
    </w:p>
    <w:p>
      <w:pPr>
        <w:spacing w:line="480" w:lineRule="exact"/>
        <w:ind w:firstLine="377" w:firstLineChars="118"/>
        <w:jc w:val="center"/>
        <w:rPr>
          <w:rFonts w:ascii="仿宋" w:hAnsi="仿宋" w:eastAsia="仿宋" w:cs="仿宋"/>
          <w:sz w:val="32"/>
          <w:szCs w:val="32"/>
          <w:highlight w:val="none"/>
        </w:rPr>
      </w:pPr>
      <w:r>
        <w:rPr>
          <w:rFonts w:hint="eastAsia" w:ascii="仿宋" w:hAnsi="仿宋" w:eastAsia="仿宋" w:cs="仿宋"/>
          <w:sz w:val="32"/>
          <w:szCs w:val="32"/>
          <w:highlight w:val="none"/>
        </w:rPr>
        <w:t>（项目单位公章）</w:t>
      </w:r>
    </w:p>
    <w:p>
      <w:pPr>
        <w:spacing w:line="480" w:lineRule="exact"/>
        <w:ind w:firstLine="247" w:firstLineChars="118"/>
        <w:rPr>
          <w:rFonts w:ascii="仿宋" w:hAnsi="仿宋" w:eastAsia="仿宋" w:cs="仿宋"/>
          <w:i/>
          <w:iCs/>
          <w:highlight w:val="none"/>
        </w:rPr>
      </w:pPr>
      <w:r>
        <w:rPr>
          <w:rFonts w:hint="eastAsia" w:ascii="仿宋" w:hAnsi="仿宋" w:eastAsia="仿宋" w:cs="仿宋"/>
          <w:i/>
          <w:iCs/>
          <w:highlight w:val="none"/>
        </w:rPr>
        <w:t xml:space="preserve"> </w:t>
      </w:r>
    </w:p>
    <w:p>
      <w:pPr>
        <w:jc w:val="center"/>
        <w:rPr>
          <w:rFonts w:ascii="仿宋" w:hAnsi="仿宋" w:eastAsia="仿宋" w:cs="仿宋"/>
          <w:highlight w:val="none"/>
        </w:rPr>
        <w:sectPr>
          <w:headerReference r:id="rId10" w:type="default"/>
          <w:footerReference r:id="rId11" w:type="default"/>
          <w:pgSz w:w="11906" w:h="16838"/>
          <w:pgMar w:top="1383" w:right="1797" w:bottom="1440" w:left="1797" w:header="1021" w:footer="680" w:gutter="0"/>
          <w:pgNumType w:start="1" w:chapStyle="1"/>
          <w:cols w:space="720" w:num="1"/>
          <w:docGrid w:type="lines" w:linePitch="326" w:charSpace="0"/>
        </w:sectPr>
      </w:pPr>
    </w:p>
    <w:p>
      <w:pPr>
        <w:pStyle w:val="130"/>
        <w:spacing w:line="360" w:lineRule="auto"/>
        <w:jc w:val="center"/>
        <w:rPr>
          <w:rFonts w:ascii="仿宋" w:hAnsi="仿宋" w:eastAsia="仿宋"/>
          <w:b/>
          <w:bCs/>
          <w:color w:val="auto"/>
          <w:sz w:val="24"/>
          <w:szCs w:val="24"/>
          <w:highlight w:val="none"/>
        </w:rPr>
      </w:pPr>
      <w:r>
        <w:rPr>
          <w:rFonts w:ascii="仿宋" w:hAnsi="仿宋" w:eastAsia="仿宋"/>
          <w:b/>
          <w:bCs/>
          <w:color w:val="auto"/>
          <w:sz w:val="24"/>
          <w:szCs w:val="24"/>
          <w:highlight w:val="none"/>
          <w:lang w:val="zh-CN"/>
        </w:rPr>
        <w:t>目录</w:t>
      </w:r>
    </w:p>
    <w:p>
      <w:pPr>
        <w:pStyle w:val="30"/>
        <w:tabs>
          <w:tab w:val="right" w:leader="dot" w:pos="8302"/>
        </w:tabs>
        <w:spacing w:line="360" w:lineRule="auto"/>
        <w:rPr>
          <w:rFonts w:ascii="仿宋" w:hAnsi="仿宋" w:eastAsia="仿宋"/>
          <w:highlight w:val="none"/>
        </w:rPr>
      </w:pPr>
      <w:r>
        <w:rPr>
          <w:rFonts w:ascii="仿宋" w:hAnsi="仿宋" w:eastAsia="仿宋"/>
          <w:highlight w:val="none"/>
        </w:rPr>
        <w:fldChar w:fldCharType="begin"/>
      </w:r>
      <w:r>
        <w:rPr>
          <w:rFonts w:ascii="仿宋" w:hAnsi="仿宋" w:eastAsia="仿宋"/>
          <w:highlight w:val="none"/>
        </w:rPr>
        <w:instrText xml:space="preserve"> TOC \o "1-3" \h \z \u </w:instrText>
      </w:r>
      <w:r>
        <w:rPr>
          <w:rFonts w:ascii="仿宋" w:hAnsi="仿宋" w:eastAsia="仿宋"/>
          <w:highlight w:val="none"/>
        </w:rPr>
        <w:fldChar w:fldCharType="separate"/>
      </w:r>
      <w:r>
        <w:rPr>
          <w:highlight w:val="none"/>
        </w:rPr>
        <w:fldChar w:fldCharType="begin"/>
      </w:r>
      <w:r>
        <w:rPr>
          <w:highlight w:val="none"/>
        </w:rPr>
        <w:instrText xml:space="preserve"> HYPERLINK \l "_Toc73112396" </w:instrText>
      </w:r>
      <w:r>
        <w:rPr>
          <w:highlight w:val="none"/>
        </w:rPr>
        <w:fldChar w:fldCharType="separate"/>
      </w:r>
      <w:r>
        <w:rPr>
          <w:rStyle w:val="50"/>
          <w:rFonts w:ascii="仿宋" w:hAnsi="仿宋" w:eastAsia="仿宋" w:cs="仿宋"/>
          <w:color w:val="auto"/>
          <w:highlight w:val="none"/>
        </w:rPr>
        <w:t>第一章采购货物概况</w:t>
      </w:r>
      <w:r>
        <w:rPr>
          <w:rFonts w:ascii="仿宋" w:hAnsi="仿宋" w:eastAsia="仿宋"/>
          <w:highlight w:val="none"/>
        </w:rPr>
        <w:tab/>
      </w:r>
      <w:r>
        <w:rPr>
          <w:rFonts w:ascii="仿宋" w:hAnsi="仿宋" w:eastAsia="仿宋"/>
          <w:highlight w:val="none"/>
        </w:rPr>
        <w:fldChar w:fldCharType="begin"/>
      </w:r>
      <w:r>
        <w:rPr>
          <w:rFonts w:ascii="仿宋" w:hAnsi="仿宋" w:eastAsia="仿宋"/>
          <w:highlight w:val="none"/>
        </w:rPr>
        <w:instrText xml:space="preserve"> PAGEREF _Toc73112396 \h </w:instrText>
      </w:r>
      <w:r>
        <w:rPr>
          <w:rFonts w:ascii="仿宋" w:hAnsi="仿宋" w:eastAsia="仿宋"/>
          <w:highlight w:val="none"/>
        </w:rPr>
        <w:fldChar w:fldCharType="separate"/>
      </w:r>
      <w:r>
        <w:rPr>
          <w:rFonts w:ascii="仿宋" w:hAnsi="仿宋" w:eastAsia="仿宋"/>
          <w:highlight w:val="none"/>
        </w:rPr>
        <w:t>1</w:t>
      </w:r>
      <w:r>
        <w:rPr>
          <w:rFonts w:ascii="仿宋" w:hAnsi="仿宋" w:eastAsia="仿宋"/>
          <w:highlight w:val="none"/>
        </w:rPr>
        <w:fldChar w:fldCharType="end"/>
      </w:r>
      <w:r>
        <w:rPr>
          <w:rFonts w:ascii="仿宋" w:hAnsi="仿宋" w:eastAsia="仿宋"/>
          <w:highlight w:val="none"/>
        </w:rPr>
        <w:fldChar w:fldCharType="end"/>
      </w:r>
    </w:p>
    <w:p>
      <w:pPr>
        <w:pStyle w:val="35"/>
        <w:tabs>
          <w:tab w:val="right" w:leader="dot" w:pos="8302"/>
        </w:tabs>
        <w:spacing w:line="360" w:lineRule="auto"/>
        <w:ind w:left="480"/>
        <w:rPr>
          <w:rFonts w:ascii="仿宋" w:hAnsi="仿宋" w:eastAsia="仿宋"/>
          <w:highlight w:val="none"/>
        </w:rPr>
      </w:pPr>
      <w:r>
        <w:rPr>
          <w:highlight w:val="none"/>
        </w:rPr>
        <w:fldChar w:fldCharType="begin"/>
      </w:r>
      <w:r>
        <w:rPr>
          <w:highlight w:val="none"/>
        </w:rPr>
        <w:instrText xml:space="preserve"> HYPERLINK \l "_Toc73112397" </w:instrText>
      </w:r>
      <w:r>
        <w:rPr>
          <w:highlight w:val="none"/>
        </w:rPr>
        <w:fldChar w:fldCharType="separate"/>
      </w:r>
      <w:r>
        <w:rPr>
          <w:rStyle w:val="50"/>
          <w:rFonts w:ascii="仿宋" w:hAnsi="仿宋" w:eastAsia="仿宋" w:cs="仿宋"/>
          <w:color w:val="auto"/>
          <w:highlight w:val="none"/>
        </w:rPr>
        <w:t>第一节使用环境</w:t>
      </w:r>
      <w:r>
        <w:rPr>
          <w:rFonts w:ascii="仿宋" w:hAnsi="仿宋" w:eastAsia="仿宋"/>
          <w:highlight w:val="none"/>
        </w:rPr>
        <w:tab/>
      </w:r>
      <w:r>
        <w:rPr>
          <w:rFonts w:ascii="仿宋" w:hAnsi="仿宋" w:eastAsia="仿宋"/>
          <w:highlight w:val="none"/>
        </w:rPr>
        <w:fldChar w:fldCharType="begin"/>
      </w:r>
      <w:r>
        <w:rPr>
          <w:rFonts w:ascii="仿宋" w:hAnsi="仿宋" w:eastAsia="仿宋"/>
          <w:highlight w:val="none"/>
        </w:rPr>
        <w:instrText xml:space="preserve"> PAGEREF _Toc73112397 \h </w:instrText>
      </w:r>
      <w:r>
        <w:rPr>
          <w:rFonts w:ascii="仿宋" w:hAnsi="仿宋" w:eastAsia="仿宋"/>
          <w:highlight w:val="none"/>
        </w:rPr>
        <w:fldChar w:fldCharType="separate"/>
      </w:r>
      <w:r>
        <w:rPr>
          <w:rFonts w:ascii="仿宋" w:hAnsi="仿宋" w:eastAsia="仿宋"/>
          <w:highlight w:val="none"/>
        </w:rPr>
        <w:t>1</w:t>
      </w:r>
      <w:r>
        <w:rPr>
          <w:rFonts w:ascii="仿宋" w:hAnsi="仿宋" w:eastAsia="仿宋"/>
          <w:highlight w:val="none"/>
        </w:rPr>
        <w:fldChar w:fldCharType="end"/>
      </w:r>
      <w:r>
        <w:rPr>
          <w:rFonts w:ascii="仿宋" w:hAnsi="仿宋" w:eastAsia="仿宋"/>
          <w:highlight w:val="none"/>
        </w:rPr>
        <w:fldChar w:fldCharType="end"/>
      </w:r>
    </w:p>
    <w:p>
      <w:pPr>
        <w:pStyle w:val="35"/>
        <w:tabs>
          <w:tab w:val="right" w:leader="dot" w:pos="8302"/>
        </w:tabs>
        <w:spacing w:line="360" w:lineRule="auto"/>
        <w:ind w:left="480"/>
        <w:rPr>
          <w:rFonts w:ascii="仿宋" w:hAnsi="仿宋" w:eastAsia="仿宋"/>
          <w:highlight w:val="none"/>
        </w:rPr>
      </w:pPr>
      <w:r>
        <w:rPr>
          <w:highlight w:val="none"/>
        </w:rPr>
        <w:fldChar w:fldCharType="begin"/>
      </w:r>
      <w:r>
        <w:rPr>
          <w:highlight w:val="none"/>
        </w:rPr>
        <w:instrText xml:space="preserve"> HYPERLINK \l "_Toc73112398" </w:instrText>
      </w:r>
      <w:r>
        <w:rPr>
          <w:highlight w:val="none"/>
        </w:rPr>
        <w:fldChar w:fldCharType="separate"/>
      </w:r>
      <w:r>
        <w:rPr>
          <w:rStyle w:val="50"/>
          <w:rFonts w:ascii="仿宋" w:hAnsi="仿宋" w:eastAsia="仿宋" w:cs="仿宋"/>
          <w:color w:val="auto"/>
          <w:highlight w:val="none"/>
        </w:rPr>
        <w:t>第二节采购货物概况</w:t>
      </w:r>
      <w:r>
        <w:rPr>
          <w:rFonts w:ascii="仿宋" w:hAnsi="仿宋" w:eastAsia="仿宋"/>
          <w:highlight w:val="none"/>
        </w:rPr>
        <w:tab/>
      </w:r>
      <w:r>
        <w:rPr>
          <w:rFonts w:ascii="仿宋" w:hAnsi="仿宋" w:eastAsia="仿宋"/>
          <w:highlight w:val="none"/>
        </w:rPr>
        <w:fldChar w:fldCharType="begin"/>
      </w:r>
      <w:r>
        <w:rPr>
          <w:rFonts w:ascii="仿宋" w:hAnsi="仿宋" w:eastAsia="仿宋"/>
          <w:highlight w:val="none"/>
        </w:rPr>
        <w:instrText xml:space="preserve"> PAGEREF _Toc73112398 \h </w:instrText>
      </w:r>
      <w:r>
        <w:rPr>
          <w:rFonts w:ascii="仿宋" w:hAnsi="仿宋" w:eastAsia="仿宋"/>
          <w:highlight w:val="none"/>
        </w:rPr>
        <w:fldChar w:fldCharType="separate"/>
      </w:r>
      <w:r>
        <w:rPr>
          <w:rFonts w:ascii="仿宋" w:hAnsi="仿宋" w:eastAsia="仿宋"/>
          <w:highlight w:val="none"/>
        </w:rPr>
        <w:t>1</w:t>
      </w:r>
      <w:r>
        <w:rPr>
          <w:rFonts w:ascii="仿宋" w:hAnsi="仿宋" w:eastAsia="仿宋"/>
          <w:highlight w:val="none"/>
        </w:rPr>
        <w:fldChar w:fldCharType="end"/>
      </w:r>
      <w:r>
        <w:rPr>
          <w:rFonts w:ascii="仿宋" w:hAnsi="仿宋" w:eastAsia="仿宋"/>
          <w:highlight w:val="none"/>
        </w:rPr>
        <w:fldChar w:fldCharType="end"/>
      </w:r>
    </w:p>
    <w:p>
      <w:pPr>
        <w:pStyle w:val="30"/>
        <w:tabs>
          <w:tab w:val="right" w:leader="dot" w:pos="8302"/>
        </w:tabs>
        <w:spacing w:line="360" w:lineRule="auto"/>
        <w:rPr>
          <w:rFonts w:ascii="仿宋" w:hAnsi="仿宋" w:eastAsia="仿宋"/>
          <w:highlight w:val="none"/>
        </w:rPr>
      </w:pPr>
      <w:r>
        <w:rPr>
          <w:highlight w:val="none"/>
        </w:rPr>
        <w:fldChar w:fldCharType="begin"/>
      </w:r>
      <w:r>
        <w:rPr>
          <w:highlight w:val="none"/>
        </w:rPr>
        <w:instrText xml:space="preserve"> HYPERLINK \l "_Toc73112399" </w:instrText>
      </w:r>
      <w:r>
        <w:rPr>
          <w:highlight w:val="none"/>
        </w:rPr>
        <w:fldChar w:fldCharType="separate"/>
      </w:r>
      <w:r>
        <w:rPr>
          <w:rStyle w:val="50"/>
          <w:rFonts w:ascii="仿宋" w:hAnsi="仿宋" w:eastAsia="仿宋" w:cs="仿宋"/>
          <w:color w:val="auto"/>
          <w:highlight w:val="none"/>
        </w:rPr>
        <w:t>第二章技术要求</w:t>
      </w:r>
      <w:r>
        <w:rPr>
          <w:rFonts w:ascii="仿宋" w:hAnsi="仿宋" w:eastAsia="仿宋"/>
          <w:highlight w:val="none"/>
        </w:rPr>
        <w:tab/>
      </w:r>
      <w:r>
        <w:rPr>
          <w:rFonts w:ascii="仿宋" w:hAnsi="仿宋" w:eastAsia="仿宋"/>
          <w:highlight w:val="none"/>
        </w:rPr>
        <w:fldChar w:fldCharType="begin"/>
      </w:r>
      <w:r>
        <w:rPr>
          <w:rFonts w:ascii="仿宋" w:hAnsi="仿宋" w:eastAsia="仿宋"/>
          <w:highlight w:val="none"/>
        </w:rPr>
        <w:instrText xml:space="preserve"> PAGEREF _Toc73112399 \h </w:instrText>
      </w:r>
      <w:r>
        <w:rPr>
          <w:rFonts w:ascii="仿宋" w:hAnsi="仿宋" w:eastAsia="仿宋"/>
          <w:highlight w:val="none"/>
        </w:rPr>
        <w:fldChar w:fldCharType="separate"/>
      </w:r>
      <w:r>
        <w:rPr>
          <w:rFonts w:ascii="仿宋" w:hAnsi="仿宋" w:eastAsia="仿宋"/>
          <w:highlight w:val="none"/>
        </w:rPr>
        <w:t>2</w:t>
      </w:r>
      <w:r>
        <w:rPr>
          <w:rFonts w:ascii="仿宋" w:hAnsi="仿宋" w:eastAsia="仿宋"/>
          <w:highlight w:val="none"/>
        </w:rPr>
        <w:fldChar w:fldCharType="end"/>
      </w:r>
      <w:r>
        <w:rPr>
          <w:rFonts w:ascii="仿宋" w:hAnsi="仿宋" w:eastAsia="仿宋"/>
          <w:highlight w:val="none"/>
        </w:rPr>
        <w:fldChar w:fldCharType="end"/>
      </w:r>
    </w:p>
    <w:p>
      <w:pPr>
        <w:pStyle w:val="35"/>
        <w:tabs>
          <w:tab w:val="right" w:leader="dot" w:pos="8302"/>
        </w:tabs>
        <w:spacing w:line="360" w:lineRule="auto"/>
        <w:ind w:left="480"/>
        <w:rPr>
          <w:rFonts w:ascii="仿宋" w:hAnsi="仿宋" w:eastAsia="仿宋"/>
          <w:highlight w:val="none"/>
        </w:rPr>
      </w:pPr>
      <w:r>
        <w:rPr>
          <w:highlight w:val="none"/>
        </w:rPr>
        <w:fldChar w:fldCharType="begin"/>
      </w:r>
      <w:r>
        <w:rPr>
          <w:highlight w:val="none"/>
        </w:rPr>
        <w:instrText xml:space="preserve"> HYPERLINK \l "_Toc73112400" </w:instrText>
      </w:r>
      <w:r>
        <w:rPr>
          <w:highlight w:val="none"/>
        </w:rPr>
        <w:fldChar w:fldCharType="separate"/>
      </w:r>
      <w:r>
        <w:rPr>
          <w:rStyle w:val="50"/>
          <w:rFonts w:ascii="仿宋" w:hAnsi="仿宋" w:eastAsia="仿宋" w:cs="仿宋"/>
          <w:color w:val="auto"/>
          <w:highlight w:val="none"/>
        </w:rPr>
        <w:t>1基本要求</w:t>
      </w:r>
      <w:r>
        <w:rPr>
          <w:rFonts w:ascii="仿宋" w:hAnsi="仿宋" w:eastAsia="仿宋"/>
          <w:highlight w:val="none"/>
        </w:rPr>
        <w:tab/>
      </w:r>
      <w:r>
        <w:rPr>
          <w:rFonts w:ascii="仿宋" w:hAnsi="仿宋" w:eastAsia="仿宋"/>
          <w:highlight w:val="none"/>
        </w:rPr>
        <w:fldChar w:fldCharType="begin"/>
      </w:r>
      <w:r>
        <w:rPr>
          <w:rFonts w:ascii="仿宋" w:hAnsi="仿宋" w:eastAsia="仿宋"/>
          <w:highlight w:val="none"/>
        </w:rPr>
        <w:instrText xml:space="preserve"> PAGEREF _Toc73112400 \h </w:instrText>
      </w:r>
      <w:r>
        <w:rPr>
          <w:rFonts w:ascii="仿宋" w:hAnsi="仿宋" w:eastAsia="仿宋"/>
          <w:highlight w:val="none"/>
        </w:rPr>
        <w:fldChar w:fldCharType="separate"/>
      </w:r>
      <w:r>
        <w:rPr>
          <w:rFonts w:ascii="仿宋" w:hAnsi="仿宋" w:eastAsia="仿宋"/>
          <w:highlight w:val="none"/>
        </w:rPr>
        <w:t>2</w:t>
      </w:r>
      <w:r>
        <w:rPr>
          <w:rFonts w:ascii="仿宋" w:hAnsi="仿宋" w:eastAsia="仿宋"/>
          <w:highlight w:val="none"/>
        </w:rPr>
        <w:fldChar w:fldCharType="end"/>
      </w:r>
      <w:r>
        <w:rPr>
          <w:rFonts w:ascii="仿宋" w:hAnsi="仿宋" w:eastAsia="仿宋"/>
          <w:highlight w:val="none"/>
        </w:rPr>
        <w:fldChar w:fldCharType="end"/>
      </w:r>
    </w:p>
    <w:p>
      <w:pPr>
        <w:pStyle w:val="35"/>
        <w:tabs>
          <w:tab w:val="right" w:leader="dot" w:pos="8302"/>
        </w:tabs>
        <w:spacing w:line="360" w:lineRule="auto"/>
        <w:ind w:left="480"/>
        <w:rPr>
          <w:rFonts w:ascii="仿宋" w:hAnsi="仿宋" w:eastAsia="仿宋"/>
          <w:highlight w:val="none"/>
        </w:rPr>
      </w:pPr>
      <w:r>
        <w:rPr>
          <w:highlight w:val="none"/>
        </w:rPr>
        <w:fldChar w:fldCharType="begin"/>
      </w:r>
      <w:r>
        <w:rPr>
          <w:highlight w:val="none"/>
        </w:rPr>
        <w:instrText xml:space="preserve"> HYPERLINK \l "_Toc73112401" </w:instrText>
      </w:r>
      <w:r>
        <w:rPr>
          <w:highlight w:val="none"/>
        </w:rPr>
        <w:fldChar w:fldCharType="separate"/>
      </w:r>
      <w:r>
        <w:rPr>
          <w:rStyle w:val="50"/>
          <w:rFonts w:ascii="仿宋" w:hAnsi="仿宋" w:eastAsia="仿宋" w:cs="仿宋"/>
          <w:color w:val="auto"/>
          <w:highlight w:val="none"/>
        </w:rPr>
        <w:t>2技术规范</w:t>
      </w:r>
      <w:r>
        <w:rPr>
          <w:rFonts w:ascii="仿宋" w:hAnsi="仿宋" w:eastAsia="仿宋"/>
          <w:highlight w:val="none"/>
        </w:rPr>
        <w:tab/>
      </w:r>
      <w:r>
        <w:rPr>
          <w:rFonts w:ascii="仿宋" w:hAnsi="仿宋" w:eastAsia="仿宋"/>
          <w:highlight w:val="none"/>
        </w:rPr>
        <w:fldChar w:fldCharType="begin"/>
      </w:r>
      <w:r>
        <w:rPr>
          <w:rFonts w:ascii="仿宋" w:hAnsi="仿宋" w:eastAsia="仿宋"/>
          <w:highlight w:val="none"/>
        </w:rPr>
        <w:instrText xml:space="preserve"> PAGEREF _Toc73112401 \h </w:instrText>
      </w:r>
      <w:r>
        <w:rPr>
          <w:rFonts w:ascii="仿宋" w:hAnsi="仿宋" w:eastAsia="仿宋"/>
          <w:highlight w:val="none"/>
        </w:rPr>
        <w:fldChar w:fldCharType="separate"/>
      </w:r>
      <w:r>
        <w:rPr>
          <w:rFonts w:ascii="仿宋" w:hAnsi="仿宋" w:eastAsia="仿宋"/>
          <w:highlight w:val="none"/>
        </w:rPr>
        <w:t>5</w:t>
      </w:r>
      <w:r>
        <w:rPr>
          <w:rFonts w:ascii="仿宋" w:hAnsi="仿宋" w:eastAsia="仿宋"/>
          <w:highlight w:val="none"/>
        </w:rPr>
        <w:fldChar w:fldCharType="end"/>
      </w:r>
      <w:r>
        <w:rPr>
          <w:rFonts w:ascii="仿宋" w:hAnsi="仿宋" w:eastAsia="仿宋"/>
          <w:highlight w:val="none"/>
        </w:rPr>
        <w:fldChar w:fldCharType="end"/>
      </w:r>
    </w:p>
    <w:p>
      <w:pPr>
        <w:pStyle w:val="35"/>
        <w:tabs>
          <w:tab w:val="right" w:leader="dot" w:pos="8302"/>
        </w:tabs>
        <w:spacing w:line="360" w:lineRule="auto"/>
        <w:ind w:left="480"/>
        <w:rPr>
          <w:rFonts w:ascii="仿宋" w:hAnsi="仿宋" w:eastAsia="仿宋"/>
          <w:highlight w:val="none"/>
        </w:rPr>
      </w:pPr>
      <w:r>
        <w:rPr>
          <w:highlight w:val="none"/>
        </w:rPr>
        <w:fldChar w:fldCharType="begin"/>
      </w:r>
      <w:r>
        <w:rPr>
          <w:highlight w:val="none"/>
        </w:rPr>
        <w:instrText xml:space="preserve"> HYPERLINK \l "_Toc73112402" </w:instrText>
      </w:r>
      <w:r>
        <w:rPr>
          <w:highlight w:val="none"/>
        </w:rPr>
        <w:fldChar w:fldCharType="separate"/>
      </w:r>
      <w:r>
        <w:rPr>
          <w:rStyle w:val="50"/>
          <w:rFonts w:ascii="仿宋" w:hAnsi="仿宋" w:eastAsia="仿宋" w:cs="仿宋"/>
          <w:color w:val="auto"/>
          <w:highlight w:val="none"/>
        </w:rPr>
        <w:t>3特别提示</w:t>
      </w:r>
      <w:r>
        <w:rPr>
          <w:rFonts w:ascii="仿宋" w:hAnsi="仿宋" w:eastAsia="仿宋"/>
          <w:highlight w:val="none"/>
        </w:rPr>
        <w:tab/>
      </w:r>
      <w:r>
        <w:rPr>
          <w:rFonts w:ascii="仿宋" w:hAnsi="仿宋" w:eastAsia="仿宋"/>
          <w:highlight w:val="none"/>
        </w:rPr>
        <w:fldChar w:fldCharType="begin"/>
      </w:r>
      <w:r>
        <w:rPr>
          <w:rFonts w:ascii="仿宋" w:hAnsi="仿宋" w:eastAsia="仿宋"/>
          <w:highlight w:val="none"/>
        </w:rPr>
        <w:instrText xml:space="preserve"> PAGEREF _Toc73112402 \h </w:instrText>
      </w:r>
      <w:r>
        <w:rPr>
          <w:rFonts w:ascii="仿宋" w:hAnsi="仿宋" w:eastAsia="仿宋"/>
          <w:highlight w:val="none"/>
        </w:rPr>
        <w:fldChar w:fldCharType="separate"/>
      </w:r>
      <w:r>
        <w:rPr>
          <w:rFonts w:ascii="仿宋" w:hAnsi="仿宋" w:eastAsia="仿宋"/>
          <w:highlight w:val="none"/>
        </w:rPr>
        <w:t>24</w:t>
      </w:r>
      <w:r>
        <w:rPr>
          <w:rFonts w:ascii="仿宋" w:hAnsi="仿宋" w:eastAsia="仿宋"/>
          <w:highlight w:val="none"/>
        </w:rPr>
        <w:fldChar w:fldCharType="end"/>
      </w:r>
      <w:r>
        <w:rPr>
          <w:rFonts w:ascii="仿宋" w:hAnsi="仿宋" w:eastAsia="仿宋"/>
          <w:highlight w:val="none"/>
        </w:rPr>
        <w:fldChar w:fldCharType="end"/>
      </w:r>
    </w:p>
    <w:p>
      <w:pPr>
        <w:pStyle w:val="30"/>
        <w:tabs>
          <w:tab w:val="right" w:leader="dot" w:pos="8302"/>
        </w:tabs>
        <w:spacing w:line="360" w:lineRule="auto"/>
        <w:rPr>
          <w:rFonts w:ascii="仿宋" w:hAnsi="仿宋" w:eastAsia="仿宋"/>
          <w:highlight w:val="none"/>
        </w:rPr>
      </w:pPr>
      <w:r>
        <w:rPr>
          <w:highlight w:val="none"/>
        </w:rPr>
        <w:fldChar w:fldCharType="begin"/>
      </w:r>
      <w:r>
        <w:rPr>
          <w:highlight w:val="none"/>
        </w:rPr>
        <w:instrText xml:space="preserve"> HYPERLINK \l "_Toc73112403" </w:instrText>
      </w:r>
      <w:r>
        <w:rPr>
          <w:highlight w:val="none"/>
        </w:rPr>
        <w:fldChar w:fldCharType="separate"/>
      </w:r>
      <w:r>
        <w:rPr>
          <w:rStyle w:val="50"/>
          <w:rFonts w:ascii="仿宋" w:hAnsi="仿宋" w:eastAsia="仿宋" w:cs="仿宋"/>
          <w:color w:val="auto"/>
          <w:highlight w:val="none"/>
        </w:rPr>
        <w:t>第三章供货范围及供货方式</w:t>
      </w:r>
      <w:r>
        <w:rPr>
          <w:rFonts w:ascii="仿宋" w:hAnsi="仿宋" w:eastAsia="仿宋"/>
          <w:highlight w:val="none"/>
        </w:rPr>
        <w:tab/>
      </w:r>
      <w:r>
        <w:rPr>
          <w:rFonts w:ascii="仿宋" w:hAnsi="仿宋" w:eastAsia="仿宋"/>
          <w:highlight w:val="none"/>
        </w:rPr>
        <w:fldChar w:fldCharType="begin"/>
      </w:r>
      <w:r>
        <w:rPr>
          <w:rFonts w:ascii="仿宋" w:hAnsi="仿宋" w:eastAsia="仿宋"/>
          <w:highlight w:val="none"/>
        </w:rPr>
        <w:instrText xml:space="preserve"> PAGEREF _Toc73112403 \h </w:instrText>
      </w:r>
      <w:r>
        <w:rPr>
          <w:rFonts w:ascii="仿宋" w:hAnsi="仿宋" w:eastAsia="仿宋"/>
          <w:highlight w:val="none"/>
        </w:rPr>
        <w:fldChar w:fldCharType="separate"/>
      </w:r>
      <w:r>
        <w:rPr>
          <w:rFonts w:ascii="仿宋" w:hAnsi="仿宋" w:eastAsia="仿宋"/>
          <w:highlight w:val="none"/>
        </w:rPr>
        <w:t>25</w:t>
      </w:r>
      <w:r>
        <w:rPr>
          <w:rFonts w:ascii="仿宋" w:hAnsi="仿宋" w:eastAsia="仿宋"/>
          <w:highlight w:val="none"/>
        </w:rPr>
        <w:fldChar w:fldCharType="end"/>
      </w:r>
      <w:r>
        <w:rPr>
          <w:rFonts w:ascii="仿宋" w:hAnsi="仿宋" w:eastAsia="仿宋"/>
          <w:highlight w:val="none"/>
        </w:rPr>
        <w:fldChar w:fldCharType="end"/>
      </w:r>
    </w:p>
    <w:p>
      <w:pPr>
        <w:pStyle w:val="35"/>
        <w:tabs>
          <w:tab w:val="right" w:leader="dot" w:pos="8302"/>
        </w:tabs>
        <w:spacing w:line="360" w:lineRule="auto"/>
        <w:ind w:left="480"/>
        <w:rPr>
          <w:rFonts w:ascii="仿宋" w:hAnsi="仿宋" w:eastAsia="仿宋"/>
          <w:highlight w:val="none"/>
        </w:rPr>
      </w:pPr>
      <w:r>
        <w:rPr>
          <w:highlight w:val="none"/>
        </w:rPr>
        <w:fldChar w:fldCharType="begin"/>
      </w:r>
      <w:r>
        <w:rPr>
          <w:highlight w:val="none"/>
        </w:rPr>
        <w:instrText xml:space="preserve"> HYPERLINK \l "_Toc73112404" </w:instrText>
      </w:r>
      <w:r>
        <w:rPr>
          <w:highlight w:val="none"/>
        </w:rPr>
        <w:fldChar w:fldCharType="separate"/>
      </w:r>
      <w:r>
        <w:rPr>
          <w:rStyle w:val="50"/>
          <w:rFonts w:ascii="仿宋" w:hAnsi="仿宋" w:eastAsia="仿宋" w:cs="仿宋"/>
          <w:color w:val="auto"/>
          <w:highlight w:val="none"/>
        </w:rPr>
        <w:t>第一节供货范围</w:t>
      </w:r>
      <w:r>
        <w:rPr>
          <w:rFonts w:ascii="仿宋" w:hAnsi="仿宋" w:eastAsia="仿宋"/>
          <w:highlight w:val="none"/>
        </w:rPr>
        <w:tab/>
      </w:r>
      <w:r>
        <w:rPr>
          <w:rFonts w:ascii="仿宋" w:hAnsi="仿宋" w:eastAsia="仿宋"/>
          <w:highlight w:val="none"/>
        </w:rPr>
        <w:fldChar w:fldCharType="begin"/>
      </w:r>
      <w:r>
        <w:rPr>
          <w:rFonts w:ascii="仿宋" w:hAnsi="仿宋" w:eastAsia="仿宋"/>
          <w:highlight w:val="none"/>
        </w:rPr>
        <w:instrText xml:space="preserve"> PAGEREF _Toc73112404 \h </w:instrText>
      </w:r>
      <w:r>
        <w:rPr>
          <w:rFonts w:ascii="仿宋" w:hAnsi="仿宋" w:eastAsia="仿宋"/>
          <w:highlight w:val="none"/>
        </w:rPr>
        <w:fldChar w:fldCharType="separate"/>
      </w:r>
      <w:r>
        <w:rPr>
          <w:rFonts w:ascii="仿宋" w:hAnsi="仿宋" w:eastAsia="仿宋"/>
          <w:highlight w:val="none"/>
        </w:rPr>
        <w:t>25</w:t>
      </w:r>
      <w:r>
        <w:rPr>
          <w:rFonts w:ascii="仿宋" w:hAnsi="仿宋" w:eastAsia="仿宋"/>
          <w:highlight w:val="none"/>
        </w:rPr>
        <w:fldChar w:fldCharType="end"/>
      </w:r>
      <w:r>
        <w:rPr>
          <w:rFonts w:ascii="仿宋" w:hAnsi="仿宋" w:eastAsia="仿宋"/>
          <w:highlight w:val="none"/>
        </w:rPr>
        <w:fldChar w:fldCharType="end"/>
      </w:r>
    </w:p>
    <w:p>
      <w:pPr>
        <w:pStyle w:val="35"/>
        <w:tabs>
          <w:tab w:val="right" w:leader="dot" w:pos="8302"/>
        </w:tabs>
        <w:spacing w:line="360" w:lineRule="auto"/>
        <w:ind w:left="480"/>
        <w:rPr>
          <w:rFonts w:ascii="仿宋" w:hAnsi="仿宋" w:eastAsia="仿宋"/>
          <w:highlight w:val="none"/>
        </w:rPr>
      </w:pPr>
      <w:r>
        <w:rPr>
          <w:highlight w:val="none"/>
        </w:rPr>
        <w:fldChar w:fldCharType="begin"/>
      </w:r>
      <w:r>
        <w:rPr>
          <w:highlight w:val="none"/>
        </w:rPr>
        <w:instrText xml:space="preserve"> HYPERLINK \l "_Toc73112408" </w:instrText>
      </w:r>
      <w:r>
        <w:rPr>
          <w:highlight w:val="none"/>
        </w:rPr>
        <w:fldChar w:fldCharType="separate"/>
      </w:r>
      <w:r>
        <w:rPr>
          <w:rStyle w:val="50"/>
          <w:rFonts w:ascii="仿宋" w:hAnsi="仿宋" w:eastAsia="仿宋" w:cs="仿宋"/>
          <w:color w:val="auto"/>
          <w:highlight w:val="none"/>
        </w:rPr>
        <w:t>第二节供货方式</w:t>
      </w:r>
      <w:r>
        <w:rPr>
          <w:rFonts w:ascii="仿宋" w:hAnsi="仿宋" w:eastAsia="仿宋"/>
          <w:highlight w:val="none"/>
        </w:rPr>
        <w:tab/>
      </w:r>
      <w:r>
        <w:rPr>
          <w:rFonts w:ascii="仿宋" w:hAnsi="仿宋" w:eastAsia="仿宋"/>
          <w:highlight w:val="none"/>
        </w:rPr>
        <w:fldChar w:fldCharType="begin"/>
      </w:r>
      <w:r>
        <w:rPr>
          <w:rFonts w:ascii="仿宋" w:hAnsi="仿宋" w:eastAsia="仿宋"/>
          <w:highlight w:val="none"/>
        </w:rPr>
        <w:instrText xml:space="preserve"> PAGEREF _Toc73112408 \h </w:instrText>
      </w:r>
      <w:r>
        <w:rPr>
          <w:rFonts w:ascii="仿宋" w:hAnsi="仿宋" w:eastAsia="仿宋"/>
          <w:highlight w:val="none"/>
        </w:rPr>
        <w:fldChar w:fldCharType="separate"/>
      </w:r>
      <w:r>
        <w:rPr>
          <w:rFonts w:ascii="仿宋" w:hAnsi="仿宋" w:eastAsia="仿宋"/>
          <w:highlight w:val="none"/>
        </w:rPr>
        <w:t>28</w:t>
      </w:r>
      <w:r>
        <w:rPr>
          <w:rFonts w:ascii="仿宋" w:hAnsi="仿宋" w:eastAsia="仿宋"/>
          <w:highlight w:val="none"/>
        </w:rPr>
        <w:fldChar w:fldCharType="end"/>
      </w:r>
      <w:r>
        <w:rPr>
          <w:rFonts w:ascii="仿宋" w:hAnsi="仿宋" w:eastAsia="仿宋"/>
          <w:highlight w:val="none"/>
        </w:rPr>
        <w:fldChar w:fldCharType="end"/>
      </w:r>
    </w:p>
    <w:p>
      <w:pPr>
        <w:pStyle w:val="30"/>
        <w:tabs>
          <w:tab w:val="right" w:leader="dot" w:pos="8302"/>
        </w:tabs>
        <w:spacing w:line="360" w:lineRule="auto"/>
        <w:rPr>
          <w:rFonts w:ascii="仿宋" w:hAnsi="仿宋" w:eastAsia="仿宋"/>
          <w:highlight w:val="none"/>
        </w:rPr>
      </w:pPr>
      <w:r>
        <w:rPr>
          <w:highlight w:val="none"/>
        </w:rPr>
        <w:fldChar w:fldCharType="begin"/>
      </w:r>
      <w:r>
        <w:rPr>
          <w:highlight w:val="none"/>
        </w:rPr>
        <w:instrText xml:space="preserve"> HYPERLINK \l "_Toc73112414" </w:instrText>
      </w:r>
      <w:r>
        <w:rPr>
          <w:highlight w:val="none"/>
        </w:rPr>
        <w:fldChar w:fldCharType="separate"/>
      </w:r>
      <w:r>
        <w:rPr>
          <w:rStyle w:val="50"/>
          <w:rFonts w:ascii="仿宋" w:hAnsi="仿宋" w:eastAsia="仿宋" w:cs="仿宋"/>
          <w:color w:val="auto"/>
          <w:highlight w:val="none"/>
        </w:rPr>
        <w:t>第四章售中售后服务</w:t>
      </w:r>
      <w:r>
        <w:rPr>
          <w:rFonts w:ascii="仿宋" w:hAnsi="仿宋" w:eastAsia="仿宋"/>
          <w:highlight w:val="none"/>
        </w:rPr>
        <w:tab/>
      </w:r>
      <w:r>
        <w:rPr>
          <w:rFonts w:ascii="仿宋" w:hAnsi="仿宋" w:eastAsia="仿宋"/>
          <w:highlight w:val="none"/>
        </w:rPr>
        <w:fldChar w:fldCharType="begin"/>
      </w:r>
      <w:r>
        <w:rPr>
          <w:rFonts w:ascii="仿宋" w:hAnsi="仿宋" w:eastAsia="仿宋"/>
          <w:highlight w:val="none"/>
        </w:rPr>
        <w:instrText xml:space="preserve"> PAGEREF _Toc73112414 \h </w:instrText>
      </w:r>
      <w:r>
        <w:rPr>
          <w:rFonts w:ascii="仿宋" w:hAnsi="仿宋" w:eastAsia="仿宋"/>
          <w:highlight w:val="none"/>
        </w:rPr>
        <w:fldChar w:fldCharType="separate"/>
      </w:r>
      <w:r>
        <w:rPr>
          <w:rFonts w:ascii="仿宋" w:hAnsi="仿宋" w:eastAsia="仿宋"/>
          <w:highlight w:val="none"/>
        </w:rPr>
        <w:t>30</w:t>
      </w:r>
      <w:r>
        <w:rPr>
          <w:rFonts w:ascii="仿宋" w:hAnsi="仿宋" w:eastAsia="仿宋"/>
          <w:highlight w:val="none"/>
        </w:rPr>
        <w:fldChar w:fldCharType="end"/>
      </w:r>
      <w:r>
        <w:rPr>
          <w:rFonts w:ascii="仿宋" w:hAnsi="仿宋" w:eastAsia="仿宋"/>
          <w:highlight w:val="none"/>
        </w:rPr>
        <w:fldChar w:fldCharType="end"/>
      </w:r>
    </w:p>
    <w:p>
      <w:pPr>
        <w:pStyle w:val="35"/>
        <w:tabs>
          <w:tab w:val="right" w:leader="dot" w:pos="8302"/>
        </w:tabs>
        <w:spacing w:line="360" w:lineRule="auto"/>
        <w:ind w:left="480"/>
        <w:rPr>
          <w:rFonts w:ascii="仿宋" w:hAnsi="仿宋" w:eastAsia="仿宋"/>
          <w:highlight w:val="none"/>
        </w:rPr>
      </w:pPr>
      <w:r>
        <w:rPr>
          <w:highlight w:val="none"/>
        </w:rPr>
        <w:fldChar w:fldCharType="begin"/>
      </w:r>
      <w:r>
        <w:rPr>
          <w:highlight w:val="none"/>
        </w:rPr>
        <w:instrText xml:space="preserve"> HYPERLINK \l "_Toc73112415" </w:instrText>
      </w:r>
      <w:r>
        <w:rPr>
          <w:highlight w:val="none"/>
        </w:rPr>
        <w:fldChar w:fldCharType="separate"/>
      </w:r>
      <w:r>
        <w:rPr>
          <w:rStyle w:val="50"/>
          <w:rFonts w:ascii="仿宋" w:hAnsi="仿宋" w:eastAsia="仿宋" w:cs="仿宋"/>
          <w:color w:val="auto"/>
          <w:highlight w:val="none"/>
        </w:rPr>
        <w:t>1技术及培训服务</w:t>
      </w:r>
      <w:r>
        <w:rPr>
          <w:rFonts w:ascii="仿宋" w:hAnsi="仿宋" w:eastAsia="仿宋"/>
          <w:highlight w:val="none"/>
        </w:rPr>
        <w:tab/>
      </w:r>
      <w:r>
        <w:rPr>
          <w:rFonts w:ascii="仿宋" w:hAnsi="仿宋" w:eastAsia="仿宋"/>
          <w:highlight w:val="none"/>
        </w:rPr>
        <w:fldChar w:fldCharType="begin"/>
      </w:r>
      <w:r>
        <w:rPr>
          <w:rFonts w:ascii="仿宋" w:hAnsi="仿宋" w:eastAsia="仿宋"/>
          <w:highlight w:val="none"/>
        </w:rPr>
        <w:instrText xml:space="preserve"> PAGEREF _Toc73112415 \h </w:instrText>
      </w:r>
      <w:r>
        <w:rPr>
          <w:rFonts w:ascii="仿宋" w:hAnsi="仿宋" w:eastAsia="仿宋"/>
          <w:highlight w:val="none"/>
        </w:rPr>
        <w:fldChar w:fldCharType="separate"/>
      </w:r>
      <w:r>
        <w:rPr>
          <w:rFonts w:ascii="仿宋" w:hAnsi="仿宋" w:eastAsia="仿宋"/>
          <w:highlight w:val="none"/>
        </w:rPr>
        <w:t>30</w:t>
      </w:r>
      <w:r>
        <w:rPr>
          <w:rFonts w:ascii="仿宋" w:hAnsi="仿宋" w:eastAsia="仿宋"/>
          <w:highlight w:val="none"/>
        </w:rPr>
        <w:fldChar w:fldCharType="end"/>
      </w:r>
      <w:r>
        <w:rPr>
          <w:rFonts w:ascii="仿宋" w:hAnsi="仿宋" w:eastAsia="仿宋"/>
          <w:highlight w:val="none"/>
        </w:rPr>
        <w:fldChar w:fldCharType="end"/>
      </w:r>
    </w:p>
    <w:p>
      <w:pPr>
        <w:pStyle w:val="35"/>
        <w:tabs>
          <w:tab w:val="right" w:leader="dot" w:pos="8302"/>
        </w:tabs>
        <w:spacing w:line="360" w:lineRule="auto"/>
        <w:ind w:left="480"/>
        <w:rPr>
          <w:rFonts w:ascii="仿宋" w:hAnsi="仿宋" w:eastAsia="仿宋"/>
          <w:highlight w:val="none"/>
        </w:rPr>
      </w:pPr>
      <w:r>
        <w:rPr>
          <w:highlight w:val="none"/>
        </w:rPr>
        <w:fldChar w:fldCharType="begin"/>
      </w:r>
      <w:r>
        <w:rPr>
          <w:highlight w:val="none"/>
        </w:rPr>
        <w:instrText xml:space="preserve"> HYPERLINK \l "_Toc73112416" </w:instrText>
      </w:r>
      <w:r>
        <w:rPr>
          <w:highlight w:val="none"/>
        </w:rPr>
        <w:fldChar w:fldCharType="separate"/>
      </w:r>
      <w:r>
        <w:rPr>
          <w:rStyle w:val="50"/>
          <w:rFonts w:ascii="仿宋" w:hAnsi="仿宋" w:eastAsia="仿宋" w:cs="仿宋"/>
          <w:color w:val="auto"/>
          <w:highlight w:val="none"/>
        </w:rPr>
        <w:t>2安装调试服务</w:t>
      </w:r>
      <w:r>
        <w:rPr>
          <w:rFonts w:ascii="仿宋" w:hAnsi="仿宋" w:eastAsia="仿宋"/>
          <w:highlight w:val="none"/>
        </w:rPr>
        <w:tab/>
      </w:r>
      <w:r>
        <w:rPr>
          <w:rFonts w:ascii="仿宋" w:hAnsi="仿宋" w:eastAsia="仿宋"/>
          <w:highlight w:val="none"/>
        </w:rPr>
        <w:fldChar w:fldCharType="begin"/>
      </w:r>
      <w:r>
        <w:rPr>
          <w:rFonts w:ascii="仿宋" w:hAnsi="仿宋" w:eastAsia="仿宋"/>
          <w:highlight w:val="none"/>
        </w:rPr>
        <w:instrText xml:space="preserve"> PAGEREF _Toc73112416 \h </w:instrText>
      </w:r>
      <w:r>
        <w:rPr>
          <w:rFonts w:ascii="仿宋" w:hAnsi="仿宋" w:eastAsia="仿宋"/>
          <w:highlight w:val="none"/>
        </w:rPr>
        <w:fldChar w:fldCharType="separate"/>
      </w:r>
      <w:r>
        <w:rPr>
          <w:rFonts w:ascii="仿宋" w:hAnsi="仿宋" w:eastAsia="仿宋"/>
          <w:highlight w:val="none"/>
        </w:rPr>
        <w:t>30</w:t>
      </w:r>
      <w:r>
        <w:rPr>
          <w:rFonts w:ascii="仿宋" w:hAnsi="仿宋" w:eastAsia="仿宋"/>
          <w:highlight w:val="none"/>
        </w:rPr>
        <w:fldChar w:fldCharType="end"/>
      </w:r>
      <w:r>
        <w:rPr>
          <w:rFonts w:ascii="仿宋" w:hAnsi="仿宋" w:eastAsia="仿宋"/>
          <w:highlight w:val="none"/>
        </w:rPr>
        <w:fldChar w:fldCharType="end"/>
      </w:r>
    </w:p>
    <w:p>
      <w:pPr>
        <w:pStyle w:val="35"/>
        <w:tabs>
          <w:tab w:val="right" w:leader="dot" w:pos="8302"/>
        </w:tabs>
        <w:spacing w:line="360" w:lineRule="auto"/>
        <w:ind w:left="480"/>
        <w:rPr>
          <w:rFonts w:ascii="仿宋" w:hAnsi="仿宋" w:eastAsia="仿宋"/>
          <w:highlight w:val="none"/>
        </w:rPr>
      </w:pPr>
      <w:r>
        <w:rPr>
          <w:highlight w:val="none"/>
        </w:rPr>
        <w:fldChar w:fldCharType="begin"/>
      </w:r>
      <w:r>
        <w:rPr>
          <w:highlight w:val="none"/>
        </w:rPr>
        <w:instrText xml:space="preserve"> HYPERLINK \l "_Toc73112417" </w:instrText>
      </w:r>
      <w:r>
        <w:rPr>
          <w:highlight w:val="none"/>
        </w:rPr>
        <w:fldChar w:fldCharType="separate"/>
      </w:r>
      <w:r>
        <w:rPr>
          <w:rStyle w:val="50"/>
          <w:rFonts w:ascii="仿宋" w:hAnsi="仿宋" w:eastAsia="仿宋" w:cs="仿宋"/>
          <w:color w:val="auto"/>
          <w:highlight w:val="none"/>
        </w:rPr>
        <w:t>3验收服务</w:t>
      </w:r>
      <w:r>
        <w:rPr>
          <w:rFonts w:ascii="仿宋" w:hAnsi="仿宋" w:eastAsia="仿宋"/>
          <w:highlight w:val="none"/>
        </w:rPr>
        <w:tab/>
      </w:r>
      <w:r>
        <w:rPr>
          <w:rFonts w:ascii="仿宋" w:hAnsi="仿宋" w:eastAsia="仿宋"/>
          <w:highlight w:val="none"/>
        </w:rPr>
        <w:fldChar w:fldCharType="begin"/>
      </w:r>
      <w:r>
        <w:rPr>
          <w:rFonts w:ascii="仿宋" w:hAnsi="仿宋" w:eastAsia="仿宋"/>
          <w:highlight w:val="none"/>
        </w:rPr>
        <w:instrText xml:space="preserve"> PAGEREF _Toc73112417 \h </w:instrText>
      </w:r>
      <w:r>
        <w:rPr>
          <w:rFonts w:ascii="仿宋" w:hAnsi="仿宋" w:eastAsia="仿宋"/>
          <w:highlight w:val="none"/>
        </w:rPr>
        <w:fldChar w:fldCharType="separate"/>
      </w:r>
      <w:r>
        <w:rPr>
          <w:rFonts w:ascii="仿宋" w:hAnsi="仿宋" w:eastAsia="仿宋"/>
          <w:highlight w:val="none"/>
        </w:rPr>
        <w:t>31</w:t>
      </w:r>
      <w:r>
        <w:rPr>
          <w:rFonts w:ascii="仿宋" w:hAnsi="仿宋" w:eastAsia="仿宋"/>
          <w:highlight w:val="none"/>
        </w:rPr>
        <w:fldChar w:fldCharType="end"/>
      </w:r>
      <w:r>
        <w:rPr>
          <w:rFonts w:ascii="仿宋" w:hAnsi="仿宋" w:eastAsia="仿宋"/>
          <w:highlight w:val="none"/>
        </w:rPr>
        <w:fldChar w:fldCharType="end"/>
      </w:r>
    </w:p>
    <w:p>
      <w:pPr>
        <w:pStyle w:val="35"/>
        <w:tabs>
          <w:tab w:val="right" w:leader="dot" w:pos="8302"/>
        </w:tabs>
        <w:spacing w:line="360" w:lineRule="auto"/>
        <w:ind w:left="480"/>
        <w:rPr>
          <w:rFonts w:ascii="仿宋" w:hAnsi="仿宋" w:eastAsia="仿宋"/>
          <w:highlight w:val="none"/>
        </w:rPr>
      </w:pPr>
      <w:r>
        <w:rPr>
          <w:highlight w:val="none"/>
        </w:rPr>
        <w:fldChar w:fldCharType="begin"/>
      </w:r>
      <w:r>
        <w:rPr>
          <w:highlight w:val="none"/>
        </w:rPr>
        <w:instrText xml:space="preserve"> HYPERLINK \l "_Toc73112418" </w:instrText>
      </w:r>
      <w:r>
        <w:rPr>
          <w:highlight w:val="none"/>
        </w:rPr>
        <w:fldChar w:fldCharType="separate"/>
      </w:r>
      <w:r>
        <w:rPr>
          <w:rStyle w:val="50"/>
          <w:rFonts w:ascii="仿宋" w:hAnsi="仿宋" w:eastAsia="仿宋" w:cs="仿宋"/>
          <w:color w:val="auto"/>
          <w:highlight w:val="none"/>
        </w:rPr>
        <w:t>4售后服务</w:t>
      </w:r>
      <w:r>
        <w:rPr>
          <w:rFonts w:ascii="仿宋" w:hAnsi="仿宋" w:eastAsia="仿宋"/>
          <w:highlight w:val="none"/>
        </w:rPr>
        <w:tab/>
      </w:r>
      <w:r>
        <w:rPr>
          <w:rFonts w:ascii="仿宋" w:hAnsi="仿宋" w:eastAsia="仿宋"/>
          <w:highlight w:val="none"/>
        </w:rPr>
        <w:fldChar w:fldCharType="begin"/>
      </w:r>
      <w:r>
        <w:rPr>
          <w:rFonts w:ascii="仿宋" w:hAnsi="仿宋" w:eastAsia="仿宋"/>
          <w:highlight w:val="none"/>
        </w:rPr>
        <w:instrText xml:space="preserve"> PAGEREF _Toc73112418 \h </w:instrText>
      </w:r>
      <w:r>
        <w:rPr>
          <w:rFonts w:ascii="仿宋" w:hAnsi="仿宋" w:eastAsia="仿宋"/>
          <w:highlight w:val="none"/>
        </w:rPr>
        <w:fldChar w:fldCharType="separate"/>
      </w:r>
      <w:r>
        <w:rPr>
          <w:rFonts w:ascii="仿宋" w:hAnsi="仿宋" w:eastAsia="仿宋"/>
          <w:highlight w:val="none"/>
        </w:rPr>
        <w:t>31</w:t>
      </w:r>
      <w:r>
        <w:rPr>
          <w:rFonts w:ascii="仿宋" w:hAnsi="仿宋" w:eastAsia="仿宋"/>
          <w:highlight w:val="none"/>
        </w:rPr>
        <w:fldChar w:fldCharType="end"/>
      </w:r>
      <w:r>
        <w:rPr>
          <w:rFonts w:ascii="仿宋" w:hAnsi="仿宋" w:eastAsia="仿宋"/>
          <w:highlight w:val="none"/>
        </w:rPr>
        <w:fldChar w:fldCharType="end"/>
      </w:r>
    </w:p>
    <w:p>
      <w:pPr>
        <w:pStyle w:val="35"/>
        <w:tabs>
          <w:tab w:val="right" w:leader="dot" w:pos="8302"/>
        </w:tabs>
        <w:spacing w:line="360" w:lineRule="auto"/>
        <w:ind w:left="480"/>
        <w:rPr>
          <w:rFonts w:ascii="仿宋" w:hAnsi="仿宋" w:eastAsia="仿宋"/>
          <w:highlight w:val="none"/>
        </w:rPr>
      </w:pPr>
      <w:r>
        <w:rPr>
          <w:highlight w:val="none"/>
        </w:rPr>
        <w:fldChar w:fldCharType="begin"/>
      </w:r>
      <w:r>
        <w:rPr>
          <w:highlight w:val="none"/>
        </w:rPr>
        <w:instrText xml:space="preserve"> HYPERLINK \l "_Toc73112419" </w:instrText>
      </w:r>
      <w:r>
        <w:rPr>
          <w:highlight w:val="none"/>
        </w:rPr>
        <w:fldChar w:fldCharType="separate"/>
      </w:r>
      <w:r>
        <w:rPr>
          <w:rStyle w:val="50"/>
          <w:rFonts w:ascii="仿宋" w:hAnsi="仿宋" w:eastAsia="仿宋" w:cs="仿宋"/>
          <w:color w:val="auto"/>
          <w:highlight w:val="none"/>
        </w:rPr>
        <w:t>5其它服务</w:t>
      </w:r>
      <w:r>
        <w:rPr>
          <w:rFonts w:ascii="仿宋" w:hAnsi="仿宋" w:eastAsia="仿宋"/>
          <w:highlight w:val="none"/>
        </w:rPr>
        <w:tab/>
      </w:r>
      <w:r>
        <w:rPr>
          <w:rFonts w:ascii="仿宋" w:hAnsi="仿宋" w:eastAsia="仿宋"/>
          <w:highlight w:val="none"/>
        </w:rPr>
        <w:fldChar w:fldCharType="begin"/>
      </w:r>
      <w:r>
        <w:rPr>
          <w:rFonts w:ascii="仿宋" w:hAnsi="仿宋" w:eastAsia="仿宋"/>
          <w:highlight w:val="none"/>
        </w:rPr>
        <w:instrText xml:space="preserve"> PAGEREF _Toc73112419 \h </w:instrText>
      </w:r>
      <w:r>
        <w:rPr>
          <w:rFonts w:ascii="仿宋" w:hAnsi="仿宋" w:eastAsia="仿宋"/>
          <w:highlight w:val="none"/>
        </w:rPr>
        <w:fldChar w:fldCharType="separate"/>
      </w:r>
      <w:r>
        <w:rPr>
          <w:rFonts w:ascii="仿宋" w:hAnsi="仿宋" w:eastAsia="仿宋"/>
          <w:highlight w:val="none"/>
        </w:rPr>
        <w:t>31</w:t>
      </w:r>
      <w:r>
        <w:rPr>
          <w:rFonts w:ascii="仿宋" w:hAnsi="仿宋" w:eastAsia="仿宋"/>
          <w:highlight w:val="none"/>
        </w:rPr>
        <w:fldChar w:fldCharType="end"/>
      </w:r>
      <w:r>
        <w:rPr>
          <w:rFonts w:ascii="仿宋" w:hAnsi="仿宋" w:eastAsia="仿宋"/>
          <w:highlight w:val="none"/>
        </w:rPr>
        <w:fldChar w:fldCharType="end"/>
      </w:r>
    </w:p>
    <w:p>
      <w:pPr>
        <w:pStyle w:val="30"/>
        <w:tabs>
          <w:tab w:val="right" w:leader="dot" w:pos="8302"/>
        </w:tabs>
        <w:spacing w:line="360" w:lineRule="auto"/>
        <w:rPr>
          <w:rFonts w:ascii="仿宋" w:hAnsi="仿宋" w:eastAsia="仿宋"/>
          <w:highlight w:val="none"/>
        </w:rPr>
      </w:pPr>
      <w:r>
        <w:rPr>
          <w:highlight w:val="none"/>
        </w:rPr>
        <w:fldChar w:fldCharType="begin"/>
      </w:r>
      <w:r>
        <w:rPr>
          <w:highlight w:val="none"/>
        </w:rPr>
        <w:instrText xml:space="preserve"> HYPERLINK \l "_Toc73112420" </w:instrText>
      </w:r>
      <w:r>
        <w:rPr>
          <w:highlight w:val="none"/>
        </w:rPr>
        <w:fldChar w:fldCharType="separate"/>
      </w:r>
      <w:r>
        <w:rPr>
          <w:rStyle w:val="50"/>
          <w:rFonts w:ascii="仿宋" w:hAnsi="仿宋" w:eastAsia="仿宋" w:cs="仿宋"/>
          <w:color w:val="auto"/>
          <w:highlight w:val="none"/>
        </w:rPr>
        <w:t>第五章预验收和终验收</w:t>
      </w:r>
      <w:r>
        <w:rPr>
          <w:rFonts w:ascii="仿宋" w:hAnsi="仿宋" w:eastAsia="仿宋"/>
          <w:highlight w:val="none"/>
        </w:rPr>
        <w:tab/>
      </w:r>
      <w:r>
        <w:rPr>
          <w:rFonts w:ascii="仿宋" w:hAnsi="仿宋" w:eastAsia="仿宋"/>
          <w:highlight w:val="none"/>
        </w:rPr>
        <w:fldChar w:fldCharType="begin"/>
      </w:r>
      <w:r>
        <w:rPr>
          <w:rFonts w:ascii="仿宋" w:hAnsi="仿宋" w:eastAsia="仿宋"/>
          <w:highlight w:val="none"/>
        </w:rPr>
        <w:instrText xml:space="preserve"> PAGEREF _Toc73112420 \h </w:instrText>
      </w:r>
      <w:r>
        <w:rPr>
          <w:rFonts w:ascii="仿宋" w:hAnsi="仿宋" w:eastAsia="仿宋"/>
          <w:highlight w:val="none"/>
        </w:rPr>
        <w:fldChar w:fldCharType="separate"/>
      </w:r>
      <w:r>
        <w:rPr>
          <w:rFonts w:ascii="仿宋" w:hAnsi="仿宋" w:eastAsia="仿宋"/>
          <w:highlight w:val="none"/>
        </w:rPr>
        <w:t>32</w:t>
      </w:r>
      <w:r>
        <w:rPr>
          <w:rFonts w:ascii="仿宋" w:hAnsi="仿宋" w:eastAsia="仿宋"/>
          <w:highlight w:val="none"/>
        </w:rPr>
        <w:fldChar w:fldCharType="end"/>
      </w:r>
      <w:r>
        <w:rPr>
          <w:rFonts w:ascii="仿宋" w:hAnsi="仿宋" w:eastAsia="仿宋"/>
          <w:highlight w:val="none"/>
        </w:rPr>
        <w:fldChar w:fldCharType="end"/>
      </w:r>
    </w:p>
    <w:p>
      <w:pPr>
        <w:pStyle w:val="35"/>
        <w:tabs>
          <w:tab w:val="right" w:leader="dot" w:pos="8302"/>
        </w:tabs>
        <w:spacing w:line="360" w:lineRule="auto"/>
        <w:ind w:left="480"/>
        <w:rPr>
          <w:rFonts w:ascii="仿宋" w:hAnsi="仿宋" w:eastAsia="仿宋"/>
          <w:highlight w:val="none"/>
        </w:rPr>
      </w:pPr>
      <w:r>
        <w:rPr>
          <w:highlight w:val="none"/>
        </w:rPr>
        <w:fldChar w:fldCharType="begin"/>
      </w:r>
      <w:r>
        <w:rPr>
          <w:highlight w:val="none"/>
        </w:rPr>
        <w:instrText xml:space="preserve"> HYPERLINK \l "_Toc73112421" </w:instrText>
      </w:r>
      <w:r>
        <w:rPr>
          <w:highlight w:val="none"/>
        </w:rPr>
        <w:fldChar w:fldCharType="separate"/>
      </w:r>
      <w:r>
        <w:rPr>
          <w:rStyle w:val="50"/>
          <w:rFonts w:ascii="仿宋" w:hAnsi="仿宋" w:eastAsia="仿宋" w:cs="仿宋"/>
          <w:color w:val="auto"/>
          <w:highlight w:val="none"/>
        </w:rPr>
        <w:t>1验收的一般约定</w:t>
      </w:r>
      <w:r>
        <w:rPr>
          <w:rFonts w:ascii="仿宋" w:hAnsi="仿宋" w:eastAsia="仿宋"/>
          <w:highlight w:val="none"/>
        </w:rPr>
        <w:tab/>
      </w:r>
      <w:r>
        <w:rPr>
          <w:rFonts w:ascii="仿宋" w:hAnsi="仿宋" w:eastAsia="仿宋"/>
          <w:highlight w:val="none"/>
        </w:rPr>
        <w:fldChar w:fldCharType="begin"/>
      </w:r>
      <w:r>
        <w:rPr>
          <w:rFonts w:ascii="仿宋" w:hAnsi="仿宋" w:eastAsia="仿宋"/>
          <w:highlight w:val="none"/>
        </w:rPr>
        <w:instrText xml:space="preserve"> PAGEREF _Toc73112421 \h </w:instrText>
      </w:r>
      <w:r>
        <w:rPr>
          <w:rFonts w:ascii="仿宋" w:hAnsi="仿宋" w:eastAsia="仿宋"/>
          <w:highlight w:val="none"/>
        </w:rPr>
        <w:fldChar w:fldCharType="separate"/>
      </w:r>
      <w:r>
        <w:rPr>
          <w:rFonts w:ascii="仿宋" w:hAnsi="仿宋" w:eastAsia="仿宋"/>
          <w:highlight w:val="none"/>
        </w:rPr>
        <w:t>32</w:t>
      </w:r>
      <w:r>
        <w:rPr>
          <w:rFonts w:ascii="仿宋" w:hAnsi="仿宋" w:eastAsia="仿宋"/>
          <w:highlight w:val="none"/>
        </w:rPr>
        <w:fldChar w:fldCharType="end"/>
      </w:r>
      <w:r>
        <w:rPr>
          <w:rFonts w:ascii="仿宋" w:hAnsi="仿宋" w:eastAsia="仿宋"/>
          <w:highlight w:val="none"/>
        </w:rPr>
        <w:fldChar w:fldCharType="end"/>
      </w:r>
    </w:p>
    <w:p>
      <w:pPr>
        <w:pStyle w:val="35"/>
        <w:tabs>
          <w:tab w:val="right" w:leader="dot" w:pos="8302"/>
        </w:tabs>
        <w:spacing w:line="360" w:lineRule="auto"/>
        <w:ind w:left="480"/>
        <w:rPr>
          <w:rFonts w:ascii="仿宋" w:hAnsi="仿宋" w:eastAsia="仿宋"/>
          <w:highlight w:val="none"/>
        </w:rPr>
      </w:pPr>
      <w:r>
        <w:rPr>
          <w:highlight w:val="none"/>
        </w:rPr>
        <w:fldChar w:fldCharType="begin"/>
      </w:r>
      <w:r>
        <w:rPr>
          <w:highlight w:val="none"/>
        </w:rPr>
        <w:instrText xml:space="preserve"> HYPERLINK \l "_Toc73112422" </w:instrText>
      </w:r>
      <w:r>
        <w:rPr>
          <w:highlight w:val="none"/>
        </w:rPr>
        <w:fldChar w:fldCharType="separate"/>
      </w:r>
      <w:r>
        <w:rPr>
          <w:rStyle w:val="50"/>
          <w:rFonts w:ascii="仿宋" w:hAnsi="仿宋" w:eastAsia="仿宋" w:cs="仿宋"/>
          <w:color w:val="auto"/>
          <w:highlight w:val="none"/>
        </w:rPr>
        <w:t>2检验</w:t>
      </w:r>
      <w:r>
        <w:rPr>
          <w:rFonts w:ascii="仿宋" w:hAnsi="仿宋" w:eastAsia="仿宋"/>
          <w:highlight w:val="none"/>
        </w:rPr>
        <w:tab/>
      </w:r>
      <w:r>
        <w:rPr>
          <w:rFonts w:ascii="仿宋" w:hAnsi="仿宋" w:eastAsia="仿宋"/>
          <w:highlight w:val="none"/>
        </w:rPr>
        <w:fldChar w:fldCharType="begin"/>
      </w:r>
      <w:r>
        <w:rPr>
          <w:rFonts w:ascii="仿宋" w:hAnsi="仿宋" w:eastAsia="仿宋"/>
          <w:highlight w:val="none"/>
        </w:rPr>
        <w:instrText xml:space="preserve"> PAGEREF _Toc73112422 \h </w:instrText>
      </w:r>
      <w:r>
        <w:rPr>
          <w:rFonts w:ascii="仿宋" w:hAnsi="仿宋" w:eastAsia="仿宋"/>
          <w:highlight w:val="none"/>
        </w:rPr>
        <w:fldChar w:fldCharType="separate"/>
      </w:r>
      <w:r>
        <w:rPr>
          <w:rFonts w:ascii="仿宋" w:hAnsi="仿宋" w:eastAsia="仿宋"/>
          <w:highlight w:val="none"/>
        </w:rPr>
        <w:t>32</w:t>
      </w:r>
      <w:r>
        <w:rPr>
          <w:rFonts w:ascii="仿宋" w:hAnsi="仿宋" w:eastAsia="仿宋"/>
          <w:highlight w:val="none"/>
        </w:rPr>
        <w:fldChar w:fldCharType="end"/>
      </w:r>
      <w:r>
        <w:rPr>
          <w:rFonts w:ascii="仿宋" w:hAnsi="仿宋" w:eastAsia="仿宋"/>
          <w:highlight w:val="none"/>
        </w:rPr>
        <w:fldChar w:fldCharType="end"/>
      </w:r>
    </w:p>
    <w:p>
      <w:pPr>
        <w:pStyle w:val="35"/>
        <w:tabs>
          <w:tab w:val="right" w:leader="dot" w:pos="8302"/>
        </w:tabs>
        <w:spacing w:line="360" w:lineRule="auto"/>
        <w:ind w:left="480"/>
        <w:rPr>
          <w:rFonts w:ascii="仿宋" w:hAnsi="仿宋" w:eastAsia="仿宋"/>
          <w:highlight w:val="none"/>
        </w:rPr>
      </w:pPr>
      <w:r>
        <w:rPr>
          <w:highlight w:val="none"/>
        </w:rPr>
        <w:fldChar w:fldCharType="begin"/>
      </w:r>
      <w:r>
        <w:rPr>
          <w:highlight w:val="none"/>
        </w:rPr>
        <w:instrText xml:space="preserve"> HYPERLINK \l "_Toc73112423" </w:instrText>
      </w:r>
      <w:r>
        <w:rPr>
          <w:highlight w:val="none"/>
        </w:rPr>
        <w:fldChar w:fldCharType="separate"/>
      </w:r>
      <w:r>
        <w:rPr>
          <w:rStyle w:val="50"/>
          <w:rFonts w:ascii="仿宋" w:hAnsi="仿宋" w:eastAsia="仿宋" w:cs="仿宋"/>
          <w:color w:val="auto"/>
          <w:highlight w:val="none"/>
        </w:rPr>
        <w:t>3验收条件</w:t>
      </w:r>
      <w:r>
        <w:rPr>
          <w:rFonts w:ascii="仿宋" w:hAnsi="仿宋" w:eastAsia="仿宋"/>
          <w:highlight w:val="none"/>
        </w:rPr>
        <w:tab/>
      </w:r>
      <w:r>
        <w:rPr>
          <w:rFonts w:ascii="仿宋" w:hAnsi="仿宋" w:eastAsia="仿宋"/>
          <w:highlight w:val="none"/>
        </w:rPr>
        <w:fldChar w:fldCharType="begin"/>
      </w:r>
      <w:r>
        <w:rPr>
          <w:rFonts w:ascii="仿宋" w:hAnsi="仿宋" w:eastAsia="仿宋"/>
          <w:highlight w:val="none"/>
        </w:rPr>
        <w:instrText xml:space="preserve"> PAGEREF _Toc73112423 \h </w:instrText>
      </w:r>
      <w:r>
        <w:rPr>
          <w:rFonts w:ascii="仿宋" w:hAnsi="仿宋" w:eastAsia="仿宋"/>
          <w:highlight w:val="none"/>
        </w:rPr>
        <w:fldChar w:fldCharType="separate"/>
      </w:r>
      <w:r>
        <w:rPr>
          <w:rFonts w:ascii="仿宋" w:hAnsi="仿宋" w:eastAsia="仿宋"/>
          <w:highlight w:val="none"/>
        </w:rPr>
        <w:t>32</w:t>
      </w:r>
      <w:r>
        <w:rPr>
          <w:rFonts w:ascii="仿宋" w:hAnsi="仿宋" w:eastAsia="仿宋"/>
          <w:highlight w:val="none"/>
        </w:rPr>
        <w:fldChar w:fldCharType="end"/>
      </w:r>
      <w:r>
        <w:rPr>
          <w:rFonts w:ascii="仿宋" w:hAnsi="仿宋" w:eastAsia="仿宋"/>
          <w:highlight w:val="none"/>
        </w:rPr>
        <w:fldChar w:fldCharType="end"/>
      </w:r>
    </w:p>
    <w:p>
      <w:pPr>
        <w:pStyle w:val="35"/>
        <w:tabs>
          <w:tab w:val="right" w:leader="dot" w:pos="8302"/>
        </w:tabs>
        <w:spacing w:line="360" w:lineRule="auto"/>
        <w:ind w:left="480"/>
        <w:rPr>
          <w:rFonts w:ascii="仿宋" w:hAnsi="仿宋" w:eastAsia="仿宋"/>
          <w:highlight w:val="none"/>
        </w:rPr>
      </w:pPr>
      <w:r>
        <w:rPr>
          <w:highlight w:val="none"/>
        </w:rPr>
        <w:fldChar w:fldCharType="begin"/>
      </w:r>
      <w:r>
        <w:rPr>
          <w:highlight w:val="none"/>
        </w:rPr>
        <w:instrText xml:space="preserve"> HYPERLINK \l "_Toc73112424" </w:instrText>
      </w:r>
      <w:r>
        <w:rPr>
          <w:highlight w:val="none"/>
        </w:rPr>
        <w:fldChar w:fldCharType="separate"/>
      </w:r>
      <w:r>
        <w:rPr>
          <w:rStyle w:val="50"/>
          <w:rFonts w:ascii="仿宋" w:hAnsi="仿宋" w:eastAsia="仿宋" w:cs="仿宋"/>
          <w:color w:val="auto"/>
          <w:highlight w:val="none"/>
        </w:rPr>
        <w:t>4终验收基本要求</w:t>
      </w:r>
      <w:r>
        <w:rPr>
          <w:rFonts w:ascii="仿宋" w:hAnsi="仿宋" w:eastAsia="仿宋"/>
          <w:highlight w:val="none"/>
        </w:rPr>
        <w:tab/>
      </w:r>
      <w:r>
        <w:rPr>
          <w:rFonts w:ascii="仿宋" w:hAnsi="仿宋" w:eastAsia="仿宋"/>
          <w:highlight w:val="none"/>
        </w:rPr>
        <w:fldChar w:fldCharType="begin"/>
      </w:r>
      <w:r>
        <w:rPr>
          <w:rFonts w:ascii="仿宋" w:hAnsi="仿宋" w:eastAsia="仿宋"/>
          <w:highlight w:val="none"/>
        </w:rPr>
        <w:instrText xml:space="preserve"> PAGEREF _Toc73112424 \h </w:instrText>
      </w:r>
      <w:r>
        <w:rPr>
          <w:rFonts w:ascii="仿宋" w:hAnsi="仿宋" w:eastAsia="仿宋"/>
          <w:highlight w:val="none"/>
        </w:rPr>
        <w:fldChar w:fldCharType="separate"/>
      </w:r>
      <w:r>
        <w:rPr>
          <w:rFonts w:ascii="仿宋" w:hAnsi="仿宋" w:eastAsia="仿宋"/>
          <w:highlight w:val="none"/>
        </w:rPr>
        <w:t>34</w:t>
      </w:r>
      <w:r>
        <w:rPr>
          <w:rFonts w:ascii="仿宋" w:hAnsi="仿宋" w:eastAsia="仿宋"/>
          <w:highlight w:val="none"/>
        </w:rPr>
        <w:fldChar w:fldCharType="end"/>
      </w:r>
      <w:r>
        <w:rPr>
          <w:rFonts w:ascii="仿宋" w:hAnsi="仿宋" w:eastAsia="仿宋"/>
          <w:highlight w:val="none"/>
        </w:rPr>
        <w:fldChar w:fldCharType="end"/>
      </w:r>
    </w:p>
    <w:p>
      <w:pPr>
        <w:pStyle w:val="30"/>
        <w:tabs>
          <w:tab w:val="right" w:leader="dot" w:pos="8302"/>
        </w:tabs>
        <w:spacing w:line="360" w:lineRule="auto"/>
        <w:rPr>
          <w:rFonts w:ascii="仿宋" w:hAnsi="仿宋" w:eastAsia="仿宋"/>
          <w:highlight w:val="none"/>
        </w:rPr>
      </w:pPr>
      <w:r>
        <w:rPr>
          <w:highlight w:val="none"/>
        </w:rPr>
        <w:fldChar w:fldCharType="begin"/>
      </w:r>
      <w:r>
        <w:rPr>
          <w:highlight w:val="none"/>
        </w:rPr>
        <w:instrText xml:space="preserve"> HYPERLINK \l "_Toc73112425" </w:instrText>
      </w:r>
      <w:r>
        <w:rPr>
          <w:highlight w:val="none"/>
        </w:rPr>
        <w:fldChar w:fldCharType="separate"/>
      </w:r>
      <w:r>
        <w:rPr>
          <w:rStyle w:val="50"/>
          <w:rFonts w:ascii="仿宋" w:hAnsi="仿宋" w:eastAsia="仿宋" w:cs="仿宋"/>
          <w:color w:val="auto"/>
          <w:highlight w:val="none"/>
        </w:rPr>
        <w:t>第六章投标技术文件一般要求</w:t>
      </w:r>
      <w:r>
        <w:rPr>
          <w:rFonts w:ascii="仿宋" w:hAnsi="仿宋" w:eastAsia="仿宋"/>
          <w:highlight w:val="none"/>
        </w:rPr>
        <w:tab/>
      </w:r>
      <w:r>
        <w:rPr>
          <w:rFonts w:ascii="仿宋" w:hAnsi="仿宋" w:eastAsia="仿宋"/>
          <w:highlight w:val="none"/>
        </w:rPr>
        <w:fldChar w:fldCharType="begin"/>
      </w:r>
      <w:r>
        <w:rPr>
          <w:rFonts w:ascii="仿宋" w:hAnsi="仿宋" w:eastAsia="仿宋"/>
          <w:highlight w:val="none"/>
        </w:rPr>
        <w:instrText xml:space="preserve"> PAGEREF _Toc73112425 \h </w:instrText>
      </w:r>
      <w:r>
        <w:rPr>
          <w:rFonts w:ascii="仿宋" w:hAnsi="仿宋" w:eastAsia="仿宋"/>
          <w:highlight w:val="none"/>
        </w:rPr>
        <w:fldChar w:fldCharType="separate"/>
      </w:r>
      <w:r>
        <w:rPr>
          <w:rFonts w:ascii="仿宋" w:hAnsi="仿宋" w:eastAsia="仿宋"/>
          <w:highlight w:val="none"/>
        </w:rPr>
        <w:t>34</w:t>
      </w:r>
      <w:r>
        <w:rPr>
          <w:rFonts w:ascii="仿宋" w:hAnsi="仿宋" w:eastAsia="仿宋"/>
          <w:highlight w:val="none"/>
        </w:rPr>
        <w:fldChar w:fldCharType="end"/>
      </w:r>
      <w:r>
        <w:rPr>
          <w:rFonts w:ascii="仿宋" w:hAnsi="仿宋" w:eastAsia="仿宋"/>
          <w:highlight w:val="none"/>
        </w:rPr>
        <w:fldChar w:fldCharType="end"/>
      </w:r>
    </w:p>
    <w:p>
      <w:pPr>
        <w:pStyle w:val="30"/>
        <w:tabs>
          <w:tab w:val="right" w:leader="dot" w:pos="8302"/>
        </w:tabs>
        <w:spacing w:line="360" w:lineRule="auto"/>
        <w:rPr>
          <w:rFonts w:ascii="仿宋" w:hAnsi="仿宋" w:eastAsia="仿宋"/>
          <w:highlight w:val="none"/>
        </w:rPr>
      </w:pPr>
      <w:r>
        <w:rPr>
          <w:highlight w:val="none"/>
        </w:rPr>
        <w:fldChar w:fldCharType="begin"/>
      </w:r>
      <w:r>
        <w:rPr>
          <w:highlight w:val="none"/>
        </w:rPr>
        <w:instrText xml:space="preserve"> HYPERLINK \l "_Toc73112426" </w:instrText>
      </w:r>
      <w:r>
        <w:rPr>
          <w:highlight w:val="none"/>
        </w:rPr>
        <w:fldChar w:fldCharType="separate"/>
      </w:r>
      <w:r>
        <w:rPr>
          <w:rStyle w:val="50"/>
          <w:rFonts w:ascii="仿宋" w:hAnsi="仿宋" w:eastAsia="仿宋" w:cs="仿宋"/>
          <w:color w:val="auto"/>
          <w:highlight w:val="none"/>
        </w:rPr>
        <w:t>第七章其它要求</w:t>
      </w:r>
      <w:r>
        <w:rPr>
          <w:rFonts w:ascii="仿宋" w:hAnsi="仿宋" w:eastAsia="仿宋"/>
          <w:highlight w:val="none"/>
        </w:rPr>
        <w:tab/>
      </w:r>
      <w:r>
        <w:rPr>
          <w:rFonts w:ascii="仿宋" w:hAnsi="仿宋" w:eastAsia="仿宋"/>
          <w:highlight w:val="none"/>
        </w:rPr>
        <w:fldChar w:fldCharType="begin"/>
      </w:r>
      <w:r>
        <w:rPr>
          <w:rFonts w:ascii="仿宋" w:hAnsi="仿宋" w:eastAsia="仿宋"/>
          <w:highlight w:val="none"/>
        </w:rPr>
        <w:instrText xml:space="preserve"> PAGEREF _Toc73112426 \h </w:instrText>
      </w:r>
      <w:r>
        <w:rPr>
          <w:rFonts w:ascii="仿宋" w:hAnsi="仿宋" w:eastAsia="仿宋"/>
          <w:highlight w:val="none"/>
        </w:rPr>
        <w:fldChar w:fldCharType="separate"/>
      </w:r>
      <w:r>
        <w:rPr>
          <w:rFonts w:ascii="仿宋" w:hAnsi="仿宋" w:eastAsia="仿宋"/>
          <w:highlight w:val="none"/>
        </w:rPr>
        <w:t>35</w:t>
      </w:r>
      <w:r>
        <w:rPr>
          <w:rFonts w:ascii="仿宋" w:hAnsi="仿宋" w:eastAsia="仿宋"/>
          <w:highlight w:val="none"/>
        </w:rPr>
        <w:fldChar w:fldCharType="end"/>
      </w:r>
      <w:r>
        <w:rPr>
          <w:rFonts w:ascii="仿宋" w:hAnsi="仿宋" w:eastAsia="仿宋"/>
          <w:highlight w:val="none"/>
        </w:rPr>
        <w:fldChar w:fldCharType="end"/>
      </w:r>
    </w:p>
    <w:p>
      <w:pPr>
        <w:spacing w:line="360" w:lineRule="auto"/>
        <w:rPr>
          <w:b/>
          <w:bCs/>
          <w:highlight w:val="none"/>
        </w:rPr>
      </w:pPr>
      <w:r>
        <w:rPr>
          <w:rFonts w:ascii="仿宋" w:hAnsi="仿宋" w:eastAsia="仿宋"/>
          <w:highlight w:val="none"/>
          <w:lang w:val="zh-CN"/>
        </w:rPr>
        <w:fldChar w:fldCharType="end"/>
      </w:r>
    </w:p>
    <w:p>
      <w:pPr>
        <w:bidi w:val="0"/>
      </w:pPr>
    </w:p>
    <w:p>
      <w:pPr>
        <w:adjustRightInd w:val="0"/>
        <w:snapToGrid w:val="0"/>
        <w:spacing w:before="163" w:beforeLines="50" w:after="163" w:afterLines="50" w:line="360" w:lineRule="auto"/>
        <w:jc w:val="center"/>
        <w:outlineLvl w:val="0"/>
        <w:rPr>
          <w:rFonts w:ascii="仿宋" w:hAnsi="仿宋" w:eastAsia="仿宋" w:cs="仿宋"/>
          <w:highlight w:val="none"/>
        </w:rPr>
        <w:sectPr>
          <w:footerReference r:id="rId12" w:type="default"/>
          <w:pgSz w:w="11906" w:h="16838"/>
          <w:pgMar w:top="1383" w:right="1797" w:bottom="1440" w:left="1797" w:header="1021" w:footer="680" w:gutter="0"/>
          <w:pgNumType w:start="1" w:chapStyle="1"/>
          <w:cols w:space="720" w:num="1"/>
          <w:docGrid w:type="lines" w:linePitch="326" w:charSpace="0"/>
        </w:sectPr>
      </w:pPr>
    </w:p>
    <w:p>
      <w:pPr>
        <w:adjustRightInd w:val="0"/>
        <w:snapToGrid w:val="0"/>
        <w:spacing w:before="163" w:beforeLines="50" w:after="163" w:afterLines="50" w:line="360" w:lineRule="auto"/>
        <w:jc w:val="center"/>
        <w:outlineLvl w:val="0"/>
        <w:rPr>
          <w:rFonts w:ascii="仿宋" w:hAnsi="仿宋" w:eastAsia="仿宋" w:cs="仿宋"/>
          <w:b/>
          <w:bCs/>
          <w:highlight w:val="none"/>
        </w:rPr>
      </w:pPr>
      <w:bookmarkStart w:id="89" w:name="_Toc19716"/>
      <w:bookmarkStart w:id="90" w:name="_Toc73112396"/>
      <w:bookmarkStart w:id="91" w:name="_Toc7975"/>
      <w:bookmarkStart w:id="92" w:name="_Toc2174"/>
      <w:bookmarkStart w:id="93" w:name="_Toc2042"/>
      <w:bookmarkStart w:id="94" w:name="_Toc19570"/>
      <w:r>
        <w:rPr>
          <w:rFonts w:hint="eastAsia" w:ascii="仿宋" w:hAnsi="仿宋" w:eastAsia="仿宋" w:cs="仿宋"/>
          <w:b/>
          <w:bCs/>
          <w:highlight w:val="none"/>
        </w:rPr>
        <w:t>第一章采购货物概况</w:t>
      </w:r>
      <w:bookmarkEnd w:id="89"/>
      <w:bookmarkEnd w:id="90"/>
      <w:bookmarkEnd w:id="91"/>
      <w:bookmarkEnd w:id="92"/>
      <w:bookmarkEnd w:id="93"/>
      <w:bookmarkEnd w:id="94"/>
      <w:bookmarkStart w:id="95" w:name="_Toc133783967"/>
    </w:p>
    <w:p>
      <w:pPr>
        <w:adjustRightInd w:val="0"/>
        <w:snapToGrid w:val="0"/>
        <w:spacing w:line="360" w:lineRule="auto"/>
        <w:jc w:val="center"/>
        <w:outlineLvl w:val="1"/>
        <w:rPr>
          <w:rFonts w:ascii="仿宋" w:hAnsi="仿宋" w:eastAsia="仿宋" w:cs="仿宋"/>
          <w:b/>
          <w:bCs/>
          <w:highlight w:val="none"/>
        </w:rPr>
      </w:pPr>
      <w:bookmarkStart w:id="96" w:name="_Toc11763"/>
      <w:bookmarkStart w:id="97" w:name="_Toc11411"/>
      <w:bookmarkStart w:id="98" w:name="_Toc28361"/>
      <w:bookmarkStart w:id="99" w:name="_Toc29927"/>
      <w:bookmarkStart w:id="100" w:name="_Toc30808"/>
      <w:bookmarkStart w:id="101" w:name="_Toc6606"/>
      <w:bookmarkStart w:id="102" w:name="_Toc27214"/>
      <w:bookmarkStart w:id="103" w:name="_Toc5400"/>
      <w:bookmarkStart w:id="104" w:name="_Toc25011"/>
      <w:bookmarkStart w:id="105" w:name="_Toc30246"/>
      <w:bookmarkStart w:id="106" w:name="_Toc22942"/>
      <w:bookmarkStart w:id="107" w:name="_Toc16714"/>
      <w:bookmarkStart w:id="108" w:name="_Toc5609"/>
      <w:bookmarkStart w:id="109" w:name="_Toc24689"/>
      <w:bookmarkStart w:id="110" w:name="_Toc21892"/>
      <w:bookmarkStart w:id="111" w:name="_Toc2940"/>
      <w:bookmarkStart w:id="112" w:name="_Toc31000"/>
      <w:bookmarkStart w:id="113" w:name="_Toc19070"/>
      <w:bookmarkStart w:id="114" w:name="_Toc5172"/>
      <w:bookmarkStart w:id="115" w:name="_Toc864"/>
      <w:bookmarkStart w:id="116" w:name="_Toc22424"/>
      <w:bookmarkStart w:id="117" w:name="_Toc892"/>
      <w:bookmarkStart w:id="118" w:name="_Toc29605"/>
      <w:bookmarkStart w:id="119" w:name="_Toc5420"/>
      <w:bookmarkStart w:id="120" w:name="_Toc8362"/>
      <w:bookmarkStart w:id="121" w:name="_Toc73112397"/>
      <w:bookmarkStart w:id="122" w:name="_Toc5826"/>
      <w:bookmarkStart w:id="123" w:name="_Toc17474"/>
      <w:bookmarkStart w:id="124" w:name="_Toc5983"/>
      <w:bookmarkStart w:id="125" w:name="_Toc7159"/>
      <w:bookmarkStart w:id="126" w:name="_Toc7515"/>
      <w:bookmarkStart w:id="127" w:name="_Toc2152"/>
      <w:bookmarkStart w:id="128" w:name="_Toc10612"/>
      <w:bookmarkStart w:id="129" w:name="_Toc30245"/>
      <w:bookmarkStart w:id="130" w:name="_Toc21756"/>
      <w:bookmarkStart w:id="131" w:name="_Toc9983"/>
      <w:bookmarkStart w:id="132" w:name="_Toc6498"/>
      <w:bookmarkStart w:id="133" w:name="_Toc7333"/>
      <w:bookmarkStart w:id="134" w:name="_Toc4004"/>
      <w:bookmarkStart w:id="135" w:name="_Toc2996"/>
      <w:bookmarkStart w:id="136" w:name="_Toc6436"/>
      <w:bookmarkStart w:id="137" w:name="_Toc29157"/>
      <w:r>
        <w:rPr>
          <w:rFonts w:hint="eastAsia" w:ascii="仿宋" w:hAnsi="仿宋" w:eastAsia="仿宋" w:cs="仿宋"/>
          <w:b/>
          <w:bCs/>
          <w:highlight w:val="none"/>
        </w:rPr>
        <w:t>第一节使用环境</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pPr>
        <w:pStyle w:val="26"/>
        <w:tabs>
          <w:tab w:val="left" w:pos="0"/>
        </w:tabs>
        <w:snapToGrid w:val="0"/>
        <w:spacing w:line="360" w:lineRule="auto"/>
        <w:ind w:firstLine="420" w:firstLineChars="200"/>
        <w:rPr>
          <w:rFonts w:hint="default" w:ascii="仿宋" w:hAnsi="仿宋" w:eastAsia="仿宋" w:cs="仿宋"/>
          <w:highlight w:val="none"/>
          <w:lang w:val="en-US" w:eastAsia="zh-CN"/>
        </w:rPr>
      </w:pPr>
      <w:r>
        <w:rPr>
          <w:rFonts w:hint="eastAsia" w:ascii="仿宋" w:hAnsi="仿宋" w:eastAsia="仿宋" w:cs="仿宋"/>
          <w:highlight w:val="none"/>
        </w:rPr>
        <w:t>1项目名称：</w:t>
      </w:r>
      <w:r>
        <w:rPr>
          <w:rFonts w:hint="eastAsia" w:ascii="仿宋" w:hAnsi="仿宋" w:eastAsia="仿宋" w:cs="仿宋"/>
          <w:highlight w:val="none"/>
          <w:shd w:val="pct10" w:color="auto" w:fill="FFFFFF"/>
          <w:lang w:val="en-US" w:eastAsia="zh-CN"/>
        </w:rPr>
        <w:t>润滑脂注脂质量提升项目</w:t>
      </w:r>
    </w:p>
    <w:p>
      <w:pPr>
        <w:pStyle w:val="26"/>
        <w:snapToGrid w:val="0"/>
        <w:spacing w:line="360" w:lineRule="auto"/>
        <w:ind w:firstLine="420" w:firstLineChars="200"/>
        <w:rPr>
          <w:rFonts w:ascii="仿宋" w:hAnsi="仿宋" w:eastAsia="仿宋" w:cs="仿宋"/>
          <w:highlight w:val="none"/>
          <w:shd w:val="pct10" w:color="auto" w:fill="FFFFFF"/>
        </w:rPr>
      </w:pPr>
      <w:r>
        <w:rPr>
          <w:rFonts w:hint="eastAsia" w:ascii="仿宋" w:hAnsi="仿宋" w:eastAsia="仿宋" w:cs="仿宋"/>
          <w:highlight w:val="none"/>
        </w:rPr>
        <w:t>2建设地点：</w:t>
      </w:r>
      <w:r>
        <w:rPr>
          <w:rFonts w:hint="eastAsia" w:ascii="仿宋" w:hAnsi="仿宋" w:eastAsia="仿宋" w:cs="仿宋"/>
          <w:highlight w:val="none"/>
          <w:shd w:val="pct10" w:color="auto" w:fill="FFFFFF"/>
        </w:rPr>
        <w:t>重汽(济南)车桥有限公司</w:t>
      </w:r>
      <w:r>
        <w:rPr>
          <w:rFonts w:hint="eastAsia" w:ascii="仿宋" w:hAnsi="仿宋" w:eastAsia="仿宋" w:cs="仿宋"/>
          <w:highlight w:val="none"/>
        </w:rPr>
        <w:t>（工地）</w:t>
      </w:r>
    </w:p>
    <w:p>
      <w:pPr>
        <w:pStyle w:val="26"/>
        <w:snapToGrid w:val="0"/>
        <w:spacing w:line="360" w:lineRule="auto"/>
        <w:ind w:firstLine="420" w:firstLineChars="200"/>
        <w:rPr>
          <w:rFonts w:ascii="仿宋" w:hAnsi="仿宋" w:eastAsia="仿宋" w:cs="仿宋"/>
          <w:highlight w:val="none"/>
          <w:shd w:val="pct10" w:color="auto" w:fill="FFFFFF"/>
        </w:rPr>
      </w:pPr>
      <w:r>
        <w:rPr>
          <w:rFonts w:hint="eastAsia" w:ascii="仿宋" w:hAnsi="仿宋" w:eastAsia="仿宋" w:cs="仿宋"/>
          <w:highlight w:val="none"/>
        </w:rPr>
        <w:t>3使用地点：</w:t>
      </w:r>
      <w:r>
        <w:rPr>
          <w:rFonts w:hint="eastAsia" w:ascii="仿宋" w:hAnsi="仿宋" w:eastAsia="仿宋" w:cs="仿宋"/>
          <w:highlight w:val="none"/>
          <w:shd w:val="pct10" w:color="auto" w:fill="FFFFFF"/>
        </w:rPr>
        <w:t>车桥公司</w:t>
      </w:r>
      <w:r>
        <w:rPr>
          <w:rFonts w:hint="eastAsia" w:ascii="仿宋" w:hAnsi="仿宋" w:eastAsia="仿宋" w:cs="仿宋"/>
          <w:highlight w:val="none"/>
          <w:shd w:val="pct10" w:color="auto" w:fill="FFFFFF"/>
          <w:lang w:val="en-US" w:eastAsia="zh-CN"/>
        </w:rPr>
        <w:t>前桥部、驱动桥部、主减部</w:t>
      </w:r>
      <w:r>
        <w:rPr>
          <w:rFonts w:hint="eastAsia" w:ascii="仿宋" w:hAnsi="仿宋" w:eastAsia="仿宋" w:cs="仿宋"/>
          <w:highlight w:val="none"/>
        </w:rPr>
        <w:t>（室内）</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4工作制度：全年工作</w:t>
      </w:r>
      <w:r>
        <w:rPr>
          <w:rFonts w:hint="eastAsia" w:ascii="仿宋" w:hAnsi="仿宋" w:eastAsia="仿宋" w:cs="仿宋"/>
          <w:highlight w:val="none"/>
          <w:shd w:val="pct10" w:color="auto" w:fill="FFFFFF"/>
        </w:rPr>
        <w:t>300</w:t>
      </w:r>
      <w:r>
        <w:rPr>
          <w:rFonts w:hint="eastAsia" w:ascii="仿宋" w:hAnsi="仿宋" w:eastAsia="仿宋" w:cs="仿宋"/>
          <w:highlight w:val="none"/>
        </w:rPr>
        <w:t>天、</w:t>
      </w:r>
      <w:r>
        <w:rPr>
          <w:rFonts w:hint="eastAsia" w:ascii="仿宋" w:hAnsi="仿宋" w:eastAsia="仿宋" w:cs="仿宋"/>
          <w:highlight w:val="none"/>
          <w:shd w:val="pct10" w:color="auto" w:fill="FFFFFF"/>
          <w:lang w:val="en-US" w:eastAsia="zh-CN"/>
        </w:rPr>
        <w:t>2</w:t>
      </w:r>
      <w:r>
        <w:rPr>
          <w:rFonts w:hint="eastAsia" w:ascii="仿宋" w:hAnsi="仿宋" w:eastAsia="仿宋" w:cs="仿宋"/>
          <w:highlight w:val="none"/>
        </w:rPr>
        <w:t xml:space="preserve">班制、设备年时基数 </w:t>
      </w:r>
      <w:r>
        <w:rPr>
          <w:rFonts w:hint="eastAsia" w:ascii="仿宋" w:hAnsi="仿宋" w:eastAsia="仿宋" w:cs="仿宋"/>
          <w:highlight w:val="none"/>
          <w:shd w:val="pct10" w:color="auto" w:fill="FFFFFF"/>
        </w:rPr>
        <w:t>7200</w:t>
      </w:r>
      <w:r>
        <w:rPr>
          <w:rFonts w:hint="eastAsia" w:ascii="仿宋" w:hAnsi="仿宋" w:eastAsia="仿宋" w:cs="仿宋"/>
          <w:highlight w:val="none"/>
        </w:rPr>
        <w:t xml:space="preserve"> 小时</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5使用地点区域自然环境：</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5.1海拨高度：1000m以下。</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5.2环境温度：室外极端最低温度-19.7℃、极端最高温度42℃，昼夜最大温差25℃；室内温度5～40℃。</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5.3相对湿度：年平均59%，最大95%、最小15%。</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5.4 地震裂度：七度。</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6能源环境：</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6.1电力：中国制式，供电电压</w:t>
      </w:r>
      <w:r>
        <w:rPr>
          <w:rFonts w:hint="eastAsia" w:ascii="仿宋" w:hAnsi="仿宋" w:eastAsia="仿宋" w:cs="仿宋"/>
          <w:highlight w:val="none"/>
          <w:u w:val="single"/>
          <w:shd w:val="pct10" w:color="auto" w:fill="FFFFFF"/>
        </w:rPr>
        <w:t>380V±15%/220V±15%</w:t>
      </w:r>
      <w:r>
        <w:rPr>
          <w:rFonts w:hint="eastAsia" w:ascii="仿宋" w:hAnsi="仿宋" w:eastAsia="仿宋" w:cs="仿宋"/>
          <w:highlight w:val="none"/>
        </w:rPr>
        <w:t>，供电频率50Hz±2%。</w:t>
      </w:r>
    </w:p>
    <w:p>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 xml:space="preserve">6.2 </w:t>
      </w:r>
      <w:r>
        <w:rPr>
          <w:rFonts w:hint="eastAsia" w:ascii="仿宋" w:hAnsi="仿宋" w:eastAsia="仿宋" w:cs="仿宋"/>
          <w:kern w:val="0"/>
          <w:highlight w:val="none"/>
        </w:rPr>
        <w:t>给水：市政自来水</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6.3压缩空气：自备空压机自产压缩空气，压力范围</w:t>
      </w:r>
      <w:r>
        <w:rPr>
          <w:rFonts w:hint="eastAsia" w:ascii="仿宋" w:hAnsi="仿宋" w:eastAsia="仿宋" w:cs="仿宋"/>
          <w:highlight w:val="none"/>
          <w:u w:val="single"/>
          <w:shd w:val="pct10" w:color="auto" w:fill="FFFFFF"/>
        </w:rPr>
        <w:t>0.5 ±0.1MPa</w:t>
      </w:r>
      <w:r>
        <w:rPr>
          <w:rFonts w:hint="eastAsia" w:ascii="仿宋" w:hAnsi="仿宋" w:eastAsia="仿宋" w:cs="仿宋"/>
          <w:highlight w:val="none"/>
        </w:rPr>
        <w:t>。</w:t>
      </w:r>
      <w:bookmarkStart w:id="138" w:name="_Toc11744"/>
      <w:bookmarkStart w:id="139" w:name="_Toc6636"/>
      <w:bookmarkStart w:id="140" w:name="_Toc27857"/>
      <w:bookmarkStart w:id="141" w:name="_Toc9784"/>
      <w:bookmarkStart w:id="142" w:name="_Toc9561"/>
      <w:bookmarkStart w:id="143" w:name="_Toc12401"/>
      <w:bookmarkStart w:id="144" w:name="_Toc17605"/>
      <w:bookmarkStart w:id="145" w:name="_Toc8728"/>
      <w:bookmarkStart w:id="146" w:name="_Toc5374"/>
      <w:bookmarkStart w:id="147" w:name="_Toc4175"/>
      <w:bookmarkStart w:id="148" w:name="_Toc29333"/>
      <w:bookmarkStart w:id="149" w:name="_Toc8740"/>
      <w:bookmarkStart w:id="150" w:name="_Toc27449"/>
      <w:bookmarkStart w:id="151" w:name="_Toc13324"/>
      <w:bookmarkStart w:id="152" w:name="_Toc23473"/>
      <w:bookmarkStart w:id="153" w:name="_Toc17682"/>
      <w:bookmarkStart w:id="154" w:name="_Toc31241"/>
      <w:bookmarkStart w:id="155" w:name="_Toc15369"/>
      <w:bookmarkStart w:id="156" w:name="_Toc17543"/>
      <w:bookmarkStart w:id="157" w:name="_Toc24481"/>
      <w:bookmarkStart w:id="158" w:name="_Toc30431"/>
      <w:bookmarkStart w:id="159" w:name="_Toc29019"/>
      <w:bookmarkStart w:id="160" w:name="_Toc5421"/>
      <w:bookmarkStart w:id="161" w:name="_Toc5282"/>
      <w:bookmarkStart w:id="162" w:name="_Toc22983"/>
      <w:bookmarkStart w:id="163" w:name="_Toc133783968"/>
      <w:bookmarkStart w:id="164" w:name="_Toc429"/>
      <w:bookmarkStart w:id="165" w:name="_Toc24563"/>
      <w:bookmarkStart w:id="166" w:name="_Toc9671"/>
      <w:bookmarkStart w:id="167" w:name="_Toc21616"/>
      <w:bookmarkStart w:id="168" w:name="_Toc18569"/>
      <w:bookmarkStart w:id="169" w:name="_Toc9143"/>
      <w:bookmarkStart w:id="170" w:name="_Toc6433"/>
    </w:p>
    <w:p>
      <w:pPr>
        <w:adjustRightInd w:val="0"/>
        <w:snapToGrid w:val="0"/>
        <w:spacing w:line="360" w:lineRule="auto"/>
        <w:jc w:val="center"/>
        <w:outlineLvl w:val="1"/>
        <w:rPr>
          <w:rFonts w:ascii="仿宋" w:hAnsi="仿宋" w:eastAsia="仿宋" w:cs="仿宋"/>
          <w:highlight w:val="none"/>
        </w:rPr>
      </w:pPr>
      <w:bookmarkStart w:id="171" w:name="_Toc21302"/>
      <w:bookmarkStart w:id="172" w:name="_Toc1523"/>
      <w:bookmarkStart w:id="173" w:name="_Toc24559"/>
      <w:bookmarkStart w:id="174" w:name="_Toc18778"/>
      <w:bookmarkStart w:id="175" w:name="_Toc29190"/>
      <w:bookmarkStart w:id="176" w:name="_Toc8560"/>
      <w:bookmarkStart w:id="177" w:name="_Toc21957"/>
      <w:bookmarkStart w:id="178" w:name="_Toc1424"/>
      <w:bookmarkStart w:id="179" w:name="_Toc13544"/>
      <w:bookmarkStart w:id="180" w:name="_Toc73112398"/>
      <w:bookmarkStart w:id="181" w:name="_Toc18032"/>
      <w:bookmarkStart w:id="182" w:name="_Toc32599"/>
      <w:bookmarkStart w:id="183" w:name="_Toc10013"/>
      <w:bookmarkStart w:id="184" w:name="_Toc17750"/>
      <w:r>
        <w:rPr>
          <w:rFonts w:hint="eastAsia" w:ascii="仿宋" w:hAnsi="仿宋" w:eastAsia="仿宋" w:cs="仿宋"/>
          <w:b/>
          <w:bCs/>
          <w:highlight w:val="none"/>
        </w:rPr>
        <w:t>第二节采购货物概况</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1货物（或生产线）：</w:t>
      </w:r>
      <w:r>
        <w:rPr>
          <w:rFonts w:hint="eastAsia" w:ascii="仿宋" w:hAnsi="仿宋" w:eastAsia="仿宋" w:cs="仿宋"/>
          <w:highlight w:val="none"/>
          <w:u w:val="single"/>
          <w:lang w:val="en-US" w:eastAsia="zh-CN"/>
        </w:rPr>
        <w:t xml:space="preserve"> 定量注脂机 </w:t>
      </w:r>
      <w:r>
        <w:rPr>
          <w:rFonts w:hint="eastAsia" w:ascii="仿宋" w:hAnsi="仿宋" w:eastAsia="仿宋" w:cs="仿宋"/>
          <w:highlight w:val="none"/>
        </w:rPr>
        <w:t>（详见下表）</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2货物（或生产线）数量：</w:t>
      </w:r>
      <w:r>
        <w:rPr>
          <w:rFonts w:hint="eastAsia" w:ascii="仿宋" w:hAnsi="仿宋" w:eastAsia="仿宋" w:cs="仿宋"/>
          <w:highlight w:val="none"/>
          <w:u w:val="single"/>
          <w:lang w:val="en-US" w:eastAsia="zh-CN"/>
        </w:rPr>
        <w:t>30台</w:t>
      </w:r>
      <w:r>
        <w:rPr>
          <w:rFonts w:hint="eastAsia" w:ascii="仿宋" w:hAnsi="仿宋" w:eastAsia="仿宋" w:cs="仿宋"/>
          <w:highlight w:val="none"/>
        </w:rPr>
        <w:t>（详见下表）</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采购货物（或生产线）主要构成一览表</w:t>
      </w:r>
    </w:p>
    <w:tbl>
      <w:tblPr>
        <w:tblStyle w:val="42"/>
        <w:tblW w:w="80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2671"/>
        <w:gridCol w:w="732"/>
        <w:gridCol w:w="564"/>
        <w:gridCol w:w="435"/>
        <w:gridCol w:w="2285"/>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仿宋" w:hAnsi="仿宋" w:eastAsia="仿宋" w:cs="仿宋"/>
                <w:sz w:val="21"/>
                <w:szCs w:val="21"/>
                <w:highlight w:val="none"/>
              </w:rPr>
            </w:pPr>
            <w:r>
              <w:rPr>
                <w:rFonts w:hint="eastAsia" w:ascii="仿宋" w:hAnsi="仿宋" w:eastAsia="仿宋" w:cs="仿宋"/>
                <w:kern w:val="2"/>
                <w:sz w:val="21"/>
                <w:szCs w:val="21"/>
                <w:highlight w:val="none"/>
              </w:rPr>
              <w:t>序号</w:t>
            </w:r>
          </w:p>
        </w:tc>
        <w:tc>
          <w:tcPr>
            <w:tcW w:w="2671"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仿宋" w:hAnsi="仿宋" w:eastAsia="仿宋" w:cs="仿宋"/>
                <w:kern w:val="2"/>
                <w:sz w:val="21"/>
                <w:szCs w:val="21"/>
                <w:highlight w:val="none"/>
              </w:rPr>
            </w:pPr>
            <w:r>
              <w:rPr>
                <w:rFonts w:hint="eastAsia" w:ascii="仿宋" w:hAnsi="仿宋" w:eastAsia="仿宋" w:cs="仿宋"/>
                <w:kern w:val="2"/>
                <w:sz w:val="21"/>
                <w:szCs w:val="21"/>
                <w:highlight w:val="none"/>
              </w:rPr>
              <w:t>货物名称</w:t>
            </w:r>
          </w:p>
        </w:tc>
        <w:tc>
          <w:tcPr>
            <w:tcW w:w="732"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仿宋" w:hAnsi="仿宋" w:eastAsia="仿宋" w:cs="仿宋"/>
                <w:kern w:val="2"/>
                <w:sz w:val="21"/>
                <w:szCs w:val="21"/>
                <w:highlight w:val="none"/>
              </w:rPr>
            </w:pPr>
            <w:r>
              <w:rPr>
                <w:rFonts w:hint="eastAsia" w:ascii="仿宋" w:hAnsi="仿宋" w:eastAsia="仿宋" w:cs="仿宋"/>
                <w:kern w:val="2"/>
                <w:sz w:val="21"/>
                <w:szCs w:val="21"/>
                <w:highlight w:val="none"/>
              </w:rPr>
              <w:t>型号规格</w:t>
            </w:r>
          </w:p>
        </w:tc>
        <w:tc>
          <w:tcPr>
            <w:tcW w:w="564"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仿宋" w:hAnsi="仿宋" w:eastAsia="仿宋" w:cs="仿宋"/>
                <w:kern w:val="2"/>
                <w:sz w:val="21"/>
                <w:szCs w:val="21"/>
                <w:highlight w:val="none"/>
              </w:rPr>
            </w:pPr>
            <w:r>
              <w:rPr>
                <w:rFonts w:hint="eastAsia" w:ascii="仿宋" w:hAnsi="仿宋" w:eastAsia="仿宋" w:cs="仿宋"/>
                <w:kern w:val="2"/>
                <w:sz w:val="21"/>
                <w:szCs w:val="21"/>
                <w:highlight w:val="none"/>
              </w:rPr>
              <w:t>单位</w:t>
            </w:r>
          </w:p>
        </w:tc>
        <w:tc>
          <w:tcPr>
            <w:tcW w:w="435"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仿宋" w:hAnsi="仿宋" w:eastAsia="仿宋" w:cs="仿宋"/>
                <w:kern w:val="2"/>
                <w:sz w:val="21"/>
                <w:szCs w:val="21"/>
                <w:highlight w:val="none"/>
              </w:rPr>
            </w:pPr>
            <w:r>
              <w:rPr>
                <w:rFonts w:hint="eastAsia" w:ascii="仿宋" w:hAnsi="仿宋" w:eastAsia="仿宋" w:cs="仿宋"/>
                <w:kern w:val="2"/>
                <w:sz w:val="21"/>
                <w:szCs w:val="21"/>
                <w:highlight w:val="none"/>
              </w:rPr>
              <w:t>数量</w:t>
            </w:r>
          </w:p>
        </w:tc>
        <w:tc>
          <w:tcPr>
            <w:tcW w:w="2285"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rPr>
              <w:t>安装地点</w:t>
            </w:r>
          </w:p>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仿宋" w:hAnsi="仿宋" w:eastAsia="仿宋" w:cs="仿宋"/>
                <w:kern w:val="2"/>
                <w:sz w:val="21"/>
                <w:szCs w:val="21"/>
                <w:highlight w:val="none"/>
              </w:rPr>
            </w:pPr>
            <w:r>
              <w:rPr>
                <w:rFonts w:hint="eastAsia" w:ascii="仿宋" w:hAnsi="仿宋" w:eastAsia="仿宋" w:cs="仿宋"/>
                <w:kern w:val="2"/>
                <w:sz w:val="21"/>
                <w:szCs w:val="21"/>
                <w:highlight w:val="none"/>
              </w:rPr>
              <w:t>/服务对象</w:t>
            </w:r>
          </w:p>
        </w:tc>
        <w:tc>
          <w:tcPr>
            <w:tcW w:w="774"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仿宋" w:hAnsi="仿宋" w:eastAsia="仿宋" w:cs="仿宋"/>
                <w:kern w:val="2"/>
                <w:sz w:val="21"/>
                <w:szCs w:val="21"/>
                <w:highlight w:val="none"/>
              </w:rPr>
            </w:pPr>
            <w:r>
              <w:rPr>
                <w:rFonts w:hint="eastAsia" w:ascii="仿宋" w:hAnsi="仿宋" w:eastAsia="仿宋" w:cs="仿宋"/>
                <w:kern w:val="2"/>
                <w:sz w:val="21"/>
                <w:szCs w:val="21"/>
                <w:highlight w:val="none"/>
              </w:rPr>
              <w:t>供货方式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88"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仿宋" w:hAnsi="仿宋" w:eastAsia="仿宋" w:cs="仿宋"/>
                <w:sz w:val="21"/>
                <w:szCs w:val="21"/>
                <w:highlight w:val="none"/>
              </w:rPr>
            </w:pPr>
            <w:r>
              <w:rPr>
                <w:rFonts w:hint="eastAsia" w:ascii="仿宋" w:hAnsi="仿宋" w:eastAsia="仿宋" w:cs="仿宋"/>
                <w:kern w:val="2"/>
                <w:sz w:val="21"/>
                <w:szCs w:val="21"/>
                <w:highlight w:val="none"/>
              </w:rPr>
              <w:t>1</w:t>
            </w:r>
          </w:p>
        </w:tc>
        <w:tc>
          <w:tcPr>
            <w:tcW w:w="2671"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前轮毂总成定量注脂机</w:t>
            </w:r>
          </w:p>
        </w:tc>
        <w:tc>
          <w:tcPr>
            <w:tcW w:w="732"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仿宋" w:hAnsi="仿宋" w:eastAsia="仿宋" w:cs="仿宋"/>
                <w:kern w:val="2"/>
                <w:sz w:val="21"/>
                <w:szCs w:val="21"/>
                <w:highlight w:val="none"/>
              </w:rPr>
            </w:pPr>
          </w:p>
        </w:tc>
        <w:tc>
          <w:tcPr>
            <w:tcW w:w="564"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台</w:t>
            </w:r>
          </w:p>
        </w:tc>
        <w:tc>
          <w:tcPr>
            <w:tcW w:w="435"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4</w:t>
            </w:r>
          </w:p>
        </w:tc>
        <w:tc>
          <w:tcPr>
            <w:tcW w:w="2285"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车桥公司前桥部</w:t>
            </w:r>
          </w:p>
        </w:tc>
        <w:tc>
          <w:tcPr>
            <w:tcW w:w="774" w:type="dxa"/>
            <w:vMerge w:val="restart"/>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交钥匙</w:t>
            </w:r>
          </w:p>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kern w:val="2"/>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88"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2</w:t>
            </w:r>
          </w:p>
        </w:tc>
        <w:tc>
          <w:tcPr>
            <w:tcW w:w="2671"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前桥轴承加热定量注脂机</w:t>
            </w:r>
          </w:p>
        </w:tc>
        <w:tc>
          <w:tcPr>
            <w:tcW w:w="732"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仿宋" w:hAnsi="仿宋" w:eastAsia="仿宋" w:cs="仿宋"/>
                <w:kern w:val="2"/>
                <w:sz w:val="21"/>
                <w:szCs w:val="21"/>
                <w:highlight w:val="none"/>
              </w:rPr>
            </w:pPr>
          </w:p>
        </w:tc>
        <w:tc>
          <w:tcPr>
            <w:tcW w:w="564"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台</w:t>
            </w:r>
          </w:p>
        </w:tc>
        <w:tc>
          <w:tcPr>
            <w:tcW w:w="435"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4</w:t>
            </w:r>
          </w:p>
        </w:tc>
        <w:tc>
          <w:tcPr>
            <w:tcW w:w="2285"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车桥公司前桥部</w:t>
            </w:r>
          </w:p>
        </w:tc>
        <w:tc>
          <w:tcPr>
            <w:tcW w:w="774" w:type="dxa"/>
            <w:vMerge w:val="continue"/>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kern w:val="2"/>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88"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3</w:t>
            </w:r>
          </w:p>
        </w:tc>
        <w:tc>
          <w:tcPr>
            <w:tcW w:w="2671"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后轮毂总成定量注脂机</w:t>
            </w:r>
          </w:p>
        </w:tc>
        <w:tc>
          <w:tcPr>
            <w:tcW w:w="732"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仿宋" w:hAnsi="仿宋" w:eastAsia="仿宋" w:cs="仿宋"/>
                <w:kern w:val="2"/>
                <w:sz w:val="21"/>
                <w:szCs w:val="21"/>
                <w:highlight w:val="none"/>
              </w:rPr>
            </w:pPr>
          </w:p>
        </w:tc>
        <w:tc>
          <w:tcPr>
            <w:tcW w:w="564"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台</w:t>
            </w:r>
          </w:p>
        </w:tc>
        <w:tc>
          <w:tcPr>
            <w:tcW w:w="435"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4</w:t>
            </w:r>
          </w:p>
        </w:tc>
        <w:tc>
          <w:tcPr>
            <w:tcW w:w="2285"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车桥公司驱动桥部</w:t>
            </w:r>
          </w:p>
        </w:tc>
        <w:tc>
          <w:tcPr>
            <w:tcW w:w="774" w:type="dxa"/>
            <w:vMerge w:val="continue"/>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kern w:val="2"/>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88"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4</w:t>
            </w:r>
          </w:p>
        </w:tc>
        <w:tc>
          <w:tcPr>
            <w:tcW w:w="2671"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驱动桥轴承定量注脂机</w:t>
            </w:r>
          </w:p>
        </w:tc>
        <w:tc>
          <w:tcPr>
            <w:tcW w:w="732"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仿宋" w:hAnsi="仿宋" w:eastAsia="仿宋" w:cs="仿宋"/>
                <w:kern w:val="2"/>
                <w:sz w:val="21"/>
                <w:szCs w:val="21"/>
                <w:highlight w:val="none"/>
              </w:rPr>
            </w:pPr>
          </w:p>
        </w:tc>
        <w:tc>
          <w:tcPr>
            <w:tcW w:w="564"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台</w:t>
            </w:r>
          </w:p>
        </w:tc>
        <w:tc>
          <w:tcPr>
            <w:tcW w:w="435"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1</w:t>
            </w:r>
          </w:p>
        </w:tc>
        <w:tc>
          <w:tcPr>
            <w:tcW w:w="2285"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车桥公司驱动桥部</w:t>
            </w:r>
          </w:p>
        </w:tc>
        <w:tc>
          <w:tcPr>
            <w:tcW w:w="774" w:type="dxa"/>
            <w:vMerge w:val="continue"/>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kern w:val="2"/>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88"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5</w:t>
            </w:r>
          </w:p>
        </w:tc>
        <w:tc>
          <w:tcPr>
            <w:tcW w:w="2671"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驱动桥半轴定量注脂机</w:t>
            </w:r>
          </w:p>
        </w:tc>
        <w:tc>
          <w:tcPr>
            <w:tcW w:w="732"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仿宋" w:hAnsi="仿宋" w:eastAsia="仿宋" w:cs="仿宋"/>
                <w:kern w:val="2"/>
                <w:sz w:val="21"/>
                <w:szCs w:val="21"/>
                <w:highlight w:val="none"/>
              </w:rPr>
            </w:pPr>
          </w:p>
        </w:tc>
        <w:tc>
          <w:tcPr>
            <w:tcW w:w="564"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台</w:t>
            </w:r>
          </w:p>
        </w:tc>
        <w:tc>
          <w:tcPr>
            <w:tcW w:w="435"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4</w:t>
            </w:r>
          </w:p>
        </w:tc>
        <w:tc>
          <w:tcPr>
            <w:tcW w:w="2285"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车桥公司驱动桥部</w:t>
            </w:r>
          </w:p>
        </w:tc>
        <w:tc>
          <w:tcPr>
            <w:tcW w:w="774" w:type="dxa"/>
            <w:vMerge w:val="continue"/>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kern w:val="2"/>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88"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6</w:t>
            </w:r>
          </w:p>
        </w:tc>
        <w:tc>
          <w:tcPr>
            <w:tcW w:w="2671"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驱动桥凸轮轴定量注脂机</w:t>
            </w:r>
          </w:p>
        </w:tc>
        <w:tc>
          <w:tcPr>
            <w:tcW w:w="732"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仿宋" w:hAnsi="仿宋" w:eastAsia="仿宋" w:cs="仿宋"/>
                <w:kern w:val="2"/>
                <w:sz w:val="21"/>
                <w:szCs w:val="21"/>
                <w:highlight w:val="none"/>
              </w:rPr>
            </w:pPr>
          </w:p>
        </w:tc>
        <w:tc>
          <w:tcPr>
            <w:tcW w:w="564"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台</w:t>
            </w:r>
          </w:p>
        </w:tc>
        <w:tc>
          <w:tcPr>
            <w:tcW w:w="435"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1</w:t>
            </w:r>
          </w:p>
        </w:tc>
        <w:tc>
          <w:tcPr>
            <w:tcW w:w="2285"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车桥公司驱动桥部</w:t>
            </w:r>
          </w:p>
        </w:tc>
        <w:tc>
          <w:tcPr>
            <w:tcW w:w="774" w:type="dxa"/>
            <w:vMerge w:val="continue"/>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kern w:val="2"/>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88"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7</w:t>
            </w:r>
          </w:p>
        </w:tc>
        <w:tc>
          <w:tcPr>
            <w:tcW w:w="2671"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拨叉轴定量注脂机</w:t>
            </w:r>
          </w:p>
        </w:tc>
        <w:tc>
          <w:tcPr>
            <w:tcW w:w="732"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仿宋" w:hAnsi="仿宋" w:eastAsia="仿宋" w:cs="仿宋"/>
                <w:kern w:val="2"/>
                <w:sz w:val="21"/>
                <w:szCs w:val="21"/>
                <w:highlight w:val="none"/>
              </w:rPr>
            </w:pPr>
          </w:p>
        </w:tc>
        <w:tc>
          <w:tcPr>
            <w:tcW w:w="564"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台</w:t>
            </w:r>
          </w:p>
        </w:tc>
        <w:tc>
          <w:tcPr>
            <w:tcW w:w="435"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11</w:t>
            </w:r>
          </w:p>
        </w:tc>
        <w:tc>
          <w:tcPr>
            <w:tcW w:w="2285"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车桥公司主减速器部</w:t>
            </w:r>
          </w:p>
        </w:tc>
        <w:tc>
          <w:tcPr>
            <w:tcW w:w="774" w:type="dxa"/>
            <w:vMerge w:val="continue"/>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kern w:val="2"/>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88"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8</w:t>
            </w:r>
          </w:p>
        </w:tc>
        <w:tc>
          <w:tcPr>
            <w:tcW w:w="2671"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活塞定量注脂机</w:t>
            </w:r>
          </w:p>
        </w:tc>
        <w:tc>
          <w:tcPr>
            <w:tcW w:w="732"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仿宋" w:hAnsi="仿宋" w:eastAsia="仿宋" w:cs="仿宋"/>
                <w:kern w:val="2"/>
                <w:sz w:val="21"/>
                <w:szCs w:val="21"/>
                <w:highlight w:val="none"/>
              </w:rPr>
            </w:pPr>
          </w:p>
        </w:tc>
        <w:tc>
          <w:tcPr>
            <w:tcW w:w="564"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台</w:t>
            </w:r>
          </w:p>
        </w:tc>
        <w:tc>
          <w:tcPr>
            <w:tcW w:w="435"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1</w:t>
            </w:r>
          </w:p>
        </w:tc>
        <w:tc>
          <w:tcPr>
            <w:tcW w:w="2285" w:type="dxa"/>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车桥公司主减速器部</w:t>
            </w:r>
          </w:p>
        </w:tc>
        <w:tc>
          <w:tcPr>
            <w:tcW w:w="774" w:type="dxa"/>
            <w:vMerge w:val="continue"/>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kern w:val="2"/>
                <w:sz w:val="21"/>
                <w:szCs w:val="21"/>
                <w:highlight w:val="none"/>
                <w:lang w:val="en-US" w:eastAsia="zh-CN"/>
              </w:rPr>
            </w:pPr>
          </w:p>
        </w:tc>
      </w:tr>
    </w:tbl>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备注：</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①本表所列采购货物仅为货物（或生产线）的主要构成部分，应配套供货以及招标方所列其它货物（或设备）和服务，请投标方认真阅读“供货范围”。若有异议，不管是多么微小，都应在投标文件“商务偏离”章节中予以详细说明。</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②本表“供货方式”指：交钥匙方式——包括制造、运输、定点卸货、安装、调试和验收以及培训等。</w:t>
      </w:r>
    </w:p>
    <w:p>
      <w:pPr>
        <w:jc w:val="center"/>
        <w:outlineLvl w:val="0"/>
        <w:rPr>
          <w:rFonts w:ascii="仿宋" w:hAnsi="仿宋" w:eastAsia="仿宋" w:cs="仿宋"/>
          <w:b/>
          <w:bCs/>
          <w:highlight w:val="none"/>
        </w:rPr>
      </w:pPr>
      <w:bookmarkStart w:id="185" w:name="_Toc18120"/>
      <w:bookmarkStart w:id="186" w:name="_Toc29174"/>
      <w:bookmarkStart w:id="187" w:name="_Toc8565"/>
      <w:bookmarkStart w:id="188" w:name="_Toc22689"/>
      <w:bookmarkStart w:id="189" w:name="_Toc6687"/>
      <w:bookmarkStart w:id="190" w:name="_Toc17465"/>
      <w:bookmarkStart w:id="191" w:name="_Toc24597"/>
      <w:bookmarkStart w:id="192" w:name="_Toc22658"/>
      <w:bookmarkStart w:id="193" w:name="_Toc7739"/>
      <w:bookmarkStart w:id="194" w:name="_Toc2018"/>
      <w:bookmarkStart w:id="195" w:name="_Toc15180"/>
      <w:bookmarkStart w:id="196" w:name="_Toc27638"/>
      <w:bookmarkStart w:id="197" w:name="_Toc1621"/>
      <w:bookmarkStart w:id="198" w:name="_Toc16387"/>
      <w:bookmarkStart w:id="199" w:name="_Toc26149"/>
      <w:bookmarkStart w:id="200" w:name="_Toc10580"/>
      <w:bookmarkStart w:id="201" w:name="_Toc10441"/>
      <w:bookmarkStart w:id="202" w:name="_Toc13878"/>
      <w:bookmarkStart w:id="203" w:name="_Toc2875"/>
      <w:bookmarkStart w:id="204" w:name="_Toc7338"/>
      <w:bookmarkStart w:id="205" w:name="_Toc30487"/>
      <w:bookmarkStart w:id="206" w:name="_Toc73112399"/>
      <w:bookmarkStart w:id="207" w:name="_Toc761"/>
      <w:bookmarkStart w:id="208" w:name="_Toc4881"/>
      <w:bookmarkStart w:id="209" w:name="_Toc133783969"/>
      <w:bookmarkStart w:id="210" w:name="_Toc11605"/>
      <w:bookmarkStart w:id="211" w:name="_Toc7813"/>
      <w:bookmarkStart w:id="212" w:name="_Toc19793"/>
      <w:bookmarkStart w:id="213" w:name="_Toc23603"/>
      <w:bookmarkStart w:id="214" w:name="_Toc12377"/>
      <w:bookmarkStart w:id="215" w:name="_Toc32616"/>
      <w:bookmarkStart w:id="216" w:name="_Toc4743"/>
      <w:bookmarkStart w:id="217" w:name="_Toc25811"/>
      <w:bookmarkStart w:id="218" w:name="_Toc4488"/>
      <w:bookmarkStart w:id="219" w:name="_Toc30429"/>
      <w:bookmarkStart w:id="220" w:name="_Toc8780"/>
      <w:bookmarkStart w:id="221" w:name="_Toc28168"/>
      <w:bookmarkStart w:id="222" w:name="_Toc32524"/>
      <w:bookmarkStart w:id="223" w:name="_Toc498"/>
      <w:bookmarkStart w:id="224" w:name="_Toc19015"/>
      <w:bookmarkStart w:id="225" w:name="_Toc24992"/>
      <w:bookmarkStart w:id="226" w:name="_Toc26470"/>
      <w:bookmarkStart w:id="227" w:name="_Toc20034"/>
      <w:bookmarkStart w:id="228" w:name="_Toc31734"/>
      <w:r>
        <w:rPr>
          <w:rFonts w:hint="eastAsia" w:ascii="仿宋" w:hAnsi="仿宋" w:eastAsia="仿宋" w:cs="仿宋"/>
          <w:b/>
          <w:bCs/>
          <w:highlight w:val="none"/>
        </w:rPr>
        <w:t>第二章技术要求</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pPr>
        <w:snapToGrid w:val="0"/>
        <w:spacing w:line="360" w:lineRule="auto"/>
        <w:ind w:firstLine="422" w:firstLineChars="200"/>
        <w:outlineLvl w:val="1"/>
        <w:rPr>
          <w:rFonts w:ascii="仿宋" w:hAnsi="仿宋" w:eastAsia="仿宋" w:cs="仿宋"/>
          <w:b/>
          <w:bCs/>
          <w:highlight w:val="none"/>
        </w:rPr>
      </w:pPr>
      <w:bookmarkStart w:id="229" w:name="_Toc7141"/>
      <w:bookmarkStart w:id="230" w:name="_Toc28751"/>
      <w:bookmarkStart w:id="231" w:name="_Toc477"/>
      <w:bookmarkStart w:id="232" w:name="_Toc27930"/>
      <w:bookmarkStart w:id="233" w:name="_Toc5714"/>
      <w:bookmarkStart w:id="234" w:name="_Toc26827"/>
      <w:bookmarkStart w:id="235" w:name="_Toc15747"/>
      <w:bookmarkStart w:id="236" w:name="_Toc29489"/>
      <w:bookmarkStart w:id="237" w:name="_Toc18792"/>
      <w:bookmarkStart w:id="238" w:name="_Toc16822"/>
      <w:bookmarkStart w:id="239" w:name="_Toc5876"/>
      <w:bookmarkStart w:id="240" w:name="_Toc31434"/>
      <w:bookmarkStart w:id="241" w:name="_Toc1968"/>
      <w:bookmarkStart w:id="242" w:name="_Toc15744"/>
      <w:bookmarkStart w:id="243" w:name="_Toc20792"/>
      <w:bookmarkStart w:id="244" w:name="_Toc20402"/>
      <w:bookmarkStart w:id="245" w:name="_Toc27282"/>
      <w:bookmarkStart w:id="246" w:name="_Toc23337"/>
      <w:bookmarkStart w:id="247" w:name="_Toc5110"/>
      <w:bookmarkStart w:id="248" w:name="_Toc6003"/>
      <w:bookmarkStart w:id="249" w:name="_Toc25950"/>
      <w:bookmarkStart w:id="250" w:name="_Toc5450"/>
      <w:bookmarkStart w:id="251" w:name="_Toc13195"/>
      <w:bookmarkStart w:id="252" w:name="_Toc9134"/>
      <w:bookmarkStart w:id="253" w:name="_Toc1111"/>
      <w:bookmarkStart w:id="254" w:name="_Toc11621"/>
      <w:bookmarkStart w:id="255" w:name="_Toc4126"/>
      <w:bookmarkStart w:id="256" w:name="_Toc73112400"/>
      <w:bookmarkStart w:id="257" w:name="_Toc29354"/>
      <w:bookmarkStart w:id="258" w:name="_Toc15995"/>
      <w:bookmarkStart w:id="259" w:name="_Toc380"/>
      <w:bookmarkStart w:id="260" w:name="_Toc23050"/>
      <w:bookmarkStart w:id="261" w:name="_Toc5804"/>
      <w:bookmarkStart w:id="262" w:name="_Toc11056"/>
      <w:bookmarkStart w:id="263" w:name="_Toc31246"/>
      <w:bookmarkStart w:id="264" w:name="_Toc16063"/>
      <w:bookmarkStart w:id="265" w:name="_Toc39"/>
      <w:bookmarkStart w:id="266" w:name="_Toc22422"/>
      <w:bookmarkStart w:id="267" w:name="_Toc9894"/>
      <w:bookmarkStart w:id="268" w:name="_Toc21559"/>
      <w:bookmarkStart w:id="269" w:name="_Toc2473"/>
      <w:r>
        <w:rPr>
          <w:rFonts w:hint="eastAsia" w:ascii="仿宋" w:hAnsi="仿宋" w:eastAsia="仿宋" w:cs="仿宋"/>
          <w:b/>
          <w:bCs/>
          <w:highlight w:val="none"/>
        </w:rPr>
        <w:t>1基本要求</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1.1 投标方所供的货物（或生产线），必须符合中国最新版的法律、法规和相关标准、规范的要求，符合项目所在地政府有关特殊要求。</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1.2 投标方所供货物（或生产线）涉及的、招标方有权使用的专利权技术以及知识产权保护的其它技术等，应保证招标方不因此受到任何侵权指控以及实际损失。</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1.3 投标方应保证所供货物（或生产线）的先进性、可靠性、经济性和实用性，并为全新货物（或设备）,并具有该货物(或设备)所有功能的永久使用权。</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1.4 投标方应满足招标方提出的各项技术要求，必要时应当免费提供技术承诺或担保。</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★1.5 投标方应保证所供货物（或设备）必须符合当前国家或地方最新安全、环保、职业健康最新法律、法规及《机械制造企业安全生产标准化</w:t>
      </w:r>
      <w:r>
        <w:rPr>
          <w:rFonts w:hint="eastAsia" w:ascii="仿宋" w:hAnsi="仿宋" w:eastAsia="仿宋" w:cs="仿宋"/>
          <w:highlight w:val="none"/>
          <w:lang w:eastAsia="zh-CN"/>
        </w:rPr>
        <w:t>规范</w:t>
      </w:r>
      <w:r>
        <w:rPr>
          <w:rFonts w:hint="eastAsia" w:ascii="仿宋" w:hAnsi="仿宋" w:eastAsia="仿宋" w:cs="仿宋"/>
          <w:highlight w:val="none"/>
        </w:rPr>
        <w:t>》各项要求 。确保货物在使用管理过程中满足《职业健康安全管理体系》、《环境管理体系》等方面的国家标准、规范及地方规章要求</w:t>
      </w:r>
      <w:r>
        <w:rPr>
          <w:rFonts w:hint="eastAsia" w:ascii="仿宋" w:hAnsi="仿宋" w:eastAsia="仿宋" w:cs="仿宋"/>
          <w:color w:val="0000FF"/>
          <w:highlight w:val="none"/>
        </w:rPr>
        <w:t>。</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★1.6 投标方应保证所供货物（或设备）为中国公布的非淘汰货物（或设备），并为中国指定或规定的主管部门认可的环保型和节能型货物（或设备）。招标的中标货物不接受试验品（提供证据），还应是原产地的货物。</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1.7 设备用能设计基本要求</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1.7.1 任何用能设备均应遵循《能源管理体系要求》（ISO 50001:2018）、《能源管理体系 机械制造企业认证要求》（RB/T 119-2015）的相关规定，并在《能源管理体系要求》下开展设备的采购、维护、保养、淘汰更换等工作。</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1.7.2 为方便用能设备的计量统计，新增采购设备应在《用能单位能源计量器具配备和管理通则》（GB17167-2006）指导下配备符合相应要求的能源计量器具。</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1.7.3 供方应确保各类机电设备（产品）无《高耗能机电设备（产品）淘汰目录（第一批）》、《高耗能机电设备（产品）淘汰目录（第二批）》、《高耗能机电设备（产品）淘汰目录（第三批）》、《高耗能机电设备（产品）淘汰目录（第四批）》所罗列的各类淘汰机电设备（产品）。</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1.7.4 在各类机电设备（产品）的采购过程中应优先选用符合《节能机电设备（产品）推荐目录（第七批）》的机电设备（产品）。原则上，电机功率≥7.5kW，必须选用一级能效。电机功率&lt;7.5kw，优先选用一级能效;其中对于能源供应类设备及年运行时间≥2000h 工艺设备的电机必须选用一级能效。杜绝选用三级及以下能效。空调必须选用一级能效，变压器最低选用二级能效，对于特殊场景、特殊用途其他设备结合性价比综合考虑、充分论证。</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1.7.5 供方应确保设备的附属各类机电设备、设施（如：电机、风机、电器控制系统、润滑、保温隔热、照明等等）符合国家现行的相关专项标准要求。</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1.8 投标方应保证所供货物（或生产线）的完整性和成套性，能保证货物（或生产线）的正常运行、使用。</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1.9 投标方应对招标方采购的货物（或生产线）所涉及的技术、产能等信息负有保密义务，特殊项目应当无条件签署保密协议。</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★1.10 设备使用仪表和自控设备要求：</w:t>
      </w:r>
    </w:p>
    <w:p>
      <w:pPr>
        <w:pStyle w:val="26"/>
        <w:snapToGrid w:val="0"/>
        <w:spacing w:line="360" w:lineRule="auto"/>
        <w:ind w:firstLine="420" w:firstLineChars="200"/>
        <w:rPr>
          <w:rFonts w:ascii="仿宋" w:hAnsi="仿宋" w:eastAsia="仿宋" w:cs="仿宋"/>
          <w:highlight w:val="none"/>
        </w:rPr>
      </w:pPr>
      <w:bookmarkStart w:id="270" w:name="_Toc7044"/>
      <w:bookmarkStart w:id="271" w:name="_Toc31111"/>
      <w:bookmarkStart w:id="272" w:name="_Toc5010"/>
      <w:bookmarkStart w:id="273" w:name="_Toc2908"/>
      <w:bookmarkStart w:id="274" w:name="_Toc5025"/>
      <w:bookmarkStart w:id="275" w:name="_Toc30944"/>
      <w:r>
        <w:rPr>
          <w:rFonts w:hint="eastAsia" w:ascii="仿宋" w:hAnsi="仿宋" w:eastAsia="仿宋" w:cs="仿宋"/>
          <w:highlight w:val="none"/>
        </w:rPr>
        <w:t>1.10.1 设备使用仪表通用技术要求:</w:t>
      </w:r>
      <w:bookmarkEnd w:id="270"/>
      <w:bookmarkEnd w:id="271"/>
      <w:bookmarkEnd w:id="272"/>
      <w:bookmarkEnd w:id="273"/>
      <w:bookmarkEnd w:id="274"/>
      <w:bookmarkEnd w:id="275"/>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1.10.1.1 投标人及供货商应保证所提供的仪表和自控设备，完全符合或高于本文通用技术要求及相应产品技术规范的要求，并应保证其供应产品在本工程指明的环境条件下能够长期安全、正常地运行。 </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1.10.1.2 投标人及供货商所提供的产品，应符合中华人民共和国国家质量监督检验检疫总局发布的《强制性产品认证管理规定》(AQSIQ)的要求，请投标人及供货商确认其投标产品是否包括在《中华人民共和国实施强制性产品认证的产品目录》内，包括在目录中的产品应取得被授权的认证机构颁发的“中国国家强制性产品认证证书”(CCC)。无论任何原因造成的不良后果均由投标人及供货商负责。 </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1.10.1.3 仪表、自控设备以及其附件所需电源，应符合产品技术规范提出的配电要求。在运输和储存期间，仪表和自控设备外壳上，凡用于连接的所有接口及孔、洞、附件应用堵头进行保护，并应清楚地标明其用途, 并注明“能源、计量”使用状态。 国家规定属于强制检定的仪表、自控设备应符合铅封等强制要求标准。</w:t>
      </w:r>
    </w:p>
    <w:p>
      <w:pPr>
        <w:pStyle w:val="26"/>
        <w:snapToGrid w:val="0"/>
        <w:spacing w:line="360" w:lineRule="auto"/>
        <w:ind w:firstLine="420" w:firstLineChars="200"/>
        <w:rPr>
          <w:rFonts w:ascii="仿宋" w:hAnsi="仿宋" w:eastAsia="仿宋" w:cs="仿宋"/>
          <w:highlight w:val="none"/>
        </w:rPr>
      </w:pPr>
      <w:bookmarkStart w:id="276" w:name="_Toc5075"/>
      <w:bookmarkStart w:id="277" w:name="_Toc26032"/>
      <w:bookmarkStart w:id="278" w:name="_Toc16669"/>
      <w:bookmarkStart w:id="279" w:name="_Toc581"/>
      <w:bookmarkStart w:id="280" w:name="_Toc32105"/>
      <w:bookmarkStart w:id="281" w:name="_Toc9364"/>
      <w:r>
        <w:rPr>
          <w:rFonts w:hint="eastAsia" w:ascii="仿宋" w:hAnsi="仿宋" w:eastAsia="仿宋" w:cs="仿宋"/>
          <w:highlight w:val="none"/>
        </w:rPr>
        <w:t>1.10.2 准确度要求: </w:t>
      </w:r>
      <w:bookmarkEnd w:id="276"/>
      <w:bookmarkEnd w:id="277"/>
      <w:bookmarkEnd w:id="278"/>
      <w:bookmarkEnd w:id="279"/>
      <w:bookmarkEnd w:id="280"/>
      <w:bookmarkEnd w:id="281"/>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1.10.2.1 投标人及供货商所提供的仪表和自控设备应在测量原理上符合相应产品的专用技术规格书中的要求，应保证出厂产品的实际准确度等于或优于提供的技术资料中的标称准确度。货物所使用计量用仪器、仪表和自控设备，该产品应附有具备CNAS、CAL、CMA（国际或国家）计量认证资质的市级以上国家法定计量检定机构出具的校准证书、检定证书。</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1.10.2.2 仪表和自控设备的准确度应不受周围环境和安装位置的影响，任何生产过程中存在的正常振动，不应造成测量准确度的变化。仪表和自控设备的零点和重复性应非常稳定，并符合各专用技术规格书中的有关技术要求。</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1.10.2.3 项目验收时，投标方提供测量功能设备及计量器具资质合格证书，招标方根据实际情况进行相关复检，复检合格视为合格。</w:t>
      </w:r>
    </w:p>
    <w:p>
      <w:pPr>
        <w:pStyle w:val="26"/>
        <w:snapToGrid w:val="0"/>
        <w:spacing w:line="360" w:lineRule="auto"/>
        <w:ind w:firstLine="420" w:firstLineChars="200"/>
        <w:rPr>
          <w:rFonts w:ascii="仿宋" w:hAnsi="仿宋" w:eastAsia="仿宋" w:cs="仿宋"/>
          <w:highlight w:val="none"/>
        </w:rPr>
      </w:pPr>
      <w:bookmarkStart w:id="282" w:name="_Toc1291"/>
      <w:bookmarkStart w:id="283" w:name="_Toc8799"/>
      <w:bookmarkStart w:id="284" w:name="_Toc25422"/>
      <w:bookmarkStart w:id="285" w:name="_Toc28774"/>
      <w:bookmarkStart w:id="286" w:name="_Toc5510"/>
      <w:bookmarkStart w:id="287" w:name="_Toc31048"/>
      <w:r>
        <w:rPr>
          <w:rFonts w:hint="eastAsia" w:ascii="仿宋" w:hAnsi="仿宋" w:eastAsia="仿宋" w:cs="仿宋"/>
          <w:highlight w:val="none"/>
        </w:rPr>
        <w:t>1.10.3 材质要求: </w:t>
      </w:r>
      <w:bookmarkEnd w:id="282"/>
      <w:bookmarkEnd w:id="283"/>
      <w:bookmarkEnd w:id="284"/>
      <w:bookmarkEnd w:id="285"/>
      <w:bookmarkEnd w:id="286"/>
      <w:bookmarkEnd w:id="287"/>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投标人及供货商应保证所提供的仪表和自控设备在材料的使用方无任何设计问题，能够满足或高于实际操作和使用过程中的要求，如压力、温度、粘度、组份等的要求。应保证所有零部件的材质必须符合环境条件如湿度、温度以及防爆、防碰、防磁的要求。</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★1.11投标方所供设备应按“交钥匙工程”要求。</w:t>
      </w:r>
    </w:p>
    <w:p>
      <w:pPr>
        <w:snapToGrid w:val="0"/>
        <w:spacing w:line="360" w:lineRule="auto"/>
        <w:ind w:firstLine="422" w:firstLineChars="200"/>
        <w:outlineLvl w:val="1"/>
        <w:rPr>
          <w:rFonts w:ascii="仿宋" w:hAnsi="仿宋" w:eastAsia="仿宋" w:cs="仿宋"/>
          <w:highlight w:val="none"/>
        </w:rPr>
      </w:pPr>
      <w:bookmarkStart w:id="288" w:name="_Hlk69924518"/>
      <w:r>
        <w:rPr>
          <w:rFonts w:hint="eastAsia" w:ascii="仿宋" w:hAnsi="仿宋" w:eastAsia="仿宋" w:cs="仿宋"/>
          <w:b/>
          <w:bCs/>
          <w:highlight w:val="none"/>
        </w:rPr>
        <w:t xml:space="preserve">2 </w:t>
      </w:r>
      <w:r>
        <w:rPr>
          <w:rFonts w:hint="eastAsia" w:ascii="仿宋" w:hAnsi="仿宋" w:eastAsia="仿宋" w:cs="仿宋"/>
          <w:highlight w:val="none"/>
          <w:lang w:bidi="ar"/>
        </w:rPr>
        <w:t>执行标准</w:t>
      </w:r>
    </w:p>
    <w:bookmarkEnd w:id="288"/>
    <w:p>
      <w:pPr>
        <w:spacing w:line="480" w:lineRule="exact"/>
        <w:ind w:firstLine="420" w:firstLineChars="200"/>
        <w:rPr>
          <w:rFonts w:ascii="仿宋" w:hAnsi="仿宋" w:eastAsia="仿宋" w:cs="仿宋"/>
          <w:highlight w:val="none"/>
        </w:rPr>
      </w:pPr>
      <w:r>
        <w:rPr>
          <w:rFonts w:hint="eastAsia" w:ascii="仿宋" w:hAnsi="仿宋" w:eastAsia="仿宋" w:cs="仿宋"/>
          <w:highlight w:val="none"/>
          <w:lang w:bidi="ar"/>
        </w:rPr>
        <w:t>2.1  招标方此处所列标准仅为涉及的主要标准，而且不保证其为最新版执行标准；投标方应当在投标文件中予以补充和完善。</w:t>
      </w:r>
    </w:p>
    <w:p>
      <w:pPr>
        <w:spacing w:line="480" w:lineRule="exact"/>
        <w:ind w:firstLine="420" w:firstLineChars="200"/>
        <w:rPr>
          <w:rFonts w:ascii="仿宋" w:hAnsi="仿宋" w:eastAsia="仿宋" w:cs="仿宋"/>
          <w:highlight w:val="none"/>
        </w:rPr>
      </w:pPr>
      <w:r>
        <w:rPr>
          <w:rFonts w:hint="eastAsia" w:ascii="仿宋" w:hAnsi="仿宋" w:eastAsia="仿宋" w:cs="仿宋"/>
          <w:highlight w:val="none"/>
          <w:lang w:bidi="ar"/>
        </w:rPr>
        <w:t>2.2  投标方需要执行的标准，应当以所供设备通过招标方将来组织的最终验收之日后需要执行的标准。</w:t>
      </w:r>
    </w:p>
    <w:p>
      <w:pPr>
        <w:spacing w:line="480" w:lineRule="exact"/>
        <w:ind w:firstLine="420" w:firstLineChars="200"/>
        <w:rPr>
          <w:rFonts w:ascii="仿宋" w:hAnsi="仿宋" w:eastAsia="仿宋" w:cs="仿宋"/>
          <w:highlight w:val="none"/>
        </w:rPr>
      </w:pPr>
      <w:r>
        <w:rPr>
          <w:rFonts w:hint="eastAsia" w:ascii="仿宋" w:hAnsi="仿宋" w:eastAsia="仿宋" w:cs="仿宋"/>
          <w:highlight w:val="none"/>
          <w:lang w:bidi="ar"/>
        </w:rPr>
        <w:t>2.3  涉及的主要标准表（包含但不限于）</w:t>
      </w:r>
    </w:p>
    <w:tbl>
      <w:tblPr>
        <w:tblStyle w:val="42"/>
        <w:tblW w:w="8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5348"/>
        <w:gridCol w:w="2081"/>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jc w:val="center"/>
              <w:rPr>
                <w:rFonts w:ascii="仿宋" w:hAnsi="仿宋" w:eastAsia="仿宋" w:cs="仿宋"/>
                <w:sz w:val="21"/>
                <w:highlight w:val="none"/>
              </w:rPr>
            </w:pPr>
            <w:r>
              <w:rPr>
                <w:rFonts w:hint="eastAsia" w:ascii="仿宋" w:hAnsi="仿宋" w:eastAsia="仿宋" w:cs="仿宋"/>
                <w:sz w:val="21"/>
                <w:highlight w:val="none"/>
                <w:lang w:bidi="ar"/>
              </w:rPr>
              <w:t>序号</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jc w:val="center"/>
              <w:rPr>
                <w:rFonts w:ascii="仿宋" w:hAnsi="仿宋" w:eastAsia="仿宋" w:cs="仿宋"/>
                <w:sz w:val="21"/>
                <w:highlight w:val="none"/>
              </w:rPr>
            </w:pPr>
            <w:r>
              <w:rPr>
                <w:rFonts w:hint="eastAsia" w:ascii="仿宋" w:hAnsi="仿宋" w:eastAsia="仿宋" w:cs="仿宋"/>
                <w:sz w:val="21"/>
                <w:highlight w:val="none"/>
                <w:lang w:bidi="ar"/>
              </w:rPr>
              <w:t>标准名称</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jc w:val="center"/>
              <w:rPr>
                <w:rFonts w:ascii="仿宋" w:hAnsi="仿宋" w:eastAsia="仿宋" w:cs="仿宋"/>
                <w:sz w:val="21"/>
                <w:highlight w:val="none"/>
              </w:rPr>
            </w:pPr>
            <w:r>
              <w:rPr>
                <w:rFonts w:hint="eastAsia" w:ascii="仿宋" w:hAnsi="仿宋" w:eastAsia="仿宋" w:cs="仿宋"/>
                <w:sz w:val="21"/>
                <w:highlight w:val="none"/>
                <w:lang w:bidi="ar"/>
              </w:rPr>
              <w:t>标准编号</w:t>
            </w:r>
          </w:p>
        </w:tc>
        <w:tc>
          <w:tcPr>
            <w:tcW w:w="660"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jc w:val="center"/>
              <w:rPr>
                <w:rFonts w:ascii="仿宋" w:hAnsi="仿宋" w:eastAsia="仿宋" w:cs="仿宋"/>
                <w:sz w:val="21"/>
                <w:highlight w:val="none"/>
              </w:rPr>
            </w:pPr>
            <w:r>
              <w:rPr>
                <w:rFonts w:hint="eastAsia" w:ascii="仿宋" w:hAnsi="仿宋" w:eastAsia="仿宋" w:cs="仿宋"/>
                <w:sz w:val="21"/>
                <w:highlight w:val="none"/>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highlight w:val="none"/>
              </w:rPr>
            </w:pPr>
            <w:r>
              <w:rPr>
                <w:rFonts w:hint="eastAsia" w:ascii="仿宋" w:hAnsi="仿宋" w:eastAsia="仿宋" w:cs="仿宋"/>
                <w:sz w:val="21"/>
                <w:szCs w:val="21"/>
                <w:highlight w:val="none"/>
                <w:lang w:bidi="ar"/>
              </w:rPr>
              <w:t>1</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highlight w:val="none"/>
              </w:rPr>
            </w:pPr>
            <w:r>
              <w:rPr>
                <w:rFonts w:hint="eastAsia" w:ascii="仿宋" w:hAnsi="仿宋" w:eastAsia="仿宋" w:cs="仿宋"/>
                <w:sz w:val="21"/>
                <w:szCs w:val="21"/>
                <w:highlight w:val="none"/>
                <w:lang w:bidi="ar"/>
              </w:rPr>
              <w:t>电工成套装置中的导线颜色</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highlight w:val="none"/>
              </w:rPr>
            </w:pPr>
            <w:r>
              <w:rPr>
                <w:rFonts w:hint="eastAsia" w:ascii="仿宋" w:hAnsi="仿宋" w:eastAsia="仿宋" w:cs="仿宋"/>
                <w:sz w:val="21"/>
                <w:szCs w:val="21"/>
                <w:highlight w:val="none"/>
                <w:lang w:bidi="ar"/>
              </w:rPr>
              <w:t>GB/T2681-81</w:t>
            </w:r>
          </w:p>
        </w:tc>
        <w:tc>
          <w:tcPr>
            <w:tcW w:w="660" w:type="dxa"/>
            <w:vMerge w:val="restart"/>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电工成套装置中的指示灯和按钮的颜色</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GB/T2682-81</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电能质量公用电网谐波</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GB/T14549-93</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eastAsia" w:ascii="仿宋" w:hAnsi="仿宋" w:eastAsia="仿宋" w:cs="仿宋"/>
                <w:sz w:val="21"/>
                <w:szCs w:val="21"/>
                <w:highlight w:val="none"/>
                <w:lang w:eastAsia="zh-CN" w:bidi="ar"/>
              </w:rPr>
            </w:pPr>
            <w:r>
              <w:rPr>
                <w:rFonts w:hint="eastAsia" w:ascii="仿宋" w:hAnsi="仿宋" w:eastAsia="仿宋" w:cs="仿宋"/>
                <w:sz w:val="21"/>
                <w:szCs w:val="21"/>
                <w:highlight w:val="none"/>
                <w:lang w:val="en-US" w:eastAsia="zh-CN" w:bidi="ar"/>
              </w:rPr>
              <w:t>4</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fldChar w:fldCharType="begin"/>
            </w:r>
            <w:r>
              <w:rPr>
                <w:rFonts w:hint="eastAsia" w:ascii="仿宋" w:hAnsi="仿宋" w:eastAsia="仿宋" w:cs="仿宋"/>
                <w:sz w:val="21"/>
                <w:szCs w:val="21"/>
                <w:highlight w:val="none"/>
                <w:lang w:bidi="ar"/>
              </w:rPr>
              <w:instrText xml:space="preserve"> HYPERLINK "http://wenku.baidu.com/view/db95ac1014791711cc791788.html" \t "F:/工艺工程部/项目/2021年固定资产投资/工艺院批复项目/标书/_blank" </w:instrText>
            </w:r>
            <w:r>
              <w:rPr>
                <w:rFonts w:hint="eastAsia" w:ascii="仿宋" w:hAnsi="仿宋" w:eastAsia="仿宋" w:cs="仿宋"/>
                <w:sz w:val="21"/>
                <w:szCs w:val="21"/>
                <w:highlight w:val="none"/>
                <w:lang w:bidi="ar"/>
              </w:rPr>
              <w:fldChar w:fldCharType="separate"/>
            </w:r>
            <w:r>
              <w:rPr>
                <w:rFonts w:hint="eastAsia" w:ascii="仿宋" w:hAnsi="仿宋" w:eastAsia="仿宋" w:cs="仿宋"/>
                <w:sz w:val="21"/>
                <w:szCs w:val="21"/>
                <w:highlight w:val="none"/>
                <w:lang w:bidi="ar"/>
              </w:rPr>
              <w:t>机械设备防护罩安全标准</w:t>
            </w:r>
            <w:r>
              <w:rPr>
                <w:rFonts w:hint="eastAsia" w:ascii="仿宋" w:hAnsi="仿宋" w:eastAsia="仿宋" w:cs="仿宋"/>
                <w:sz w:val="21"/>
                <w:szCs w:val="21"/>
                <w:highlight w:val="none"/>
                <w:lang w:bidi="ar"/>
              </w:rPr>
              <w:fldChar w:fldCharType="end"/>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GB8196-2003</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eastAsia" w:ascii="仿宋" w:hAnsi="仿宋" w:eastAsia="仿宋" w:cs="仿宋"/>
                <w:sz w:val="21"/>
                <w:szCs w:val="21"/>
                <w:highlight w:val="none"/>
                <w:lang w:eastAsia="zh-CN" w:bidi="ar"/>
              </w:rPr>
            </w:pPr>
            <w:r>
              <w:rPr>
                <w:rFonts w:hint="eastAsia" w:ascii="仿宋" w:hAnsi="仿宋" w:eastAsia="仿宋" w:cs="仿宋"/>
                <w:sz w:val="21"/>
                <w:szCs w:val="21"/>
                <w:highlight w:val="none"/>
                <w:lang w:val="en-US" w:eastAsia="zh-CN" w:bidi="ar"/>
              </w:rPr>
              <w:t>5</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机械安全 防止上下肢触及危险区的安全距离</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w:t>
            </w:r>
            <w:r>
              <w:rPr>
                <w:rFonts w:hint="eastAsia" w:ascii="仿宋" w:hAnsi="仿宋" w:eastAsia="仿宋" w:cs="仿宋"/>
                <w:sz w:val="21"/>
                <w:szCs w:val="21"/>
                <w:highlight w:val="none"/>
                <w:lang w:val="en-US" w:eastAsia="zh-CN" w:bidi="ar"/>
              </w:rPr>
              <w:t>/T</w:t>
            </w:r>
            <w:r>
              <w:rPr>
                <w:rFonts w:hint="eastAsia" w:ascii="仿宋" w:hAnsi="仿宋" w:eastAsia="仿宋" w:cs="仿宋"/>
                <w:sz w:val="21"/>
                <w:szCs w:val="21"/>
                <w:highlight w:val="none"/>
                <w:lang w:bidi="ar"/>
              </w:rPr>
              <w:t>23821-20</w:t>
            </w:r>
            <w:r>
              <w:rPr>
                <w:rFonts w:hint="eastAsia" w:ascii="仿宋" w:hAnsi="仿宋" w:eastAsia="仿宋" w:cs="仿宋"/>
                <w:sz w:val="21"/>
                <w:szCs w:val="21"/>
                <w:highlight w:val="none"/>
                <w:lang w:val="en-US" w:eastAsia="zh-CN" w:bidi="ar"/>
              </w:rPr>
              <w:t>22</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zh-CN" w:bidi="ar"/>
              </w:rPr>
              <w:t>6</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机械安全 双手操纵装置 设计和选择原则</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GB</w:t>
            </w:r>
            <w:r>
              <w:rPr>
                <w:rFonts w:hint="eastAsia" w:ascii="仿宋" w:hAnsi="仿宋" w:eastAsia="仿宋" w:cs="仿宋"/>
                <w:sz w:val="21"/>
                <w:szCs w:val="21"/>
                <w:highlight w:val="none"/>
                <w:lang w:val="en-US" w:eastAsia="zh-CN" w:bidi="ar"/>
              </w:rPr>
              <w:t>/T19671</w:t>
            </w:r>
            <w:r>
              <w:rPr>
                <w:rFonts w:hint="eastAsia" w:ascii="仿宋" w:hAnsi="仿宋" w:eastAsia="仿宋" w:cs="仿宋"/>
                <w:sz w:val="21"/>
                <w:szCs w:val="21"/>
                <w:highlight w:val="none"/>
                <w:lang w:bidi="ar"/>
              </w:rPr>
              <w:t>-20</w:t>
            </w:r>
            <w:r>
              <w:rPr>
                <w:rFonts w:hint="eastAsia" w:ascii="仿宋" w:hAnsi="仿宋" w:eastAsia="仿宋" w:cs="仿宋"/>
                <w:sz w:val="21"/>
                <w:szCs w:val="21"/>
                <w:highlight w:val="none"/>
                <w:lang w:val="en-US" w:eastAsia="zh-CN" w:bidi="ar"/>
              </w:rPr>
              <w:t>22</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default"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zh-CN" w:bidi="ar"/>
              </w:rPr>
              <w:t>7</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机械安全 安全防护的实施准则</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GB</w:t>
            </w:r>
            <w:r>
              <w:rPr>
                <w:rFonts w:hint="eastAsia" w:ascii="仿宋" w:hAnsi="仿宋" w:eastAsia="仿宋" w:cs="仿宋"/>
                <w:sz w:val="21"/>
                <w:szCs w:val="21"/>
                <w:highlight w:val="none"/>
                <w:lang w:val="en-US" w:eastAsia="zh-CN" w:bidi="ar"/>
              </w:rPr>
              <w:t>/T30574</w:t>
            </w:r>
            <w:r>
              <w:rPr>
                <w:rFonts w:hint="eastAsia" w:ascii="仿宋" w:hAnsi="仿宋" w:eastAsia="仿宋" w:cs="仿宋"/>
                <w:sz w:val="21"/>
                <w:szCs w:val="21"/>
                <w:highlight w:val="none"/>
                <w:lang w:bidi="ar"/>
              </w:rPr>
              <w:t>-20</w:t>
            </w:r>
            <w:r>
              <w:rPr>
                <w:rFonts w:hint="eastAsia" w:ascii="仿宋" w:hAnsi="仿宋" w:eastAsia="仿宋" w:cs="仿宋"/>
                <w:sz w:val="21"/>
                <w:szCs w:val="21"/>
                <w:highlight w:val="none"/>
                <w:lang w:val="en-US" w:eastAsia="zh-CN" w:bidi="ar"/>
              </w:rPr>
              <w:t>21</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default"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zh-CN" w:bidi="ar"/>
              </w:rPr>
              <w:t>8</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机械安全 接近机械的固定设施 </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GB/T 17888-2020</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default"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zh-CN" w:bidi="ar"/>
              </w:rPr>
              <w:t>9</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《工业企业设计</w:t>
            </w:r>
            <w:r>
              <w:rPr>
                <w:rFonts w:hint="eastAsia" w:ascii="仿宋" w:hAnsi="仿宋" w:eastAsia="仿宋" w:cs="仿宋"/>
                <w:sz w:val="21"/>
                <w:szCs w:val="21"/>
                <w:highlight w:val="none"/>
                <w:lang w:eastAsia="zh-CN" w:bidi="ar"/>
              </w:rPr>
              <w:t>卫生标准</w:t>
            </w:r>
            <w:r>
              <w:rPr>
                <w:rFonts w:hint="eastAsia" w:ascii="仿宋" w:hAnsi="仿宋" w:eastAsia="仿宋" w:cs="仿宋"/>
                <w:sz w:val="21"/>
                <w:szCs w:val="21"/>
                <w:highlight w:val="none"/>
                <w:lang w:bidi="ar"/>
              </w:rPr>
              <w:t>》</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GB</w:t>
            </w:r>
            <w:r>
              <w:rPr>
                <w:rFonts w:hint="eastAsia" w:ascii="仿宋" w:hAnsi="仿宋" w:eastAsia="仿宋" w:cs="仿宋"/>
                <w:sz w:val="21"/>
                <w:szCs w:val="21"/>
                <w:highlight w:val="none"/>
                <w:lang w:val="en-US" w:eastAsia="zh-CN" w:bidi="ar"/>
              </w:rPr>
              <w:t>Z 1</w:t>
            </w:r>
            <w:r>
              <w:rPr>
                <w:rFonts w:hint="eastAsia" w:ascii="仿宋" w:hAnsi="仿宋" w:eastAsia="仿宋" w:cs="仿宋"/>
                <w:sz w:val="21"/>
                <w:szCs w:val="21"/>
                <w:highlight w:val="none"/>
                <w:lang w:bidi="ar"/>
              </w:rPr>
              <w:t>-</w:t>
            </w:r>
            <w:r>
              <w:rPr>
                <w:rFonts w:hint="eastAsia" w:ascii="仿宋" w:hAnsi="仿宋" w:eastAsia="仿宋" w:cs="仿宋"/>
                <w:sz w:val="21"/>
                <w:szCs w:val="21"/>
                <w:highlight w:val="none"/>
                <w:lang w:val="en-US" w:eastAsia="zh-CN" w:bidi="ar"/>
              </w:rPr>
              <w:t>2002</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default"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zh-CN" w:bidi="ar"/>
              </w:rPr>
              <w:t>10</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《工业企业噪声控制设计规范》</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GB</w:t>
            </w:r>
            <w:r>
              <w:rPr>
                <w:rFonts w:hint="eastAsia" w:ascii="仿宋" w:hAnsi="仿宋" w:eastAsia="仿宋" w:cs="仿宋"/>
                <w:sz w:val="21"/>
                <w:szCs w:val="21"/>
                <w:highlight w:val="none"/>
                <w:lang w:val="en-US" w:eastAsia="zh-CN" w:bidi="ar"/>
              </w:rPr>
              <w:t>/T500</w:t>
            </w:r>
            <w:r>
              <w:rPr>
                <w:rFonts w:hint="eastAsia" w:ascii="仿宋" w:hAnsi="仿宋" w:eastAsia="仿宋" w:cs="仿宋"/>
                <w:sz w:val="21"/>
                <w:szCs w:val="21"/>
                <w:highlight w:val="none"/>
                <w:lang w:bidi="ar"/>
              </w:rPr>
              <w:t>87-</w:t>
            </w:r>
            <w:r>
              <w:rPr>
                <w:rFonts w:hint="eastAsia" w:ascii="仿宋" w:hAnsi="仿宋" w:eastAsia="仿宋" w:cs="仿宋"/>
                <w:sz w:val="21"/>
                <w:szCs w:val="21"/>
                <w:highlight w:val="none"/>
                <w:lang w:val="en-US" w:eastAsia="zh-CN" w:bidi="ar"/>
              </w:rPr>
              <w:t>2013</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default"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zh-CN" w:bidi="ar"/>
              </w:rPr>
              <w:t>11</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《工业企业噪声测量规范》</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GBJ122-88</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default"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zh-CN" w:bidi="ar"/>
              </w:rPr>
              <w:t>12</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工作场所物理因素测量</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GBZ/T189.1-2007</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eastAsia" w:ascii="仿宋" w:hAnsi="仿宋" w:eastAsia="仿宋" w:cs="仿宋"/>
                <w:sz w:val="21"/>
                <w:szCs w:val="21"/>
                <w:highlight w:val="none"/>
                <w:lang w:eastAsia="zh-CN" w:bidi="ar"/>
              </w:rPr>
            </w:pPr>
            <w:r>
              <w:rPr>
                <w:rFonts w:hint="eastAsia" w:ascii="仿宋" w:hAnsi="仿宋" w:eastAsia="仿宋" w:cs="仿宋"/>
                <w:sz w:val="21"/>
                <w:szCs w:val="21"/>
                <w:highlight w:val="none"/>
                <w:lang w:bidi="ar"/>
              </w:rPr>
              <w:t>1</w:t>
            </w:r>
            <w:r>
              <w:rPr>
                <w:rFonts w:hint="eastAsia" w:ascii="仿宋" w:hAnsi="仿宋" w:eastAsia="仿宋" w:cs="仿宋"/>
                <w:sz w:val="21"/>
                <w:szCs w:val="21"/>
                <w:highlight w:val="none"/>
                <w:lang w:val="en-US" w:eastAsia="zh-CN" w:bidi="ar"/>
              </w:rPr>
              <w:t>3</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高耗能落后机电设备（产品）淘汰目录（第二批）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default"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zh-CN" w:bidi="ar"/>
              </w:rPr>
              <w:t>14</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高耗能落后机电设备（产品）淘汰目录（第三批）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eastAsia" w:ascii="仿宋" w:hAnsi="仿宋" w:eastAsia="仿宋" w:cs="仿宋"/>
                <w:sz w:val="21"/>
                <w:szCs w:val="21"/>
                <w:highlight w:val="none"/>
                <w:lang w:eastAsia="zh-CN" w:bidi="ar"/>
              </w:rPr>
            </w:pPr>
            <w:r>
              <w:rPr>
                <w:rFonts w:hint="eastAsia" w:ascii="仿宋" w:hAnsi="仿宋" w:eastAsia="仿宋" w:cs="仿宋"/>
                <w:sz w:val="21"/>
                <w:szCs w:val="21"/>
                <w:highlight w:val="none"/>
                <w:lang w:bidi="ar"/>
              </w:rPr>
              <w:t>1</w:t>
            </w:r>
            <w:r>
              <w:rPr>
                <w:rFonts w:hint="eastAsia" w:ascii="仿宋" w:hAnsi="仿宋" w:eastAsia="仿宋" w:cs="仿宋"/>
                <w:sz w:val="21"/>
                <w:szCs w:val="21"/>
                <w:highlight w:val="none"/>
                <w:lang w:val="en-US" w:eastAsia="zh-CN" w:bidi="ar"/>
              </w:rPr>
              <w:t>5</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高耗能落后机电设备（产品）淘汰目录（第一批）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default"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16</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高耗能落后机电设备（产品）淘汰目录（第</w:t>
            </w:r>
            <w:r>
              <w:rPr>
                <w:rFonts w:hint="eastAsia" w:ascii="仿宋" w:hAnsi="仿宋" w:eastAsia="仿宋" w:cs="仿宋"/>
                <w:sz w:val="21"/>
                <w:szCs w:val="21"/>
                <w:highlight w:val="none"/>
                <w:lang w:val="en-US" w:eastAsia="zh-CN" w:bidi="ar"/>
              </w:rPr>
              <w:t>四</w:t>
            </w:r>
            <w:r>
              <w:rPr>
                <w:rFonts w:hint="eastAsia" w:ascii="仿宋" w:hAnsi="仿宋" w:eastAsia="仿宋" w:cs="仿宋"/>
                <w:sz w:val="21"/>
                <w:szCs w:val="21"/>
                <w:highlight w:val="none"/>
                <w:lang w:bidi="ar"/>
              </w:rPr>
              <w:t>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default"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17</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节能机电设备（产品）推荐目录</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default"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18</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用能单位能源计量器具配备和管理</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GB17167-2006</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default"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19</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w:t>
            </w:r>
            <w:r>
              <w:rPr>
                <w:rFonts w:hint="eastAsia" w:ascii="仿宋" w:hAnsi="仿宋" w:eastAsia="仿宋" w:cs="仿宋"/>
                <w:sz w:val="21"/>
                <w:szCs w:val="21"/>
                <w:highlight w:val="none"/>
                <w:lang w:val="en-US" w:eastAsia="zh-CN" w:bidi="ar"/>
              </w:rPr>
              <w:t>工作场所物理因素测量》第8部分噪声</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GB</w:t>
            </w:r>
            <w:r>
              <w:rPr>
                <w:rFonts w:hint="eastAsia" w:ascii="仿宋" w:hAnsi="仿宋" w:eastAsia="仿宋" w:cs="仿宋"/>
                <w:sz w:val="21"/>
                <w:szCs w:val="21"/>
                <w:highlight w:val="none"/>
                <w:lang w:val="en-US" w:eastAsia="zh-CN" w:bidi="ar"/>
              </w:rPr>
              <w:t>Z/T189.8-2007</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default" w:ascii="仿宋" w:hAnsi="仿宋" w:eastAsia="仿宋" w:cs="仿宋"/>
                <w:kern w:val="2"/>
                <w:sz w:val="21"/>
                <w:szCs w:val="21"/>
                <w:highlight w:val="none"/>
                <w:lang w:val="en-US" w:eastAsia="zh-CN" w:bidi="ar"/>
              </w:rPr>
            </w:pPr>
            <w:r>
              <w:rPr>
                <w:rFonts w:hint="eastAsia" w:ascii="仿宋" w:hAnsi="仿宋" w:eastAsia="仿宋" w:cs="仿宋"/>
                <w:kern w:val="2"/>
                <w:sz w:val="21"/>
                <w:szCs w:val="21"/>
                <w:highlight w:val="none"/>
                <w:lang w:val="en-US" w:eastAsia="zh-CN" w:bidi="ar"/>
              </w:rPr>
              <w:t>20</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pPr>
              <w:spacing w:line="360" w:lineRule="exact"/>
              <w:jc w:val="left"/>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bidi="ar"/>
              </w:rPr>
              <w:t>《产品几何量技术规范(GPS)》</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pPr>
              <w:spacing w:line="360" w:lineRule="exact"/>
              <w:jc w:val="left"/>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bidi="ar"/>
              </w:rPr>
              <w:t>ISO12181</w:t>
            </w:r>
          </w:p>
        </w:tc>
        <w:tc>
          <w:tcPr>
            <w:tcW w:w="660" w:type="dxa"/>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highlight w:val="none"/>
              </w:rPr>
            </w:pPr>
          </w:p>
        </w:tc>
      </w:tr>
    </w:tbl>
    <w:p>
      <w:pPr>
        <w:spacing w:line="360" w:lineRule="exact"/>
        <w:rPr>
          <w:rFonts w:ascii="仿宋" w:hAnsi="仿宋" w:eastAsia="仿宋" w:cs="仿宋"/>
          <w:sz w:val="21"/>
          <w:highlight w:val="none"/>
        </w:rPr>
      </w:pPr>
      <w:r>
        <w:rPr>
          <w:rFonts w:hint="eastAsia" w:ascii="仿宋" w:hAnsi="仿宋" w:eastAsia="仿宋" w:cs="仿宋"/>
          <w:sz w:val="21"/>
          <w:highlight w:val="none"/>
          <w:lang w:bidi="ar"/>
        </w:rPr>
        <w:t>备注：1、如果有采用国际标准的货物，其执行标准由投标方提供、招标方确认。</w:t>
      </w:r>
    </w:p>
    <w:p>
      <w:pPr>
        <w:snapToGrid w:val="0"/>
        <w:spacing w:line="360" w:lineRule="auto"/>
        <w:ind w:firstLine="422" w:firstLineChars="200"/>
        <w:outlineLvl w:val="1"/>
        <w:rPr>
          <w:rFonts w:ascii="仿宋" w:hAnsi="仿宋" w:eastAsia="仿宋" w:cs="仿宋"/>
          <w:b/>
          <w:bCs/>
          <w:highlight w:val="none"/>
        </w:rPr>
      </w:pPr>
      <w:bookmarkStart w:id="289" w:name="_Toc7623"/>
      <w:bookmarkStart w:id="290" w:name="_Toc6412"/>
      <w:bookmarkStart w:id="291" w:name="_Toc27027"/>
      <w:bookmarkStart w:id="292" w:name="_Toc26406"/>
      <w:bookmarkStart w:id="293" w:name="_Toc29779"/>
      <w:bookmarkStart w:id="294" w:name="_Toc22289"/>
      <w:bookmarkStart w:id="295" w:name="_Toc19476"/>
      <w:bookmarkStart w:id="296" w:name="_Toc13103"/>
      <w:bookmarkStart w:id="297" w:name="_Toc3292"/>
      <w:bookmarkStart w:id="298" w:name="_Toc1676"/>
      <w:bookmarkStart w:id="299" w:name="_Toc32006"/>
      <w:bookmarkStart w:id="300" w:name="_Toc13423"/>
      <w:bookmarkStart w:id="301" w:name="_Toc17980"/>
      <w:bookmarkStart w:id="302" w:name="_Toc73112401"/>
      <w:bookmarkStart w:id="303" w:name="_Toc17231"/>
      <w:bookmarkStart w:id="304" w:name="_Toc31630"/>
      <w:bookmarkStart w:id="305" w:name="_Toc6030"/>
      <w:bookmarkStart w:id="306" w:name="_Toc7895"/>
      <w:bookmarkStart w:id="307" w:name="_Toc5402"/>
      <w:bookmarkStart w:id="308" w:name="_Toc29247"/>
      <w:bookmarkStart w:id="309" w:name="_Toc20016"/>
      <w:bookmarkStart w:id="310" w:name="_Toc8461"/>
      <w:bookmarkStart w:id="311" w:name="_Toc11599"/>
      <w:bookmarkStart w:id="312" w:name="_Toc27157"/>
      <w:bookmarkStart w:id="313" w:name="_Toc16137"/>
      <w:bookmarkStart w:id="314" w:name="_Toc7786"/>
      <w:bookmarkStart w:id="315" w:name="_Toc1883"/>
      <w:bookmarkStart w:id="316" w:name="_Toc7648"/>
      <w:bookmarkStart w:id="317" w:name="_Toc1411"/>
      <w:bookmarkStart w:id="318" w:name="_Toc19250"/>
      <w:bookmarkStart w:id="319" w:name="_Toc21638"/>
      <w:bookmarkStart w:id="320" w:name="_Toc30383"/>
      <w:bookmarkStart w:id="321" w:name="_Toc12125"/>
      <w:bookmarkStart w:id="322" w:name="_Toc4470"/>
      <w:bookmarkStart w:id="323" w:name="_Toc5212"/>
      <w:bookmarkStart w:id="324" w:name="_Toc12179"/>
      <w:bookmarkStart w:id="325" w:name="_Toc4217"/>
      <w:bookmarkStart w:id="326" w:name="_Toc5441"/>
      <w:bookmarkStart w:id="327" w:name="_Toc14059"/>
      <w:bookmarkStart w:id="328" w:name="_Toc20964"/>
      <w:bookmarkStart w:id="329" w:name="_Toc19638"/>
      <w:bookmarkStart w:id="330" w:name="_Toc32758"/>
      <w:r>
        <w:rPr>
          <w:rFonts w:hint="eastAsia" w:ascii="仿宋" w:hAnsi="仿宋" w:eastAsia="仿宋" w:cs="仿宋"/>
          <w:b/>
          <w:bCs/>
          <w:highlight w:val="none"/>
        </w:rPr>
        <w:t>3技术规范</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pPr>
        <w:snapToGrid w:val="0"/>
        <w:spacing w:line="360" w:lineRule="auto"/>
        <w:ind w:firstLine="422" w:firstLineChars="200"/>
        <w:outlineLvl w:val="1"/>
        <w:rPr>
          <w:rFonts w:hint="eastAsia" w:ascii="仿宋" w:hAnsi="仿宋" w:eastAsia="仿宋" w:cs="仿宋"/>
          <w:b/>
          <w:bCs/>
          <w:highlight w:val="none"/>
          <w:lang w:val="en-US" w:eastAsia="zh-CN"/>
        </w:rPr>
      </w:pPr>
      <w:bookmarkStart w:id="331" w:name="_Toc26258"/>
      <w:bookmarkStart w:id="332" w:name="_Toc26873"/>
      <w:bookmarkStart w:id="333" w:name="_Toc22042"/>
      <w:bookmarkStart w:id="334" w:name="_Toc26683"/>
      <w:bookmarkStart w:id="335" w:name="_Toc17783"/>
      <w:bookmarkStart w:id="336" w:name="_Toc12757"/>
      <w:bookmarkStart w:id="337" w:name="_Toc21407"/>
      <w:bookmarkStart w:id="338" w:name="_Toc25588"/>
      <w:bookmarkStart w:id="339" w:name="_Toc14166"/>
      <w:bookmarkStart w:id="340" w:name="_Toc30668"/>
      <w:bookmarkStart w:id="341" w:name="_Toc43"/>
      <w:bookmarkStart w:id="342" w:name="_Toc10677"/>
      <w:bookmarkStart w:id="343" w:name="_Toc15548"/>
      <w:bookmarkStart w:id="344" w:name="_Toc27515"/>
      <w:bookmarkStart w:id="345" w:name="_Toc26033"/>
      <w:bookmarkStart w:id="346" w:name="_Toc20150"/>
      <w:bookmarkStart w:id="347" w:name="_Toc16518"/>
      <w:bookmarkStart w:id="348" w:name="_Toc3050"/>
      <w:bookmarkStart w:id="349" w:name="_Toc19055"/>
      <w:r>
        <w:rPr>
          <w:rFonts w:hint="eastAsia" w:ascii="仿宋" w:hAnsi="仿宋" w:eastAsia="仿宋" w:cs="仿宋"/>
          <w:b/>
          <w:bCs/>
          <w:highlight w:val="none"/>
          <w:lang w:val="en-US" w:eastAsia="zh-CN"/>
        </w:rPr>
        <w:t>3.1.前、后轮毂总成注脂机</w:t>
      </w:r>
    </w:p>
    <w:p>
      <w:pPr>
        <w:pStyle w:val="26"/>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3.1</w:t>
      </w:r>
      <w:r>
        <w:rPr>
          <w:rFonts w:hint="eastAsia" w:ascii="仿宋" w:hAnsi="仿宋" w:eastAsia="仿宋" w:cs="仿宋"/>
          <w:highlight w:val="none"/>
          <w:lang w:val="en-US" w:eastAsia="zh-CN"/>
        </w:rPr>
        <w:t>.1</w:t>
      </w:r>
      <w:r>
        <w:rPr>
          <w:rFonts w:hint="eastAsia" w:ascii="仿宋" w:hAnsi="仿宋" w:eastAsia="仿宋" w:cs="仿宋"/>
          <w:highlight w:val="none"/>
        </w:rPr>
        <w:t>生产能力及产品说明</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pPr>
        <w:pStyle w:val="26"/>
        <w:snapToGrid w:val="0"/>
        <w:spacing w:line="360" w:lineRule="auto"/>
        <w:ind w:firstLine="420" w:firstLineChars="200"/>
        <w:rPr>
          <w:rFonts w:hint="default" w:ascii="仿宋" w:hAnsi="仿宋" w:eastAsia="仿宋" w:cs="仿宋"/>
          <w:highlight w:val="none"/>
          <w:lang w:val="en-US" w:eastAsia="zh-CN"/>
        </w:rPr>
      </w:pPr>
      <w:r>
        <w:rPr>
          <w:rFonts w:hint="eastAsia" w:ascii="仿宋" w:hAnsi="仿宋" w:eastAsia="仿宋" w:cs="仿宋"/>
          <w:highlight w:val="none"/>
        </w:rPr>
        <w:t>生产能力要求：</w:t>
      </w:r>
      <w:r>
        <w:rPr>
          <w:rFonts w:hint="eastAsia" w:ascii="仿宋" w:hAnsi="仿宋" w:eastAsia="仿宋" w:cs="仿宋"/>
          <w:highlight w:val="none"/>
          <w:lang w:val="en-US" w:eastAsia="zh-CN"/>
        </w:rPr>
        <w:t>轮毂合件外环定量注脂节拍≤30秒；更换油桶（175Kg/桶）时间小于5分钟；产品切换时间小于5分钟。</w:t>
      </w:r>
    </w:p>
    <w:p>
      <w:pPr>
        <w:pStyle w:val="26"/>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lang w:val="en-US" w:eastAsia="zh-CN"/>
        </w:rPr>
        <w:t>前轮毂总成及注脂后</w:t>
      </w:r>
      <w:r>
        <w:rPr>
          <w:rFonts w:hint="eastAsia" w:ascii="仿宋" w:hAnsi="仿宋" w:eastAsia="仿宋" w:cs="仿宋"/>
          <w:highlight w:val="none"/>
        </w:rPr>
        <w:t>产品状态</w:t>
      </w:r>
      <w:r>
        <w:rPr>
          <w:rFonts w:hint="eastAsia" w:ascii="仿宋" w:hAnsi="仿宋" w:eastAsia="仿宋" w:cs="仿宋"/>
          <w:highlight w:val="none"/>
          <w:lang w:eastAsia="zh-CN"/>
        </w:rPr>
        <w:t>，</w:t>
      </w:r>
      <w:r>
        <w:rPr>
          <w:rFonts w:hint="eastAsia" w:ascii="仿宋" w:hAnsi="仿宋" w:eastAsia="仿宋" w:cs="仿宋"/>
          <w:highlight w:val="none"/>
          <w:lang w:val="en-US" w:eastAsia="zh-CN"/>
        </w:rPr>
        <w:t>如下图</w:t>
      </w:r>
      <w:r>
        <w:rPr>
          <w:rFonts w:hint="eastAsia" w:ascii="仿宋" w:hAnsi="仿宋" w:eastAsia="仿宋" w:cs="仿宋"/>
          <w:highlight w:val="none"/>
        </w:rPr>
        <w:t>：</w:t>
      </w:r>
    </w:p>
    <w:p>
      <w:pPr>
        <w:jc w:val="center"/>
        <w:rPr>
          <w:rFonts w:ascii="仿宋_GB2312" w:hAnsi="仿宋"/>
          <w:bCs/>
          <w:szCs w:val="28"/>
          <w:highlight w:val="none"/>
        </w:rPr>
      </w:pPr>
      <w:r>
        <w:rPr>
          <w:rFonts w:ascii="仿宋_GB2312" w:hAnsi="仿宋"/>
          <w:bCs/>
          <w:szCs w:val="28"/>
          <w:highlight w:val="none"/>
        </w:rPr>
        <w:drawing>
          <wp:inline distT="0" distB="0" distL="0" distR="0">
            <wp:extent cx="4236720" cy="1769110"/>
            <wp:effectExtent l="0" t="0" r="5080" b="8890"/>
            <wp:docPr id="9" name="图片 9" descr="C:\Users\ADMINI~1\AppData\Local\Temp\WeChat Files\0e0669a39354c23a7bb2b61d40819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1\AppData\Local\Temp\WeChat Files\0e0669a39354c23a7bb2b61d40819d2.png"/>
                    <pic:cNvPicPr>
                      <a:picLocks noChangeAspect="1" noChangeArrowheads="1"/>
                    </pic:cNvPicPr>
                  </pic:nvPicPr>
                  <pic:blipFill>
                    <a:blip r:embed="rId40" cstate="print">
                      <a:extLst>
                        <a:ext uri="{28A0092B-C50C-407E-A947-70E740481C1C}">
                          <a14:useLocalDpi xmlns:a14="http://schemas.microsoft.com/office/drawing/2010/main" val="0"/>
                        </a:ext>
                      </a:extLst>
                    </a:blip>
                    <a:srcRect t="8677" b="2096"/>
                    <a:stretch>
                      <a:fillRect/>
                    </a:stretch>
                  </pic:blipFill>
                  <pic:spPr>
                    <a:xfrm>
                      <a:off x="0" y="0"/>
                      <a:ext cx="4247380" cy="1773822"/>
                    </a:xfrm>
                    <a:prstGeom prst="rect">
                      <a:avLst/>
                    </a:prstGeom>
                    <a:noFill/>
                    <a:ln>
                      <a:noFill/>
                    </a:ln>
                  </pic:spPr>
                </pic:pic>
              </a:graphicData>
            </a:graphic>
          </wp:inline>
        </w:drawing>
      </w:r>
    </w:p>
    <w:p>
      <w:pPr>
        <w:pStyle w:val="26"/>
        <w:snapToGrid w:val="0"/>
        <w:spacing w:line="360" w:lineRule="auto"/>
        <w:ind w:firstLine="420" w:firstLineChars="200"/>
        <w:jc w:val="center"/>
        <w:rPr>
          <w:rFonts w:hint="eastAsia" w:ascii="仿宋" w:hAnsi="仿宋" w:eastAsia="仿宋" w:cs="仿宋"/>
          <w:highlight w:val="none"/>
        </w:rPr>
      </w:pPr>
      <w:r>
        <w:rPr>
          <w:rFonts w:hint="eastAsia" w:ascii="仿宋" w:hAnsi="仿宋" w:eastAsia="仿宋" w:cs="仿宋"/>
          <w:highlight w:val="none"/>
        </w:rPr>
        <w:t>无挡环鼓式</w:t>
      </w:r>
      <w:r>
        <w:rPr>
          <w:rFonts w:hint="eastAsia" w:ascii="仿宋" w:hAnsi="仿宋" w:eastAsia="仿宋" w:cs="仿宋"/>
          <w:highlight w:val="none"/>
          <w:lang w:val="en-US" w:eastAsia="zh-CN"/>
        </w:rPr>
        <w:t>前轮毂</w:t>
      </w:r>
      <w:r>
        <w:rPr>
          <w:rFonts w:hint="eastAsia" w:ascii="仿宋" w:hAnsi="仿宋" w:eastAsia="仿宋" w:cs="仿宋"/>
          <w:highlight w:val="none"/>
        </w:rPr>
        <w:t>合件               无挡环盘式</w:t>
      </w:r>
      <w:r>
        <w:rPr>
          <w:rFonts w:hint="eastAsia" w:ascii="仿宋" w:hAnsi="仿宋" w:eastAsia="仿宋" w:cs="仿宋"/>
          <w:highlight w:val="none"/>
          <w:lang w:val="en-US" w:eastAsia="zh-CN"/>
        </w:rPr>
        <w:t>前轮毂</w:t>
      </w:r>
      <w:r>
        <w:rPr>
          <w:rFonts w:hint="eastAsia" w:ascii="仿宋" w:hAnsi="仿宋" w:eastAsia="仿宋" w:cs="仿宋"/>
          <w:highlight w:val="none"/>
        </w:rPr>
        <w:t>合件</w:t>
      </w:r>
    </w:p>
    <w:p>
      <w:pPr>
        <w:jc w:val="center"/>
        <w:rPr>
          <w:rFonts w:ascii="仿宋_GB2312" w:hAnsi="仿宋"/>
          <w:bCs/>
          <w:sz w:val="21"/>
          <w:szCs w:val="21"/>
          <w:highlight w:val="none"/>
        </w:rPr>
      </w:pPr>
      <w:r>
        <w:rPr>
          <w:rFonts w:ascii="仿宋_GB2312" w:hAnsi="仿宋"/>
          <w:bCs/>
          <w:sz w:val="21"/>
          <w:szCs w:val="21"/>
          <w:highlight w:val="none"/>
        </w:rPr>
        <w:drawing>
          <wp:inline distT="0" distB="0" distL="0" distR="0">
            <wp:extent cx="2012315" cy="1640840"/>
            <wp:effectExtent l="0" t="0" r="6985" b="10160"/>
            <wp:docPr id="10" name="图片 10" descr="C:\Users\ADMINI~1\AppData\Local\Temp\WeChat Files\d91a4dce89378eee5c148fdf9741d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1\AppData\Local\Temp\WeChat Files\d91a4dce89378eee5c148fdf9741d2b.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016640" cy="1644263"/>
                    </a:xfrm>
                    <a:prstGeom prst="rect">
                      <a:avLst/>
                    </a:prstGeom>
                    <a:noFill/>
                    <a:ln>
                      <a:noFill/>
                    </a:ln>
                  </pic:spPr>
                </pic:pic>
              </a:graphicData>
            </a:graphic>
          </wp:inline>
        </w:drawing>
      </w:r>
      <w:r>
        <w:rPr>
          <w:rFonts w:ascii="仿宋_GB2312" w:hAnsi="仿宋"/>
          <w:bCs/>
          <w:sz w:val="21"/>
          <w:szCs w:val="21"/>
          <w:highlight w:val="none"/>
        </w:rPr>
        <w:drawing>
          <wp:inline distT="0" distB="0" distL="0" distR="0">
            <wp:extent cx="2226310" cy="1645920"/>
            <wp:effectExtent l="0" t="0" r="889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34561" cy="1651868"/>
                    </a:xfrm>
                    <a:prstGeom prst="rect">
                      <a:avLst/>
                    </a:prstGeom>
                  </pic:spPr>
                </pic:pic>
              </a:graphicData>
            </a:graphic>
          </wp:inline>
        </w:drawing>
      </w:r>
    </w:p>
    <w:p>
      <w:pPr>
        <w:pStyle w:val="26"/>
        <w:snapToGrid w:val="0"/>
        <w:spacing w:line="360" w:lineRule="auto"/>
        <w:ind w:firstLine="420" w:firstLineChars="200"/>
        <w:jc w:val="center"/>
        <w:rPr>
          <w:rFonts w:hint="eastAsia" w:ascii="仿宋" w:hAnsi="仿宋" w:eastAsia="仿宋" w:cs="仿宋"/>
          <w:highlight w:val="none"/>
        </w:rPr>
      </w:pPr>
      <w:r>
        <w:rPr>
          <w:rFonts w:hint="eastAsia" w:ascii="仿宋" w:hAnsi="仿宋" w:eastAsia="仿宋" w:cs="仿宋"/>
          <w:highlight w:val="none"/>
        </w:rPr>
        <w:t>有挡环鼓式</w:t>
      </w:r>
      <w:r>
        <w:rPr>
          <w:rFonts w:hint="eastAsia" w:ascii="仿宋" w:hAnsi="仿宋" w:eastAsia="仿宋" w:cs="仿宋"/>
          <w:highlight w:val="none"/>
          <w:lang w:val="en-US" w:eastAsia="zh-CN"/>
        </w:rPr>
        <w:t>前轮毂</w:t>
      </w:r>
      <w:r>
        <w:rPr>
          <w:rFonts w:hint="eastAsia" w:ascii="仿宋" w:hAnsi="仿宋" w:eastAsia="仿宋" w:cs="仿宋"/>
          <w:highlight w:val="none"/>
        </w:rPr>
        <w:t>合件              有挡环盘式</w:t>
      </w:r>
      <w:r>
        <w:rPr>
          <w:rFonts w:hint="eastAsia" w:ascii="仿宋" w:hAnsi="仿宋" w:eastAsia="仿宋" w:cs="仿宋"/>
          <w:highlight w:val="none"/>
          <w:lang w:val="en-US" w:eastAsia="zh-CN"/>
        </w:rPr>
        <w:t>前轮毂</w:t>
      </w:r>
      <w:r>
        <w:rPr>
          <w:rFonts w:hint="eastAsia" w:ascii="仿宋" w:hAnsi="仿宋" w:eastAsia="仿宋" w:cs="仿宋"/>
          <w:highlight w:val="none"/>
        </w:rPr>
        <w:t>合件</w:t>
      </w:r>
    </w:p>
    <w:p>
      <w:pPr>
        <w:pStyle w:val="26"/>
        <w:snapToGrid w:val="0"/>
        <w:spacing w:line="360" w:lineRule="auto"/>
        <w:ind w:firstLine="420" w:firstLineChars="200"/>
        <w:jc w:val="center"/>
        <w:rPr>
          <w:rFonts w:hint="eastAsia" w:ascii="仿宋_GB2312" w:hAnsi="仿宋" w:eastAsia="仿宋_GB2312"/>
          <w:bCs/>
          <w:szCs w:val="28"/>
          <w:highlight w:val="none"/>
          <w:lang w:eastAsia="zh-CN"/>
        </w:rPr>
      </w:pPr>
      <w:r>
        <w:rPr>
          <w:rFonts w:hint="eastAsia" w:ascii="仿宋_GB2312" w:hAnsi="仿宋" w:eastAsia="仿宋_GB2312"/>
          <w:bCs/>
          <w:szCs w:val="28"/>
          <w:highlight w:val="none"/>
          <w:lang w:eastAsia="zh-CN"/>
        </w:rPr>
        <w:drawing>
          <wp:inline distT="0" distB="0" distL="114300" distR="114300">
            <wp:extent cx="2213610" cy="1234440"/>
            <wp:effectExtent l="0" t="0" r="8890" b="10160"/>
            <wp:docPr id="7" name="图片 7" descr="1dd276e95f4f92c2676e38a2c96b8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dd276e95f4f92c2676e38a2c96b8e2"/>
                    <pic:cNvPicPr>
                      <a:picLocks noChangeAspect="1"/>
                    </pic:cNvPicPr>
                  </pic:nvPicPr>
                  <pic:blipFill>
                    <a:blip r:embed="rId43"/>
                    <a:srcRect r="3247"/>
                    <a:stretch>
                      <a:fillRect/>
                    </a:stretch>
                  </pic:blipFill>
                  <pic:spPr>
                    <a:xfrm>
                      <a:off x="0" y="0"/>
                      <a:ext cx="2213610" cy="123444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center"/>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后轮毂</w:t>
      </w:r>
      <w:r>
        <w:rPr>
          <w:rFonts w:hint="eastAsia" w:ascii="仿宋" w:hAnsi="仿宋" w:eastAsia="仿宋" w:cs="仿宋"/>
          <w:highlight w:val="none"/>
        </w:rPr>
        <w:t>合件</w:t>
      </w:r>
    </w:p>
    <w:p>
      <w:pPr>
        <w:ind w:firstLine="630" w:firstLineChars="300"/>
        <w:rPr>
          <w:rFonts w:hint="eastAsia" w:ascii="仿宋" w:hAnsi="仿宋" w:eastAsia="仿宋" w:cs="仿宋"/>
          <w:highlight w:val="none"/>
          <w:lang w:val="en-US" w:eastAsia="zh-CN"/>
        </w:rPr>
      </w:pPr>
      <w:r>
        <w:rPr>
          <w:rFonts w:hint="eastAsia" w:ascii="仿宋" w:hAnsi="仿宋" w:eastAsia="仿宋" w:cs="仿宋"/>
          <w:highlight w:val="none"/>
          <w:lang w:val="en-US" w:eastAsia="zh-CN"/>
        </w:rPr>
        <w:t>前轮毂总成重量约80Kg、</w:t>
      </w:r>
      <w:r>
        <w:rPr>
          <w:rFonts w:hint="eastAsia" w:ascii="仿宋" w:hAnsi="仿宋" w:eastAsia="仿宋" w:cs="仿宋"/>
          <w:highlight w:val="none"/>
        </w:rPr>
        <w:t>轮毂总成重量约80Kg</w:t>
      </w:r>
      <w:r>
        <w:rPr>
          <w:rFonts w:hint="eastAsia" w:ascii="仿宋" w:hAnsi="仿宋" w:eastAsia="仿宋" w:cs="仿宋"/>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3.1.2工艺要求</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（1）工艺流程（参考）：</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default" w:ascii="仿宋" w:hAnsi="仿宋" w:eastAsia="仿宋" w:cs="仿宋"/>
          <w:highlight w:val="none"/>
          <w:lang w:val="en-US" w:eastAsia="zh-CN"/>
        </w:rPr>
      </w:pPr>
      <w:r>
        <w:rPr>
          <w:rFonts w:hint="eastAsia" w:ascii="仿宋" w:hAnsi="仿宋" w:eastAsia="仿宋" w:cs="仿宋"/>
          <w:highlight w:val="none"/>
          <w:lang w:val="en-US" w:eastAsia="zh-CN"/>
        </w:rPr>
        <w:t>前轮毂总成吊装→描产品二维码（识别桥型及确定注脂量，信息追溯）→注脂工装到位→注脂设备自动将润滑脂均匀涂抹定量至前轮毂总内→注脂工装移开→将前轮毂总成安装至桥总成上。</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前轮毂合件在周转架中处于轴线水平状态，向前桥总成上安装时依然沿轴线水平状态，如下图：</w:t>
      </w:r>
    </w:p>
    <w:p>
      <w:pPr>
        <w:pStyle w:val="26"/>
        <w:snapToGrid w:val="0"/>
        <w:spacing w:line="360" w:lineRule="auto"/>
        <w:ind w:firstLine="420" w:firstLineChars="200"/>
        <w:rPr>
          <w:highlight w:val="none"/>
        </w:rPr>
      </w:pPr>
      <w:r>
        <w:rPr>
          <w:highlight w:val="none"/>
        </w:rPr>
        <w:drawing>
          <wp:inline distT="0" distB="0" distL="114300" distR="114300">
            <wp:extent cx="4556125" cy="1374775"/>
            <wp:effectExtent l="0" t="0" r="317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4"/>
                    <a:stretch>
                      <a:fillRect/>
                    </a:stretch>
                  </pic:blipFill>
                  <pic:spPr>
                    <a:xfrm>
                      <a:off x="0" y="0"/>
                      <a:ext cx="4556125" cy="1374775"/>
                    </a:xfrm>
                    <a:prstGeom prst="rect">
                      <a:avLst/>
                    </a:prstGeom>
                    <a:noFill/>
                    <a:ln>
                      <a:noFill/>
                    </a:ln>
                  </pic:spPr>
                </pic:pic>
              </a:graphicData>
            </a:graphic>
          </wp:inline>
        </w:drawing>
      </w:r>
    </w:p>
    <w:p>
      <w:pPr>
        <w:pStyle w:val="26"/>
        <w:snapToGrid w:val="0"/>
        <w:spacing w:line="360" w:lineRule="auto"/>
        <w:ind w:firstLine="420" w:firstLineChars="20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前桥总成姿态</w:t>
      </w:r>
    </w:p>
    <w:p>
      <w:pPr>
        <w:autoSpaceDE w:val="0"/>
        <w:autoSpaceDN w:val="0"/>
        <w:adjustRightInd w:val="0"/>
        <w:spacing w:line="360" w:lineRule="auto"/>
        <w:ind w:firstLine="420" w:firstLineChars="200"/>
        <w:jc w:val="left"/>
        <w:rPr>
          <w:rFonts w:hint="eastAsia" w:ascii="仿宋" w:hAnsi="仿宋" w:eastAsia="仿宋" w:cs="仿宋"/>
          <w:highlight w:val="none"/>
        </w:rPr>
      </w:pPr>
      <w:r>
        <w:rPr>
          <w:rFonts w:hint="eastAsia" w:ascii="仿宋" w:hAnsi="仿宋" w:eastAsia="仿宋" w:cs="仿宋"/>
          <w:highlight w:val="none"/>
          <w:lang w:val="en-US" w:eastAsia="zh-CN"/>
        </w:rPr>
        <w:t>后</w:t>
      </w:r>
      <w:r>
        <w:rPr>
          <w:rFonts w:hint="eastAsia" w:ascii="仿宋" w:hAnsi="仿宋" w:eastAsia="仿宋" w:cs="仿宋"/>
          <w:highlight w:val="none"/>
        </w:rPr>
        <w:t>轮毂合件在周转架中处于轴线</w:t>
      </w:r>
      <w:r>
        <w:rPr>
          <w:rFonts w:hint="eastAsia" w:ascii="仿宋" w:hAnsi="仿宋" w:eastAsia="仿宋" w:cs="仿宋"/>
          <w:highlight w:val="none"/>
          <w:lang w:val="en-US" w:eastAsia="zh-CN"/>
        </w:rPr>
        <w:t>垂直</w:t>
      </w:r>
      <w:r>
        <w:rPr>
          <w:rFonts w:hint="eastAsia" w:ascii="仿宋" w:hAnsi="仿宋" w:eastAsia="仿宋" w:cs="仿宋"/>
          <w:highlight w:val="none"/>
        </w:rPr>
        <w:t>状态，向</w:t>
      </w:r>
      <w:r>
        <w:rPr>
          <w:rFonts w:hint="eastAsia" w:ascii="仿宋" w:hAnsi="仿宋" w:eastAsia="仿宋" w:cs="仿宋"/>
          <w:highlight w:val="none"/>
          <w:lang w:val="en-US" w:eastAsia="zh-CN"/>
        </w:rPr>
        <w:t>后</w:t>
      </w:r>
      <w:r>
        <w:rPr>
          <w:rFonts w:hint="eastAsia" w:ascii="仿宋" w:hAnsi="仿宋" w:eastAsia="仿宋" w:cs="仿宋"/>
          <w:highlight w:val="none"/>
        </w:rPr>
        <w:t>桥总成上安装时</w:t>
      </w:r>
      <w:r>
        <w:rPr>
          <w:rFonts w:hint="eastAsia" w:ascii="仿宋" w:hAnsi="仿宋" w:eastAsia="仿宋" w:cs="仿宋"/>
          <w:highlight w:val="none"/>
          <w:lang w:val="en-US" w:eastAsia="zh-CN"/>
        </w:rPr>
        <w:t>是</w:t>
      </w:r>
      <w:r>
        <w:rPr>
          <w:rFonts w:hint="eastAsia" w:ascii="仿宋" w:hAnsi="仿宋" w:eastAsia="仿宋" w:cs="仿宋"/>
          <w:highlight w:val="none"/>
        </w:rPr>
        <w:t>轴线水平状态，如下图：</w:t>
      </w:r>
    </w:p>
    <w:p>
      <w:pPr>
        <w:pStyle w:val="12"/>
        <w:tabs>
          <w:tab w:val="left" w:pos="1620"/>
        </w:tabs>
        <w:rPr>
          <w:highlight w:val="none"/>
        </w:rPr>
      </w:pPr>
      <w:r>
        <w:rPr>
          <w:rFonts w:hint="eastAsia"/>
          <w:sz w:val="21"/>
          <w:szCs w:val="21"/>
          <w:highlight w:val="none"/>
          <w:lang w:val="en-US" w:eastAsia="zh-CN"/>
        </w:rPr>
        <w:drawing>
          <wp:inline distT="0" distB="0" distL="114300" distR="114300">
            <wp:extent cx="1141730" cy="1523365"/>
            <wp:effectExtent l="0" t="0" r="1270" b="635"/>
            <wp:docPr id="12" name="图片 12" descr="3c74d57e58fbbc02017d10f43b0ff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c74d57e58fbbc02017d10f43b0ff9b"/>
                    <pic:cNvPicPr>
                      <a:picLocks noChangeAspect="1"/>
                    </pic:cNvPicPr>
                  </pic:nvPicPr>
                  <pic:blipFill>
                    <a:blip r:embed="rId45"/>
                    <a:stretch>
                      <a:fillRect/>
                    </a:stretch>
                  </pic:blipFill>
                  <pic:spPr>
                    <a:xfrm>
                      <a:off x="0" y="0"/>
                      <a:ext cx="1141730" cy="1523365"/>
                    </a:xfrm>
                    <a:prstGeom prst="rect">
                      <a:avLst/>
                    </a:prstGeom>
                  </pic:spPr>
                </pic:pic>
              </a:graphicData>
            </a:graphic>
          </wp:inline>
        </w:drawing>
      </w:r>
      <w:r>
        <w:rPr>
          <w:highlight w:val="none"/>
        </w:rPr>
        <w:drawing>
          <wp:inline distT="0" distB="0" distL="114300" distR="114300">
            <wp:extent cx="3729355" cy="1450975"/>
            <wp:effectExtent l="0" t="0" r="4445" b="952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46"/>
                    <a:srcRect b="4032"/>
                    <a:stretch>
                      <a:fillRect/>
                    </a:stretch>
                  </pic:blipFill>
                  <pic:spPr>
                    <a:xfrm>
                      <a:off x="0" y="0"/>
                      <a:ext cx="3729355" cy="1450975"/>
                    </a:xfrm>
                    <a:prstGeom prst="rect">
                      <a:avLst/>
                    </a:prstGeom>
                    <a:noFill/>
                    <a:ln>
                      <a:noFill/>
                    </a:ln>
                  </pic:spPr>
                </pic:pic>
              </a:graphicData>
            </a:graphic>
          </wp:inline>
        </w:drawing>
      </w:r>
    </w:p>
    <w:p>
      <w:pPr>
        <w:pStyle w:val="26"/>
        <w:snapToGrid w:val="0"/>
        <w:spacing w:line="360" w:lineRule="auto"/>
        <w:ind w:firstLine="420" w:firstLineChars="20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后桥总成姿态</w:t>
      </w:r>
    </w:p>
    <w:p>
      <w:pPr>
        <w:pStyle w:val="26"/>
        <w:snapToGrid w:val="0"/>
        <w:spacing w:line="360" w:lineRule="auto"/>
        <w:ind w:firstLine="420" w:firstLineChars="200"/>
        <w:rPr>
          <w:rFonts w:hint="eastAsia" w:ascii="仿宋" w:hAnsi="仿宋" w:eastAsia="仿宋" w:cs="仿宋"/>
          <w:highlight w:val="none"/>
          <w:lang w:val="en-US" w:eastAsia="zh-CN"/>
        </w:rPr>
      </w:pPr>
      <w:r>
        <w:rPr>
          <w:rFonts w:hint="eastAsia" w:ascii="仿宋" w:hAnsi="仿宋" w:eastAsia="仿宋" w:cs="仿宋"/>
          <w:highlight w:val="none"/>
          <w:lang w:val="en-US" w:eastAsia="zh-CN"/>
        </w:rPr>
        <w:t>（2）注脂定量要求：</w:t>
      </w:r>
    </w:p>
    <w:tbl>
      <w:tblPr>
        <w:tblStyle w:val="43"/>
        <w:tblW w:w="8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801"/>
        <w:gridCol w:w="1504"/>
        <w:gridCol w:w="1463"/>
        <w:gridCol w:w="2342"/>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115"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产品</w:t>
            </w:r>
          </w:p>
        </w:tc>
        <w:tc>
          <w:tcPr>
            <w:tcW w:w="801"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eastAsia="宋体" w:cs="宋体"/>
                <w:bCs/>
                <w:kern w:val="0"/>
                <w:sz w:val="21"/>
                <w:szCs w:val="21"/>
                <w:highlight w:val="none"/>
              </w:rPr>
            </w:pPr>
            <w:r>
              <w:rPr>
                <w:rFonts w:hint="eastAsia" w:ascii="仿宋" w:hAnsi="仿宋" w:eastAsia="仿宋" w:cs="仿宋"/>
                <w:sz w:val="21"/>
                <w:szCs w:val="21"/>
                <w:highlight w:val="none"/>
                <w:lang w:val="en-US" w:eastAsia="zh-CN"/>
              </w:rPr>
              <w:t>机型</w:t>
            </w:r>
          </w:p>
        </w:tc>
        <w:tc>
          <w:tcPr>
            <w:tcW w:w="1504" w:type="dxa"/>
            <w:vAlign w:val="center"/>
          </w:tcPr>
          <w:p>
            <w:pPr>
              <w:keepNext w:val="0"/>
              <w:keepLines w:val="0"/>
              <w:suppressLineNumbers w:val="0"/>
              <w:spacing w:before="0" w:beforeAutospacing="0" w:after="0" w:afterAutospacing="0" w:line="400" w:lineRule="exact"/>
              <w:ind w:left="0" w:right="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大端注脂量</w:t>
            </w:r>
          </w:p>
        </w:tc>
        <w:tc>
          <w:tcPr>
            <w:tcW w:w="1463" w:type="dxa"/>
            <w:vAlign w:val="center"/>
          </w:tcPr>
          <w:p>
            <w:pPr>
              <w:keepNext w:val="0"/>
              <w:keepLines w:val="0"/>
              <w:suppressLineNumbers w:val="0"/>
              <w:spacing w:before="0" w:beforeAutospacing="0" w:after="0" w:afterAutospacing="0" w:line="400" w:lineRule="exact"/>
              <w:ind w:left="0" w:right="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小端注脂量</w:t>
            </w:r>
          </w:p>
        </w:tc>
        <w:tc>
          <w:tcPr>
            <w:tcW w:w="2342" w:type="dxa"/>
          </w:tcPr>
          <w:p>
            <w:pPr>
              <w:keepNext w:val="0"/>
              <w:keepLines w:val="0"/>
              <w:suppressLineNumbers w:val="0"/>
              <w:spacing w:before="0" w:beforeAutospacing="0" w:after="0" w:afterAutospacing="0" w:line="400" w:lineRule="exact"/>
              <w:ind w:left="0" w:right="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适用产品</w:t>
            </w:r>
          </w:p>
        </w:tc>
        <w:tc>
          <w:tcPr>
            <w:tcW w:w="1065" w:type="dxa"/>
            <w:vAlign w:val="center"/>
          </w:tcPr>
          <w:p>
            <w:pPr>
              <w:keepNext w:val="0"/>
              <w:keepLines w:val="0"/>
              <w:suppressLineNumbers w:val="0"/>
              <w:spacing w:before="0" w:beforeAutospacing="0" w:after="0" w:afterAutospacing="0" w:line="400" w:lineRule="exact"/>
              <w:ind w:left="0" w:right="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15" w:type="dxa"/>
            <w:vMerge w:val="restart"/>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前轮毂</w:t>
            </w:r>
          </w:p>
        </w:tc>
        <w:tc>
          <w:tcPr>
            <w:tcW w:w="801" w:type="dxa"/>
            <w:vAlign w:val="center"/>
          </w:tcPr>
          <w:p>
            <w:pPr>
              <w:keepNext w:val="0"/>
              <w:keepLines w:val="0"/>
              <w:suppressLineNumbers w:val="0"/>
              <w:spacing w:before="0" w:beforeAutospacing="0" w:after="0" w:afterAutospacing="0" w:line="400" w:lineRule="exact"/>
              <w:ind w:left="0" w:right="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档位1</w:t>
            </w:r>
          </w:p>
        </w:tc>
        <w:tc>
          <w:tcPr>
            <w:tcW w:w="1504" w:type="dxa"/>
            <w:vAlign w:val="center"/>
          </w:tcPr>
          <w:p>
            <w:pPr>
              <w:keepNext w:val="0"/>
              <w:keepLines w:val="0"/>
              <w:suppressLineNumbers w:val="0"/>
              <w:spacing w:before="0" w:beforeAutospacing="0" w:after="0" w:afterAutospacing="0" w:line="400" w:lineRule="exact"/>
              <w:ind w:left="0" w:leftChars="0" w:right="0" w:right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350g</w:t>
            </w:r>
          </w:p>
        </w:tc>
        <w:tc>
          <w:tcPr>
            <w:tcW w:w="1463" w:type="dxa"/>
            <w:vAlign w:val="center"/>
          </w:tcPr>
          <w:p>
            <w:pPr>
              <w:keepNext w:val="0"/>
              <w:keepLines w:val="0"/>
              <w:suppressLineNumbers w:val="0"/>
              <w:spacing w:before="0" w:beforeAutospacing="0" w:after="0" w:afterAutospacing="0" w:line="400" w:lineRule="exact"/>
              <w:ind w:left="0" w:leftChars="0" w:right="0" w:right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150g</w:t>
            </w:r>
          </w:p>
        </w:tc>
        <w:tc>
          <w:tcPr>
            <w:tcW w:w="2342" w:type="dxa"/>
            <w:vAlign w:val="center"/>
          </w:tcPr>
          <w:p>
            <w:pPr>
              <w:keepNext w:val="0"/>
              <w:keepLines w:val="0"/>
              <w:suppressLineNumbers w:val="0"/>
              <w:spacing w:before="0" w:beforeAutospacing="0" w:after="0" w:afterAutospacing="0" w:line="400" w:lineRule="exact"/>
              <w:ind w:left="0" w:right="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HF7/9、HR7/9</w:t>
            </w:r>
          </w:p>
        </w:tc>
        <w:tc>
          <w:tcPr>
            <w:tcW w:w="1065" w:type="dxa"/>
            <w:vAlign w:val="center"/>
          </w:tcPr>
          <w:p>
            <w:pPr>
              <w:keepNext w:val="0"/>
              <w:keepLines w:val="0"/>
              <w:suppressLineNumbers w:val="0"/>
              <w:spacing w:before="0" w:beforeAutospacing="0" w:after="0" w:afterAutospacing="0" w:line="400" w:lineRule="exact"/>
              <w:ind w:left="0" w:right="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无挡环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15" w:type="dxa"/>
            <w:vMerge w:val="continue"/>
            <w:vAlign w:val="center"/>
          </w:tcPr>
          <w:p>
            <w:pPr>
              <w:keepNext w:val="0"/>
              <w:keepLines w:val="0"/>
              <w:suppressLineNumbers w:val="0"/>
              <w:spacing w:before="0" w:beforeAutospacing="0" w:after="0" w:afterAutospacing="0" w:line="400" w:lineRule="exact"/>
              <w:ind w:left="0" w:right="0"/>
              <w:jc w:val="center"/>
              <w:rPr>
                <w:rFonts w:hint="eastAsia" w:ascii="仿宋" w:hAnsi="仿宋" w:eastAsia="仿宋" w:cs="仿宋"/>
                <w:sz w:val="21"/>
                <w:szCs w:val="21"/>
                <w:highlight w:val="none"/>
                <w:lang w:val="en-US" w:eastAsia="zh-CN"/>
              </w:rPr>
            </w:pPr>
          </w:p>
        </w:tc>
        <w:tc>
          <w:tcPr>
            <w:tcW w:w="801" w:type="dxa"/>
            <w:vAlign w:val="center"/>
          </w:tcPr>
          <w:p>
            <w:pPr>
              <w:keepNext w:val="0"/>
              <w:keepLines w:val="0"/>
              <w:suppressLineNumbers w:val="0"/>
              <w:spacing w:before="0" w:beforeAutospacing="0" w:after="0" w:afterAutospacing="0" w:line="400" w:lineRule="exact"/>
              <w:ind w:left="0" w:right="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档位2</w:t>
            </w:r>
          </w:p>
        </w:tc>
        <w:tc>
          <w:tcPr>
            <w:tcW w:w="1504" w:type="dxa"/>
            <w:vAlign w:val="center"/>
          </w:tcPr>
          <w:p>
            <w:pPr>
              <w:keepNext w:val="0"/>
              <w:keepLines w:val="0"/>
              <w:suppressLineNumbers w:val="0"/>
              <w:spacing w:before="0" w:beforeAutospacing="0" w:after="0" w:afterAutospacing="0" w:line="400" w:lineRule="exact"/>
              <w:ind w:left="0" w:leftChars="0" w:right="0" w:right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180g</w:t>
            </w:r>
          </w:p>
        </w:tc>
        <w:tc>
          <w:tcPr>
            <w:tcW w:w="1463" w:type="dxa"/>
            <w:vAlign w:val="center"/>
          </w:tcPr>
          <w:p>
            <w:pPr>
              <w:keepNext w:val="0"/>
              <w:keepLines w:val="0"/>
              <w:suppressLineNumbers w:val="0"/>
              <w:spacing w:before="0" w:beforeAutospacing="0" w:after="0" w:afterAutospacing="0" w:line="400" w:lineRule="exact"/>
              <w:ind w:left="0" w:leftChars="0" w:right="0" w:right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120g</w:t>
            </w:r>
          </w:p>
        </w:tc>
        <w:tc>
          <w:tcPr>
            <w:tcW w:w="234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VGD71、VPD71D</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VGD50、VPD50C</w:t>
            </w:r>
          </w:p>
        </w:tc>
        <w:tc>
          <w:tcPr>
            <w:tcW w:w="1065" w:type="dxa"/>
            <w:vAlign w:val="center"/>
          </w:tcPr>
          <w:p>
            <w:pPr>
              <w:keepNext w:val="0"/>
              <w:keepLines w:val="0"/>
              <w:suppressLineNumbers w:val="0"/>
              <w:spacing w:before="0" w:beforeAutospacing="0" w:after="0" w:afterAutospacing="0" w:line="400" w:lineRule="exact"/>
              <w:ind w:left="0" w:right="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有挡环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5" w:type="dxa"/>
            <w:vMerge w:val="continue"/>
            <w:vAlign w:val="center"/>
          </w:tcPr>
          <w:p>
            <w:pPr>
              <w:keepNext w:val="0"/>
              <w:keepLines w:val="0"/>
              <w:suppressLineNumbers w:val="0"/>
              <w:spacing w:before="0" w:beforeAutospacing="0" w:after="0" w:afterAutospacing="0" w:line="400" w:lineRule="exact"/>
              <w:ind w:left="0" w:right="0"/>
              <w:jc w:val="center"/>
              <w:rPr>
                <w:rFonts w:hint="eastAsia" w:ascii="仿宋" w:hAnsi="仿宋" w:eastAsia="仿宋" w:cs="仿宋"/>
                <w:sz w:val="21"/>
                <w:szCs w:val="21"/>
                <w:highlight w:val="none"/>
                <w:lang w:val="en-US" w:eastAsia="zh-CN"/>
              </w:rPr>
            </w:pPr>
          </w:p>
        </w:tc>
        <w:tc>
          <w:tcPr>
            <w:tcW w:w="801" w:type="dxa"/>
            <w:vAlign w:val="center"/>
          </w:tcPr>
          <w:p>
            <w:pPr>
              <w:keepNext w:val="0"/>
              <w:keepLines w:val="0"/>
              <w:suppressLineNumbers w:val="0"/>
              <w:spacing w:before="0" w:beforeAutospacing="0" w:after="0" w:afterAutospacing="0" w:line="400" w:lineRule="exact"/>
              <w:ind w:left="0" w:right="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档位3</w:t>
            </w:r>
          </w:p>
        </w:tc>
        <w:tc>
          <w:tcPr>
            <w:tcW w:w="1504" w:type="dxa"/>
            <w:vAlign w:val="center"/>
          </w:tcPr>
          <w:p>
            <w:pPr>
              <w:keepNext w:val="0"/>
              <w:keepLines w:val="0"/>
              <w:suppressLineNumbers w:val="0"/>
              <w:spacing w:before="0" w:beforeAutospacing="0" w:after="0" w:afterAutospacing="0" w:line="400" w:lineRule="exact"/>
              <w:ind w:left="0" w:leftChars="0" w:right="0" w:right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400g</w:t>
            </w:r>
          </w:p>
        </w:tc>
        <w:tc>
          <w:tcPr>
            <w:tcW w:w="1463" w:type="dxa"/>
            <w:vAlign w:val="center"/>
          </w:tcPr>
          <w:p>
            <w:pPr>
              <w:keepNext w:val="0"/>
              <w:keepLines w:val="0"/>
              <w:suppressLineNumbers w:val="0"/>
              <w:spacing w:before="0" w:beforeAutospacing="0" w:after="0" w:afterAutospacing="0" w:line="400" w:lineRule="exact"/>
              <w:ind w:left="0" w:leftChars="0" w:right="0" w:right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220g</w:t>
            </w:r>
          </w:p>
        </w:tc>
        <w:tc>
          <w:tcPr>
            <w:tcW w:w="234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VGD75/95、VPD75/95</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VGD50Q</w:t>
            </w:r>
          </w:p>
        </w:tc>
        <w:tc>
          <w:tcPr>
            <w:tcW w:w="1065" w:type="dxa"/>
            <w:vAlign w:val="center"/>
          </w:tcPr>
          <w:p>
            <w:pPr>
              <w:keepNext w:val="0"/>
              <w:keepLines w:val="0"/>
              <w:suppressLineNumbers w:val="0"/>
              <w:spacing w:before="0" w:beforeAutospacing="0" w:after="0" w:afterAutospacing="0" w:line="400" w:lineRule="exact"/>
              <w:ind w:left="0" w:right="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无挡环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5" w:type="dxa"/>
            <w:vMerge w:val="restart"/>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后轮毂</w:t>
            </w:r>
          </w:p>
        </w:tc>
        <w:tc>
          <w:tcPr>
            <w:tcW w:w="801" w:type="dxa"/>
            <w:shd w:val="clear" w:color="auto" w:fill="auto"/>
            <w:vAlign w:val="center"/>
          </w:tcPr>
          <w:p>
            <w:pPr>
              <w:keepNext w:val="0"/>
              <w:keepLines w:val="0"/>
              <w:suppressLineNumbers w:val="0"/>
              <w:spacing w:before="0" w:beforeAutospacing="0" w:after="0" w:afterAutospacing="0" w:line="400" w:lineRule="exact"/>
              <w:ind w:left="0" w:leftChars="0" w:right="0" w:right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档位1</w:t>
            </w:r>
          </w:p>
        </w:tc>
        <w:tc>
          <w:tcPr>
            <w:tcW w:w="1504" w:type="dxa"/>
            <w:shd w:val="clear" w:color="auto" w:fill="auto"/>
            <w:vAlign w:val="center"/>
          </w:tcPr>
          <w:p>
            <w:pPr>
              <w:keepNext w:val="0"/>
              <w:keepLines w:val="0"/>
              <w:suppressLineNumbers w:val="0"/>
              <w:spacing w:before="0" w:beforeAutospacing="0" w:after="0" w:afterAutospacing="0" w:line="400" w:lineRule="exact"/>
              <w:ind w:left="0" w:leftChars="0" w:right="0" w:right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200g</w:t>
            </w:r>
          </w:p>
        </w:tc>
        <w:tc>
          <w:tcPr>
            <w:tcW w:w="1463" w:type="dxa"/>
            <w:shd w:val="clear" w:color="auto" w:fill="auto"/>
            <w:vAlign w:val="center"/>
          </w:tcPr>
          <w:p>
            <w:pPr>
              <w:keepNext w:val="0"/>
              <w:keepLines w:val="0"/>
              <w:suppressLineNumbers w:val="0"/>
              <w:spacing w:before="0" w:beforeAutospacing="0" w:after="0" w:afterAutospacing="0" w:line="400" w:lineRule="exact"/>
              <w:ind w:left="0" w:leftChars="0" w:right="0" w:right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300g</w:t>
            </w:r>
          </w:p>
        </w:tc>
        <w:tc>
          <w:tcPr>
            <w:tcW w:w="2342" w:type="dxa"/>
            <w:shd w:val="clear" w:color="auto" w:fill="auto"/>
            <w:vAlign w:val="top"/>
          </w:tcPr>
          <w:p>
            <w:pPr>
              <w:keepNext w:val="0"/>
              <w:keepLines w:val="0"/>
              <w:suppressLineNumbers w:val="0"/>
              <w:spacing w:before="0" w:beforeAutospacing="0" w:after="0" w:afterAutospacing="0" w:line="400" w:lineRule="exact"/>
              <w:ind w:left="0" w:leftChars="0" w:right="0" w:right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MCJ09BG</w:t>
            </w:r>
          </w:p>
        </w:tc>
        <w:tc>
          <w:tcPr>
            <w:tcW w:w="1065" w:type="dxa"/>
            <w:vAlign w:val="center"/>
          </w:tcPr>
          <w:p>
            <w:pPr>
              <w:keepNext w:val="0"/>
              <w:keepLines w:val="0"/>
              <w:suppressLineNumbers w:val="0"/>
              <w:spacing w:before="0" w:beforeAutospacing="0" w:after="0" w:afterAutospacing="0" w:line="400" w:lineRule="exact"/>
              <w:ind w:left="0" w:right="0"/>
              <w:jc w:val="center"/>
              <w:rPr>
                <w:rFonts w:hint="eastAsia" w:ascii="仿宋" w:hAnsi="仿宋" w:eastAsia="仿宋" w:cs="仿宋"/>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5" w:type="dxa"/>
            <w:vMerge w:val="continue"/>
            <w:vAlign w:val="center"/>
          </w:tcPr>
          <w:p>
            <w:pPr>
              <w:keepNext w:val="0"/>
              <w:keepLines w:val="0"/>
              <w:suppressLineNumbers w:val="0"/>
              <w:spacing w:before="0" w:beforeAutospacing="0" w:after="0" w:afterAutospacing="0" w:line="400" w:lineRule="exact"/>
              <w:ind w:left="0" w:right="0"/>
              <w:jc w:val="center"/>
              <w:rPr>
                <w:rFonts w:hint="eastAsia" w:ascii="仿宋" w:hAnsi="仿宋" w:eastAsia="仿宋" w:cs="仿宋"/>
                <w:sz w:val="21"/>
                <w:szCs w:val="21"/>
                <w:highlight w:val="none"/>
                <w:lang w:val="en-US" w:eastAsia="zh-CN"/>
              </w:rPr>
            </w:pPr>
          </w:p>
        </w:tc>
        <w:tc>
          <w:tcPr>
            <w:tcW w:w="801" w:type="dxa"/>
            <w:shd w:val="clear" w:color="auto" w:fill="auto"/>
            <w:vAlign w:val="center"/>
          </w:tcPr>
          <w:p>
            <w:pPr>
              <w:keepNext w:val="0"/>
              <w:keepLines w:val="0"/>
              <w:suppressLineNumbers w:val="0"/>
              <w:spacing w:before="0" w:beforeAutospacing="0" w:after="0" w:afterAutospacing="0" w:line="400" w:lineRule="exact"/>
              <w:ind w:left="0" w:leftChars="0" w:right="0" w:right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档位2</w:t>
            </w:r>
          </w:p>
        </w:tc>
        <w:tc>
          <w:tcPr>
            <w:tcW w:w="1504" w:type="dxa"/>
            <w:shd w:val="clear" w:color="auto" w:fill="auto"/>
            <w:vAlign w:val="center"/>
          </w:tcPr>
          <w:p>
            <w:pPr>
              <w:keepNext w:val="0"/>
              <w:keepLines w:val="0"/>
              <w:suppressLineNumbers w:val="0"/>
              <w:spacing w:before="0" w:beforeAutospacing="0" w:after="0" w:afterAutospacing="0" w:line="400" w:lineRule="exact"/>
              <w:ind w:left="0" w:leftChars="0" w:right="0" w:right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200g</w:t>
            </w:r>
          </w:p>
        </w:tc>
        <w:tc>
          <w:tcPr>
            <w:tcW w:w="1463" w:type="dxa"/>
            <w:shd w:val="clear" w:color="auto" w:fill="auto"/>
            <w:vAlign w:val="center"/>
          </w:tcPr>
          <w:p>
            <w:pPr>
              <w:keepNext w:val="0"/>
              <w:keepLines w:val="0"/>
              <w:suppressLineNumbers w:val="0"/>
              <w:spacing w:before="0" w:beforeAutospacing="0" w:after="0" w:afterAutospacing="0" w:line="400" w:lineRule="exact"/>
              <w:ind w:left="0" w:leftChars="0" w:right="0" w:right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300g</w:t>
            </w:r>
          </w:p>
        </w:tc>
        <w:tc>
          <w:tcPr>
            <w:tcW w:w="2342" w:type="dxa"/>
            <w:shd w:val="clear" w:color="auto" w:fill="auto"/>
            <w:vAlign w:val="top"/>
          </w:tcPr>
          <w:p>
            <w:pPr>
              <w:keepNext w:val="0"/>
              <w:keepLines w:val="0"/>
              <w:suppressLineNumbers w:val="0"/>
              <w:spacing w:before="0" w:beforeAutospacing="0" w:after="0" w:afterAutospacing="0" w:line="400" w:lineRule="exact"/>
              <w:ind w:left="0" w:leftChars="0" w:right="0" w:right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MCJ11BG/MCJ12BG</w:t>
            </w:r>
          </w:p>
        </w:tc>
        <w:tc>
          <w:tcPr>
            <w:tcW w:w="1065" w:type="dxa"/>
            <w:vAlign w:val="center"/>
          </w:tcPr>
          <w:p>
            <w:pPr>
              <w:keepNext w:val="0"/>
              <w:keepLines w:val="0"/>
              <w:suppressLineNumbers w:val="0"/>
              <w:spacing w:before="0" w:beforeAutospacing="0" w:after="0" w:afterAutospacing="0" w:line="400" w:lineRule="exact"/>
              <w:ind w:left="0" w:right="0"/>
              <w:jc w:val="center"/>
              <w:rPr>
                <w:rFonts w:hint="eastAsia" w:ascii="仿宋" w:hAnsi="仿宋" w:eastAsia="仿宋" w:cs="仿宋"/>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5" w:type="dxa"/>
            <w:vMerge w:val="continue"/>
            <w:vAlign w:val="center"/>
          </w:tcPr>
          <w:p>
            <w:pPr>
              <w:keepNext w:val="0"/>
              <w:keepLines w:val="0"/>
              <w:suppressLineNumbers w:val="0"/>
              <w:spacing w:before="0" w:beforeAutospacing="0" w:after="0" w:afterAutospacing="0" w:line="400" w:lineRule="exact"/>
              <w:ind w:left="0" w:right="0"/>
              <w:jc w:val="center"/>
              <w:rPr>
                <w:rFonts w:hint="eastAsia" w:ascii="仿宋" w:hAnsi="仿宋" w:eastAsia="仿宋" w:cs="仿宋"/>
                <w:sz w:val="21"/>
                <w:szCs w:val="21"/>
                <w:highlight w:val="none"/>
                <w:lang w:val="en-US" w:eastAsia="zh-CN"/>
              </w:rPr>
            </w:pPr>
          </w:p>
        </w:tc>
        <w:tc>
          <w:tcPr>
            <w:tcW w:w="801" w:type="dxa"/>
            <w:shd w:val="clear" w:color="auto" w:fill="auto"/>
            <w:vAlign w:val="center"/>
          </w:tcPr>
          <w:p>
            <w:pPr>
              <w:keepNext w:val="0"/>
              <w:keepLines w:val="0"/>
              <w:suppressLineNumbers w:val="0"/>
              <w:spacing w:before="0" w:beforeAutospacing="0" w:after="0" w:afterAutospacing="0" w:line="400" w:lineRule="exact"/>
              <w:ind w:left="0" w:leftChars="0" w:right="0" w:right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档位3</w:t>
            </w:r>
          </w:p>
        </w:tc>
        <w:tc>
          <w:tcPr>
            <w:tcW w:w="1504" w:type="dxa"/>
            <w:shd w:val="clear" w:color="auto" w:fill="auto"/>
            <w:vAlign w:val="center"/>
          </w:tcPr>
          <w:p>
            <w:pPr>
              <w:keepNext w:val="0"/>
              <w:keepLines w:val="0"/>
              <w:suppressLineNumbers w:val="0"/>
              <w:spacing w:before="0" w:beforeAutospacing="0" w:after="0" w:afterAutospacing="0" w:line="400" w:lineRule="exact"/>
              <w:ind w:left="0" w:leftChars="0" w:right="0" w:right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130g</w:t>
            </w:r>
          </w:p>
        </w:tc>
        <w:tc>
          <w:tcPr>
            <w:tcW w:w="1463" w:type="dxa"/>
            <w:shd w:val="clear" w:color="auto" w:fill="auto"/>
            <w:vAlign w:val="center"/>
          </w:tcPr>
          <w:p>
            <w:pPr>
              <w:keepNext w:val="0"/>
              <w:keepLines w:val="0"/>
              <w:suppressLineNumbers w:val="0"/>
              <w:spacing w:before="0" w:beforeAutospacing="0" w:after="0" w:afterAutospacing="0" w:line="400" w:lineRule="exact"/>
              <w:ind w:left="0" w:leftChars="0" w:right="0" w:right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70g</w:t>
            </w:r>
          </w:p>
        </w:tc>
        <w:tc>
          <w:tcPr>
            <w:tcW w:w="2342" w:type="dxa"/>
            <w:shd w:val="clear" w:color="auto" w:fill="auto"/>
            <w:vAlign w:val="top"/>
          </w:tcPr>
          <w:p>
            <w:pPr>
              <w:keepNext w:val="0"/>
              <w:keepLines w:val="0"/>
              <w:suppressLineNumbers w:val="0"/>
              <w:spacing w:before="0" w:beforeAutospacing="0" w:after="0" w:afterAutospacing="0" w:line="400" w:lineRule="exact"/>
              <w:ind w:left="0" w:leftChars="0" w:right="0" w:right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MCE05</w:t>
            </w:r>
          </w:p>
        </w:tc>
        <w:tc>
          <w:tcPr>
            <w:tcW w:w="1065" w:type="dxa"/>
            <w:vAlign w:val="center"/>
          </w:tcPr>
          <w:p>
            <w:pPr>
              <w:keepNext w:val="0"/>
              <w:keepLines w:val="0"/>
              <w:suppressLineNumbers w:val="0"/>
              <w:spacing w:before="0" w:beforeAutospacing="0" w:after="0" w:afterAutospacing="0" w:line="400" w:lineRule="exact"/>
              <w:ind w:left="0" w:right="0"/>
              <w:jc w:val="center"/>
              <w:rPr>
                <w:rFonts w:hint="eastAsia" w:ascii="仿宋" w:hAnsi="仿宋" w:eastAsia="仿宋" w:cs="仿宋"/>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0" w:type="dxa"/>
            <w:gridSpan w:val="6"/>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以上注脂量精度±5%以内，涂抹HP-R 极压负荷锂基润滑脂</w:t>
            </w:r>
          </w:p>
        </w:tc>
      </w:tr>
    </w:tbl>
    <w:p>
      <w:pPr>
        <w:pStyle w:val="26"/>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3.1.</w:t>
      </w:r>
      <w:r>
        <w:rPr>
          <w:rFonts w:hint="eastAsia" w:ascii="仿宋" w:hAnsi="仿宋" w:eastAsia="仿宋" w:cs="仿宋"/>
          <w:highlight w:val="none"/>
          <w:lang w:val="en-US" w:eastAsia="zh-CN"/>
        </w:rPr>
        <w:t>3</w:t>
      </w:r>
      <w:r>
        <w:rPr>
          <w:rFonts w:hint="eastAsia" w:ascii="仿宋" w:hAnsi="仿宋" w:eastAsia="仿宋" w:cs="仿宋"/>
          <w:highlight w:val="none"/>
        </w:rPr>
        <w:t>布置布局：</w:t>
      </w:r>
    </w:p>
    <w:p>
      <w:pPr>
        <w:pStyle w:val="26"/>
        <w:snapToGrid w:val="0"/>
        <w:spacing w:line="360" w:lineRule="auto"/>
        <w:ind w:firstLine="420" w:firstLineChars="200"/>
        <w:rPr>
          <w:rFonts w:hint="eastAsia" w:ascii="仿宋" w:hAnsi="仿宋" w:eastAsia="仿宋" w:cs="仿宋"/>
          <w:highlight w:val="none"/>
          <w:lang w:val="en-US" w:eastAsia="zh-CN"/>
        </w:rPr>
      </w:pPr>
      <w:r>
        <w:rPr>
          <w:rFonts w:hint="eastAsia" w:ascii="仿宋" w:hAnsi="仿宋" w:eastAsia="仿宋" w:cs="仿宋"/>
          <w:highlight w:val="none"/>
          <w:lang w:val="en-US" w:eastAsia="zh-CN"/>
        </w:rPr>
        <w:t>前轮毂总成注脂机，布置于前桥装配A线和B线的左右两侧，每台设备整体占地面积占地面积尽可能小，≤1.5m×2m。</w:t>
      </w:r>
    </w:p>
    <w:p>
      <w:pPr>
        <w:pStyle w:val="26"/>
        <w:snapToGrid w:val="0"/>
        <w:spacing w:line="360" w:lineRule="auto"/>
        <w:ind w:firstLine="420" w:firstLineChars="200"/>
        <w:rPr>
          <w:rFonts w:hint="eastAsia" w:ascii="仿宋" w:hAnsi="仿宋" w:eastAsia="仿宋" w:cs="仿宋"/>
          <w:highlight w:val="none"/>
          <w:lang w:val="en-US" w:eastAsia="zh-CN"/>
        </w:rPr>
      </w:pPr>
      <w:r>
        <w:rPr>
          <w:rFonts w:hint="eastAsia" w:ascii="仿宋" w:hAnsi="仿宋" w:eastAsia="仿宋" w:cs="仿宋"/>
          <w:highlight w:val="none"/>
          <w:lang w:val="en-US" w:eastAsia="zh-CN"/>
        </w:rPr>
        <w:t>后轮毂总成注脂机，布置于驱动桥装配1线和AGV线的左右两侧，每台设备整体占地面积占地面积尽可能小，≤1.5m×2m。</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rPr>
      </w:pPr>
      <w:r>
        <w:rPr>
          <w:rFonts w:hint="eastAsia" w:ascii="仿宋" w:hAnsi="仿宋" w:eastAsia="仿宋" w:cs="仿宋"/>
          <w:highlight w:val="none"/>
        </w:rPr>
        <w:t>3.1.</w:t>
      </w:r>
      <w:r>
        <w:rPr>
          <w:rFonts w:hint="eastAsia" w:ascii="仿宋" w:hAnsi="仿宋" w:eastAsia="仿宋" w:cs="仿宋"/>
          <w:highlight w:val="none"/>
          <w:lang w:val="en-US" w:eastAsia="zh-CN"/>
        </w:rPr>
        <w:t>4设备</w:t>
      </w:r>
      <w:r>
        <w:rPr>
          <w:rFonts w:hint="eastAsia" w:ascii="仿宋" w:hAnsi="仿宋" w:eastAsia="仿宋" w:cs="仿宋"/>
          <w:highlight w:val="none"/>
        </w:rPr>
        <w:t>功能</w:t>
      </w:r>
      <w:r>
        <w:rPr>
          <w:rFonts w:hint="eastAsia" w:ascii="仿宋" w:hAnsi="仿宋" w:eastAsia="仿宋" w:cs="仿宋"/>
          <w:highlight w:val="none"/>
          <w:lang w:val="en-US" w:eastAsia="zh-CN"/>
        </w:rPr>
        <w:t>和要求</w:t>
      </w:r>
      <w:r>
        <w:rPr>
          <w:rFonts w:hint="eastAsia" w:ascii="仿宋" w:hAnsi="仿宋" w:eastAsia="仿宋" w:cs="仿宋"/>
          <w:highlight w:val="none"/>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定量注脂设备主要包含定量控制系统和加注工装，实现前轮毂总成大小端轴承外环定量注脂，保证注脂均匀。</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left"/>
        <w:textAlignment w:val="auto"/>
        <w:rPr>
          <w:rFonts w:hint="eastAsia" w:ascii="仿宋" w:hAnsi="仿宋" w:eastAsia="仿宋" w:cs="仿宋"/>
          <w:highlight w:val="none"/>
          <w:lang w:val="en-US" w:eastAsia="zh-CN"/>
        </w:rPr>
      </w:pPr>
      <w:r>
        <w:rPr>
          <w:rFonts w:hint="eastAsia" w:ascii="仿宋" w:hAnsi="仿宋" w:eastAsia="仿宋" w:cs="仿宋"/>
          <w:kern w:val="2"/>
          <w:sz w:val="24"/>
          <w:szCs w:val="24"/>
          <w:highlight w:val="none"/>
          <w:lang w:val="en-US" w:eastAsia="zh-CN" w:bidi="ar-SA"/>
        </w:rPr>
        <w:t>（1）</w:t>
      </w:r>
      <w:r>
        <w:rPr>
          <w:rFonts w:hint="eastAsia" w:ascii="仿宋" w:hAnsi="仿宋" w:eastAsia="仿宋" w:cs="仿宋"/>
          <w:highlight w:val="none"/>
          <w:lang w:val="en-US" w:eastAsia="zh-CN"/>
        </w:rPr>
        <w:t>定量控制系统包含但不限于润滑脂泵、双层密封压盘、气动升降立柱 、调压阀、流量阀、开关阀、加热装置、控制系统等。</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润滑脂泵，气动，采用GRACO、Atlas Copco、ARO等国际一线品牌。压力比≥40:1，流量≥10Kg/min。</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20" w:firstLineChars="200"/>
        <w:jc w:val="left"/>
        <w:textAlignment w:val="auto"/>
        <w:rPr>
          <w:rFonts w:hint="default" w:ascii="仿宋" w:hAnsi="仿宋" w:eastAsia="仿宋" w:cs="仿宋"/>
          <w:highlight w:val="none"/>
          <w:lang w:val="en-US" w:eastAsia="zh-CN"/>
        </w:rPr>
      </w:pPr>
      <w:r>
        <w:rPr>
          <w:rFonts w:hint="eastAsia" w:ascii="仿宋" w:hAnsi="仿宋" w:eastAsia="仿宋" w:cs="仿宋"/>
          <w:highlight w:val="none"/>
          <w:lang w:val="en-US" w:eastAsia="zh-CN"/>
        </w:rPr>
        <w:t>双层密封压盘与气动升降立柱，适用175Kg桶包装，压盘可进行充放气，立柱压力可调，换桶方便，桶内空气不影响定量精度，保证桶内润滑脂剩余量＜1Kg。</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调压阀、流量阀，采用采用GRACO、Atlas Copco、ARO等国际一线品牌，满足±5%精度使用要求。</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油脂管路，采用高压油管，内含钢丝网骨架，避免使用中膨胀变形。</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加热装置，用于冬季压盘及油管部位的加热，避免加注困难。</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20" w:firstLineChars="200"/>
        <w:jc w:val="left"/>
        <w:textAlignment w:val="auto"/>
        <w:rPr>
          <w:rFonts w:hint="default" w:ascii="仿宋" w:hAnsi="仿宋" w:eastAsia="仿宋" w:cs="仿宋"/>
          <w:highlight w:val="none"/>
          <w:lang w:val="en-US" w:eastAsia="zh-CN"/>
        </w:rPr>
      </w:pPr>
      <w:r>
        <w:rPr>
          <w:rFonts w:hint="eastAsia" w:ascii="仿宋" w:hAnsi="仿宋" w:eastAsia="仿宋" w:cs="仿宋"/>
          <w:highlight w:val="none"/>
          <w:lang w:val="en-US" w:eastAsia="zh-CN"/>
        </w:rPr>
        <w:t>控制系统，采用PLC+触摸屏控制，PLC选用西门子、三菱等国际一线品牌；可根据不同产品设定不同的机型，可人工增加、修改机型，该设置功能有密码保护；设备配置无线扫码枪，扫描桥总成条码后自动选择机型，按照机型内参数自动定量注脂，注脂结束后，保存注脂量、时间等数据，回跳至开始扫码界面；若注脂量少于要求，则设备报警，进入手动模式进行补脂，补脂量由设备自动计算并设置为默认值，两次注脂量均记录保存；若注脂量大于要求，设备报警，通过人工密码复位后进行后续装调，人工对注脂件处理。设备留有数据接口，与IOT系统或MES系统联网，具备接受IOT系统或MES系统的加注参数、上</w:t>
      </w:r>
      <w:r>
        <w:rPr>
          <w:rFonts w:hint="default" w:ascii="仿宋" w:hAnsi="仿宋" w:eastAsia="仿宋" w:cs="仿宋"/>
          <w:highlight w:val="none"/>
          <w:lang w:val="en-US" w:eastAsia="zh-CN"/>
        </w:rPr>
        <w:t>传</w:t>
      </w:r>
      <w:r>
        <w:rPr>
          <w:rFonts w:hint="eastAsia" w:ascii="仿宋" w:hAnsi="仿宋" w:eastAsia="仿宋" w:cs="仿宋"/>
          <w:highlight w:val="none"/>
          <w:lang w:val="en-US" w:eastAsia="zh-CN"/>
        </w:rPr>
        <w:t>实际加注量数据的</w:t>
      </w:r>
      <w:r>
        <w:rPr>
          <w:rFonts w:hint="default" w:ascii="仿宋" w:hAnsi="仿宋" w:eastAsia="仿宋" w:cs="仿宋"/>
          <w:highlight w:val="none"/>
          <w:lang w:val="en-US" w:eastAsia="zh-CN"/>
        </w:rPr>
        <w:t>功能。</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显示界面能够显示设备工作时间、各品种轮毂合件注脂完工数、润滑脂加注量统计、换桶提醒、按照天/周/月/年等的统计数据、设备报警等信息。</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20" w:firstLineChars="200"/>
        <w:jc w:val="left"/>
        <w:textAlignment w:val="auto"/>
        <w:rPr>
          <w:rFonts w:hint="default" w:ascii="仿宋" w:hAnsi="仿宋" w:eastAsia="仿宋" w:cs="仿宋"/>
          <w:highlight w:val="none"/>
          <w:lang w:val="en-US" w:eastAsia="zh-CN"/>
        </w:rPr>
      </w:pPr>
      <w:r>
        <w:rPr>
          <w:rFonts w:hint="eastAsia" w:ascii="仿宋" w:hAnsi="仿宋" w:eastAsia="仿宋" w:cs="仿宋"/>
          <w:highlight w:val="none"/>
          <w:lang w:val="en-US" w:eastAsia="zh-CN"/>
        </w:rPr>
        <w:t>注脂设备具备信息查询功能，能够通过桥总成流水号查询相应的注脂记录，并具备数据导出功能。</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20" w:firstLineChars="200"/>
        <w:jc w:val="left"/>
        <w:textAlignment w:val="auto"/>
        <w:rPr>
          <w:rFonts w:hint="default" w:ascii="仿宋" w:hAnsi="仿宋" w:eastAsia="仿宋" w:cs="仿宋"/>
          <w:highlight w:val="none"/>
          <w:lang w:val="en-US" w:eastAsia="zh-CN"/>
        </w:rPr>
      </w:pPr>
      <w:r>
        <w:rPr>
          <w:rFonts w:hint="eastAsia" w:ascii="仿宋" w:hAnsi="仿宋" w:eastAsia="仿宋" w:cs="仿宋"/>
          <w:highlight w:val="none"/>
          <w:lang w:val="en-US" w:eastAsia="zh-CN"/>
        </w:rPr>
        <w:t>设备具有防错功能，防止出现漏注或者空注等问题。</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设备具备注脂量校验、标定功能，配置校验装置，及校验作业说明书。</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default" w:ascii="仿宋" w:hAnsi="仿宋" w:eastAsia="仿宋" w:cs="仿宋"/>
          <w:highlight w:val="none"/>
          <w:lang w:val="en-US" w:eastAsia="zh-CN"/>
        </w:rPr>
      </w:pPr>
      <w:r>
        <w:rPr>
          <w:rFonts w:hint="eastAsia" w:ascii="仿宋" w:hAnsi="仿宋" w:eastAsia="仿宋" w:cs="仿宋"/>
          <w:highlight w:val="none"/>
          <w:lang w:val="en-US" w:eastAsia="zh-CN"/>
        </w:rPr>
        <w:t>设备均可选择自动或手动模式，以实现人工校对出脂量及故障模式下的手动注脂控制。</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线体两侧加注机向同一根桥的轮毂总成注润滑脂，仅扫一次码。配置的无线扫码枪，品牌选用海康、霍尼韦尔、新大陆等国际一线品牌。</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default" w:ascii="仿宋" w:hAnsi="仿宋" w:eastAsia="仿宋" w:cs="仿宋"/>
          <w:highlight w:val="none"/>
          <w:lang w:val="en-US" w:eastAsia="zh-CN"/>
        </w:rPr>
      </w:pPr>
      <w:r>
        <w:rPr>
          <w:rFonts w:hint="eastAsia" w:ascii="仿宋" w:hAnsi="仿宋" w:eastAsia="仿宋" w:cs="仿宋"/>
          <w:highlight w:val="none"/>
          <w:lang w:val="en-US" w:eastAsia="zh-CN"/>
        </w:rPr>
        <w:t>（2）加注工装</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加注工装，确保将定量控制系统传递来的定量润滑脂，均匀涂抹至轮毂总成大小端轴承外环上。</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加注工装兼容多种轮毂合件的注脂。产品换型时，可在2分钟内完成快速切换。具备新产品拓展功能。</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保证注脂过程防护有效，确保零部件防尘和清洁度，不会对零部件产生磕碰。</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default" w:ascii="仿宋" w:hAnsi="仿宋" w:eastAsia="仿宋" w:cs="仿宋"/>
          <w:highlight w:val="none"/>
          <w:lang w:val="en-US" w:eastAsia="zh-CN"/>
        </w:rPr>
      </w:pPr>
      <w:r>
        <w:rPr>
          <w:rFonts w:hint="eastAsia" w:ascii="仿宋" w:hAnsi="仿宋" w:eastAsia="仿宋" w:cs="仿宋"/>
          <w:highlight w:val="none"/>
          <w:lang w:val="en-US" w:eastAsia="zh-CN"/>
        </w:rPr>
        <w:t>确保注脂完成后，工装与工件分离时不能有润滑脂附着到非涂抹面、污染现场等情况</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工装整体结构简单，便于人工操作。</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default" w:ascii="仿宋" w:hAnsi="仿宋" w:eastAsia="仿宋" w:cs="仿宋"/>
          <w:highlight w:val="none"/>
          <w:lang w:val="en-US" w:eastAsia="zh-CN"/>
        </w:rPr>
      </w:pPr>
      <w:r>
        <w:rPr>
          <w:rFonts w:hint="eastAsia" w:ascii="仿宋" w:hAnsi="仿宋" w:eastAsia="仿宋" w:cs="仿宋"/>
          <w:highlight w:val="none"/>
          <w:lang w:val="en-US" w:eastAsia="zh-CN"/>
        </w:rPr>
        <w:t>（3）其它要求</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设备整体框架，钣金采用喷漆等防锈处理。零配件采用镀铬、阳极化、喷砂、发黑防锈处理。所有焊接结构采用满焊，探伤。</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default" w:ascii="仿宋" w:hAnsi="仿宋" w:eastAsia="仿宋" w:cs="仿宋"/>
          <w:highlight w:val="none"/>
          <w:lang w:val="en-US" w:eastAsia="zh-CN"/>
        </w:rPr>
        <w:t>润滑脂桶</w:t>
      </w:r>
      <w:r>
        <w:rPr>
          <w:rFonts w:hint="eastAsia" w:ascii="仿宋" w:hAnsi="仿宋" w:eastAsia="仿宋" w:cs="仿宋"/>
          <w:highlight w:val="none"/>
          <w:lang w:val="en-US" w:eastAsia="zh-CN"/>
        </w:rPr>
        <w:t>和设备可整体便捷移动。</w:t>
      </w:r>
    </w:p>
    <w:p>
      <w:pPr>
        <w:rPr>
          <w:rFonts w:hint="eastAsia" w:ascii="仿宋" w:hAnsi="仿宋" w:eastAsia="仿宋" w:cs="仿宋"/>
          <w:kern w:val="2"/>
          <w:sz w:val="24"/>
          <w:szCs w:val="24"/>
          <w:highlight w:val="none"/>
          <w:lang w:val="en-US" w:eastAsia="zh-CN" w:bidi="ar-SA"/>
        </w:rPr>
      </w:pPr>
    </w:p>
    <w:p>
      <w:pPr>
        <w:snapToGrid w:val="0"/>
        <w:spacing w:line="360" w:lineRule="auto"/>
        <w:ind w:firstLine="422" w:firstLineChars="200"/>
        <w:outlineLvl w:val="1"/>
        <w:rPr>
          <w:rFonts w:hint="eastAsia" w:ascii="仿宋" w:hAnsi="仿宋" w:eastAsia="仿宋" w:cs="仿宋"/>
          <w:b/>
          <w:bCs/>
          <w:highlight w:val="none"/>
          <w:lang w:val="en-US" w:eastAsia="zh-CN"/>
        </w:rPr>
      </w:pPr>
      <w:r>
        <w:rPr>
          <w:rFonts w:hint="eastAsia" w:ascii="仿宋" w:hAnsi="仿宋" w:eastAsia="仿宋" w:cs="仿宋"/>
          <w:b/>
          <w:bCs/>
          <w:highlight w:val="none"/>
          <w:lang w:val="en-US" w:eastAsia="zh-CN"/>
        </w:rPr>
        <w:t>3.2.轴承加热定量注脂机</w:t>
      </w:r>
    </w:p>
    <w:p>
      <w:pPr>
        <w:pStyle w:val="26"/>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3.</w:t>
      </w:r>
      <w:r>
        <w:rPr>
          <w:rFonts w:hint="eastAsia" w:ascii="仿宋" w:hAnsi="仿宋" w:eastAsia="仿宋" w:cs="仿宋"/>
          <w:highlight w:val="none"/>
          <w:lang w:val="en-US" w:eastAsia="zh-CN"/>
        </w:rPr>
        <w:t>2.1</w:t>
      </w:r>
      <w:r>
        <w:rPr>
          <w:rFonts w:hint="eastAsia" w:ascii="仿宋" w:hAnsi="仿宋" w:eastAsia="仿宋" w:cs="仿宋"/>
          <w:highlight w:val="none"/>
        </w:rPr>
        <w:t>生产能力及产品说明</w:t>
      </w:r>
    </w:p>
    <w:p>
      <w:pPr>
        <w:pStyle w:val="26"/>
        <w:snapToGrid w:val="0"/>
        <w:spacing w:line="360" w:lineRule="auto"/>
        <w:ind w:firstLine="420" w:firstLineChars="200"/>
        <w:rPr>
          <w:rFonts w:hint="eastAsia" w:ascii="仿宋" w:hAnsi="仿宋" w:eastAsia="仿宋" w:cs="仿宋"/>
          <w:highlight w:val="none"/>
          <w:lang w:val="en-US" w:eastAsia="zh-CN"/>
        </w:rPr>
      </w:pPr>
      <w:r>
        <w:rPr>
          <w:rFonts w:hint="eastAsia" w:ascii="仿宋" w:hAnsi="仿宋" w:eastAsia="仿宋" w:cs="仿宋"/>
          <w:highlight w:val="none"/>
        </w:rPr>
        <w:t>生产能力要求：</w:t>
      </w:r>
      <w:r>
        <w:rPr>
          <w:rFonts w:hint="eastAsia" w:ascii="仿宋" w:hAnsi="仿宋" w:eastAsia="仿宋" w:cs="仿宋"/>
          <w:highlight w:val="none"/>
          <w:lang w:val="en-US" w:eastAsia="zh-CN"/>
        </w:rPr>
        <w:t>轴承内环自动加热和定量注脂节拍≤25s</w:t>
      </w:r>
      <w:r>
        <w:rPr>
          <w:rFonts w:hint="eastAsia" w:ascii="宋体" w:hAnsi="宋体" w:cs="宋体"/>
          <w:highlight w:val="none"/>
          <w:lang w:eastAsia="zh-CN"/>
        </w:rPr>
        <w:t>；</w:t>
      </w:r>
      <w:r>
        <w:rPr>
          <w:rFonts w:hint="eastAsia" w:ascii="仿宋" w:hAnsi="仿宋" w:eastAsia="仿宋" w:cs="仿宋"/>
          <w:highlight w:val="none"/>
          <w:lang w:val="en-US" w:eastAsia="zh-CN"/>
        </w:rPr>
        <w:t>更换油桶（175Kg/桶）时间小于5分钟；产品切换时间小于5分钟。</w:t>
      </w:r>
    </w:p>
    <w:p>
      <w:pPr>
        <w:pStyle w:val="26"/>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lang w:val="en-US" w:eastAsia="zh-CN"/>
        </w:rPr>
        <w:t>轴承</w:t>
      </w:r>
      <w:r>
        <w:rPr>
          <w:rFonts w:hint="eastAsia" w:ascii="仿宋" w:hAnsi="仿宋" w:eastAsia="仿宋" w:cs="仿宋"/>
          <w:highlight w:val="none"/>
        </w:rPr>
        <w:t>产品状态</w:t>
      </w:r>
      <w:r>
        <w:rPr>
          <w:rFonts w:hint="eastAsia" w:ascii="仿宋" w:hAnsi="仿宋" w:eastAsia="仿宋" w:cs="仿宋"/>
          <w:highlight w:val="none"/>
          <w:lang w:eastAsia="zh-CN"/>
        </w:rPr>
        <w:t>，</w:t>
      </w:r>
      <w:r>
        <w:rPr>
          <w:rFonts w:hint="eastAsia" w:ascii="仿宋" w:hAnsi="仿宋" w:eastAsia="仿宋" w:cs="仿宋"/>
          <w:highlight w:val="none"/>
          <w:lang w:val="en-US" w:eastAsia="zh-CN"/>
        </w:rPr>
        <w:t>如下图</w:t>
      </w:r>
      <w:r>
        <w:rPr>
          <w:rFonts w:hint="eastAsia" w:ascii="仿宋" w:hAnsi="仿宋" w:eastAsia="仿宋" w:cs="仿宋"/>
          <w:highlight w:val="none"/>
        </w:rPr>
        <w:t>：</w:t>
      </w:r>
    </w:p>
    <w:p>
      <w:pPr>
        <w:jc w:val="center"/>
        <w:rPr>
          <w:rFonts w:ascii="仿宋_GB2312" w:hAnsi="仿宋"/>
          <w:bCs/>
          <w:szCs w:val="28"/>
          <w:highlight w:val="none"/>
        </w:rPr>
      </w:pPr>
      <w:r>
        <w:rPr>
          <w:rFonts w:ascii="仿宋_GB2312" w:hAnsi="仿宋"/>
          <w:bCs/>
          <w:color w:val="auto"/>
          <w:sz w:val="28"/>
          <w:szCs w:val="28"/>
          <w:highlight w:val="none"/>
        </w:rPr>
        <w:drawing>
          <wp:inline distT="0" distB="0" distL="0" distR="0">
            <wp:extent cx="2035175" cy="1332230"/>
            <wp:effectExtent l="0" t="0" r="9525"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47" cstate="print">
                      <a:extLst>
                        <a:ext uri="{28A0092B-C50C-407E-A947-70E740481C1C}">
                          <a14:useLocalDpi xmlns:a14="http://schemas.microsoft.com/office/drawing/2010/main" val="0"/>
                        </a:ext>
                      </a:extLst>
                    </a:blip>
                    <a:srcRect l="24217" t="6304" r="15149" b="7802"/>
                    <a:stretch>
                      <a:fillRect/>
                    </a:stretch>
                  </pic:blipFill>
                  <pic:spPr>
                    <a:xfrm>
                      <a:off x="0" y="0"/>
                      <a:ext cx="2035175" cy="13322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3.2.2工艺要求</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（1）工艺流程（参考）：</w:t>
      </w:r>
    </w:p>
    <w:p>
      <w:pPr>
        <w:pStyle w:val="12"/>
        <w:tabs>
          <w:tab w:val="left" w:pos="1620"/>
        </w:tabs>
        <w:rPr>
          <w:rFonts w:hint="eastAsia" w:ascii="仿宋" w:hAnsi="仿宋" w:eastAsia="仿宋" w:cs="仿宋"/>
          <w:highlight w:val="none"/>
          <w:lang w:val="en-US" w:eastAsia="zh-CN"/>
        </w:rPr>
      </w:pPr>
      <w:r>
        <w:rPr>
          <w:rFonts w:hint="eastAsia" w:ascii="仿宋" w:hAnsi="仿宋" w:eastAsia="仿宋" w:cs="仿宋"/>
          <w:highlight w:val="none"/>
          <w:lang w:val="en-US" w:eastAsia="zh-CN"/>
        </w:rPr>
        <w:t>前桥轴承注脂：人工扫描桥总成铭牌，将轴承放置于加热装置上加热→自动将轴承移至注脂工装→按预设量自动注脂→注脂完成后取出完成装配</w:t>
      </w:r>
    </w:p>
    <w:p>
      <w:pPr>
        <w:pStyle w:val="12"/>
        <w:tabs>
          <w:tab w:val="left" w:pos="1620"/>
        </w:tabs>
        <w:ind w:firstLine="480"/>
        <w:rPr>
          <w:rFonts w:hint="eastAsia" w:ascii="仿宋" w:hAnsi="仿宋" w:eastAsia="仿宋" w:cs="仿宋"/>
          <w:highlight w:val="none"/>
          <w:lang w:val="en-US" w:eastAsia="zh-CN"/>
        </w:rPr>
      </w:pPr>
      <w:r>
        <w:rPr>
          <w:rFonts w:hint="eastAsia" w:ascii="仿宋" w:hAnsi="仿宋" w:eastAsia="仿宋" w:cs="仿宋"/>
          <w:highlight w:val="none"/>
          <w:lang w:val="en-US" w:eastAsia="zh-CN"/>
        </w:rPr>
        <w:t>驱动桥轴承注脂：</w:t>
      </w:r>
      <w:r>
        <w:rPr>
          <w:rFonts w:hint="eastAsia" w:ascii="仿宋" w:hAnsi="仿宋" w:eastAsia="仿宋" w:cs="仿宋"/>
          <w:highlight w:val="none"/>
          <w:lang w:val="en-US"/>
        </w:rPr>
        <w:t>人工扫描</w:t>
      </w:r>
      <w:r>
        <w:rPr>
          <w:rFonts w:hint="eastAsia" w:ascii="仿宋" w:hAnsi="仿宋" w:eastAsia="仿宋" w:cs="仿宋"/>
          <w:highlight w:val="none"/>
          <w:lang w:val="en-US" w:eastAsia="zh-CN"/>
        </w:rPr>
        <w:t>轴承</w:t>
      </w:r>
      <w:r>
        <w:rPr>
          <w:rFonts w:hint="eastAsia" w:ascii="仿宋" w:hAnsi="仿宋" w:eastAsia="仿宋" w:cs="仿宋"/>
          <w:highlight w:val="none"/>
          <w:lang w:val="en-US"/>
        </w:rPr>
        <w:t>→将轴承放置于</w:t>
      </w:r>
      <w:r>
        <w:rPr>
          <w:rFonts w:hint="eastAsia" w:ascii="仿宋" w:hAnsi="仿宋" w:eastAsia="仿宋" w:cs="仿宋"/>
          <w:highlight w:val="none"/>
          <w:lang w:val="en-US" w:eastAsia="zh-CN"/>
        </w:rPr>
        <w:t>注脂机内</w:t>
      </w:r>
      <w:r>
        <w:rPr>
          <w:rFonts w:hint="eastAsia" w:ascii="仿宋" w:hAnsi="仿宋" w:eastAsia="仿宋" w:cs="仿宋"/>
          <w:highlight w:val="none"/>
          <w:lang w:val="en-US"/>
        </w:rPr>
        <w:t>→按预设量自动注脂→注脂完成后</w:t>
      </w:r>
      <w:r>
        <w:rPr>
          <w:rFonts w:hint="eastAsia" w:ascii="仿宋" w:hAnsi="仿宋" w:eastAsia="仿宋" w:cs="仿宋"/>
          <w:highlight w:val="none"/>
          <w:lang w:val="en-US" w:eastAsia="zh-CN"/>
        </w:rPr>
        <w:t>用专用工装</w:t>
      </w:r>
      <w:r>
        <w:rPr>
          <w:rFonts w:hint="eastAsia" w:ascii="仿宋" w:hAnsi="仿宋" w:eastAsia="仿宋" w:cs="仿宋"/>
          <w:highlight w:val="none"/>
          <w:lang w:val="en-US"/>
        </w:rPr>
        <w:t>取出</w:t>
      </w:r>
      <w:r>
        <w:rPr>
          <w:rFonts w:hint="eastAsia" w:ascii="仿宋" w:hAnsi="仿宋" w:eastAsia="仿宋" w:cs="仿宋"/>
          <w:highlight w:val="none"/>
          <w:lang w:val="en-US" w:eastAsia="zh-CN"/>
        </w:rPr>
        <w:t>。</w:t>
      </w:r>
    </w:p>
    <w:p>
      <w:pPr>
        <w:pStyle w:val="26"/>
        <w:numPr>
          <w:ilvl w:val="0"/>
          <w:numId w:val="7"/>
        </w:numPr>
        <w:snapToGrid w:val="0"/>
        <w:spacing w:line="360" w:lineRule="auto"/>
        <w:ind w:left="0" w:leftChars="0" w:firstLine="420" w:firstLineChars="200"/>
        <w:rPr>
          <w:rFonts w:hint="eastAsia" w:ascii="仿宋" w:hAnsi="仿宋" w:eastAsia="仿宋" w:cs="仿宋"/>
          <w:highlight w:val="none"/>
          <w:lang w:val="en-US" w:eastAsia="zh-CN"/>
        </w:rPr>
      </w:pPr>
      <w:r>
        <w:rPr>
          <w:rFonts w:hint="eastAsia" w:ascii="仿宋" w:hAnsi="仿宋" w:eastAsia="仿宋" w:cs="仿宋"/>
          <w:highlight w:val="none"/>
          <w:lang w:val="en-US" w:eastAsia="zh-CN"/>
        </w:rPr>
        <w:t>注脂定量要求：</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1307"/>
        <w:gridCol w:w="1229"/>
        <w:gridCol w:w="2663"/>
        <w:gridCol w:w="1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dxa"/>
            <w:vAlign w:val="center"/>
          </w:tcPr>
          <w:p>
            <w:pPr>
              <w:keepNext w:val="0"/>
              <w:keepLines w:val="0"/>
              <w:suppressLineNumbers w:val="0"/>
              <w:spacing w:before="0" w:beforeAutospacing="0" w:after="0" w:afterAutospacing="0" w:line="400" w:lineRule="exact"/>
              <w:ind w:left="0" w:leftChars="0" w:right="0" w:firstLine="0" w:firstLineChars="0"/>
              <w:jc w:val="center"/>
              <w:rPr>
                <w:rFonts w:hint="eastAsia" w:ascii="仿宋" w:hAnsi="仿宋" w:eastAsia="仿宋" w:cs="仿宋"/>
                <w:bCs/>
                <w:kern w:val="0"/>
                <w:sz w:val="21"/>
                <w:szCs w:val="21"/>
                <w:highlight w:val="none"/>
                <w:lang w:val="en-US"/>
              </w:rPr>
            </w:pPr>
            <w:r>
              <w:rPr>
                <w:rFonts w:hint="eastAsia" w:ascii="仿宋" w:hAnsi="仿宋" w:eastAsia="仿宋" w:cs="仿宋"/>
                <w:sz w:val="21"/>
                <w:szCs w:val="21"/>
                <w:highlight w:val="none"/>
                <w:lang w:val="en-US" w:eastAsia="zh-CN"/>
              </w:rPr>
              <w:t>产品类别</w:t>
            </w:r>
          </w:p>
        </w:tc>
        <w:tc>
          <w:tcPr>
            <w:tcW w:w="1307" w:type="dxa"/>
            <w:vAlign w:val="center"/>
          </w:tcPr>
          <w:p>
            <w:pPr>
              <w:keepNext w:val="0"/>
              <w:keepLines w:val="0"/>
              <w:suppressLineNumbers w:val="0"/>
              <w:spacing w:before="0" w:beforeAutospacing="0" w:after="0" w:afterAutospacing="0" w:line="400" w:lineRule="exact"/>
              <w:ind w:left="0" w:leftChars="0" w:right="0"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内侧轴承注脂量</w:t>
            </w:r>
          </w:p>
        </w:tc>
        <w:tc>
          <w:tcPr>
            <w:tcW w:w="1229" w:type="dxa"/>
            <w:vAlign w:val="center"/>
          </w:tcPr>
          <w:p>
            <w:pPr>
              <w:keepNext w:val="0"/>
              <w:keepLines w:val="0"/>
              <w:suppressLineNumbers w:val="0"/>
              <w:spacing w:before="0" w:beforeAutospacing="0" w:after="0" w:afterAutospacing="0" w:line="400" w:lineRule="exact"/>
              <w:ind w:left="0" w:leftChars="0" w:right="0"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外测轴承注脂量</w:t>
            </w:r>
          </w:p>
        </w:tc>
        <w:tc>
          <w:tcPr>
            <w:tcW w:w="2663" w:type="dxa"/>
            <w:vAlign w:val="center"/>
          </w:tcPr>
          <w:p>
            <w:pPr>
              <w:keepNext w:val="0"/>
              <w:keepLines w:val="0"/>
              <w:suppressLineNumbers w:val="0"/>
              <w:spacing w:before="0" w:beforeAutospacing="0" w:after="0" w:afterAutospacing="0" w:line="400" w:lineRule="exact"/>
              <w:ind w:left="0" w:right="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适用产品</w:t>
            </w:r>
          </w:p>
        </w:tc>
        <w:tc>
          <w:tcPr>
            <w:tcW w:w="1729" w:type="dxa"/>
            <w:vAlign w:val="center"/>
          </w:tcPr>
          <w:p>
            <w:pPr>
              <w:keepNext w:val="0"/>
              <w:keepLines w:val="0"/>
              <w:suppressLineNumbers w:val="0"/>
              <w:spacing w:before="0" w:beforeAutospacing="0" w:after="0" w:afterAutospacing="0" w:line="400" w:lineRule="exact"/>
              <w:ind w:left="0" w:leftChars="0" w:right="0"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加热要求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dxa"/>
            <w:vMerge w:val="restart"/>
            <w:vAlign w:val="center"/>
          </w:tcPr>
          <w:p>
            <w:pPr>
              <w:keepNext w:val="0"/>
              <w:keepLines w:val="0"/>
              <w:suppressLineNumbers w:val="0"/>
              <w:spacing w:before="0" w:beforeAutospacing="0" w:after="0" w:afterAutospacing="0" w:line="400" w:lineRule="exact"/>
              <w:ind w:left="0" w:leftChars="0" w:right="0"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前桥</w:t>
            </w:r>
          </w:p>
        </w:tc>
        <w:tc>
          <w:tcPr>
            <w:tcW w:w="1307" w:type="dxa"/>
            <w:vAlign w:val="center"/>
          </w:tcPr>
          <w:p>
            <w:pPr>
              <w:keepNext w:val="0"/>
              <w:keepLines w:val="0"/>
              <w:suppressLineNumbers w:val="0"/>
              <w:spacing w:before="0" w:beforeAutospacing="0" w:after="0" w:afterAutospacing="0" w:line="400" w:lineRule="exact"/>
              <w:ind w:left="0" w:leftChars="0" w:right="0"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w:t>
            </w:r>
          </w:p>
        </w:tc>
        <w:tc>
          <w:tcPr>
            <w:tcW w:w="1229" w:type="dxa"/>
            <w:shd w:val="clear" w:color="auto" w:fill="auto"/>
            <w:vAlign w:val="center"/>
          </w:tcPr>
          <w:p>
            <w:pPr>
              <w:spacing w:line="400" w:lineRule="exact"/>
              <w:jc w:val="center"/>
              <w:rPr>
                <w:rFonts w:hint="eastAsia" w:ascii="仿宋" w:hAnsi="仿宋" w:eastAsia="仿宋" w:cs="仿宋"/>
                <w:bCs/>
                <w:kern w:val="0"/>
                <w:sz w:val="21"/>
                <w:szCs w:val="21"/>
                <w:highlight w:val="none"/>
                <w:lang w:val="en-US" w:eastAsia="zh-CN" w:bidi="ar-SA"/>
              </w:rPr>
            </w:pPr>
            <w:r>
              <w:rPr>
                <w:rFonts w:hint="eastAsia" w:ascii="仿宋" w:hAnsi="仿宋" w:eastAsia="仿宋" w:cs="仿宋"/>
                <w:bCs/>
                <w:kern w:val="0"/>
                <w:sz w:val="21"/>
                <w:szCs w:val="21"/>
                <w:highlight w:val="none"/>
              </w:rPr>
              <w:t>80g</w:t>
            </w:r>
          </w:p>
        </w:tc>
        <w:tc>
          <w:tcPr>
            <w:tcW w:w="2663" w:type="dxa"/>
            <w:vAlign w:val="top"/>
          </w:tcPr>
          <w:p>
            <w:pPr>
              <w:keepNext w:val="0"/>
              <w:keepLines w:val="0"/>
              <w:suppressLineNumbers w:val="0"/>
              <w:spacing w:before="0" w:beforeAutospacing="0" w:after="0" w:afterAutospacing="0" w:line="400" w:lineRule="exact"/>
              <w:ind w:left="0" w:leftChars="0" w:right="0"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bCs/>
                <w:kern w:val="0"/>
                <w:sz w:val="21"/>
                <w:szCs w:val="21"/>
                <w:highlight w:val="none"/>
              </w:rPr>
              <w:t>32310</w:t>
            </w:r>
            <w:r>
              <w:rPr>
                <w:rFonts w:hint="eastAsia" w:ascii="仿宋" w:hAnsi="仿宋" w:eastAsia="仿宋" w:cs="仿宋"/>
                <w:bCs/>
                <w:kern w:val="0"/>
                <w:sz w:val="21"/>
                <w:szCs w:val="21"/>
                <w:highlight w:val="none"/>
                <w:lang w:val="en-US" w:eastAsia="zh-CN"/>
              </w:rPr>
              <w:t>轴承</w:t>
            </w:r>
          </w:p>
        </w:tc>
        <w:tc>
          <w:tcPr>
            <w:tcW w:w="1729" w:type="dxa"/>
            <w:vAlign w:val="center"/>
          </w:tcPr>
          <w:p>
            <w:pPr>
              <w:spacing w:line="400" w:lineRule="exact"/>
              <w:jc w:val="center"/>
              <w:rPr>
                <w:rFonts w:hint="eastAsia" w:ascii="仿宋" w:hAnsi="仿宋" w:eastAsia="仿宋" w:cs="仿宋"/>
                <w:sz w:val="21"/>
                <w:szCs w:val="21"/>
                <w:highlight w:val="none"/>
                <w:lang w:val="en-US" w:eastAsia="zh-CN"/>
              </w:rPr>
            </w:pPr>
            <w:r>
              <w:rPr>
                <w:rFonts w:hint="eastAsia" w:ascii="仿宋" w:hAnsi="仿宋" w:eastAsia="仿宋" w:cs="仿宋"/>
                <w:bCs/>
                <w:kern w:val="0"/>
                <w:sz w:val="21"/>
                <w:szCs w:val="21"/>
                <w:highlight w:val="none"/>
                <w:lang w:val="en-US" w:eastAsia="zh-CN"/>
              </w:rPr>
              <w:t>加热至80℃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90" w:type="dxa"/>
            <w:vMerge w:val="continue"/>
            <w:vAlign w:val="center"/>
          </w:tcPr>
          <w:p>
            <w:pPr>
              <w:keepNext w:val="0"/>
              <w:keepLines w:val="0"/>
              <w:suppressLineNumbers w:val="0"/>
              <w:spacing w:before="0" w:beforeAutospacing="0" w:after="0" w:afterAutospacing="0" w:line="400" w:lineRule="exact"/>
              <w:ind w:left="0" w:leftChars="0" w:right="0" w:firstLine="0" w:firstLineChars="0"/>
              <w:jc w:val="center"/>
              <w:rPr>
                <w:rFonts w:hint="eastAsia" w:ascii="仿宋" w:hAnsi="仿宋" w:eastAsia="仿宋" w:cs="仿宋"/>
                <w:sz w:val="21"/>
                <w:szCs w:val="21"/>
                <w:highlight w:val="none"/>
                <w:lang w:val="en-US" w:eastAsia="zh-CN"/>
              </w:rPr>
            </w:pPr>
          </w:p>
        </w:tc>
        <w:tc>
          <w:tcPr>
            <w:tcW w:w="1307" w:type="dxa"/>
            <w:vAlign w:val="center"/>
          </w:tcPr>
          <w:p>
            <w:pPr>
              <w:keepNext w:val="0"/>
              <w:keepLines w:val="0"/>
              <w:suppressLineNumbers w:val="0"/>
              <w:spacing w:before="0" w:beforeAutospacing="0" w:after="0" w:afterAutospacing="0" w:line="400" w:lineRule="exact"/>
              <w:ind w:left="0" w:leftChars="0" w:right="0"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w:t>
            </w:r>
          </w:p>
        </w:tc>
        <w:tc>
          <w:tcPr>
            <w:tcW w:w="1229" w:type="dxa"/>
            <w:shd w:val="clear" w:color="auto" w:fill="auto"/>
            <w:vAlign w:val="center"/>
          </w:tcPr>
          <w:p>
            <w:pPr>
              <w:spacing w:line="400" w:lineRule="exact"/>
              <w:jc w:val="center"/>
              <w:rPr>
                <w:rFonts w:hint="eastAsia" w:ascii="仿宋" w:hAnsi="仿宋" w:eastAsia="仿宋" w:cs="仿宋"/>
                <w:bCs/>
                <w:kern w:val="0"/>
                <w:sz w:val="21"/>
                <w:szCs w:val="21"/>
                <w:highlight w:val="none"/>
                <w:lang w:val="en-US" w:eastAsia="zh-CN" w:bidi="ar-SA"/>
              </w:rPr>
            </w:pPr>
            <w:r>
              <w:rPr>
                <w:rFonts w:hint="eastAsia" w:ascii="仿宋" w:hAnsi="仿宋" w:eastAsia="仿宋" w:cs="仿宋"/>
                <w:bCs/>
                <w:kern w:val="0"/>
                <w:sz w:val="21"/>
                <w:szCs w:val="21"/>
                <w:highlight w:val="none"/>
              </w:rPr>
              <w:t>100g</w:t>
            </w:r>
          </w:p>
        </w:tc>
        <w:tc>
          <w:tcPr>
            <w:tcW w:w="2663" w:type="dxa"/>
            <w:vAlign w:val="top"/>
          </w:tcPr>
          <w:p>
            <w:pPr>
              <w:keepNext w:val="0"/>
              <w:keepLines w:val="0"/>
              <w:suppressLineNumbers w:val="0"/>
              <w:spacing w:before="0" w:beforeAutospacing="0" w:after="0" w:afterAutospacing="0" w:line="400" w:lineRule="exact"/>
              <w:ind w:left="0" w:leftChars="0" w:right="0"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bCs/>
                <w:kern w:val="0"/>
                <w:sz w:val="21"/>
                <w:szCs w:val="21"/>
                <w:highlight w:val="none"/>
              </w:rPr>
              <w:t>32311</w:t>
            </w:r>
            <w:r>
              <w:rPr>
                <w:rFonts w:hint="eastAsia" w:ascii="仿宋" w:hAnsi="仿宋" w:eastAsia="仿宋" w:cs="仿宋"/>
                <w:bCs/>
                <w:kern w:val="0"/>
                <w:sz w:val="21"/>
                <w:szCs w:val="21"/>
                <w:highlight w:val="none"/>
                <w:lang w:val="en-US" w:eastAsia="zh-CN"/>
              </w:rPr>
              <w:t>轴承</w:t>
            </w:r>
          </w:p>
        </w:tc>
        <w:tc>
          <w:tcPr>
            <w:tcW w:w="1729" w:type="dxa"/>
            <w:vAlign w:val="center"/>
          </w:tcPr>
          <w:p>
            <w:pPr>
              <w:spacing w:line="400" w:lineRule="exact"/>
              <w:jc w:val="center"/>
              <w:rPr>
                <w:rFonts w:hint="eastAsia" w:ascii="仿宋" w:hAnsi="仿宋" w:eastAsia="仿宋" w:cs="仿宋"/>
                <w:sz w:val="21"/>
                <w:szCs w:val="21"/>
                <w:highlight w:val="none"/>
                <w:lang w:val="en-US" w:eastAsia="zh-CN"/>
              </w:rPr>
            </w:pPr>
            <w:r>
              <w:rPr>
                <w:rFonts w:hint="eastAsia" w:ascii="仿宋" w:hAnsi="仿宋" w:eastAsia="仿宋" w:cs="仿宋"/>
                <w:bCs/>
                <w:kern w:val="0"/>
                <w:sz w:val="21"/>
                <w:szCs w:val="21"/>
                <w:highlight w:val="none"/>
                <w:lang w:val="en-US" w:eastAsia="zh-CN"/>
              </w:rPr>
              <w:t>加热至80℃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dxa"/>
            <w:vMerge w:val="continue"/>
            <w:vAlign w:val="center"/>
          </w:tcPr>
          <w:p>
            <w:pPr>
              <w:keepNext w:val="0"/>
              <w:keepLines w:val="0"/>
              <w:suppressLineNumbers w:val="0"/>
              <w:spacing w:before="0" w:beforeAutospacing="0" w:after="0" w:afterAutospacing="0" w:line="400" w:lineRule="exact"/>
              <w:ind w:left="0" w:leftChars="0" w:right="0" w:firstLine="0" w:firstLineChars="0"/>
              <w:jc w:val="center"/>
              <w:rPr>
                <w:rFonts w:hint="eastAsia" w:ascii="仿宋" w:hAnsi="仿宋" w:eastAsia="仿宋" w:cs="仿宋"/>
                <w:sz w:val="21"/>
                <w:szCs w:val="21"/>
                <w:highlight w:val="none"/>
                <w:lang w:val="en-US" w:eastAsia="zh-CN"/>
              </w:rPr>
            </w:pPr>
          </w:p>
        </w:tc>
        <w:tc>
          <w:tcPr>
            <w:tcW w:w="1307" w:type="dxa"/>
            <w:vAlign w:val="center"/>
          </w:tcPr>
          <w:p>
            <w:pPr>
              <w:keepNext w:val="0"/>
              <w:keepLines w:val="0"/>
              <w:suppressLineNumbers w:val="0"/>
              <w:spacing w:before="0" w:beforeAutospacing="0" w:after="0" w:afterAutospacing="0" w:line="400" w:lineRule="exact"/>
              <w:ind w:left="0" w:leftChars="0" w:right="0"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w:t>
            </w:r>
          </w:p>
        </w:tc>
        <w:tc>
          <w:tcPr>
            <w:tcW w:w="1229" w:type="dxa"/>
            <w:shd w:val="clear" w:color="auto" w:fill="auto"/>
            <w:vAlign w:val="center"/>
          </w:tcPr>
          <w:p>
            <w:pPr>
              <w:spacing w:line="400" w:lineRule="exact"/>
              <w:jc w:val="center"/>
              <w:rPr>
                <w:rFonts w:hint="eastAsia" w:ascii="仿宋" w:hAnsi="仿宋" w:eastAsia="仿宋" w:cs="仿宋"/>
                <w:bCs/>
                <w:kern w:val="0"/>
                <w:sz w:val="21"/>
                <w:szCs w:val="21"/>
                <w:highlight w:val="none"/>
                <w:lang w:val="en-US" w:eastAsia="zh-CN" w:bidi="ar-SA"/>
              </w:rPr>
            </w:pPr>
            <w:r>
              <w:rPr>
                <w:rFonts w:hint="eastAsia" w:ascii="仿宋" w:hAnsi="仿宋" w:eastAsia="仿宋" w:cs="仿宋"/>
                <w:bCs/>
                <w:kern w:val="0"/>
                <w:sz w:val="21"/>
                <w:szCs w:val="21"/>
                <w:highlight w:val="none"/>
              </w:rPr>
              <w:t>80g</w:t>
            </w:r>
          </w:p>
        </w:tc>
        <w:tc>
          <w:tcPr>
            <w:tcW w:w="2663" w:type="dxa"/>
            <w:vAlign w:val="top"/>
          </w:tcPr>
          <w:p>
            <w:pPr>
              <w:keepNext w:val="0"/>
              <w:keepLines w:val="0"/>
              <w:suppressLineNumbers w:val="0"/>
              <w:spacing w:before="0" w:beforeAutospacing="0" w:after="0" w:afterAutospacing="0" w:line="400" w:lineRule="exact"/>
              <w:ind w:left="0" w:leftChars="0" w:right="0"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bCs/>
                <w:kern w:val="0"/>
                <w:sz w:val="21"/>
                <w:szCs w:val="21"/>
                <w:highlight w:val="none"/>
              </w:rPr>
              <w:t>30311</w:t>
            </w:r>
            <w:r>
              <w:rPr>
                <w:rFonts w:hint="eastAsia" w:ascii="仿宋" w:hAnsi="仿宋" w:eastAsia="仿宋" w:cs="仿宋"/>
                <w:bCs/>
                <w:kern w:val="0"/>
                <w:sz w:val="21"/>
                <w:szCs w:val="21"/>
                <w:highlight w:val="none"/>
                <w:lang w:val="en-US" w:eastAsia="zh-CN"/>
              </w:rPr>
              <w:t>轴承</w:t>
            </w:r>
          </w:p>
        </w:tc>
        <w:tc>
          <w:tcPr>
            <w:tcW w:w="1729" w:type="dxa"/>
            <w:vAlign w:val="center"/>
          </w:tcPr>
          <w:p>
            <w:pPr>
              <w:spacing w:line="400" w:lineRule="exact"/>
              <w:jc w:val="center"/>
              <w:rPr>
                <w:rFonts w:hint="eastAsia" w:ascii="仿宋" w:hAnsi="仿宋" w:eastAsia="仿宋" w:cs="仿宋"/>
                <w:sz w:val="21"/>
                <w:szCs w:val="21"/>
                <w:highlight w:val="none"/>
                <w:lang w:val="en-US" w:eastAsia="zh-CN"/>
              </w:rPr>
            </w:pPr>
            <w:r>
              <w:rPr>
                <w:rFonts w:hint="eastAsia" w:ascii="仿宋" w:hAnsi="仿宋" w:eastAsia="仿宋" w:cs="仿宋"/>
                <w:bCs/>
                <w:kern w:val="0"/>
                <w:sz w:val="21"/>
                <w:szCs w:val="21"/>
                <w:highlight w:val="none"/>
                <w:lang w:val="en-US" w:eastAsia="zh-CN"/>
              </w:rPr>
              <w:t>加热至80℃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dxa"/>
            <w:vMerge w:val="restart"/>
            <w:vAlign w:val="center"/>
          </w:tcPr>
          <w:p>
            <w:pPr>
              <w:keepNext w:val="0"/>
              <w:keepLines w:val="0"/>
              <w:suppressLineNumbers w:val="0"/>
              <w:spacing w:before="0" w:beforeAutospacing="0" w:after="0" w:afterAutospacing="0" w:line="400" w:lineRule="exact"/>
              <w:ind w:left="0" w:leftChars="0" w:right="0"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驱动桥</w:t>
            </w:r>
          </w:p>
        </w:tc>
        <w:tc>
          <w:tcPr>
            <w:tcW w:w="1307" w:type="dxa"/>
            <w:vAlign w:val="center"/>
          </w:tcPr>
          <w:p>
            <w:pPr>
              <w:keepNext w:val="0"/>
              <w:keepLines w:val="0"/>
              <w:suppressLineNumbers w:val="0"/>
              <w:spacing w:before="0" w:beforeAutospacing="0" w:after="0" w:afterAutospacing="0" w:line="400" w:lineRule="exact"/>
              <w:ind w:left="0" w:leftChars="0" w:right="0"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200g</w:t>
            </w:r>
          </w:p>
        </w:tc>
        <w:tc>
          <w:tcPr>
            <w:tcW w:w="1229" w:type="dxa"/>
            <w:vAlign w:val="center"/>
          </w:tcPr>
          <w:p>
            <w:pPr>
              <w:keepNext w:val="0"/>
              <w:keepLines w:val="0"/>
              <w:suppressLineNumbers w:val="0"/>
              <w:spacing w:before="0" w:beforeAutospacing="0" w:after="0" w:afterAutospacing="0" w:line="400" w:lineRule="exact"/>
              <w:ind w:left="0" w:leftChars="0" w:right="0"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100g</w:t>
            </w:r>
          </w:p>
        </w:tc>
        <w:tc>
          <w:tcPr>
            <w:tcW w:w="2663" w:type="dxa"/>
            <w:vAlign w:val="top"/>
          </w:tcPr>
          <w:p>
            <w:pPr>
              <w:keepNext w:val="0"/>
              <w:keepLines w:val="0"/>
              <w:suppressLineNumbers w:val="0"/>
              <w:spacing w:before="0" w:beforeAutospacing="0" w:after="0" w:afterAutospacing="0" w:line="400" w:lineRule="exact"/>
              <w:ind w:left="0" w:leftChars="0" w:right="0"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MCJ09/MCJ11/MCJ12</w:t>
            </w:r>
          </w:p>
        </w:tc>
        <w:tc>
          <w:tcPr>
            <w:tcW w:w="1729" w:type="dxa"/>
            <w:vAlign w:val="center"/>
          </w:tcPr>
          <w:p>
            <w:pPr>
              <w:keepNext w:val="0"/>
              <w:keepLines w:val="0"/>
              <w:suppressLineNumbers w:val="0"/>
              <w:spacing w:before="0" w:beforeAutospacing="0" w:after="0" w:afterAutospacing="0" w:line="400" w:lineRule="exact"/>
              <w:ind w:left="0" w:leftChars="0" w:right="0" w:firstLine="0" w:firstLineChars="0"/>
              <w:jc w:val="center"/>
              <w:rPr>
                <w:rFonts w:hint="eastAsia" w:ascii="仿宋" w:hAnsi="仿宋" w:eastAsia="仿宋" w:cs="仿宋"/>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dxa"/>
            <w:vMerge w:val="continue"/>
            <w:vAlign w:val="center"/>
          </w:tcPr>
          <w:p>
            <w:pPr>
              <w:keepNext w:val="0"/>
              <w:keepLines w:val="0"/>
              <w:suppressLineNumbers w:val="0"/>
              <w:spacing w:before="0" w:beforeAutospacing="0" w:after="0" w:afterAutospacing="0" w:line="400" w:lineRule="exact"/>
              <w:ind w:left="0" w:leftChars="0" w:right="0" w:firstLine="0" w:firstLineChars="0"/>
              <w:jc w:val="center"/>
              <w:rPr>
                <w:rFonts w:hint="eastAsia" w:ascii="仿宋" w:hAnsi="仿宋" w:eastAsia="仿宋" w:cs="仿宋"/>
                <w:sz w:val="21"/>
                <w:szCs w:val="21"/>
                <w:highlight w:val="none"/>
                <w:lang w:val="en-US" w:eastAsia="zh-CN"/>
              </w:rPr>
            </w:pPr>
          </w:p>
        </w:tc>
        <w:tc>
          <w:tcPr>
            <w:tcW w:w="1307" w:type="dxa"/>
            <w:vAlign w:val="center"/>
          </w:tcPr>
          <w:p>
            <w:pPr>
              <w:keepNext w:val="0"/>
              <w:keepLines w:val="0"/>
              <w:suppressLineNumbers w:val="0"/>
              <w:spacing w:before="0" w:beforeAutospacing="0" w:after="0" w:afterAutospacing="0" w:line="400" w:lineRule="exact"/>
              <w:ind w:left="0" w:leftChars="0" w:right="0"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120g</w:t>
            </w:r>
          </w:p>
        </w:tc>
        <w:tc>
          <w:tcPr>
            <w:tcW w:w="1229" w:type="dxa"/>
            <w:vAlign w:val="center"/>
          </w:tcPr>
          <w:p>
            <w:pPr>
              <w:keepNext w:val="0"/>
              <w:keepLines w:val="0"/>
              <w:suppressLineNumbers w:val="0"/>
              <w:spacing w:before="0" w:beforeAutospacing="0" w:after="0" w:afterAutospacing="0" w:line="400" w:lineRule="exact"/>
              <w:ind w:left="0" w:leftChars="0" w:right="0"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50g</w:t>
            </w:r>
          </w:p>
        </w:tc>
        <w:tc>
          <w:tcPr>
            <w:tcW w:w="2663" w:type="dxa"/>
            <w:vAlign w:val="top"/>
          </w:tcPr>
          <w:p>
            <w:pPr>
              <w:keepNext w:val="0"/>
              <w:keepLines w:val="0"/>
              <w:suppressLineNumbers w:val="0"/>
              <w:spacing w:before="0" w:beforeAutospacing="0" w:after="0" w:afterAutospacing="0" w:line="400" w:lineRule="exact"/>
              <w:ind w:left="0" w:leftChars="0" w:right="0"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MCE05</w:t>
            </w:r>
          </w:p>
        </w:tc>
        <w:tc>
          <w:tcPr>
            <w:tcW w:w="1729" w:type="dxa"/>
            <w:vAlign w:val="center"/>
          </w:tcPr>
          <w:p>
            <w:pPr>
              <w:keepNext w:val="0"/>
              <w:keepLines w:val="0"/>
              <w:suppressLineNumbers w:val="0"/>
              <w:spacing w:before="0" w:beforeAutospacing="0" w:after="0" w:afterAutospacing="0" w:line="400" w:lineRule="exact"/>
              <w:ind w:left="0" w:leftChars="0" w:right="0" w:firstLine="0" w:firstLineChars="0"/>
              <w:jc w:val="center"/>
              <w:rPr>
                <w:rFonts w:hint="eastAsia" w:ascii="仿宋" w:hAnsi="仿宋" w:eastAsia="仿宋" w:cs="仿宋"/>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8" w:type="dxa"/>
            <w:gridSpan w:val="5"/>
            <w:vAlign w:val="center"/>
          </w:tcPr>
          <w:p>
            <w:pPr>
              <w:keepNext w:val="0"/>
              <w:keepLines w:val="0"/>
              <w:suppressLineNumbers w:val="0"/>
              <w:spacing w:before="0" w:beforeAutospacing="0" w:after="0" w:afterAutospacing="0" w:line="400" w:lineRule="exact"/>
              <w:ind w:left="0" w:leftChars="0" w:right="0"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highlight w:val="none"/>
                <w:u w:val="none"/>
                <w:lang w:val="en-US" w:eastAsia="zh-CN" w:bidi="ar"/>
              </w:rPr>
              <w:t>备注：</w:t>
            </w:r>
            <w:r>
              <w:rPr>
                <w:rFonts w:hint="eastAsia" w:ascii="仿宋" w:hAnsi="仿宋" w:eastAsia="仿宋" w:cs="仿宋"/>
                <w:sz w:val="21"/>
                <w:szCs w:val="21"/>
                <w:highlight w:val="none"/>
                <w:lang w:val="en-US" w:eastAsia="zh-CN"/>
              </w:rPr>
              <w:t>以上注脂量精度±5%以内，加注HP-R 极压负荷锂基润</w:t>
            </w:r>
          </w:p>
        </w:tc>
      </w:tr>
    </w:tbl>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rPr>
      </w:pPr>
      <w:r>
        <w:rPr>
          <w:rFonts w:hint="eastAsia" w:ascii="仿宋" w:hAnsi="仿宋" w:eastAsia="仿宋" w:cs="仿宋"/>
          <w:highlight w:val="none"/>
        </w:rPr>
        <w:t>3.</w:t>
      </w:r>
      <w:r>
        <w:rPr>
          <w:rFonts w:hint="eastAsia" w:ascii="仿宋" w:hAnsi="仿宋" w:eastAsia="仿宋" w:cs="仿宋"/>
          <w:highlight w:val="none"/>
          <w:lang w:val="en-US" w:eastAsia="zh-CN"/>
        </w:rPr>
        <w:t>2</w:t>
      </w:r>
      <w:r>
        <w:rPr>
          <w:rFonts w:hint="eastAsia" w:ascii="仿宋" w:hAnsi="仿宋" w:eastAsia="仿宋" w:cs="仿宋"/>
          <w:highlight w:val="none"/>
        </w:rPr>
        <w:t>.</w:t>
      </w:r>
      <w:r>
        <w:rPr>
          <w:rFonts w:hint="eastAsia" w:ascii="仿宋" w:hAnsi="仿宋" w:eastAsia="仿宋" w:cs="仿宋"/>
          <w:highlight w:val="none"/>
          <w:lang w:val="en-US" w:eastAsia="zh-CN"/>
        </w:rPr>
        <w:t>3</w:t>
      </w:r>
      <w:r>
        <w:rPr>
          <w:rFonts w:hint="eastAsia" w:ascii="仿宋" w:hAnsi="仿宋" w:eastAsia="仿宋" w:cs="仿宋"/>
          <w:highlight w:val="none"/>
        </w:rPr>
        <w:t>布置布局：</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前桥轴承加热定量注脂机，布置于前桥装配A线和B线的左右两侧，每台设备整体占地面积占地面积尽可能小，≤1.5m×1m。</w:t>
      </w:r>
    </w:p>
    <w:p>
      <w:pPr>
        <w:autoSpaceDE w:val="0"/>
        <w:autoSpaceDN w:val="0"/>
        <w:adjustRightInd w:val="0"/>
        <w:spacing w:line="360" w:lineRule="auto"/>
        <w:ind w:firstLine="420" w:firstLineChars="200"/>
        <w:jc w:val="left"/>
        <w:rPr>
          <w:rFonts w:hint="eastAsia"/>
          <w:highlight w:val="none"/>
          <w:lang w:val="en-US" w:eastAsia="zh-CN"/>
        </w:rPr>
      </w:pPr>
      <w:r>
        <w:rPr>
          <w:rFonts w:hint="eastAsia" w:ascii="仿宋" w:hAnsi="仿宋" w:eastAsia="仿宋" w:cs="仿宋"/>
          <w:highlight w:val="none"/>
          <w:lang w:val="en-US" w:eastAsia="zh-CN"/>
        </w:rPr>
        <w:t>驱动器桥</w:t>
      </w:r>
      <w:r>
        <w:rPr>
          <w:rFonts w:hint="eastAsia" w:ascii="仿宋" w:hAnsi="仿宋" w:eastAsia="仿宋" w:cs="仿宋"/>
          <w:highlight w:val="none"/>
        </w:rPr>
        <w:t>轴承</w:t>
      </w:r>
      <w:r>
        <w:rPr>
          <w:rFonts w:hint="eastAsia" w:ascii="仿宋" w:hAnsi="仿宋" w:eastAsia="仿宋" w:cs="仿宋"/>
          <w:highlight w:val="none"/>
          <w:lang w:val="en-US" w:eastAsia="zh-CN"/>
        </w:rPr>
        <w:t>定</w:t>
      </w:r>
      <w:r>
        <w:rPr>
          <w:rFonts w:hint="eastAsia" w:ascii="仿宋" w:hAnsi="仿宋" w:eastAsia="仿宋" w:cs="仿宋"/>
          <w:highlight w:val="none"/>
        </w:rPr>
        <w:t>量注脂机，布置于</w:t>
      </w:r>
      <w:r>
        <w:rPr>
          <w:rFonts w:hint="eastAsia" w:ascii="仿宋" w:hAnsi="仿宋" w:eastAsia="仿宋" w:cs="仿宋"/>
          <w:highlight w:val="none"/>
          <w:lang w:val="en-US" w:eastAsia="zh-CN"/>
        </w:rPr>
        <w:t>驱动桥线外</w:t>
      </w:r>
      <w:r>
        <w:rPr>
          <w:rFonts w:hint="eastAsia" w:ascii="仿宋" w:hAnsi="仿宋" w:eastAsia="仿宋" w:cs="仿宋"/>
          <w:highlight w:val="none"/>
        </w:rPr>
        <w:t>，每台设备整体占地面积占地面积尽可能小，≤</w:t>
      </w:r>
      <w:r>
        <w:rPr>
          <w:rFonts w:hint="eastAsia" w:ascii="仿宋" w:hAnsi="仿宋" w:eastAsia="仿宋" w:cs="仿宋"/>
          <w:highlight w:val="none"/>
          <w:lang w:val="en-US" w:eastAsia="zh-CN"/>
        </w:rPr>
        <w:t>2</w:t>
      </w:r>
      <w:r>
        <w:rPr>
          <w:rFonts w:hint="eastAsia" w:ascii="仿宋" w:hAnsi="仿宋" w:eastAsia="仿宋" w:cs="仿宋"/>
          <w:highlight w:val="none"/>
        </w:rPr>
        <w:t>m×</w:t>
      </w:r>
      <w:r>
        <w:rPr>
          <w:rFonts w:hint="eastAsia" w:ascii="仿宋" w:hAnsi="仿宋" w:eastAsia="仿宋" w:cs="仿宋"/>
          <w:highlight w:val="none"/>
          <w:lang w:val="en-US" w:eastAsia="zh-CN"/>
        </w:rPr>
        <w:t>2.5</w:t>
      </w:r>
      <w:r>
        <w:rPr>
          <w:rFonts w:hint="eastAsia" w:ascii="仿宋" w:hAnsi="仿宋" w:eastAsia="仿宋" w:cs="仿宋"/>
          <w:highlight w:val="none"/>
        </w:rPr>
        <w:t>m。</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rPr>
      </w:pPr>
      <w:r>
        <w:rPr>
          <w:rFonts w:hint="eastAsia" w:ascii="仿宋" w:hAnsi="仿宋" w:eastAsia="仿宋" w:cs="仿宋"/>
          <w:highlight w:val="none"/>
        </w:rPr>
        <w:t>3.</w:t>
      </w:r>
      <w:r>
        <w:rPr>
          <w:rFonts w:hint="eastAsia" w:ascii="仿宋" w:hAnsi="仿宋" w:eastAsia="仿宋" w:cs="仿宋"/>
          <w:highlight w:val="none"/>
          <w:lang w:val="en-US" w:eastAsia="zh-CN"/>
        </w:rPr>
        <w:t>2</w:t>
      </w:r>
      <w:r>
        <w:rPr>
          <w:rFonts w:hint="eastAsia" w:ascii="仿宋" w:hAnsi="仿宋" w:eastAsia="仿宋" w:cs="仿宋"/>
          <w:highlight w:val="none"/>
        </w:rPr>
        <w:t>.</w:t>
      </w:r>
      <w:r>
        <w:rPr>
          <w:rFonts w:hint="eastAsia" w:ascii="仿宋" w:hAnsi="仿宋" w:eastAsia="仿宋" w:cs="仿宋"/>
          <w:highlight w:val="none"/>
          <w:lang w:val="en-US" w:eastAsia="zh-CN"/>
        </w:rPr>
        <w:t>4设备</w:t>
      </w:r>
      <w:r>
        <w:rPr>
          <w:rFonts w:hint="eastAsia" w:ascii="仿宋" w:hAnsi="仿宋" w:eastAsia="仿宋" w:cs="仿宋"/>
          <w:highlight w:val="none"/>
        </w:rPr>
        <w:t>功能</w:t>
      </w:r>
      <w:r>
        <w:rPr>
          <w:rFonts w:hint="eastAsia" w:ascii="仿宋" w:hAnsi="仿宋" w:eastAsia="仿宋" w:cs="仿宋"/>
          <w:highlight w:val="none"/>
          <w:lang w:val="en-US" w:eastAsia="zh-CN"/>
        </w:rPr>
        <w:t>和要求</w:t>
      </w:r>
      <w:r>
        <w:rPr>
          <w:rFonts w:hint="eastAsia" w:ascii="仿宋" w:hAnsi="仿宋" w:eastAsia="仿宋" w:cs="仿宋"/>
          <w:highlight w:val="none"/>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轴承加热定量注脂机主要包含定量控制系统、加注工装、加热装置（仅前桥轴承注脂机含），实现前轴承内环定量注脂、加热。</w:t>
      </w:r>
    </w:p>
    <w:p>
      <w:pPr>
        <w:keepNext w:val="0"/>
        <w:keepLines w:val="0"/>
        <w:pageBreakBefore w:val="0"/>
        <w:widowControl w:val="0"/>
        <w:numPr>
          <w:ilvl w:val="0"/>
          <w:numId w:val="8"/>
        </w:numPr>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定量控制系统包含但不限于润滑脂泵、双层密封压盘、气动升降立柱 、调压阀、流量阀、开关阀、加热装置、控制系统等。</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润滑脂泵，气动，采用GRACO、Atlas Copco、ARO等国际一线品牌。压力比≥40:1，流量≥10Kg/min。</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20" w:firstLineChars="200"/>
        <w:jc w:val="left"/>
        <w:textAlignment w:val="auto"/>
        <w:rPr>
          <w:rFonts w:hint="default" w:ascii="仿宋" w:hAnsi="仿宋" w:eastAsia="仿宋" w:cs="仿宋"/>
          <w:highlight w:val="none"/>
          <w:lang w:val="en-US" w:eastAsia="zh-CN"/>
        </w:rPr>
      </w:pPr>
      <w:r>
        <w:rPr>
          <w:rFonts w:hint="eastAsia" w:ascii="仿宋" w:hAnsi="仿宋" w:eastAsia="仿宋" w:cs="仿宋"/>
          <w:highlight w:val="none"/>
          <w:lang w:val="en-US" w:eastAsia="zh-CN"/>
        </w:rPr>
        <w:t>双层密封压盘与气动升降立柱，适用175Kg桶包装，压盘可进行充放气，立柱压力可调，换桶方便，桶内空气不影响定量精度，保证桶内润滑脂剩余量＜1Kg。</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调压阀、流量阀，采用采用GRACO、Atlas Copco、ARO等国际一线品牌，满足±5%精度使用要求。</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油脂管路，采用高压油管，内含钢丝网骨架，避免使用中膨胀变形。</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加热装置，用于冬季压盘及油管部位的加热，避免加注困难。</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20" w:firstLineChars="200"/>
        <w:jc w:val="left"/>
        <w:textAlignment w:val="auto"/>
        <w:rPr>
          <w:rFonts w:hint="default" w:ascii="仿宋" w:hAnsi="仿宋" w:eastAsia="仿宋" w:cs="仿宋"/>
          <w:highlight w:val="none"/>
          <w:lang w:val="en-US" w:eastAsia="zh-CN"/>
        </w:rPr>
      </w:pPr>
      <w:r>
        <w:rPr>
          <w:rFonts w:hint="eastAsia" w:ascii="仿宋" w:hAnsi="仿宋" w:eastAsia="仿宋" w:cs="仿宋"/>
          <w:highlight w:val="none"/>
          <w:lang w:val="en-US" w:eastAsia="zh-CN"/>
        </w:rPr>
        <w:t>控制系统，采用PLC+触摸屏控制，PLC选用西门子、三菱等国际一线品牌；可根据不同产品设定不同的机型，可人工增加、修改机型，该设置功能有密码保护；扫码后自动选择机型，按照机型内参数自动定量注脂，注脂结束后，保存注脂量、时间等数据，回跳至开始扫码界面；若注脂量少于要求，则设备报警，进入手动模式进行补脂，补脂量由设备自动计算并设置为默认值，两次注脂量均记录保存；若注脂量大于要求，设备报警，通过人工密码复位后进行后续装调，人工对注脂件处理。设备留有数据接口，与IOT系统或MES系统联网，具备接受IOT系统或MES系统的加注参数、上</w:t>
      </w:r>
      <w:r>
        <w:rPr>
          <w:rFonts w:hint="default" w:ascii="仿宋" w:hAnsi="仿宋" w:eastAsia="仿宋" w:cs="仿宋"/>
          <w:highlight w:val="none"/>
          <w:lang w:val="en-US" w:eastAsia="zh-CN"/>
        </w:rPr>
        <w:t>传</w:t>
      </w:r>
      <w:r>
        <w:rPr>
          <w:rFonts w:hint="eastAsia" w:ascii="仿宋" w:hAnsi="仿宋" w:eastAsia="仿宋" w:cs="仿宋"/>
          <w:highlight w:val="none"/>
          <w:lang w:val="en-US" w:eastAsia="zh-CN"/>
        </w:rPr>
        <w:t>实际加注量数据的</w:t>
      </w:r>
      <w:r>
        <w:rPr>
          <w:rFonts w:hint="default" w:ascii="仿宋" w:hAnsi="仿宋" w:eastAsia="仿宋" w:cs="仿宋"/>
          <w:highlight w:val="none"/>
          <w:lang w:val="en-US" w:eastAsia="zh-CN"/>
        </w:rPr>
        <w:t>功能。</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显示界面能够显示设备工作时间、注脂完工数、润滑脂加注量统计、换桶提醒、按照天/周/月/年等的统计数据、设备报警等信息。</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20" w:firstLineChars="200"/>
        <w:jc w:val="left"/>
        <w:textAlignment w:val="auto"/>
        <w:rPr>
          <w:rFonts w:hint="default" w:ascii="仿宋" w:hAnsi="仿宋" w:eastAsia="仿宋" w:cs="仿宋"/>
          <w:highlight w:val="none"/>
          <w:lang w:val="en-US" w:eastAsia="zh-CN"/>
        </w:rPr>
      </w:pPr>
      <w:r>
        <w:rPr>
          <w:rFonts w:hint="eastAsia" w:ascii="仿宋" w:hAnsi="仿宋" w:eastAsia="仿宋" w:cs="仿宋"/>
          <w:highlight w:val="none"/>
          <w:lang w:val="en-US" w:eastAsia="zh-CN"/>
        </w:rPr>
        <w:t>注脂设备具备信息查询功能，能够通过工件流水号查询相应的注脂记录，并具备数据导出功能。</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设备具有防错功能，防止出现漏注或者空注等问题。</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设备具备注脂量校验、标定功能，配置校验装置，及校验作业说明书。</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20" w:firstLineChars="200"/>
        <w:jc w:val="left"/>
        <w:textAlignment w:val="auto"/>
        <w:rPr>
          <w:rFonts w:hint="default" w:ascii="仿宋" w:hAnsi="仿宋" w:eastAsia="仿宋" w:cs="仿宋"/>
          <w:highlight w:val="none"/>
          <w:lang w:val="en-US" w:eastAsia="zh-CN"/>
        </w:rPr>
      </w:pPr>
      <w:r>
        <w:rPr>
          <w:rFonts w:hint="eastAsia" w:ascii="仿宋" w:hAnsi="仿宋" w:eastAsia="仿宋" w:cs="仿宋"/>
          <w:highlight w:val="none"/>
          <w:lang w:val="en-US" w:eastAsia="zh-CN"/>
        </w:rPr>
        <w:t>设备均可选择自动或手动模式，以实现人工校对出脂量及故障模式下的手动注脂控制。</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前桥线两侧加注机向同一根桥的轴承注润滑脂，仅扫一次码。</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配置的无线扫码枪，品牌选用海康、霍尼韦尔、新大陆等国际一线品牌。</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设备配置无线扫码枪，品牌选用海康、霍尼韦尔、新大陆等国际一线品牌。</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default" w:ascii="仿宋" w:hAnsi="仿宋" w:eastAsia="仿宋" w:cs="仿宋"/>
          <w:highlight w:val="none"/>
          <w:lang w:val="en-US" w:eastAsia="zh-CN"/>
        </w:rPr>
      </w:pPr>
      <w:r>
        <w:rPr>
          <w:rFonts w:hint="eastAsia" w:ascii="仿宋" w:hAnsi="仿宋" w:eastAsia="仿宋" w:cs="仿宋"/>
          <w:highlight w:val="none"/>
          <w:lang w:val="en-US" w:eastAsia="zh-CN"/>
        </w:rPr>
        <w:t>（2）加注工装</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加注工装，确保将定量控制系统传递来的定量润滑脂，均匀涂抹至轴承内环上，一次加注1件轴承，保证轴承滚子缝隙充满润滑脂，轴承外表面均匀涂抹一层润滑脂。</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加注工装兼容多种轴承内环的注脂。产品换型时，可在2分钟内完成快速切换。具备新产品拓展功能。</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保证注脂过程防护有效，确保零部件防尘和清洁度，不会对零部件产生磕碰。</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确保注脂完成后，工装与工件分离时不能有润滑脂掉落污染现场的情况。、</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20" w:firstLineChars="200"/>
        <w:jc w:val="left"/>
        <w:textAlignment w:val="auto"/>
        <w:rPr>
          <w:rFonts w:hint="default" w:ascii="仿宋" w:hAnsi="仿宋" w:eastAsia="仿宋" w:cs="仿宋"/>
          <w:highlight w:val="none"/>
          <w:lang w:val="en-US" w:eastAsia="zh-CN"/>
        </w:rPr>
      </w:pPr>
      <w:r>
        <w:rPr>
          <w:rFonts w:hint="eastAsia" w:ascii="仿宋" w:hAnsi="仿宋" w:eastAsia="仿宋" w:cs="仿宋"/>
          <w:highlight w:val="none"/>
          <w:lang w:val="en-US" w:eastAsia="zh-CN"/>
        </w:rPr>
        <w:t>配备4台防尘、防磕碰，容量至少50个轴承的转运小车，配备至少6套夹持轴承的工装的工具，用来注完脂的轴承夹持移动至转运小车，转运后将轴承夹持安装至桥壳轴径上。</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工装整体结构简单，便于人工操作。</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default" w:ascii="仿宋" w:hAnsi="仿宋" w:eastAsia="仿宋" w:cs="仿宋"/>
          <w:highlight w:val="none"/>
          <w:lang w:val="en-US" w:eastAsia="zh-CN"/>
        </w:rPr>
      </w:pPr>
      <w:r>
        <w:rPr>
          <w:rFonts w:hint="eastAsia" w:ascii="仿宋" w:hAnsi="仿宋" w:eastAsia="仿宋" w:cs="仿宋"/>
          <w:highlight w:val="none"/>
          <w:lang w:val="en-US" w:eastAsia="zh-CN"/>
        </w:rPr>
        <w:t>（3）加热装置（仅前桥轴承注脂机含）</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加热装置与加注工装集成为一体。</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加热装置采用立式，一次加热1件轴承；具备加热时间控制和温度控制两种模式。温度控制：加热至设定的温度自动停止加热；时间调节：加热至设定的时间自动停止加热。</w:t>
      </w:r>
    </w:p>
    <w:p>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 xml:space="preserve">加热均匀性：轴承内圈温度均匀性误差≤±5℃，避免局部过热。  </w:t>
      </w:r>
    </w:p>
    <w:p>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 xml:space="preserve">加热效率：电磁感应加热，热效率≥90%，支持快速升温与节能模式。  </w:t>
      </w:r>
    </w:p>
    <w:p>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 xml:space="preserve">过温保护：超温自动断电，并触发声光报警。 </w:t>
      </w:r>
    </w:p>
    <w:p>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val="en-US" w:eastAsia="zh-CN" w:bidi="ar"/>
        </w:rPr>
        <w:t>测温方式</w:t>
      </w:r>
      <w:r>
        <w:rPr>
          <w:rFonts w:hint="eastAsia" w:ascii="仿宋" w:hAnsi="仿宋" w:eastAsia="仿宋" w:cs="仿宋"/>
          <w:sz w:val="24"/>
          <w:szCs w:val="24"/>
          <w:highlight w:val="none"/>
          <w:lang w:bidi="ar"/>
        </w:rPr>
        <w:t>：</w:t>
      </w:r>
      <w:r>
        <w:rPr>
          <w:rFonts w:hint="eastAsia" w:ascii="仿宋" w:hAnsi="仿宋" w:eastAsia="仿宋" w:cs="仿宋"/>
          <w:sz w:val="24"/>
          <w:szCs w:val="24"/>
          <w:highlight w:val="none"/>
          <w:lang w:val="en-US" w:eastAsia="zh-CN" w:bidi="ar"/>
        </w:rPr>
        <w:t>非接触式红外测温仪，实时检测并显示工件温度。</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default" w:ascii="仿宋" w:hAnsi="仿宋" w:eastAsia="仿宋" w:cs="仿宋"/>
          <w:highlight w:val="none"/>
          <w:lang w:val="en-US" w:eastAsia="zh-CN"/>
        </w:rPr>
      </w:pPr>
      <w:r>
        <w:rPr>
          <w:rFonts w:hint="eastAsia" w:ascii="仿宋" w:hAnsi="仿宋" w:eastAsia="仿宋" w:cs="仿宋"/>
          <w:highlight w:val="none"/>
          <w:lang w:val="en-US" w:eastAsia="zh-CN"/>
        </w:rPr>
        <w:t>（4）其它要求</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设备整体框架，钣金采用喷漆等防锈处理。零配件采用镀铬、阳极化、喷砂、发黑防锈处理。所有焊接结构采用满焊，探伤。</w:t>
      </w:r>
    </w:p>
    <w:p>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 xml:space="preserve">电磁屏蔽：符合EMC标准，减少电磁辐射干扰。  </w:t>
      </w:r>
    </w:p>
    <w:p>
      <w:pPr>
        <w:pStyle w:val="12"/>
        <w:tabs>
          <w:tab w:val="left" w:pos="1620"/>
        </w:tabs>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设备</w:t>
      </w:r>
      <w:r>
        <w:rPr>
          <w:rFonts w:hint="eastAsia" w:ascii="仿宋" w:hAnsi="仿宋" w:eastAsia="仿宋" w:cs="仿宋"/>
          <w:highlight w:val="none"/>
          <w:lang w:val="en-US" w:eastAsia="zh-CN"/>
        </w:rPr>
        <w:t>可整体便捷移动</w:t>
      </w:r>
      <w:r>
        <w:rPr>
          <w:rFonts w:hint="eastAsia" w:ascii="仿宋" w:hAnsi="仿宋" w:eastAsia="仿宋" w:cs="仿宋"/>
          <w:kern w:val="2"/>
          <w:sz w:val="24"/>
          <w:szCs w:val="24"/>
          <w:highlight w:val="none"/>
          <w:lang w:val="en-US" w:eastAsia="zh-CN" w:bidi="ar-SA"/>
        </w:rPr>
        <w:t>。</w:t>
      </w:r>
    </w:p>
    <w:p>
      <w:pPr>
        <w:pStyle w:val="12"/>
        <w:tabs>
          <w:tab w:val="left" w:pos="1620"/>
        </w:tabs>
        <w:rPr>
          <w:rFonts w:hint="eastAsia" w:ascii="仿宋" w:hAnsi="仿宋" w:eastAsia="仿宋" w:cs="仿宋"/>
          <w:kern w:val="2"/>
          <w:sz w:val="24"/>
          <w:szCs w:val="24"/>
          <w:highlight w:val="none"/>
          <w:lang w:val="en-US" w:eastAsia="zh-CN" w:bidi="ar-SA"/>
        </w:rPr>
      </w:pPr>
    </w:p>
    <w:p>
      <w:pPr>
        <w:rPr>
          <w:rFonts w:hint="eastAsia"/>
          <w:highlight w:val="none"/>
          <w:lang w:val="en-US" w:eastAsia="zh-CN"/>
        </w:rPr>
      </w:pPr>
    </w:p>
    <w:p>
      <w:pPr>
        <w:pStyle w:val="12"/>
        <w:tabs>
          <w:tab w:val="left" w:pos="1620"/>
        </w:tabs>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3.3驱动桥半轴定量注脂机</w:t>
      </w:r>
    </w:p>
    <w:p>
      <w:pPr>
        <w:pStyle w:val="12"/>
        <w:tabs>
          <w:tab w:val="left" w:pos="1620"/>
        </w:tabs>
        <w:ind w:firstLine="480"/>
        <w:rPr>
          <w:rFonts w:hint="eastAsia" w:ascii="仿宋" w:hAnsi="仿宋" w:eastAsia="仿宋" w:cs="仿宋"/>
          <w:highlight w:val="none"/>
          <w:lang w:val="en-US"/>
        </w:rPr>
      </w:pPr>
      <w:r>
        <w:rPr>
          <w:rFonts w:hint="eastAsia" w:ascii="仿宋" w:hAnsi="仿宋" w:eastAsia="仿宋" w:cs="仿宋"/>
          <w:highlight w:val="none"/>
          <w:lang w:val="en-US"/>
        </w:rPr>
        <w:t>3.</w:t>
      </w:r>
      <w:r>
        <w:rPr>
          <w:rFonts w:hint="eastAsia" w:ascii="仿宋" w:hAnsi="仿宋" w:eastAsia="仿宋" w:cs="仿宋"/>
          <w:highlight w:val="none"/>
          <w:lang w:val="en-US" w:eastAsia="zh-CN"/>
        </w:rPr>
        <w:t>3</w:t>
      </w:r>
      <w:r>
        <w:rPr>
          <w:rFonts w:hint="eastAsia" w:ascii="仿宋" w:hAnsi="仿宋" w:eastAsia="仿宋" w:cs="仿宋"/>
          <w:highlight w:val="none"/>
          <w:lang w:val="en-US"/>
        </w:rPr>
        <w:t>驱动桥半轴定量注脂机</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hint="eastAsia" w:ascii="仿宋" w:hAnsi="仿宋" w:eastAsia="仿宋" w:cs="仿宋"/>
          <w:highlight w:val="none"/>
          <w:lang w:val="en-US" w:eastAsia="zh-CN"/>
        </w:rPr>
        <w:t>3</w:t>
      </w:r>
      <w:r>
        <w:rPr>
          <w:rFonts w:hint="eastAsia" w:ascii="仿宋" w:hAnsi="仿宋" w:eastAsia="仿宋" w:cs="仿宋"/>
          <w:highlight w:val="none"/>
        </w:rPr>
        <w:t>.1生产能力及产品说明</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生产能力要求：</w:t>
      </w:r>
      <w:r>
        <w:rPr>
          <w:rFonts w:hint="eastAsia" w:ascii="仿宋" w:hAnsi="仿宋" w:eastAsia="仿宋" w:cs="仿宋"/>
          <w:i w:val="0"/>
          <w:iCs w:val="0"/>
          <w:color w:val="000000"/>
          <w:kern w:val="0"/>
          <w:sz w:val="24"/>
          <w:szCs w:val="24"/>
          <w:highlight w:val="none"/>
          <w:u w:val="none"/>
          <w:lang w:val="en-US" w:eastAsia="zh-CN" w:bidi="ar"/>
        </w:rPr>
        <w:t>半轴内侧空腔</w:t>
      </w:r>
      <w:r>
        <w:rPr>
          <w:rFonts w:hint="eastAsia" w:ascii="仿宋" w:hAnsi="仿宋" w:eastAsia="仿宋" w:cs="仿宋"/>
          <w:highlight w:val="none"/>
          <w:lang w:val="en-US" w:eastAsia="zh-CN"/>
        </w:rPr>
        <w:t>定量注脂机</w:t>
      </w:r>
      <w:r>
        <w:rPr>
          <w:rFonts w:hint="eastAsia" w:ascii="仿宋" w:hAnsi="仿宋" w:eastAsia="仿宋" w:cs="仿宋"/>
          <w:highlight w:val="none"/>
        </w:rPr>
        <w:t>注脂节拍≤2</w:t>
      </w:r>
      <w:r>
        <w:rPr>
          <w:rFonts w:hint="eastAsia" w:ascii="仿宋" w:hAnsi="仿宋" w:eastAsia="仿宋" w:cs="仿宋"/>
          <w:highlight w:val="none"/>
          <w:lang w:val="en-US" w:eastAsia="zh-CN"/>
        </w:rPr>
        <w:t>0</w:t>
      </w:r>
      <w:r>
        <w:rPr>
          <w:rFonts w:hint="eastAsia" w:ascii="仿宋" w:hAnsi="仿宋" w:eastAsia="仿宋" w:cs="仿宋"/>
          <w:highlight w:val="none"/>
        </w:rPr>
        <w:t>s</w:t>
      </w:r>
      <w:r>
        <w:rPr>
          <w:rFonts w:hint="eastAsia" w:ascii="宋体" w:hAnsi="宋体" w:cs="宋体"/>
          <w:highlight w:val="none"/>
        </w:rPr>
        <w:t>；</w:t>
      </w:r>
      <w:r>
        <w:rPr>
          <w:rFonts w:hint="eastAsia" w:ascii="仿宋" w:hAnsi="仿宋" w:eastAsia="仿宋" w:cs="仿宋"/>
          <w:highlight w:val="none"/>
        </w:rPr>
        <w:t>更换油桶（175Kg/桶）时间小于5分钟；产品切换时间小于</w:t>
      </w:r>
      <w:r>
        <w:rPr>
          <w:rFonts w:hint="eastAsia" w:ascii="仿宋" w:hAnsi="仿宋" w:eastAsia="仿宋" w:cs="仿宋"/>
          <w:highlight w:val="none"/>
          <w:lang w:val="en-US" w:eastAsia="zh-CN"/>
        </w:rPr>
        <w:t>2</w:t>
      </w:r>
      <w:r>
        <w:rPr>
          <w:rFonts w:hint="eastAsia" w:ascii="仿宋" w:hAnsi="仿宋" w:eastAsia="仿宋" w:cs="仿宋"/>
          <w:highlight w:val="none"/>
        </w:rPr>
        <w:t>分钟。</w:t>
      </w:r>
    </w:p>
    <w:p>
      <w:pPr>
        <w:rPr>
          <w:rFonts w:hint="eastAsia" w:ascii="仿宋" w:hAnsi="仿宋" w:eastAsia="仿宋" w:cs="仿宋"/>
          <w:highlight w:val="none"/>
        </w:rPr>
      </w:pPr>
      <w:r>
        <w:rPr>
          <w:rFonts w:hint="eastAsia"/>
          <w:highlight w:val="none"/>
          <w:lang w:val="en-US" w:eastAsia="zh-CN"/>
        </w:rPr>
        <w:t xml:space="preserve">   </w:t>
      </w:r>
      <w:r>
        <w:rPr>
          <w:rFonts w:hint="eastAsia" w:ascii="仿宋" w:hAnsi="仿宋" w:eastAsia="仿宋" w:cs="仿宋"/>
          <w:i w:val="0"/>
          <w:iCs w:val="0"/>
          <w:color w:val="000000"/>
          <w:kern w:val="0"/>
          <w:sz w:val="24"/>
          <w:szCs w:val="24"/>
          <w:highlight w:val="none"/>
          <w:u w:val="none"/>
          <w:lang w:val="en-US" w:eastAsia="zh-CN" w:bidi="ar"/>
        </w:rPr>
        <w:t>半轴内侧空腔</w:t>
      </w:r>
      <w:r>
        <w:rPr>
          <w:rFonts w:hint="eastAsia" w:ascii="仿宋" w:hAnsi="仿宋" w:eastAsia="仿宋" w:cs="仿宋"/>
          <w:highlight w:val="none"/>
        </w:rPr>
        <w:t>注脂产品状态，如下图：</w:t>
      </w:r>
    </w:p>
    <w:p>
      <w:pPr>
        <w:pStyle w:val="12"/>
        <w:tabs>
          <w:tab w:val="left" w:pos="1620"/>
        </w:tabs>
        <w:rPr>
          <w:rFonts w:hint="eastAsia" w:ascii="仿宋" w:hAnsi="仿宋" w:eastAsia="仿宋" w:cs="仿宋"/>
          <w:highlight w:val="none"/>
        </w:rPr>
      </w:pPr>
    </w:p>
    <w:p>
      <w:pPr>
        <w:jc w:val="center"/>
        <w:rPr>
          <w:rFonts w:hint="default"/>
          <w:sz w:val="28"/>
          <w:szCs w:val="28"/>
          <w:highlight w:val="none"/>
          <w:lang w:val="en-US" w:eastAsia="zh-CN"/>
        </w:rPr>
      </w:pPr>
      <w:r>
        <w:rPr>
          <w:rFonts w:hint="default"/>
          <w:sz w:val="28"/>
          <w:szCs w:val="28"/>
          <w:highlight w:val="none"/>
          <w:lang w:val="en-US" w:eastAsia="zh-CN"/>
        </w:rPr>
        <w:drawing>
          <wp:inline distT="0" distB="0" distL="114300" distR="114300">
            <wp:extent cx="2243455" cy="1511935"/>
            <wp:effectExtent l="0" t="0" r="4445" b="12065"/>
            <wp:docPr id="17" name="图片 17" descr="6943ca82db7585d782b53a91baf75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943ca82db7585d782b53a91baf75c8"/>
                    <pic:cNvPicPr>
                      <a:picLocks noChangeAspect="1"/>
                    </pic:cNvPicPr>
                  </pic:nvPicPr>
                  <pic:blipFill>
                    <a:blip r:embed="rId48"/>
                    <a:stretch>
                      <a:fillRect/>
                    </a:stretch>
                  </pic:blipFill>
                  <pic:spPr>
                    <a:xfrm>
                      <a:off x="0" y="0"/>
                      <a:ext cx="2243455" cy="1511935"/>
                    </a:xfrm>
                    <a:prstGeom prst="rect">
                      <a:avLst/>
                    </a:prstGeom>
                  </pic:spPr>
                </pic:pic>
              </a:graphicData>
            </a:graphic>
          </wp:inline>
        </w:drawing>
      </w:r>
    </w:p>
    <w:p>
      <w:pPr>
        <w:autoSpaceDE w:val="0"/>
        <w:autoSpaceDN w:val="0"/>
        <w:adjustRightIn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3.</w:t>
      </w:r>
      <w:r>
        <w:rPr>
          <w:rFonts w:hint="eastAsia" w:ascii="仿宋" w:hAnsi="仿宋" w:eastAsia="仿宋" w:cs="仿宋"/>
          <w:highlight w:val="none"/>
          <w:lang w:val="en-US" w:eastAsia="zh-CN"/>
        </w:rPr>
        <w:t>3</w:t>
      </w:r>
      <w:r>
        <w:rPr>
          <w:rFonts w:hint="eastAsia" w:ascii="仿宋" w:hAnsi="仿宋" w:eastAsia="仿宋" w:cs="仿宋"/>
          <w:highlight w:val="none"/>
        </w:rPr>
        <w:t>.2工艺要求</w:t>
      </w:r>
    </w:p>
    <w:p>
      <w:pPr>
        <w:autoSpaceDE w:val="0"/>
        <w:autoSpaceDN w:val="0"/>
        <w:adjustRightIn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（1）工艺流程（参考）：</w:t>
      </w:r>
    </w:p>
    <w:p>
      <w:pPr>
        <w:autoSpaceDE w:val="0"/>
        <w:autoSpaceDN w:val="0"/>
        <w:adjustRightInd w:val="0"/>
        <w:spacing w:line="360" w:lineRule="auto"/>
        <w:ind w:firstLine="420" w:firstLineChars="200"/>
        <w:jc w:val="left"/>
        <w:rPr>
          <w:rFonts w:hint="eastAsia" w:ascii="仿宋" w:hAnsi="仿宋" w:eastAsia="仿宋" w:cs="仿宋"/>
          <w:highlight w:val="none"/>
          <w:lang w:eastAsia="zh-CN"/>
        </w:rPr>
      </w:pPr>
      <w:r>
        <w:rPr>
          <w:rFonts w:hint="eastAsia" w:ascii="仿宋" w:hAnsi="仿宋" w:eastAsia="仿宋" w:cs="仿宋"/>
          <w:highlight w:val="none"/>
        </w:rPr>
        <w:t>描</w:t>
      </w:r>
      <w:r>
        <w:rPr>
          <w:rFonts w:hint="eastAsia" w:ascii="仿宋" w:hAnsi="仿宋" w:eastAsia="仿宋" w:cs="仿宋"/>
          <w:highlight w:val="none"/>
          <w:lang w:val="en-US" w:eastAsia="zh-CN"/>
        </w:rPr>
        <w:t>桥总成铭牌</w:t>
      </w:r>
      <w:r>
        <w:rPr>
          <w:rFonts w:hint="eastAsia" w:ascii="仿宋" w:hAnsi="仿宋" w:eastAsia="仿宋" w:cs="仿宋"/>
          <w:highlight w:val="none"/>
        </w:rPr>
        <w:t>二维码（</w:t>
      </w:r>
      <w:r>
        <w:rPr>
          <w:rFonts w:hint="eastAsia" w:ascii="仿宋" w:hAnsi="仿宋" w:eastAsia="仿宋" w:cs="仿宋"/>
          <w:highlight w:val="none"/>
          <w:lang w:val="en-US" w:eastAsia="zh-CN"/>
        </w:rPr>
        <w:t>与IOT/MES联网，自动</w:t>
      </w:r>
      <w:r>
        <w:rPr>
          <w:rFonts w:hint="eastAsia" w:ascii="仿宋" w:hAnsi="仿宋" w:eastAsia="仿宋" w:cs="仿宋"/>
          <w:highlight w:val="none"/>
        </w:rPr>
        <w:t>识别桥型及确定注脂量）→</w:t>
      </w:r>
      <w:r>
        <w:rPr>
          <w:rFonts w:hint="eastAsia" w:ascii="仿宋" w:hAnsi="仿宋" w:eastAsia="仿宋" w:cs="仿宋"/>
          <w:highlight w:val="none"/>
          <w:lang w:val="en-US" w:eastAsia="zh-CN"/>
        </w:rPr>
        <w:t>人工</w:t>
      </w:r>
      <w:r>
        <w:rPr>
          <w:rFonts w:hint="eastAsia" w:ascii="仿宋" w:hAnsi="仿宋" w:eastAsia="仿宋" w:cs="仿宋"/>
          <w:highlight w:val="none"/>
        </w:rPr>
        <w:t>注脂工装到位→注脂设备自动将润滑脂均匀涂抹定量至内</w:t>
      </w:r>
      <w:r>
        <w:rPr>
          <w:rFonts w:hint="eastAsia" w:ascii="仿宋" w:hAnsi="仿宋" w:eastAsia="仿宋" w:cs="仿宋"/>
          <w:highlight w:val="none"/>
          <w:lang w:val="en-US" w:eastAsia="zh-CN"/>
        </w:rPr>
        <w:t>腔</w:t>
      </w:r>
      <w:r>
        <w:rPr>
          <w:rFonts w:hint="eastAsia" w:ascii="仿宋" w:hAnsi="仿宋" w:eastAsia="仿宋" w:cs="仿宋"/>
          <w:highlight w:val="none"/>
        </w:rPr>
        <w:t>→注脂工装移开</w:t>
      </w:r>
      <w:r>
        <w:rPr>
          <w:rFonts w:hint="eastAsia" w:ascii="仿宋" w:hAnsi="仿宋" w:eastAsia="仿宋" w:cs="仿宋"/>
          <w:highlight w:val="none"/>
          <w:lang w:eastAsia="zh-CN"/>
        </w:rPr>
        <w:t>。</w:t>
      </w:r>
    </w:p>
    <w:p>
      <w:pPr>
        <w:pStyle w:val="12"/>
        <w:numPr>
          <w:ilvl w:val="0"/>
          <w:numId w:val="0"/>
        </w:numPr>
        <w:tabs>
          <w:tab w:val="left" w:pos="1620"/>
        </w:tabs>
        <w:ind w:leftChars="200"/>
        <w:rPr>
          <w:rFonts w:hint="eastAsia" w:ascii="仿宋" w:hAnsi="仿宋" w:eastAsia="仿宋" w:cs="仿宋"/>
          <w:highlight w:val="none"/>
          <w:lang w:val="en-US" w:eastAsia="zh-CN"/>
        </w:rPr>
      </w:pPr>
      <w:r>
        <w:rPr>
          <w:rFonts w:hint="eastAsia" w:ascii="仿宋" w:hAnsi="仿宋" w:eastAsia="仿宋" w:cs="仿宋"/>
          <w:highlight w:val="none"/>
          <w:lang w:eastAsia="zh-CN"/>
        </w:rPr>
        <w:t>（</w:t>
      </w:r>
      <w:r>
        <w:rPr>
          <w:rFonts w:hint="eastAsia" w:ascii="仿宋" w:hAnsi="仿宋" w:eastAsia="仿宋" w:cs="仿宋"/>
          <w:highlight w:val="none"/>
          <w:lang w:val="en-US" w:eastAsia="zh-CN"/>
        </w:rPr>
        <w:t>2</w:t>
      </w:r>
      <w:r>
        <w:rPr>
          <w:rFonts w:hint="eastAsia" w:ascii="仿宋" w:hAnsi="仿宋" w:eastAsia="仿宋" w:cs="仿宋"/>
          <w:highlight w:val="none"/>
          <w:lang w:eastAsia="zh-CN"/>
        </w:rPr>
        <w:t>）</w:t>
      </w:r>
      <w:r>
        <w:rPr>
          <w:rFonts w:hint="eastAsia" w:ascii="仿宋" w:hAnsi="仿宋" w:eastAsia="仿宋" w:cs="仿宋"/>
          <w:highlight w:val="none"/>
        </w:rPr>
        <w:t>注脂定量要求：</w:t>
      </w:r>
    </w:p>
    <w:tbl>
      <w:tblPr>
        <w:tblStyle w:val="43"/>
        <w:tblW w:w="77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5"/>
        <w:gridCol w:w="3084"/>
        <w:gridCol w:w="2270"/>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5" w:type="dxa"/>
            <w:vAlign w:val="center"/>
          </w:tcPr>
          <w:p>
            <w:pPr>
              <w:keepNext w:val="0"/>
              <w:keepLines w:val="0"/>
              <w:suppressLineNumbers w:val="0"/>
              <w:spacing w:before="0" w:beforeAutospacing="0" w:after="0" w:afterAutospacing="0" w:line="400" w:lineRule="exact"/>
              <w:ind w:left="0" w:leftChars="0" w:right="0" w:rightChars="0" w:firstLine="0" w:firstLineChars="0"/>
              <w:jc w:val="center"/>
              <w:rPr>
                <w:rFonts w:hint="eastAsia" w:ascii="仿宋" w:hAnsi="仿宋" w:eastAsia="仿宋" w:cs="仿宋"/>
                <w:bCs/>
                <w:kern w:val="0"/>
                <w:sz w:val="21"/>
                <w:szCs w:val="21"/>
                <w:highlight w:val="none"/>
                <w:lang w:val="en-US" w:eastAsia="zh-CN" w:bidi="ar-SA"/>
              </w:rPr>
            </w:pPr>
            <w:r>
              <w:rPr>
                <w:rFonts w:hint="eastAsia" w:ascii="仿宋" w:hAnsi="仿宋" w:eastAsia="仿宋" w:cs="仿宋"/>
                <w:sz w:val="21"/>
                <w:szCs w:val="21"/>
                <w:highlight w:val="none"/>
                <w:lang w:val="en-US" w:eastAsia="zh-CN"/>
              </w:rPr>
              <w:t>产品类别</w:t>
            </w:r>
          </w:p>
        </w:tc>
        <w:tc>
          <w:tcPr>
            <w:tcW w:w="3084" w:type="dxa"/>
            <w:vAlign w:val="center"/>
          </w:tcPr>
          <w:p>
            <w:pPr>
              <w:keepNext w:val="0"/>
              <w:keepLines w:val="0"/>
              <w:suppressLineNumbers w:val="0"/>
              <w:spacing w:before="0" w:beforeAutospacing="0" w:after="0" w:afterAutospacing="0" w:line="400" w:lineRule="exact"/>
              <w:ind w:left="0" w:leftChars="0" w:right="0" w:rightChars="0" w:firstLine="0" w:firstLine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半轴与轮毂空腔注脂量</w:t>
            </w:r>
          </w:p>
        </w:tc>
        <w:tc>
          <w:tcPr>
            <w:tcW w:w="2270" w:type="dxa"/>
            <w:vAlign w:val="top"/>
          </w:tcPr>
          <w:p>
            <w:pPr>
              <w:keepNext w:val="0"/>
              <w:keepLines w:val="0"/>
              <w:suppressLineNumbers w:val="0"/>
              <w:spacing w:before="0" w:beforeAutospacing="0" w:after="0" w:afterAutospacing="0" w:line="400" w:lineRule="exact"/>
              <w:ind w:left="0" w:leftChars="0" w:right="0" w:rightChars="0" w:firstLine="0" w:firstLineChars="0"/>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适用产品</w:t>
            </w:r>
          </w:p>
        </w:tc>
        <w:tc>
          <w:tcPr>
            <w:tcW w:w="1059" w:type="dxa"/>
            <w:vAlign w:val="top"/>
          </w:tcPr>
          <w:p>
            <w:pPr>
              <w:keepNext w:val="0"/>
              <w:keepLines w:val="0"/>
              <w:suppressLineNumbers w:val="0"/>
              <w:spacing w:before="0" w:beforeAutospacing="0" w:after="0" w:afterAutospacing="0" w:line="400" w:lineRule="exact"/>
              <w:ind w:left="0" w:leftChars="0" w:right="0" w:rightChars="0" w:firstLine="0" w:firstLineChars="0"/>
              <w:jc w:val="both"/>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295" w:type="dxa"/>
            <w:vMerge w:val="restart"/>
            <w:vAlign w:val="center"/>
          </w:tcPr>
          <w:p>
            <w:pPr>
              <w:keepNext w:val="0"/>
              <w:keepLines w:val="0"/>
              <w:suppressLineNumbers w:val="0"/>
              <w:spacing w:before="0" w:beforeAutospacing="0" w:after="0" w:afterAutospacing="0" w:line="400" w:lineRule="exact"/>
              <w:ind w:left="0" w:leftChars="0" w:right="0"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驱动桥</w:t>
            </w:r>
          </w:p>
        </w:tc>
        <w:tc>
          <w:tcPr>
            <w:tcW w:w="3084" w:type="dxa"/>
            <w:vAlign w:val="center"/>
          </w:tcPr>
          <w:p>
            <w:pPr>
              <w:keepNext w:val="0"/>
              <w:keepLines w:val="0"/>
              <w:suppressLineNumbers w:val="0"/>
              <w:spacing w:before="0" w:beforeAutospacing="0" w:after="0" w:afterAutospacing="0" w:line="400" w:lineRule="exact"/>
              <w:ind w:left="0" w:right="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200±10g</w:t>
            </w:r>
          </w:p>
        </w:tc>
        <w:tc>
          <w:tcPr>
            <w:tcW w:w="2270" w:type="dxa"/>
          </w:tcPr>
          <w:p>
            <w:pPr>
              <w:keepNext w:val="0"/>
              <w:keepLines w:val="0"/>
              <w:suppressLineNumbers w:val="0"/>
              <w:spacing w:before="0" w:beforeAutospacing="0" w:after="0" w:afterAutospacing="0" w:line="400" w:lineRule="exact"/>
              <w:ind w:left="0" w:leftChars="0" w:right="0" w:firstLine="0" w:firstLineChars="0"/>
              <w:jc w:val="both"/>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MCJ09/11/12</w:t>
            </w:r>
          </w:p>
        </w:tc>
        <w:tc>
          <w:tcPr>
            <w:tcW w:w="1059" w:type="dxa"/>
          </w:tcPr>
          <w:p>
            <w:pPr>
              <w:keepNext w:val="0"/>
              <w:keepLines w:val="0"/>
              <w:suppressLineNumbers w:val="0"/>
              <w:spacing w:before="0" w:beforeAutospacing="0" w:after="0" w:afterAutospacing="0" w:line="400" w:lineRule="exact"/>
              <w:ind w:left="0" w:leftChars="0" w:right="0" w:firstLine="0" w:firstLineChars="0"/>
              <w:jc w:val="both"/>
              <w:rPr>
                <w:rFonts w:hint="eastAsia" w:ascii="仿宋" w:hAnsi="仿宋" w:eastAsia="仿宋" w:cs="仿宋"/>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295" w:type="dxa"/>
            <w:vMerge w:val="continue"/>
            <w:vAlign w:val="center"/>
          </w:tcPr>
          <w:p>
            <w:pPr>
              <w:keepNext w:val="0"/>
              <w:keepLines w:val="0"/>
              <w:suppressLineNumbers w:val="0"/>
              <w:spacing w:before="0" w:beforeAutospacing="0" w:after="0" w:afterAutospacing="0" w:line="400" w:lineRule="exact"/>
              <w:ind w:left="0" w:leftChars="0" w:right="0" w:firstLine="0" w:firstLineChars="0"/>
              <w:jc w:val="center"/>
              <w:rPr>
                <w:rFonts w:hint="eastAsia" w:ascii="仿宋" w:hAnsi="仿宋" w:eastAsia="仿宋" w:cs="仿宋"/>
                <w:sz w:val="21"/>
                <w:szCs w:val="21"/>
                <w:highlight w:val="none"/>
                <w:lang w:val="en-US" w:eastAsia="zh-CN"/>
              </w:rPr>
            </w:pPr>
          </w:p>
        </w:tc>
        <w:tc>
          <w:tcPr>
            <w:tcW w:w="3084" w:type="dxa"/>
            <w:vAlign w:val="center"/>
          </w:tcPr>
          <w:p>
            <w:pPr>
              <w:keepNext w:val="0"/>
              <w:keepLines w:val="0"/>
              <w:suppressLineNumbers w:val="0"/>
              <w:spacing w:before="0" w:beforeAutospacing="0" w:after="0" w:afterAutospacing="0" w:line="400" w:lineRule="exact"/>
              <w:ind w:left="0" w:right="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70±5g</w:t>
            </w:r>
          </w:p>
        </w:tc>
        <w:tc>
          <w:tcPr>
            <w:tcW w:w="2270" w:type="dxa"/>
          </w:tcPr>
          <w:p>
            <w:pPr>
              <w:keepNext w:val="0"/>
              <w:keepLines w:val="0"/>
              <w:suppressLineNumbers w:val="0"/>
              <w:spacing w:before="0" w:beforeAutospacing="0" w:after="0" w:afterAutospacing="0" w:line="400" w:lineRule="exact"/>
              <w:ind w:left="0" w:right="0"/>
              <w:jc w:val="both"/>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MCE05</w:t>
            </w:r>
          </w:p>
        </w:tc>
        <w:tc>
          <w:tcPr>
            <w:tcW w:w="1059" w:type="dxa"/>
          </w:tcPr>
          <w:p>
            <w:pPr>
              <w:keepNext w:val="0"/>
              <w:keepLines w:val="0"/>
              <w:suppressLineNumbers w:val="0"/>
              <w:spacing w:before="0" w:beforeAutospacing="0" w:after="0" w:afterAutospacing="0" w:line="400" w:lineRule="exact"/>
              <w:ind w:left="0" w:right="0"/>
              <w:jc w:val="both"/>
              <w:rPr>
                <w:rFonts w:hint="eastAsia" w:ascii="仿宋" w:hAnsi="仿宋" w:eastAsia="仿宋" w:cs="仿宋"/>
                <w:sz w:val="21"/>
                <w:szCs w:val="21"/>
                <w:highlight w:val="none"/>
                <w:lang w:val="en-US" w:eastAsia="zh-CN"/>
              </w:rPr>
            </w:pPr>
          </w:p>
        </w:tc>
      </w:tr>
    </w:tbl>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hint="eastAsia" w:ascii="仿宋" w:hAnsi="仿宋" w:eastAsia="仿宋" w:cs="仿宋"/>
          <w:highlight w:val="none"/>
          <w:lang w:val="en-US" w:eastAsia="zh-CN"/>
        </w:rPr>
        <w:t>3</w:t>
      </w:r>
      <w:r>
        <w:rPr>
          <w:rFonts w:hint="eastAsia" w:ascii="仿宋" w:hAnsi="仿宋" w:eastAsia="仿宋" w:cs="仿宋"/>
          <w:highlight w:val="none"/>
        </w:rPr>
        <w:t>.3布置布局：</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半轴定量注脂机成注脂机，布置于</w:t>
      </w:r>
      <w:r>
        <w:rPr>
          <w:rFonts w:hint="eastAsia" w:ascii="仿宋" w:hAnsi="仿宋" w:eastAsia="仿宋" w:cs="仿宋"/>
          <w:highlight w:val="none"/>
          <w:lang w:val="en-US" w:eastAsia="zh-CN"/>
        </w:rPr>
        <w:t>驱动桥</w:t>
      </w:r>
      <w:r>
        <w:rPr>
          <w:rFonts w:hint="eastAsia" w:ascii="仿宋" w:hAnsi="仿宋" w:eastAsia="仿宋" w:cs="仿宋"/>
          <w:highlight w:val="none"/>
        </w:rPr>
        <w:t>装配</w:t>
      </w:r>
      <w:r>
        <w:rPr>
          <w:rFonts w:hint="eastAsia" w:ascii="仿宋" w:hAnsi="仿宋" w:eastAsia="仿宋" w:cs="仿宋"/>
          <w:highlight w:val="none"/>
          <w:lang w:val="en-US" w:eastAsia="zh-CN"/>
        </w:rPr>
        <w:t>1</w:t>
      </w:r>
      <w:r>
        <w:rPr>
          <w:rFonts w:hint="eastAsia" w:ascii="仿宋" w:hAnsi="仿宋" w:eastAsia="仿宋" w:cs="仿宋"/>
          <w:highlight w:val="none"/>
        </w:rPr>
        <w:t>线和</w:t>
      </w:r>
      <w:r>
        <w:rPr>
          <w:rFonts w:hint="eastAsia" w:ascii="仿宋" w:hAnsi="仿宋" w:eastAsia="仿宋" w:cs="仿宋"/>
          <w:highlight w:val="none"/>
          <w:lang w:val="en-US" w:eastAsia="zh-CN"/>
        </w:rPr>
        <w:t>AGV</w:t>
      </w:r>
      <w:r>
        <w:rPr>
          <w:rFonts w:hint="eastAsia" w:ascii="仿宋" w:hAnsi="仿宋" w:eastAsia="仿宋" w:cs="仿宋"/>
          <w:highlight w:val="none"/>
        </w:rPr>
        <w:t>线的左右两侧，每台设备整体占地面积占地面积尽可能小，≤1.5m×2m。</w:t>
      </w:r>
    </w:p>
    <w:p>
      <w:pPr>
        <w:autoSpaceDE w:val="0"/>
        <w:autoSpaceDN w:val="0"/>
        <w:adjustRightIn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3.</w:t>
      </w:r>
      <w:r>
        <w:rPr>
          <w:rFonts w:hint="eastAsia" w:ascii="仿宋" w:hAnsi="仿宋" w:eastAsia="仿宋" w:cs="仿宋"/>
          <w:highlight w:val="none"/>
          <w:lang w:val="en-US" w:eastAsia="zh-CN"/>
        </w:rPr>
        <w:t>3</w:t>
      </w:r>
      <w:r>
        <w:rPr>
          <w:rFonts w:hint="eastAsia" w:ascii="仿宋" w:hAnsi="仿宋" w:eastAsia="仿宋" w:cs="仿宋"/>
          <w:highlight w:val="none"/>
        </w:rPr>
        <w:t>.4设备功能和要求：</w:t>
      </w:r>
    </w:p>
    <w:p>
      <w:pPr>
        <w:autoSpaceDE w:val="0"/>
        <w:autoSpaceDN w:val="0"/>
        <w:adjustRightIn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定量注脂设备主要包含定量控制系统和加注工装，实现轮毂</w:t>
      </w:r>
      <w:r>
        <w:rPr>
          <w:rFonts w:hint="eastAsia" w:ascii="仿宋" w:hAnsi="仿宋" w:eastAsia="仿宋" w:cs="仿宋"/>
          <w:highlight w:val="none"/>
          <w:lang w:val="en-US" w:eastAsia="zh-CN"/>
        </w:rPr>
        <w:t>外轴承与油封之间空腔</w:t>
      </w:r>
      <w:r>
        <w:rPr>
          <w:rFonts w:hint="eastAsia" w:ascii="仿宋" w:hAnsi="仿宋" w:eastAsia="仿宋" w:cs="仿宋"/>
          <w:highlight w:val="none"/>
        </w:rPr>
        <w:t>定量注脂，保证注脂均匀。</w:t>
      </w:r>
    </w:p>
    <w:p>
      <w:pPr>
        <w:autoSpaceDE w:val="0"/>
        <w:autoSpaceDN w:val="0"/>
        <w:adjustRightIn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（1）定量控制系统包含但不限于润滑脂泵、双层密封压盘、气动升降立柱 、调压阀、流量阀、开关阀、加热装置、控制系统等。</w:t>
      </w:r>
    </w:p>
    <w:p>
      <w:pPr>
        <w:autoSpaceDE w:val="0"/>
        <w:autoSpaceDN w:val="0"/>
        <w:adjustRightIn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润滑脂泵，气动，采用GRACO、Atlas Copco、ARO等国际一线品牌。压力比≥40:1，流量≥1.5Kg/min。</w:t>
      </w:r>
    </w:p>
    <w:p>
      <w:pPr>
        <w:autoSpaceDE w:val="0"/>
        <w:autoSpaceDN w:val="0"/>
        <w:adjustRightIn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双层密封压盘与气动升降立柱，适用175Kg桶包装，压盘可进行充放气，立柱压力可调，换桶方便，桶内空气不影响定量精度，保证桶内润滑脂剩余量＜1Kg。</w:t>
      </w:r>
    </w:p>
    <w:p>
      <w:pPr>
        <w:autoSpaceDE w:val="0"/>
        <w:autoSpaceDN w:val="0"/>
        <w:adjustRightIn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调压阀、流量阀，采用采用GRACO、Atlas Copco、ARO等国际一线品牌，满足±5%精度使用要求。</w:t>
      </w:r>
    </w:p>
    <w:p>
      <w:pPr>
        <w:autoSpaceDE w:val="0"/>
        <w:autoSpaceDN w:val="0"/>
        <w:adjustRightIn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油脂管路，采用高压油管，内含钢丝网骨架，避免使用中膨胀变形。</w:t>
      </w:r>
    </w:p>
    <w:p>
      <w:pPr>
        <w:autoSpaceDE w:val="0"/>
        <w:autoSpaceDN w:val="0"/>
        <w:adjustRightIn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加热装置，用于冬季压盘及油管部位的加热，避免加注困难。</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20" w:firstLineChars="200"/>
        <w:jc w:val="left"/>
        <w:textAlignment w:val="auto"/>
        <w:rPr>
          <w:rFonts w:hint="default" w:ascii="仿宋" w:hAnsi="仿宋" w:eastAsia="仿宋" w:cs="仿宋"/>
          <w:highlight w:val="none"/>
          <w:lang w:val="en-US" w:eastAsia="zh-CN"/>
        </w:rPr>
      </w:pPr>
      <w:r>
        <w:rPr>
          <w:rFonts w:hint="eastAsia" w:ascii="仿宋" w:hAnsi="仿宋" w:eastAsia="仿宋" w:cs="仿宋"/>
          <w:highlight w:val="none"/>
        </w:rPr>
        <w:t>控制系统，采用PLC+触摸屏控制，PLC选用西门子、三菱等国际一线品牌；可根据不同产品设定不同的机型，可人工增加、修改机型，该设置功能有密码保护；扫描桥总成条码后自动选择机型，按照机型内参数自动定量注脂，注脂结束后，保存注脂量、时间等数据，回跳至开始扫码界面；若注脂量少于要求，则设备报警，进入手动模式进行补脂，补脂量由设备自动计算并设置为默认值，两次注脂量均记录保存；若注脂量大于要求，设备报警，通过人工密码复位后进行后续装调，人工对注脂件处理。</w:t>
      </w:r>
      <w:r>
        <w:rPr>
          <w:rFonts w:hint="eastAsia" w:ascii="仿宋" w:hAnsi="仿宋" w:eastAsia="仿宋" w:cs="仿宋"/>
          <w:highlight w:val="none"/>
          <w:lang w:val="en-US" w:eastAsia="zh-CN"/>
        </w:rPr>
        <w:t>设备留有数据接口，与IOT系统或MES系统联网，具备接受IOT系统或MES系统的加注参数、上</w:t>
      </w:r>
      <w:r>
        <w:rPr>
          <w:rFonts w:hint="default" w:ascii="仿宋" w:hAnsi="仿宋" w:eastAsia="仿宋" w:cs="仿宋"/>
          <w:highlight w:val="none"/>
          <w:lang w:val="en-US" w:eastAsia="zh-CN"/>
        </w:rPr>
        <w:t>传</w:t>
      </w:r>
      <w:r>
        <w:rPr>
          <w:rFonts w:hint="eastAsia" w:ascii="仿宋" w:hAnsi="仿宋" w:eastAsia="仿宋" w:cs="仿宋"/>
          <w:highlight w:val="none"/>
          <w:lang w:val="en-US" w:eastAsia="zh-CN"/>
        </w:rPr>
        <w:t>实际加注量数据的</w:t>
      </w:r>
      <w:r>
        <w:rPr>
          <w:rFonts w:hint="default" w:ascii="仿宋" w:hAnsi="仿宋" w:eastAsia="仿宋" w:cs="仿宋"/>
          <w:highlight w:val="none"/>
          <w:lang w:val="en-US" w:eastAsia="zh-CN"/>
        </w:rPr>
        <w:t>功能。</w:t>
      </w:r>
    </w:p>
    <w:p>
      <w:pPr>
        <w:autoSpaceDE w:val="0"/>
        <w:autoSpaceDN w:val="0"/>
        <w:adjustRightIn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显示界面能够显示设备工作时间、各品种轮毂合件注脂完工数、润滑脂加注量统计、换桶提醒、按照天/周/月/年等的统计数据、设备报警等信息。</w:t>
      </w:r>
    </w:p>
    <w:p>
      <w:pPr>
        <w:autoSpaceDE w:val="0"/>
        <w:autoSpaceDN w:val="0"/>
        <w:adjustRightIn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注脂设备具备信息查询功能，能够通过桥总成流水号查询相应的注脂记录，并具备数据导出功能。</w:t>
      </w:r>
    </w:p>
    <w:p>
      <w:pPr>
        <w:autoSpaceDE w:val="0"/>
        <w:autoSpaceDN w:val="0"/>
        <w:adjustRightIn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设备具有防错功能，防止出现漏注或者空注等问题。</w:t>
      </w:r>
    </w:p>
    <w:p>
      <w:pPr>
        <w:autoSpaceDE w:val="0"/>
        <w:autoSpaceDN w:val="0"/>
        <w:adjustRightIn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设备具备注脂量校验、标定功能，配置校验装置，及校验作业说明书。</w:t>
      </w:r>
    </w:p>
    <w:p>
      <w:pPr>
        <w:autoSpaceDE w:val="0"/>
        <w:autoSpaceDN w:val="0"/>
        <w:adjustRightInd w:val="0"/>
        <w:spacing w:line="360" w:lineRule="auto"/>
        <w:ind w:firstLine="420" w:firstLineChars="200"/>
        <w:jc w:val="left"/>
        <w:rPr>
          <w:rFonts w:hint="eastAsia" w:ascii="仿宋" w:hAnsi="仿宋" w:eastAsia="仿宋" w:cs="仿宋"/>
          <w:highlight w:val="none"/>
        </w:rPr>
      </w:pPr>
      <w:r>
        <w:rPr>
          <w:rFonts w:hint="eastAsia" w:ascii="仿宋" w:hAnsi="仿宋" w:eastAsia="仿宋" w:cs="仿宋"/>
          <w:highlight w:val="none"/>
        </w:rPr>
        <w:t>设备均可选择自动或手动模式，以实现人工校对出脂量及故障模式下的手动注脂控制。</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线体两侧加注机向同一根桥的半轴出注润滑脂，仅扫一次码。</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配置的无线扫码枪，品牌选用海康、霍尼韦尔、新大陆等国际一线品牌。</w:t>
      </w:r>
    </w:p>
    <w:p>
      <w:pPr>
        <w:pStyle w:val="12"/>
        <w:tabs>
          <w:tab w:val="left" w:pos="1620"/>
        </w:tabs>
        <w:rPr>
          <w:highlight w:val="none"/>
        </w:rPr>
      </w:pP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设备配置无线扫码枪，品牌选用海康、霍尼韦尔、新大陆等国际一线品牌。</w:t>
      </w:r>
    </w:p>
    <w:p>
      <w:pPr>
        <w:autoSpaceDE w:val="0"/>
        <w:autoSpaceDN w:val="0"/>
        <w:adjustRightIn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（2）加注工装</w:t>
      </w:r>
    </w:p>
    <w:p>
      <w:pPr>
        <w:autoSpaceDE w:val="0"/>
        <w:autoSpaceDN w:val="0"/>
        <w:adjustRightIn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加注工装，确保将定量控制系统传递来的定量润滑脂，均匀涂抹至轮毂</w:t>
      </w:r>
      <w:r>
        <w:rPr>
          <w:rFonts w:hint="eastAsia" w:ascii="仿宋" w:hAnsi="仿宋" w:eastAsia="仿宋" w:cs="仿宋"/>
          <w:highlight w:val="none"/>
          <w:lang w:val="en-US" w:eastAsia="zh-CN"/>
        </w:rPr>
        <w:t>外轴承与油封之间空腔</w:t>
      </w:r>
      <w:r>
        <w:rPr>
          <w:rFonts w:hint="eastAsia" w:ascii="仿宋" w:hAnsi="仿宋" w:eastAsia="仿宋" w:cs="仿宋"/>
          <w:highlight w:val="none"/>
        </w:rPr>
        <w:t>。</w:t>
      </w:r>
    </w:p>
    <w:p>
      <w:pPr>
        <w:autoSpaceDE w:val="0"/>
        <w:autoSpaceDN w:val="0"/>
        <w:adjustRightIn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加注工装兼容鼓式轮毂总成、盘式轮毂总成多种产品的注脂。产品换型时，可在</w:t>
      </w:r>
      <w:r>
        <w:rPr>
          <w:rFonts w:hint="eastAsia" w:ascii="仿宋" w:hAnsi="仿宋" w:eastAsia="仿宋" w:cs="仿宋"/>
          <w:highlight w:val="none"/>
          <w:lang w:val="en-US" w:eastAsia="zh-CN"/>
        </w:rPr>
        <w:t>2</w:t>
      </w:r>
      <w:r>
        <w:rPr>
          <w:rFonts w:hint="eastAsia" w:ascii="仿宋" w:hAnsi="仿宋" w:eastAsia="仿宋" w:cs="仿宋"/>
          <w:highlight w:val="none"/>
        </w:rPr>
        <w:t>分钟内完成快速切换。具备新产品拓展功能。</w:t>
      </w:r>
    </w:p>
    <w:p>
      <w:pPr>
        <w:autoSpaceDE w:val="0"/>
        <w:autoSpaceDN w:val="0"/>
        <w:adjustRightIn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保证注脂过程防护有效，确保零部件防尘和清洁度，不会对零部件产生磕碰。</w:t>
      </w:r>
    </w:p>
    <w:p>
      <w:pPr>
        <w:autoSpaceDE w:val="0"/>
        <w:autoSpaceDN w:val="0"/>
        <w:adjustRightIn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确保注脂完成后，工装与工件分离时不能有润滑脂附着到非涂抹面、污染现场等情况</w:t>
      </w:r>
    </w:p>
    <w:p>
      <w:pPr>
        <w:autoSpaceDE w:val="0"/>
        <w:autoSpaceDN w:val="0"/>
        <w:adjustRightIn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工装整体结构简单，便于人工操作。</w:t>
      </w:r>
    </w:p>
    <w:p>
      <w:pPr>
        <w:autoSpaceDE w:val="0"/>
        <w:autoSpaceDN w:val="0"/>
        <w:adjustRightIn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（3）其它要求</w:t>
      </w:r>
    </w:p>
    <w:p>
      <w:pPr>
        <w:autoSpaceDE w:val="0"/>
        <w:autoSpaceDN w:val="0"/>
        <w:adjustRightIn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设备整体框架，钣金采用喷漆等防锈处理。零配件采用镀铬、阳极化、喷砂、发黑防锈处理。所有焊接结构采用满焊，探伤。</w:t>
      </w:r>
    </w:p>
    <w:p>
      <w:pPr>
        <w:autoSpaceDE w:val="0"/>
        <w:autoSpaceDN w:val="0"/>
        <w:adjustRightInd w:val="0"/>
        <w:spacing w:line="360" w:lineRule="auto"/>
        <w:ind w:firstLine="420" w:firstLineChars="200"/>
        <w:jc w:val="left"/>
        <w:rPr>
          <w:rFonts w:hint="default"/>
          <w:highlight w:val="none"/>
          <w:lang w:val="en-US" w:eastAsia="zh-CN"/>
        </w:rPr>
      </w:pPr>
      <w:r>
        <w:rPr>
          <w:rFonts w:ascii="仿宋" w:hAnsi="仿宋" w:eastAsia="仿宋" w:cs="仿宋"/>
          <w:highlight w:val="none"/>
        </w:rPr>
        <w:t>润滑脂桶</w:t>
      </w:r>
      <w:r>
        <w:rPr>
          <w:rFonts w:hint="eastAsia" w:ascii="仿宋" w:hAnsi="仿宋" w:eastAsia="仿宋" w:cs="仿宋"/>
          <w:highlight w:val="none"/>
        </w:rPr>
        <w:t>和设备可整体便捷移动。</w:t>
      </w:r>
    </w:p>
    <w:p>
      <w:pPr>
        <w:rPr>
          <w:rFonts w:hint="eastAsia"/>
          <w:highlight w:val="none"/>
          <w:lang w:val="en-US" w:eastAsia="zh-CN"/>
        </w:rPr>
      </w:pPr>
    </w:p>
    <w:p>
      <w:pPr>
        <w:pStyle w:val="12"/>
        <w:tabs>
          <w:tab w:val="left" w:pos="1620"/>
        </w:tabs>
        <w:ind w:firstLine="480"/>
        <w:rPr>
          <w:rFonts w:hint="eastAsia" w:ascii="仿宋" w:hAnsi="仿宋" w:eastAsia="仿宋" w:cs="仿宋"/>
          <w:highlight w:val="none"/>
          <w:lang w:val="en-US"/>
        </w:rPr>
      </w:pPr>
      <w:r>
        <w:rPr>
          <w:rFonts w:hint="eastAsia" w:ascii="仿宋" w:hAnsi="仿宋" w:eastAsia="仿宋" w:cs="仿宋"/>
          <w:highlight w:val="none"/>
          <w:lang w:val="en-US"/>
        </w:rPr>
        <w:t>3.</w:t>
      </w:r>
      <w:r>
        <w:rPr>
          <w:rFonts w:hint="eastAsia" w:ascii="仿宋" w:hAnsi="仿宋" w:eastAsia="仿宋" w:cs="仿宋"/>
          <w:highlight w:val="none"/>
          <w:lang w:val="en-US" w:eastAsia="zh-CN"/>
        </w:rPr>
        <w:t>4</w:t>
      </w:r>
      <w:r>
        <w:rPr>
          <w:rFonts w:hint="eastAsia" w:ascii="仿宋" w:hAnsi="仿宋" w:eastAsia="仿宋" w:cs="仿宋"/>
          <w:highlight w:val="none"/>
          <w:lang w:val="en-US"/>
        </w:rPr>
        <w:t>驱动桥凸轮轴定量注脂机</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hint="eastAsia" w:ascii="仿宋" w:hAnsi="仿宋" w:eastAsia="仿宋" w:cs="仿宋"/>
          <w:highlight w:val="none"/>
          <w:lang w:val="en-US" w:eastAsia="zh-CN"/>
        </w:rPr>
        <w:t>4</w:t>
      </w:r>
      <w:r>
        <w:rPr>
          <w:rFonts w:hint="eastAsia" w:ascii="仿宋" w:hAnsi="仿宋" w:eastAsia="仿宋" w:cs="仿宋"/>
          <w:highlight w:val="none"/>
        </w:rPr>
        <w:t>.1生产能力及产品说明</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生产能力要求：</w:t>
      </w:r>
      <w:r>
        <w:rPr>
          <w:rFonts w:hint="eastAsia" w:ascii="仿宋" w:hAnsi="仿宋" w:eastAsia="仿宋" w:cs="仿宋"/>
          <w:highlight w:val="none"/>
          <w:lang w:val="en-US" w:eastAsia="zh-CN"/>
        </w:rPr>
        <w:t>向</w:t>
      </w:r>
      <w:r>
        <w:rPr>
          <w:rFonts w:hint="eastAsia" w:ascii="仿宋" w:hAnsi="仿宋" w:eastAsia="仿宋" w:cs="仿宋"/>
          <w:highlight w:val="none"/>
        </w:rPr>
        <w:t>桥总成两侧凸轮轴支架/凸轮轴套管注脂</w:t>
      </w:r>
      <w:r>
        <w:rPr>
          <w:rFonts w:hint="eastAsia" w:ascii="仿宋" w:hAnsi="仿宋" w:eastAsia="仿宋" w:cs="仿宋"/>
          <w:highlight w:val="none"/>
          <w:lang w:eastAsia="zh-CN"/>
        </w:rPr>
        <w:t>，</w:t>
      </w:r>
      <w:r>
        <w:rPr>
          <w:rFonts w:hint="eastAsia" w:ascii="仿宋" w:hAnsi="仿宋" w:eastAsia="仿宋" w:cs="仿宋"/>
          <w:highlight w:val="none"/>
          <w:lang w:val="en-US" w:eastAsia="zh-CN"/>
        </w:rPr>
        <w:t>注脂时间</w:t>
      </w:r>
      <w:r>
        <w:rPr>
          <w:rFonts w:hint="eastAsia" w:ascii="仿宋" w:hAnsi="仿宋" w:eastAsia="仿宋" w:cs="仿宋"/>
          <w:highlight w:val="none"/>
        </w:rPr>
        <w:t>≤1</w:t>
      </w:r>
      <w:r>
        <w:rPr>
          <w:rFonts w:hint="eastAsia" w:ascii="仿宋" w:hAnsi="仿宋" w:eastAsia="仿宋" w:cs="仿宋"/>
          <w:highlight w:val="none"/>
          <w:lang w:val="en-US" w:eastAsia="zh-CN"/>
        </w:rPr>
        <w:t>5</w:t>
      </w:r>
      <w:r>
        <w:rPr>
          <w:rFonts w:hint="eastAsia" w:ascii="仿宋" w:hAnsi="仿宋" w:eastAsia="仿宋" w:cs="仿宋"/>
          <w:highlight w:val="none"/>
        </w:rPr>
        <w:t>秒；更换油桶（175Kg/桶）时间小于5分钟；产品切换时间小于5分钟。</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桥总成注脂部位及注脂时状态如下图：</w:t>
      </w:r>
    </w:p>
    <w:p>
      <w:pPr>
        <w:jc w:val="center"/>
        <w:rPr>
          <w:rFonts w:hint="eastAsia" w:ascii="仿宋_GB2312" w:hAnsi="仿宋"/>
          <w:bCs/>
          <w:szCs w:val="28"/>
          <w:highlight w:val="none"/>
        </w:rPr>
      </w:pPr>
    </w:p>
    <w:p>
      <w:pPr>
        <w:pStyle w:val="18"/>
        <w:rPr>
          <w:highlight w:val="none"/>
        </w:rPr>
      </w:pPr>
      <w:r>
        <w:rPr>
          <w:highlight w:val="none"/>
        </w:rPr>
        <mc:AlternateContent>
          <mc:Choice Requires="wps">
            <w:drawing>
              <wp:anchor distT="0" distB="0" distL="114300" distR="114300" simplePos="0" relativeHeight="251676672" behindDoc="0" locked="0" layoutInCell="1" allowOverlap="1">
                <wp:simplePos x="0" y="0"/>
                <wp:positionH relativeFrom="column">
                  <wp:posOffset>4464050</wp:posOffset>
                </wp:positionH>
                <wp:positionV relativeFrom="paragraph">
                  <wp:posOffset>633730</wp:posOffset>
                </wp:positionV>
                <wp:extent cx="207010" cy="146050"/>
                <wp:effectExtent l="12700" t="12700" r="21590" b="19050"/>
                <wp:wrapNone/>
                <wp:docPr id="26" name="椭圆 26"/>
                <wp:cNvGraphicFramePr/>
                <a:graphic xmlns:a="http://schemas.openxmlformats.org/drawingml/2006/main">
                  <a:graphicData uri="http://schemas.microsoft.com/office/word/2010/wordprocessingShape">
                    <wps:wsp>
                      <wps:cNvSpPr/>
                      <wps:spPr>
                        <a:xfrm>
                          <a:off x="0" y="0"/>
                          <a:ext cx="207010" cy="14605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51.5pt;margin-top:49.9pt;height:11.5pt;width:16.3pt;z-index:251676672;v-text-anchor:middle;mso-width-relative:page;mso-height-relative:page;" filled="f" stroked="t" coordsize="21600,21600" o:gfxdata="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C8IdmzYAAAACgEAAA8AAAAAAAAAAQAgAAAAIgAAAGRycy9kb3ducmV2Lnht&#10;bFBLAQIUABQAAAAIAIdO4kBT0TKDawIAAM8EAAAOAAAAAAAAAAEAIAAAACcBAABkcnMvZTJvRG9j&#10;LnhtbFBLBQYAAAAABgAGAFkBAAAEBgAAAAA=&#10;">
                <v:fill on="f" focussize="0,0"/>
                <v:stroke weight="2pt" color="#FF0000 [3204]" miterlimit="8" joinstyle="miter"/>
                <v:imagedata o:title=""/>
                <o:lock v:ext="edit" aspectratio="f"/>
              </v:shape>
            </w:pict>
          </mc:Fallback>
        </mc:AlternateContent>
      </w:r>
      <w:r>
        <w:rPr>
          <w:highlight w:val="none"/>
        </w:rPr>
        <mc:AlternateContent>
          <mc:Choice Requires="wps">
            <w:drawing>
              <wp:anchor distT="0" distB="0" distL="114300" distR="114300" simplePos="0" relativeHeight="251675648" behindDoc="0" locked="0" layoutInCell="1" allowOverlap="1">
                <wp:simplePos x="0" y="0"/>
                <wp:positionH relativeFrom="column">
                  <wp:posOffset>3153410</wp:posOffset>
                </wp:positionH>
                <wp:positionV relativeFrom="paragraph">
                  <wp:posOffset>633730</wp:posOffset>
                </wp:positionV>
                <wp:extent cx="207010" cy="146050"/>
                <wp:effectExtent l="12700" t="12700" r="21590" b="19050"/>
                <wp:wrapNone/>
                <wp:docPr id="20" name="椭圆 20"/>
                <wp:cNvGraphicFramePr/>
                <a:graphic xmlns:a="http://schemas.openxmlformats.org/drawingml/2006/main">
                  <a:graphicData uri="http://schemas.microsoft.com/office/word/2010/wordprocessingShape">
                    <wps:wsp>
                      <wps:cNvSpPr/>
                      <wps:spPr>
                        <a:xfrm>
                          <a:off x="0" y="0"/>
                          <a:ext cx="207010" cy="14605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48.3pt;margin-top:49.9pt;height:11.5pt;width:16.3pt;z-index:251675648;v-text-anchor:middle;mso-width-relative:page;mso-height-relative:page;" filled="f" stroked="t" coordsize="21600,21600" o:gfxdata="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dDjVE1wAAAAoBAAAPAAAAAAAAAAEAIAAAACIAAABkcnMvZG93bnJldi54bWxQ&#10;SwECFAAUAAAACACHTuJA5A9/B2oCAADPBAAADgAAAAAAAAABACAAAAAmAQAAZHJzL2Uyb0RvYy54&#10;bWxQSwUGAAAAAAYABgBZAQAAAgYAAAAA&#10;">
                <v:fill on="f" focussize="0,0"/>
                <v:stroke weight="2pt" color="#FF0000 [3204]" miterlimit="8" joinstyle="miter"/>
                <v:imagedata o:title=""/>
                <o:lock v:ext="edit" aspectratio="f"/>
              </v:shape>
            </w:pict>
          </mc:Fallback>
        </mc:AlternateContent>
      </w:r>
      <w:r>
        <w:rPr>
          <w:highlight w:val="none"/>
        </w:rPr>
        <mc:AlternateContent>
          <mc:Choice Requires="wps">
            <w:drawing>
              <wp:anchor distT="0" distB="0" distL="114300" distR="114300" simplePos="0" relativeHeight="251674624" behindDoc="0" locked="0" layoutInCell="1" allowOverlap="1">
                <wp:simplePos x="0" y="0"/>
                <wp:positionH relativeFrom="column">
                  <wp:posOffset>1696085</wp:posOffset>
                </wp:positionH>
                <wp:positionV relativeFrom="paragraph">
                  <wp:posOffset>358140</wp:posOffset>
                </wp:positionV>
                <wp:extent cx="207010" cy="146050"/>
                <wp:effectExtent l="12700" t="12700" r="21590" b="19050"/>
                <wp:wrapNone/>
                <wp:docPr id="19" name="椭圆 19"/>
                <wp:cNvGraphicFramePr/>
                <a:graphic xmlns:a="http://schemas.openxmlformats.org/drawingml/2006/main">
                  <a:graphicData uri="http://schemas.microsoft.com/office/word/2010/wordprocessingShape">
                    <wps:wsp>
                      <wps:cNvSpPr/>
                      <wps:spPr>
                        <a:xfrm>
                          <a:off x="0" y="0"/>
                          <a:ext cx="207010" cy="14605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33.55pt;margin-top:28.2pt;height:11.5pt;width:16.3pt;z-index:251674624;v-text-anchor:middle;mso-width-relative:page;mso-height-relative:page;" filled="f" stroked="t" coordsize="21600,21600" o:gfxdata="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PLVUF/YAAAACQEAAA8AAAAAAAAAAQAgAAAAIgAAAGRycy9kb3ducmV2Lnht&#10;bFBLAQIUABQAAAAIAIdO4kDfMD44awIAAM8EAAAOAAAAAAAAAAEAIAAAACcBAABkcnMvZTJvRG9j&#10;LnhtbFBLBQYAAAAABgAGAFkBAAAEBgAAAAA=&#10;">
                <v:fill on="f" focussize="0,0"/>
                <v:stroke weight="2pt" color="#FF0000 [3204]" miterlimit="8" joinstyle="miter"/>
                <v:imagedata o:title=""/>
                <o:lock v:ext="edit" aspectratio="f"/>
              </v:shape>
            </w:pict>
          </mc:Fallback>
        </mc:AlternateContent>
      </w:r>
      <w:r>
        <w:rPr>
          <w:highlight w:val="none"/>
        </w:rPr>
        <mc:AlternateContent>
          <mc:Choice Requires="wps">
            <w:drawing>
              <wp:anchor distT="0" distB="0" distL="114300" distR="114300" simplePos="0" relativeHeight="251673600" behindDoc="0" locked="0" layoutInCell="1" allowOverlap="1">
                <wp:simplePos x="0" y="0"/>
                <wp:positionH relativeFrom="column">
                  <wp:posOffset>583565</wp:posOffset>
                </wp:positionH>
                <wp:positionV relativeFrom="paragraph">
                  <wp:posOffset>358140</wp:posOffset>
                </wp:positionV>
                <wp:extent cx="207010" cy="146050"/>
                <wp:effectExtent l="12700" t="12700" r="21590" b="19050"/>
                <wp:wrapNone/>
                <wp:docPr id="21" name="椭圆 21"/>
                <wp:cNvGraphicFramePr/>
                <a:graphic xmlns:a="http://schemas.openxmlformats.org/drawingml/2006/main">
                  <a:graphicData uri="http://schemas.microsoft.com/office/word/2010/wordprocessingShape">
                    <wps:wsp>
                      <wps:cNvSpPr/>
                      <wps:spPr>
                        <a:xfrm>
                          <a:off x="0" y="0"/>
                          <a:ext cx="207010" cy="14605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5.95pt;margin-top:28.2pt;height:11.5pt;width:16.3pt;z-index:251673600;v-text-anchor:middle;mso-width-relative:page;mso-height-relative:page;" filled="f" stroked="t" coordsize="21600,21600" o:gfxdata="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yI9RONcAAAAIAQAADwAAAAAAAAABACAAAAAiAAAAZHJzL2Rvd25yZXYueG1s&#10;UEsBAhQAFAAAAAgAh07iQPIp2tRrAgAAzwQAAA4AAAAAAAAAAQAgAAAAJgEAAGRycy9lMm9Eb2Mu&#10;eG1sUEsFBgAAAAAGAAYAWQEAAAMGAAAAAA==&#10;">
                <v:fill on="f" focussize="0,0"/>
                <v:stroke weight="2pt" color="#FF0000 [3204]" miterlimit="8" joinstyle="miter"/>
                <v:imagedata o:title=""/>
                <o:lock v:ext="edit" aspectratio="f"/>
              </v:shape>
            </w:pict>
          </mc:Fallback>
        </mc:AlternateContent>
      </w:r>
      <w:r>
        <w:rPr>
          <w:highlight w:val="none"/>
        </w:rPr>
        <w:drawing>
          <wp:inline distT="0" distB="0" distL="114300" distR="114300">
            <wp:extent cx="2494915" cy="1188085"/>
            <wp:effectExtent l="0" t="0" r="6985" b="571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49"/>
                    <a:stretch>
                      <a:fillRect/>
                    </a:stretch>
                  </pic:blipFill>
                  <pic:spPr>
                    <a:xfrm rot="10800000">
                      <a:off x="0" y="0"/>
                      <a:ext cx="2494915" cy="1188085"/>
                    </a:xfrm>
                    <a:prstGeom prst="rect">
                      <a:avLst/>
                    </a:prstGeom>
                    <a:noFill/>
                    <a:ln>
                      <a:noFill/>
                    </a:ln>
                  </pic:spPr>
                </pic:pic>
              </a:graphicData>
            </a:graphic>
          </wp:inline>
        </w:drawing>
      </w:r>
      <w:r>
        <w:rPr>
          <w:rFonts w:hint="eastAsia"/>
          <w:highlight w:val="none"/>
        </w:rPr>
        <w:t xml:space="preserve"> </w:t>
      </w:r>
      <w:r>
        <w:rPr>
          <w:highlight w:val="none"/>
        </w:rPr>
        <w:drawing>
          <wp:inline distT="0" distB="0" distL="114300" distR="114300">
            <wp:extent cx="2663825" cy="1188085"/>
            <wp:effectExtent l="0" t="0" r="3175" b="571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50"/>
                    <a:stretch>
                      <a:fillRect/>
                    </a:stretch>
                  </pic:blipFill>
                  <pic:spPr>
                    <a:xfrm rot="10800000">
                      <a:off x="0" y="0"/>
                      <a:ext cx="2663825" cy="1188085"/>
                    </a:xfrm>
                    <a:prstGeom prst="rect">
                      <a:avLst/>
                    </a:prstGeom>
                    <a:noFill/>
                    <a:ln>
                      <a:noFill/>
                    </a:ln>
                  </pic:spPr>
                </pic:pic>
              </a:graphicData>
            </a:graphic>
          </wp:inline>
        </w:drawing>
      </w:r>
    </w:p>
    <w:p>
      <w:pPr>
        <w:pStyle w:val="26"/>
        <w:snapToGrid w:val="0"/>
        <w:spacing w:line="360" w:lineRule="auto"/>
        <w:rPr>
          <w:rFonts w:ascii="仿宋" w:hAnsi="仿宋" w:eastAsia="仿宋" w:cs="仿宋"/>
          <w:highlight w:val="none"/>
        </w:rPr>
      </w:pPr>
      <w:r>
        <w:rPr>
          <w:rFonts w:hint="eastAsia" w:ascii="仿宋" w:hAnsi="仿宋" w:eastAsia="仿宋" w:cs="仿宋"/>
          <w:highlight w:val="none"/>
        </w:rPr>
        <w:t>单级桥后桥凸轮轴套管               单级桥中桥凸轮轴套管</w:t>
      </w:r>
    </w:p>
    <w:p>
      <w:pPr>
        <w:rPr>
          <w:rFonts w:ascii="仿宋_GB2312" w:hAnsi="仿宋"/>
          <w:bCs/>
          <w:sz w:val="21"/>
          <w:szCs w:val="21"/>
          <w:highlight w:val="none"/>
        </w:rPr>
      </w:pPr>
      <w:r>
        <w:rPr>
          <w:highlight w:val="none"/>
        </w:rPr>
        <mc:AlternateContent>
          <mc:Choice Requires="wps">
            <w:drawing>
              <wp:anchor distT="0" distB="0" distL="114300" distR="114300" simplePos="0" relativeHeight="251680768" behindDoc="0" locked="0" layoutInCell="1" allowOverlap="1">
                <wp:simplePos x="0" y="0"/>
                <wp:positionH relativeFrom="column">
                  <wp:posOffset>4127500</wp:posOffset>
                </wp:positionH>
                <wp:positionV relativeFrom="paragraph">
                  <wp:posOffset>287655</wp:posOffset>
                </wp:positionV>
                <wp:extent cx="207010" cy="146050"/>
                <wp:effectExtent l="12700" t="12700" r="21590" b="19050"/>
                <wp:wrapNone/>
                <wp:docPr id="24" name="椭圆 24"/>
                <wp:cNvGraphicFramePr/>
                <a:graphic xmlns:a="http://schemas.openxmlformats.org/drawingml/2006/main">
                  <a:graphicData uri="http://schemas.microsoft.com/office/word/2010/wordprocessingShape">
                    <wps:wsp>
                      <wps:cNvSpPr/>
                      <wps:spPr>
                        <a:xfrm>
                          <a:off x="0" y="0"/>
                          <a:ext cx="207010" cy="14605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25pt;margin-top:22.65pt;height:11.5pt;width:16.3pt;z-index:251680768;v-text-anchor:middle;mso-width-relative:page;mso-height-relative:page;" filled="f" stroked="t" coordsize="21600,21600" o:gfxdata="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ZMwUn9cAAAAJAQAADwAAAAAAAAABACAAAAAiAAAAZHJzL2Rvd25yZXYueG1s&#10;UEsBAhQAFAAAAAgAh07iQD6bCf9rAgAAzwQAAA4AAAAAAAAAAQAgAAAAJgEAAGRycy9lMm9Eb2Mu&#10;eG1sUEsFBgAAAAAGAAYAWQEAAAMGAAAAAA==&#10;">
                <v:fill on="f" focussize="0,0"/>
                <v:stroke weight="2pt" color="#FF0000 [3204]" miterlimit="8" joinstyle="miter"/>
                <v:imagedata o:title=""/>
                <o:lock v:ext="edit" aspectratio="f"/>
              </v:shape>
            </w:pict>
          </mc:Fallback>
        </mc:AlternateContent>
      </w:r>
      <w:r>
        <w:rPr>
          <w:highlight w:val="none"/>
        </w:rPr>
        <mc:AlternateContent>
          <mc:Choice Requires="wps">
            <w:drawing>
              <wp:anchor distT="0" distB="0" distL="114300" distR="114300" simplePos="0" relativeHeight="251679744" behindDoc="0" locked="0" layoutInCell="1" allowOverlap="1">
                <wp:simplePos x="0" y="0"/>
                <wp:positionH relativeFrom="column">
                  <wp:posOffset>3515360</wp:posOffset>
                </wp:positionH>
                <wp:positionV relativeFrom="paragraph">
                  <wp:posOffset>287655</wp:posOffset>
                </wp:positionV>
                <wp:extent cx="207010" cy="146050"/>
                <wp:effectExtent l="12700" t="12700" r="21590" b="19050"/>
                <wp:wrapNone/>
                <wp:docPr id="31" name="椭圆 31"/>
                <wp:cNvGraphicFramePr/>
                <a:graphic xmlns:a="http://schemas.openxmlformats.org/drawingml/2006/main">
                  <a:graphicData uri="http://schemas.microsoft.com/office/word/2010/wordprocessingShape">
                    <wps:wsp>
                      <wps:cNvSpPr/>
                      <wps:spPr>
                        <a:xfrm>
                          <a:off x="0" y="0"/>
                          <a:ext cx="207010" cy="14605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76.8pt;margin-top:22.65pt;height:11.5pt;width:16.3pt;z-index:251679744;v-text-anchor:middle;mso-width-relative:page;mso-height-relative:page;" filled="f" stroked="t" coordsize="21600,21600" o:gfxdata="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uEk8TYAAAACQEAAA8AAAAAAAAAAQAgAAAAIgAAAGRycy9kb3ducmV2Lnht&#10;bFBLAQIUABQAAAAIAIdO4kCFOd0gawIAAM8EAAAOAAAAAAAAAAEAIAAAACcBAABkcnMvZTJvRG9j&#10;LnhtbFBLBQYAAAAABgAGAFkBAAAEBgAAAAA=&#10;">
                <v:fill on="f" focussize="0,0"/>
                <v:stroke weight="2pt" color="#FF0000 [3204]" miterlimit="8" joinstyle="miter"/>
                <v:imagedata o:title=""/>
                <o:lock v:ext="edit" aspectratio="f"/>
              </v:shape>
            </w:pict>
          </mc:Fallback>
        </mc:AlternateContent>
      </w:r>
      <w:r>
        <w:rPr>
          <w:highlight w:val="none"/>
        </w:rPr>
        <mc:AlternateContent>
          <mc:Choice Requires="wps">
            <w:drawing>
              <wp:anchor distT="0" distB="0" distL="114300" distR="114300" simplePos="0" relativeHeight="251678720" behindDoc="0" locked="0" layoutInCell="1" allowOverlap="1">
                <wp:simplePos x="0" y="0"/>
                <wp:positionH relativeFrom="column">
                  <wp:posOffset>1488440</wp:posOffset>
                </wp:positionH>
                <wp:positionV relativeFrom="paragraph">
                  <wp:posOffset>80645</wp:posOffset>
                </wp:positionV>
                <wp:extent cx="207010" cy="146050"/>
                <wp:effectExtent l="12700" t="12700" r="21590" b="19050"/>
                <wp:wrapNone/>
                <wp:docPr id="30" name="椭圆 30"/>
                <wp:cNvGraphicFramePr/>
                <a:graphic xmlns:a="http://schemas.openxmlformats.org/drawingml/2006/main">
                  <a:graphicData uri="http://schemas.microsoft.com/office/word/2010/wordprocessingShape">
                    <wps:wsp>
                      <wps:cNvSpPr/>
                      <wps:spPr>
                        <a:xfrm>
                          <a:off x="0" y="0"/>
                          <a:ext cx="207010" cy="14605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17.2pt;margin-top:6.35pt;height:11.5pt;width:16.3pt;z-index:251678720;v-text-anchor:middle;mso-width-relative:page;mso-height-relative:page;" filled="f" stroked="t" coordsize="21600,21600" o:gfxdata="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34JrDNcAAAAJAQAADwAAAAAAAAABACAAAAAiAAAAZHJzL2Rvd25yZXYueG1s&#10;UEsBAhQAFAAAAAgAh07iQJMfePNrAgAAzwQAAA4AAAAAAAAAAQAgAAAAJgEAAGRycy9lMm9Eb2Mu&#10;eG1sUEsFBgAAAAAGAAYAWQEAAAMGAAAAAA==&#10;">
                <v:fill on="f" focussize="0,0"/>
                <v:stroke weight="2pt" color="#FF0000 [3204]" miterlimit="8" joinstyle="miter"/>
                <v:imagedata o:title=""/>
                <o:lock v:ext="edit" aspectratio="f"/>
              </v:shape>
            </w:pict>
          </mc:Fallback>
        </mc:AlternateContent>
      </w:r>
      <w:r>
        <w:rPr>
          <w:highlight w:val="none"/>
        </w:rPr>
        <mc:AlternateContent>
          <mc:Choice Requires="wps">
            <w:drawing>
              <wp:anchor distT="0" distB="0" distL="114300" distR="114300" simplePos="0" relativeHeight="251677696" behindDoc="0" locked="0" layoutInCell="1" allowOverlap="1">
                <wp:simplePos x="0" y="0"/>
                <wp:positionH relativeFrom="column">
                  <wp:posOffset>885190</wp:posOffset>
                </wp:positionH>
                <wp:positionV relativeFrom="paragraph">
                  <wp:posOffset>80645</wp:posOffset>
                </wp:positionV>
                <wp:extent cx="207010" cy="146050"/>
                <wp:effectExtent l="12700" t="12700" r="21590" b="19050"/>
                <wp:wrapNone/>
                <wp:docPr id="29" name="椭圆 29"/>
                <wp:cNvGraphicFramePr/>
                <a:graphic xmlns:a="http://schemas.openxmlformats.org/drawingml/2006/main">
                  <a:graphicData uri="http://schemas.microsoft.com/office/word/2010/wordprocessingShape">
                    <wps:wsp>
                      <wps:cNvSpPr/>
                      <wps:spPr>
                        <a:xfrm>
                          <a:off x="0" y="0"/>
                          <a:ext cx="207010" cy="14605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9.7pt;margin-top:6.35pt;height:11.5pt;width:16.3pt;z-index:251677696;v-text-anchor:middle;mso-width-relative:page;mso-height-relative:page;" filled="f" stroked="t" coordsize="21600,21600" o:gfxdata="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9uJ/L1gAAAAkBAAAPAAAAAAAAAAEAIAAAACIAAABkcnMvZG93bnJldi54bWxQ&#10;SwECFAAUAAAACACHTuJABwZG/2sCAADPBAAADgAAAAAAAAABACAAAAAlAQAAZHJzL2Uyb0RvYy54&#10;bWxQSwUGAAAAAAYABgBZAQAAAgYAAAAA&#10;">
                <v:fill on="f" focussize="0,0"/>
                <v:stroke weight="2pt" color="#FF0000 [3204]" miterlimit="8" joinstyle="miter"/>
                <v:imagedata o:title=""/>
                <o:lock v:ext="edit" aspectratio="f"/>
              </v:shape>
            </w:pict>
          </mc:Fallback>
        </mc:AlternateContent>
      </w:r>
      <w:r>
        <w:rPr>
          <w:highlight w:val="none"/>
        </w:rPr>
        <w:drawing>
          <wp:inline distT="0" distB="0" distL="114300" distR="114300">
            <wp:extent cx="2601595" cy="905510"/>
            <wp:effectExtent l="0" t="0" r="1905" b="889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51"/>
                    <a:stretch>
                      <a:fillRect/>
                    </a:stretch>
                  </pic:blipFill>
                  <pic:spPr>
                    <a:xfrm>
                      <a:off x="0" y="0"/>
                      <a:ext cx="2597785" cy="904240"/>
                    </a:xfrm>
                    <a:prstGeom prst="rect">
                      <a:avLst/>
                    </a:prstGeom>
                    <a:noFill/>
                    <a:ln>
                      <a:noFill/>
                    </a:ln>
                  </pic:spPr>
                </pic:pic>
              </a:graphicData>
            </a:graphic>
          </wp:inline>
        </w:drawing>
      </w:r>
      <w:r>
        <w:rPr>
          <w:rFonts w:hint="eastAsia" w:ascii="仿宋_GB2312" w:hAnsi="仿宋"/>
          <w:bCs/>
          <w:sz w:val="21"/>
          <w:szCs w:val="21"/>
          <w:highlight w:val="none"/>
        </w:rPr>
        <w:t xml:space="preserve"> </w:t>
      </w:r>
      <w:r>
        <w:rPr>
          <w:highlight w:val="none"/>
        </w:rPr>
        <w:drawing>
          <wp:inline distT="0" distB="0" distL="114300" distR="114300">
            <wp:extent cx="2493010" cy="746760"/>
            <wp:effectExtent l="0" t="0" r="8890" b="254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52"/>
                    <a:stretch>
                      <a:fillRect/>
                    </a:stretch>
                  </pic:blipFill>
                  <pic:spPr>
                    <a:xfrm>
                      <a:off x="0" y="0"/>
                      <a:ext cx="2494593" cy="747713"/>
                    </a:xfrm>
                    <a:prstGeom prst="rect">
                      <a:avLst/>
                    </a:prstGeom>
                    <a:noFill/>
                    <a:ln>
                      <a:noFill/>
                    </a:ln>
                  </pic:spPr>
                </pic:pic>
              </a:graphicData>
            </a:graphic>
          </wp:inline>
        </w:drawing>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双级桥中桥凸轮轴支架               双级桥后桥凸轮轴支架</w:t>
      </w:r>
    </w:p>
    <w:p>
      <w:pPr>
        <w:autoSpaceDE w:val="0"/>
        <w:autoSpaceDN w:val="0"/>
        <w:adjustRightIn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3.</w:t>
      </w:r>
      <w:r>
        <w:rPr>
          <w:rFonts w:hint="eastAsia" w:ascii="仿宋" w:hAnsi="仿宋" w:eastAsia="仿宋" w:cs="仿宋"/>
          <w:highlight w:val="none"/>
          <w:lang w:val="en-US" w:eastAsia="zh-CN"/>
        </w:rPr>
        <w:t>4</w:t>
      </w:r>
      <w:r>
        <w:rPr>
          <w:rFonts w:hint="eastAsia" w:ascii="仿宋" w:hAnsi="仿宋" w:eastAsia="仿宋" w:cs="仿宋"/>
          <w:highlight w:val="none"/>
        </w:rPr>
        <w:t>.2工艺要求</w:t>
      </w:r>
    </w:p>
    <w:p>
      <w:pPr>
        <w:autoSpaceDE w:val="0"/>
        <w:autoSpaceDN w:val="0"/>
        <w:adjustRightIn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（1）工艺流程（参考）：</w:t>
      </w:r>
    </w:p>
    <w:p>
      <w:pPr>
        <w:autoSpaceDE w:val="0"/>
        <w:autoSpaceDN w:val="0"/>
        <w:adjustRightInd w:val="0"/>
        <w:spacing w:line="360" w:lineRule="auto"/>
        <w:ind w:firstLine="420" w:firstLineChars="200"/>
        <w:jc w:val="left"/>
        <w:rPr>
          <w:rFonts w:hint="eastAsia" w:ascii="仿宋" w:hAnsi="仿宋" w:eastAsia="仿宋" w:cs="仿宋"/>
          <w:highlight w:val="none"/>
        </w:rPr>
      </w:pPr>
      <w:r>
        <w:rPr>
          <w:rFonts w:hint="eastAsia" w:ascii="仿宋" w:hAnsi="仿宋" w:eastAsia="仿宋" w:cs="仿宋"/>
          <w:highlight w:val="none"/>
        </w:rPr>
        <w:t>人工将注脂枪夹紧到</w:t>
      </w:r>
      <w:r>
        <w:rPr>
          <w:rFonts w:hint="eastAsia" w:ascii="仿宋" w:hAnsi="仿宋" w:eastAsia="仿宋" w:cs="仿宋"/>
          <w:highlight w:val="none"/>
          <w:lang w:val="en-US" w:eastAsia="zh-CN"/>
        </w:rPr>
        <w:t>两侧</w:t>
      </w:r>
      <w:r>
        <w:rPr>
          <w:rFonts w:hint="eastAsia" w:ascii="仿宋" w:hAnsi="仿宋" w:eastAsia="仿宋" w:cs="仿宋"/>
          <w:highlight w:val="none"/>
        </w:rPr>
        <w:t>注脂嘴上</w:t>
      </w:r>
      <w:bookmarkStart w:id="350" w:name="OLE_LINK6"/>
      <w:r>
        <w:rPr>
          <w:rFonts w:hint="eastAsia" w:ascii="仿宋" w:hAnsi="仿宋" w:eastAsia="仿宋" w:cs="仿宋"/>
          <w:highlight w:val="none"/>
        </w:rPr>
        <w:t>→</w:t>
      </w:r>
      <w:bookmarkEnd w:id="350"/>
      <w:r>
        <w:rPr>
          <w:rFonts w:hint="eastAsia" w:ascii="仿宋" w:hAnsi="仿宋" w:eastAsia="仿宋" w:cs="仿宋"/>
          <w:highlight w:val="none"/>
        </w:rPr>
        <w:t>描产品二维码（识别桥型及确定注脂量，信息追溯）→注脂设备自动将润滑脂定量注入到凸轮轴套管/凸轮轴支架内→取下注脂枪</w:t>
      </w:r>
    </w:p>
    <w:p>
      <w:pPr>
        <w:pStyle w:val="26"/>
        <w:numPr>
          <w:ilvl w:val="0"/>
          <w:numId w:val="8"/>
        </w:numPr>
        <w:snapToGrid w:val="0"/>
        <w:spacing w:line="360" w:lineRule="auto"/>
        <w:ind w:firstLine="480" w:firstLineChars="0"/>
        <w:rPr>
          <w:rFonts w:hint="eastAsia" w:ascii="仿宋" w:hAnsi="仿宋" w:eastAsia="仿宋" w:cs="仿宋"/>
          <w:highlight w:val="none"/>
        </w:rPr>
      </w:pPr>
      <w:r>
        <w:rPr>
          <w:rFonts w:hint="eastAsia" w:ascii="仿宋" w:hAnsi="仿宋" w:eastAsia="仿宋" w:cs="仿宋"/>
          <w:highlight w:val="none"/>
        </w:rPr>
        <w:t>注脂定量要求：</w:t>
      </w:r>
    </w:p>
    <w:tbl>
      <w:tblPr>
        <w:tblStyle w:val="42"/>
        <w:tblW w:w="45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22"/>
        <w:gridCol w:w="2021"/>
        <w:gridCol w:w="1830"/>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008" w:type="pct"/>
            <w:shd w:val="clear" w:color="auto" w:fill="auto"/>
          </w:tcPr>
          <w:p>
            <w:pPr>
              <w:spacing w:line="40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桥型</w:t>
            </w:r>
          </w:p>
        </w:tc>
        <w:tc>
          <w:tcPr>
            <w:tcW w:w="1186" w:type="pct"/>
            <w:shd w:val="clear" w:color="auto" w:fill="auto"/>
          </w:tcPr>
          <w:p>
            <w:pPr>
              <w:spacing w:line="40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单侧加注</w:t>
            </w:r>
            <w:r>
              <w:rPr>
                <w:rFonts w:hint="eastAsia" w:ascii="仿宋" w:hAnsi="仿宋" w:eastAsia="仿宋" w:cs="仿宋"/>
                <w:sz w:val="21"/>
                <w:szCs w:val="21"/>
                <w:highlight w:val="none"/>
              </w:rPr>
              <w:t>量（克）</w:t>
            </w:r>
          </w:p>
        </w:tc>
        <w:tc>
          <w:tcPr>
            <w:tcW w:w="1074" w:type="pct"/>
            <w:shd w:val="clear" w:color="auto" w:fill="auto"/>
          </w:tcPr>
          <w:p>
            <w:pPr>
              <w:spacing w:line="40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单桥（克）</w:t>
            </w:r>
          </w:p>
        </w:tc>
        <w:tc>
          <w:tcPr>
            <w:tcW w:w="730" w:type="pct"/>
          </w:tcPr>
          <w:p>
            <w:pPr>
              <w:spacing w:line="40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008" w:type="pct"/>
            <w:shd w:val="clear" w:color="auto" w:fill="auto"/>
          </w:tcPr>
          <w:p>
            <w:pPr>
              <w:spacing w:line="400" w:lineRule="exact"/>
              <w:rPr>
                <w:rFonts w:hint="eastAsia" w:ascii="仿宋" w:hAnsi="仿宋" w:eastAsia="仿宋" w:cs="仿宋"/>
                <w:sz w:val="21"/>
                <w:szCs w:val="21"/>
                <w:highlight w:val="none"/>
              </w:rPr>
            </w:pPr>
            <w:r>
              <w:rPr>
                <w:rFonts w:hint="eastAsia" w:ascii="仿宋" w:hAnsi="仿宋" w:eastAsia="仿宋" w:cs="仿宋"/>
                <w:sz w:val="21"/>
                <w:szCs w:val="21"/>
                <w:highlight w:val="none"/>
              </w:rPr>
              <w:t>MCP/MCX/STR中、后桥</w:t>
            </w:r>
          </w:p>
        </w:tc>
        <w:tc>
          <w:tcPr>
            <w:tcW w:w="1186" w:type="pct"/>
            <w:shd w:val="clear" w:color="auto" w:fill="auto"/>
          </w:tcPr>
          <w:p>
            <w:pPr>
              <w:spacing w:line="40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15</w:t>
            </w:r>
          </w:p>
        </w:tc>
        <w:tc>
          <w:tcPr>
            <w:tcW w:w="1074" w:type="pct"/>
            <w:shd w:val="clear" w:color="auto" w:fill="auto"/>
          </w:tcPr>
          <w:p>
            <w:pPr>
              <w:spacing w:line="40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30</w:t>
            </w:r>
          </w:p>
        </w:tc>
        <w:tc>
          <w:tcPr>
            <w:tcW w:w="730" w:type="pct"/>
          </w:tcPr>
          <w:p>
            <w:pPr>
              <w:spacing w:line="400" w:lineRule="exact"/>
              <w:rPr>
                <w:rFonts w:hint="eastAsia" w:ascii="仿宋" w:hAnsi="仿宋" w:eastAsia="仿宋" w:cs="仿宋"/>
                <w:sz w:val="21"/>
                <w:szCs w:val="21"/>
                <w:highlight w:val="none"/>
              </w:rPr>
            </w:pPr>
            <w:r>
              <w:rPr>
                <w:rFonts w:hint="eastAsia" w:ascii="仿宋" w:hAnsi="仿宋" w:eastAsia="仿宋" w:cs="仿宋"/>
                <w:sz w:val="21"/>
                <w:szCs w:val="21"/>
                <w:highlight w:val="none"/>
              </w:rPr>
              <w:t>双级桥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008" w:type="pct"/>
            <w:shd w:val="clear" w:color="auto" w:fill="auto"/>
          </w:tcPr>
          <w:p>
            <w:pPr>
              <w:spacing w:line="400" w:lineRule="exact"/>
              <w:rPr>
                <w:rFonts w:hint="eastAsia" w:ascii="仿宋" w:hAnsi="仿宋" w:eastAsia="仿宋" w:cs="仿宋"/>
                <w:sz w:val="21"/>
                <w:szCs w:val="21"/>
                <w:highlight w:val="none"/>
              </w:rPr>
            </w:pPr>
            <w:r>
              <w:rPr>
                <w:rFonts w:hint="eastAsia" w:ascii="仿宋" w:hAnsi="仿宋" w:eastAsia="仿宋" w:cs="仿宋"/>
                <w:sz w:val="21"/>
                <w:szCs w:val="21"/>
                <w:highlight w:val="none"/>
              </w:rPr>
              <w:t>MCY13/MCJ13/MCY12/MCJ12中桥</w:t>
            </w:r>
          </w:p>
        </w:tc>
        <w:tc>
          <w:tcPr>
            <w:tcW w:w="1186" w:type="pct"/>
            <w:shd w:val="clear" w:color="auto" w:fill="auto"/>
          </w:tcPr>
          <w:p>
            <w:pPr>
              <w:spacing w:line="40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60</w:t>
            </w:r>
          </w:p>
        </w:tc>
        <w:tc>
          <w:tcPr>
            <w:tcW w:w="1074" w:type="pct"/>
            <w:shd w:val="clear" w:color="auto" w:fill="auto"/>
          </w:tcPr>
          <w:p>
            <w:pPr>
              <w:spacing w:line="40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120</w:t>
            </w:r>
          </w:p>
        </w:tc>
        <w:tc>
          <w:tcPr>
            <w:tcW w:w="730" w:type="pct"/>
          </w:tcPr>
          <w:p>
            <w:pPr>
              <w:spacing w:line="400" w:lineRule="exact"/>
              <w:rPr>
                <w:rFonts w:hint="eastAsia" w:ascii="仿宋" w:hAnsi="仿宋" w:eastAsia="仿宋" w:cs="仿宋"/>
                <w:sz w:val="21"/>
                <w:szCs w:val="21"/>
                <w:highlight w:val="none"/>
              </w:rPr>
            </w:pPr>
            <w:bookmarkStart w:id="351" w:name="OLE_LINK9"/>
            <w:r>
              <w:rPr>
                <w:rFonts w:hint="eastAsia" w:ascii="仿宋" w:hAnsi="仿宋" w:eastAsia="仿宋" w:cs="仿宋"/>
                <w:sz w:val="21"/>
                <w:szCs w:val="21"/>
                <w:highlight w:val="none"/>
              </w:rPr>
              <w:t>单级桥</w:t>
            </w:r>
            <w:bookmarkEnd w:id="35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008" w:type="pct"/>
            <w:shd w:val="clear" w:color="auto" w:fill="auto"/>
          </w:tcPr>
          <w:p>
            <w:pPr>
              <w:spacing w:line="400" w:lineRule="exact"/>
              <w:rPr>
                <w:rFonts w:hint="eastAsia" w:ascii="仿宋" w:hAnsi="仿宋" w:eastAsia="仿宋" w:cs="仿宋"/>
                <w:sz w:val="21"/>
                <w:szCs w:val="21"/>
                <w:highlight w:val="none"/>
              </w:rPr>
            </w:pPr>
            <w:r>
              <w:rPr>
                <w:rFonts w:ascii="仿宋" w:hAnsi="仿宋" w:eastAsia="仿宋" w:cs="仿宋"/>
                <w:sz w:val="21"/>
                <w:szCs w:val="21"/>
                <w:highlight w:val="none"/>
              </w:rPr>
              <w:t>MCY13/</w:t>
            </w:r>
            <w:r>
              <w:rPr>
                <w:rFonts w:hint="eastAsia" w:ascii="仿宋" w:hAnsi="仿宋" w:eastAsia="仿宋" w:cs="仿宋"/>
                <w:sz w:val="21"/>
                <w:szCs w:val="21"/>
                <w:highlight w:val="none"/>
              </w:rPr>
              <w:t>MCJ13/</w:t>
            </w:r>
            <w:r>
              <w:rPr>
                <w:rFonts w:ascii="仿宋" w:hAnsi="仿宋" w:eastAsia="仿宋" w:cs="仿宋"/>
                <w:sz w:val="21"/>
                <w:szCs w:val="21"/>
                <w:highlight w:val="none"/>
              </w:rPr>
              <w:t>MCY12/MCJ12</w:t>
            </w:r>
            <w:r>
              <w:rPr>
                <w:rFonts w:hint="eastAsia" w:ascii="仿宋" w:hAnsi="仿宋" w:eastAsia="仿宋" w:cs="仿宋"/>
                <w:sz w:val="21"/>
                <w:szCs w:val="21"/>
                <w:highlight w:val="none"/>
              </w:rPr>
              <w:t>后桥</w:t>
            </w:r>
          </w:p>
        </w:tc>
        <w:tc>
          <w:tcPr>
            <w:tcW w:w="1186" w:type="pct"/>
            <w:shd w:val="clear" w:color="auto" w:fill="auto"/>
          </w:tcPr>
          <w:p>
            <w:pPr>
              <w:spacing w:line="40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75</w:t>
            </w:r>
          </w:p>
        </w:tc>
        <w:tc>
          <w:tcPr>
            <w:tcW w:w="1074" w:type="pct"/>
            <w:shd w:val="clear" w:color="auto" w:fill="auto"/>
          </w:tcPr>
          <w:p>
            <w:pPr>
              <w:spacing w:line="40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150</w:t>
            </w:r>
          </w:p>
        </w:tc>
        <w:tc>
          <w:tcPr>
            <w:tcW w:w="730" w:type="pct"/>
          </w:tcPr>
          <w:p>
            <w:pPr>
              <w:spacing w:line="400" w:lineRule="exact"/>
              <w:rPr>
                <w:rFonts w:hint="eastAsia" w:ascii="仿宋" w:hAnsi="仿宋" w:eastAsia="仿宋" w:cs="仿宋"/>
                <w:sz w:val="21"/>
                <w:szCs w:val="21"/>
                <w:highlight w:val="none"/>
              </w:rPr>
            </w:pPr>
            <w:r>
              <w:rPr>
                <w:rFonts w:hint="eastAsia" w:ascii="仿宋" w:hAnsi="仿宋" w:eastAsia="仿宋" w:cs="仿宋"/>
                <w:sz w:val="21"/>
                <w:szCs w:val="21"/>
                <w:highlight w:val="none"/>
              </w:rPr>
              <w:t>单级桥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008" w:type="pct"/>
            <w:shd w:val="clear" w:color="auto" w:fill="auto"/>
          </w:tcPr>
          <w:p>
            <w:pPr>
              <w:spacing w:line="400" w:lineRule="exact"/>
              <w:rPr>
                <w:rFonts w:hint="eastAsia" w:ascii="仿宋" w:hAnsi="仿宋" w:eastAsia="仿宋" w:cs="仿宋"/>
                <w:sz w:val="21"/>
                <w:szCs w:val="21"/>
                <w:highlight w:val="none"/>
              </w:rPr>
            </w:pPr>
            <w:r>
              <w:rPr>
                <w:rFonts w:hint="eastAsia" w:ascii="仿宋" w:hAnsi="仿宋" w:eastAsia="仿宋" w:cs="仿宋"/>
                <w:sz w:val="21"/>
                <w:szCs w:val="21"/>
                <w:highlight w:val="none"/>
              </w:rPr>
              <w:t>MCY11/MCJ11中桥</w:t>
            </w:r>
          </w:p>
        </w:tc>
        <w:tc>
          <w:tcPr>
            <w:tcW w:w="1186" w:type="pct"/>
            <w:shd w:val="clear" w:color="auto" w:fill="auto"/>
          </w:tcPr>
          <w:p>
            <w:pPr>
              <w:spacing w:line="40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40</w:t>
            </w:r>
          </w:p>
        </w:tc>
        <w:tc>
          <w:tcPr>
            <w:tcW w:w="1074" w:type="pct"/>
            <w:shd w:val="clear" w:color="auto" w:fill="auto"/>
          </w:tcPr>
          <w:p>
            <w:pPr>
              <w:spacing w:line="40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80</w:t>
            </w:r>
          </w:p>
        </w:tc>
        <w:tc>
          <w:tcPr>
            <w:tcW w:w="730" w:type="pct"/>
          </w:tcPr>
          <w:p>
            <w:pPr>
              <w:spacing w:line="400" w:lineRule="exact"/>
              <w:rPr>
                <w:rFonts w:hint="eastAsia" w:ascii="仿宋" w:hAnsi="仿宋" w:eastAsia="仿宋" w:cs="仿宋"/>
                <w:sz w:val="21"/>
                <w:szCs w:val="21"/>
                <w:highlight w:val="none"/>
              </w:rPr>
            </w:pPr>
            <w:r>
              <w:rPr>
                <w:rFonts w:hint="eastAsia" w:ascii="仿宋" w:hAnsi="仿宋" w:eastAsia="仿宋" w:cs="仿宋"/>
                <w:sz w:val="21"/>
                <w:szCs w:val="21"/>
                <w:highlight w:val="none"/>
              </w:rPr>
              <w:t>单级桥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008" w:type="pct"/>
            <w:shd w:val="clear" w:color="auto" w:fill="auto"/>
          </w:tcPr>
          <w:p>
            <w:pPr>
              <w:spacing w:line="400" w:lineRule="exact"/>
              <w:rPr>
                <w:rFonts w:hint="eastAsia" w:ascii="仿宋" w:hAnsi="仿宋" w:eastAsia="仿宋" w:cs="仿宋"/>
                <w:sz w:val="21"/>
                <w:szCs w:val="21"/>
                <w:highlight w:val="none"/>
              </w:rPr>
            </w:pPr>
            <w:r>
              <w:rPr>
                <w:rFonts w:ascii="仿宋" w:hAnsi="仿宋" w:eastAsia="仿宋" w:cs="仿宋"/>
                <w:sz w:val="21"/>
                <w:szCs w:val="21"/>
                <w:highlight w:val="none"/>
              </w:rPr>
              <w:t>MCY11/MCJ11</w:t>
            </w:r>
            <w:r>
              <w:rPr>
                <w:rFonts w:hint="eastAsia" w:ascii="仿宋" w:hAnsi="仿宋" w:eastAsia="仿宋" w:cs="仿宋"/>
                <w:sz w:val="21"/>
                <w:szCs w:val="21"/>
                <w:highlight w:val="none"/>
              </w:rPr>
              <w:t>后桥</w:t>
            </w:r>
          </w:p>
        </w:tc>
        <w:tc>
          <w:tcPr>
            <w:tcW w:w="1186" w:type="pct"/>
            <w:shd w:val="clear" w:color="auto" w:fill="auto"/>
          </w:tcPr>
          <w:p>
            <w:pPr>
              <w:spacing w:line="40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45</w:t>
            </w:r>
          </w:p>
        </w:tc>
        <w:tc>
          <w:tcPr>
            <w:tcW w:w="1074" w:type="pct"/>
            <w:shd w:val="clear" w:color="auto" w:fill="auto"/>
          </w:tcPr>
          <w:p>
            <w:pPr>
              <w:spacing w:line="40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90</w:t>
            </w:r>
          </w:p>
        </w:tc>
        <w:tc>
          <w:tcPr>
            <w:tcW w:w="730" w:type="pct"/>
          </w:tcPr>
          <w:p>
            <w:pPr>
              <w:spacing w:line="400" w:lineRule="exact"/>
              <w:rPr>
                <w:rFonts w:hint="eastAsia" w:ascii="仿宋" w:hAnsi="仿宋" w:eastAsia="仿宋" w:cs="仿宋"/>
                <w:sz w:val="21"/>
                <w:szCs w:val="21"/>
                <w:highlight w:val="none"/>
              </w:rPr>
            </w:pPr>
            <w:r>
              <w:rPr>
                <w:rFonts w:hint="eastAsia" w:ascii="仿宋" w:hAnsi="仿宋" w:eastAsia="仿宋" w:cs="仿宋"/>
                <w:sz w:val="21"/>
                <w:szCs w:val="21"/>
                <w:highlight w:val="none"/>
              </w:rPr>
              <w:t>单级桥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0" w:type="pct"/>
            <w:gridSpan w:val="4"/>
            <w:shd w:val="clear" w:color="auto" w:fill="auto"/>
          </w:tcPr>
          <w:p>
            <w:pPr>
              <w:spacing w:line="400" w:lineRule="exact"/>
              <w:rPr>
                <w:rFonts w:hint="eastAsia" w:ascii="仿宋" w:hAnsi="仿宋" w:eastAsia="仿宋" w:cs="仿宋"/>
                <w:sz w:val="21"/>
                <w:szCs w:val="21"/>
                <w:highlight w:val="none"/>
              </w:rPr>
            </w:pPr>
            <w:r>
              <w:rPr>
                <w:rFonts w:hint="eastAsia" w:ascii="仿宋" w:hAnsi="仿宋" w:eastAsia="仿宋" w:cs="仿宋"/>
                <w:sz w:val="21"/>
                <w:szCs w:val="21"/>
                <w:highlight w:val="none"/>
              </w:rPr>
              <w:t>以上注脂量精度±5%以内，涂抹2#锂基润滑脂</w:t>
            </w:r>
          </w:p>
        </w:tc>
      </w:tr>
    </w:tbl>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hint="eastAsia" w:ascii="仿宋" w:hAnsi="仿宋" w:eastAsia="仿宋" w:cs="仿宋"/>
          <w:highlight w:val="none"/>
          <w:lang w:val="en-US" w:eastAsia="zh-CN"/>
        </w:rPr>
        <w:t>4</w:t>
      </w:r>
      <w:r>
        <w:rPr>
          <w:rFonts w:hint="eastAsia" w:ascii="仿宋" w:hAnsi="仿宋" w:eastAsia="仿宋" w:cs="仿宋"/>
          <w:highlight w:val="none"/>
        </w:rPr>
        <w:t>.3布置布局：</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桥总成凸轮轴套管/凸轮轴支架注脂机，布置于驱动桥涂装线注脂工位一侧，设备整体占地面积占地面积尽可能小，≤1.5m×2m。</w:t>
      </w:r>
    </w:p>
    <w:p>
      <w:pPr>
        <w:autoSpaceDE w:val="0"/>
        <w:autoSpaceDN w:val="0"/>
        <w:adjustRightIn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3.</w:t>
      </w:r>
      <w:r>
        <w:rPr>
          <w:rFonts w:hint="eastAsia" w:ascii="仿宋" w:hAnsi="仿宋" w:eastAsia="仿宋" w:cs="仿宋"/>
          <w:highlight w:val="none"/>
          <w:lang w:val="en-US" w:eastAsia="zh-CN"/>
        </w:rPr>
        <w:t>4</w:t>
      </w:r>
      <w:r>
        <w:rPr>
          <w:rFonts w:hint="eastAsia" w:ascii="仿宋" w:hAnsi="仿宋" w:eastAsia="仿宋" w:cs="仿宋"/>
          <w:highlight w:val="none"/>
        </w:rPr>
        <w:t>.4设备功能和要求：</w:t>
      </w:r>
    </w:p>
    <w:p>
      <w:pPr>
        <w:autoSpaceDE w:val="0"/>
        <w:autoSpaceDN w:val="0"/>
        <w:adjustRightInd w:val="0"/>
        <w:spacing w:line="360" w:lineRule="auto"/>
        <w:ind w:firstLine="420" w:firstLineChars="200"/>
        <w:jc w:val="left"/>
        <w:rPr>
          <w:rFonts w:ascii="仿宋" w:hAnsi="仿宋" w:eastAsia="仿宋" w:cs="仿宋"/>
          <w:highlight w:val="none"/>
        </w:rPr>
      </w:pPr>
      <w:bookmarkStart w:id="352" w:name="OLE_LINK12"/>
      <w:bookmarkStart w:id="353" w:name="OLE_LINK11"/>
      <w:r>
        <w:rPr>
          <w:rFonts w:hint="eastAsia" w:ascii="仿宋" w:hAnsi="仿宋" w:eastAsia="仿宋" w:cs="仿宋"/>
          <w:highlight w:val="none"/>
        </w:rPr>
        <w:t>定量注脂设备主要包含</w:t>
      </w:r>
      <w:bookmarkEnd w:id="352"/>
      <w:bookmarkEnd w:id="353"/>
      <w:r>
        <w:rPr>
          <w:rFonts w:hint="eastAsia" w:ascii="仿宋" w:hAnsi="仿宋" w:eastAsia="仿宋" w:cs="仿宋"/>
          <w:highlight w:val="none"/>
        </w:rPr>
        <w:t>定量控制系统和</w:t>
      </w:r>
      <w:bookmarkStart w:id="354" w:name="OLE_LINK13"/>
      <w:bookmarkStart w:id="355" w:name="OLE_LINK14"/>
      <w:r>
        <w:rPr>
          <w:rFonts w:hint="eastAsia" w:ascii="仿宋" w:hAnsi="仿宋" w:eastAsia="仿宋" w:cs="仿宋"/>
          <w:highlight w:val="none"/>
        </w:rPr>
        <w:t>双路加注枪</w:t>
      </w:r>
      <w:bookmarkEnd w:id="354"/>
      <w:bookmarkEnd w:id="355"/>
      <w:r>
        <w:rPr>
          <w:rFonts w:hint="eastAsia" w:ascii="仿宋" w:hAnsi="仿宋" w:eastAsia="仿宋" w:cs="仿宋"/>
          <w:highlight w:val="none"/>
        </w:rPr>
        <w:t>，实现前轮毂总成大小端轴承外环定量注脂，保证注脂均匀。</w:t>
      </w:r>
    </w:p>
    <w:p>
      <w:pPr>
        <w:autoSpaceDE w:val="0"/>
        <w:autoSpaceDN w:val="0"/>
        <w:adjustRightIn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（1）定量控制系统包含但不限于润滑脂泵、双层密封压盘、气动升降立柱 、调压阀、流量阀、开关阀、加热装置、控制系统等。</w:t>
      </w:r>
    </w:p>
    <w:p>
      <w:pPr>
        <w:autoSpaceDE w:val="0"/>
        <w:autoSpaceDN w:val="0"/>
        <w:adjustRightIn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润滑脂泵，气动，采用GRACO、Atlas Copco、ARO等国际一线品牌。压力比≥40:1，流量≥1.5Kg/min。</w:t>
      </w:r>
    </w:p>
    <w:p>
      <w:pPr>
        <w:autoSpaceDE w:val="0"/>
        <w:autoSpaceDN w:val="0"/>
        <w:adjustRightIn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双层密封压盘与气动升降立柱，适用175Kg桶包装，压盘可进行充放气，立柱压力可调，换桶方便，桶内空气不影响定量精度，保证桶内润滑脂剩余量＜1</w:t>
      </w:r>
      <w:r>
        <w:rPr>
          <w:rFonts w:hint="eastAsia" w:ascii="仿宋" w:hAnsi="仿宋" w:eastAsia="仿宋" w:cs="仿宋"/>
          <w:highlight w:val="none"/>
          <w:lang w:val="en-US" w:eastAsia="zh-CN"/>
        </w:rPr>
        <w:t>0</w:t>
      </w:r>
      <w:r>
        <w:rPr>
          <w:rFonts w:hint="eastAsia" w:ascii="仿宋" w:hAnsi="仿宋" w:eastAsia="仿宋" w:cs="仿宋"/>
          <w:highlight w:val="none"/>
        </w:rPr>
        <w:t>Kg。</w:t>
      </w:r>
    </w:p>
    <w:p>
      <w:pPr>
        <w:autoSpaceDE w:val="0"/>
        <w:autoSpaceDN w:val="0"/>
        <w:adjustRightIn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调压阀、流量阀，采用采用GRACO、Atlas Copco、ARO等国际一线品牌，满足±5%精度使用要求。</w:t>
      </w:r>
    </w:p>
    <w:p>
      <w:pPr>
        <w:autoSpaceDE w:val="0"/>
        <w:autoSpaceDN w:val="0"/>
        <w:adjustRightIn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油脂管路，采用高压油管，内含钢丝网骨架，避免使用中膨胀变形。</w:t>
      </w:r>
    </w:p>
    <w:p>
      <w:pPr>
        <w:autoSpaceDE w:val="0"/>
        <w:autoSpaceDN w:val="0"/>
        <w:adjustRightIn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加热装置，用于冬季压盘及油管部位的加热，避免加注困难。</w:t>
      </w:r>
    </w:p>
    <w:p>
      <w:pPr>
        <w:autoSpaceDE w:val="0"/>
        <w:autoSpaceDN w:val="0"/>
        <w:adjustRightInd w:val="0"/>
        <w:spacing w:line="360" w:lineRule="auto"/>
        <w:ind w:firstLine="420" w:firstLineChars="200"/>
        <w:jc w:val="left"/>
        <w:rPr>
          <w:rFonts w:hint="default" w:ascii="仿宋" w:hAnsi="仿宋" w:eastAsia="仿宋" w:cs="仿宋"/>
          <w:highlight w:val="none"/>
          <w:lang w:val="en-US" w:eastAsia="zh-CN"/>
        </w:rPr>
      </w:pPr>
      <w:r>
        <w:rPr>
          <w:rFonts w:hint="eastAsia" w:ascii="仿宋" w:hAnsi="仿宋" w:eastAsia="仿宋" w:cs="仿宋"/>
          <w:highlight w:val="none"/>
        </w:rPr>
        <w:t>控制系统，采用PLC+触摸屏控制，PLC选用西门子、三菱等国际一线品牌；可根据不同产品设定不同的机型，可人工增加、修改机型，该设置功能有密码保护；扫描桥总成条码后自动选择机型，按照机型内参数自动定量注脂，注脂结束后，保存注脂量、时间等数据，回跳至开始扫码界面；若注脂量少于要求，则设备报警，进入手动模式进行补脂，补脂量由设备自动计算并设置为默认值，两次注脂量均记录保存；若注脂量大于要求，设备报警，通过人工密码复位后进行后续装调，人工对注脂件处理。</w:t>
      </w:r>
      <w:r>
        <w:rPr>
          <w:rFonts w:hint="eastAsia" w:ascii="仿宋" w:hAnsi="仿宋" w:eastAsia="仿宋" w:cs="仿宋"/>
          <w:highlight w:val="none"/>
          <w:lang w:val="en-US" w:eastAsia="zh-CN"/>
        </w:rPr>
        <w:t>设备留有数据接口与IOT系统或MES系统联网，具备接受IOT系统或MES系统的加注参数、上</w:t>
      </w:r>
      <w:r>
        <w:rPr>
          <w:rFonts w:hint="default" w:ascii="仿宋" w:hAnsi="仿宋" w:eastAsia="仿宋" w:cs="仿宋"/>
          <w:highlight w:val="none"/>
          <w:lang w:val="en-US" w:eastAsia="zh-CN"/>
        </w:rPr>
        <w:t>传</w:t>
      </w:r>
      <w:r>
        <w:rPr>
          <w:rFonts w:hint="eastAsia" w:ascii="仿宋" w:hAnsi="仿宋" w:eastAsia="仿宋" w:cs="仿宋"/>
          <w:highlight w:val="none"/>
          <w:lang w:val="en-US" w:eastAsia="zh-CN"/>
        </w:rPr>
        <w:t>实际加注量数据的</w:t>
      </w:r>
      <w:r>
        <w:rPr>
          <w:rFonts w:hint="default" w:ascii="仿宋" w:hAnsi="仿宋" w:eastAsia="仿宋" w:cs="仿宋"/>
          <w:highlight w:val="none"/>
          <w:lang w:val="en-US" w:eastAsia="zh-CN"/>
        </w:rPr>
        <w:t>功能。</w:t>
      </w:r>
    </w:p>
    <w:p>
      <w:pPr>
        <w:autoSpaceDE w:val="0"/>
        <w:autoSpaceDN w:val="0"/>
        <w:adjustRightIn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显示界面能够显示设备工作时间、各品种轮毂合件注脂完工数、润滑脂加注量统计、换桶提醒、按照天/周/月/年等的统计数据、设备报警等信息。</w:t>
      </w:r>
    </w:p>
    <w:p>
      <w:pPr>
        <w:autoSpaceDE w:val="0"/>
        <w:autoSpaceDN w:val="0"/>
        <w:adjustRightIn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注脂设备具备信息查询功能，能够通过桥总成流水号查询相应的注脂记录，并具备数据导出功能。</w:t>
      </w:r>
    </w:p>
    <w:p>
      <w:pPr>
        <w:autoSpaceDE w:val="0"/>
        <w:autoSpaceDN w:val="0"/>
        <w:adjustRightIn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设备具有防错功能，防止出现漏注或者空注等问题。</w:t>
      </w:r>
    </w:p>
    <w:p>
      <w:pPr>
        <w:autoSpaceDE w:val="0"/>
        <w:autoSpaceDN w:val="0"/>
        <w:adjustRightIn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设备具备注脂量校验、标定功能，配置校验装置，及校验作业说明书。</w:t>
      </w:r>
    </w:p>
    <w:p>
      <w:pPr>
        <w:autoSpaceDE w:val="0"/>
        <w:autoSpaceDN w:val="0"/>
        <w:adjustRightIn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设备均可选择自动或手动模式，以实现人工校对出脂量及故障模式下的手动注脂控制。</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设备配置无线扫码枪，品牌选用海康、霍尼韦尔、新大陆等国际一线品牌。</w:t>
      </w:r>
    </w:p>
    <w:p>
      <w:pPr>
        <w:autoSpaceDE w:val="0"/>
        <w:autoSpaceDN w:val="0"/>
        <w:adjustRightIn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（2）加注枪</w:t>
      </w:r>
    </w:p>
    <w:p>
      <w:pPr>
        <w:autoSpaceDE w:val="0"/>
        <w:autoSpaceDN w:val="0"/>
        <w:adjustRightIn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加注枪，确保将定量控制系统传递来的定量润滑脂快速注入到凸轮轴套管/凸轮轴支架上，同时保证在整个注脂过程中加注枪固定在油脂嘴上不掉落。</w:t>
      </w:r>
    </w:p>
    <w:p>
      <w:pPr>
        <w:autoSpaceDE w:val="0"/>
        <w:autoSpaceDN w:val="0"/>
        <w:adjustRightIn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保证注脂过程防护有效，确保零部件防尘和清洁度，不会对零部件产生磕碰。</w:t>
      </w:r>
    </w:p>
    <w:p>
      <w:pPr>
        <w:autoSpaceDE w:val="0"/>
        <w:autoSpaceDN w:val="0"/>
        <w:adjustRightIn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确保注脂完成后，工装与工件分离时不能有润滑脂附着到非涂抹面、污染现场等情况</w:t>
      </w:r>
    </w:p>
    <w:p>
      <w:pPr>
        <w:autoSpaceDE w:val="0"/>
        <w:autoSpaceDN w:val="0"/>
        <w:adjustRightIn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（3）其它要求</w:t>
      </w:r>
    </w:p>
    <w:p>
      <w:pPr>
        <w:autoSpaceDE w:val="0"/>
        <w:autoSpaceDN w:val="0"/>
        <w:adjustRightIn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设备整体框架，钣金采用喷漆等防锈处理。零配件采用镀铬、阳极化、喷砂、发黑防锈处理。所有焊接结构采用满焊，探伤。</w:t>
      </w:r>
    </w:p>
    <w:p>
      <w:pPr>
        <w:autoSpaceDE w:val="0"/>
        <w:autoSpaceDN w:val="0"/>
        <w:adjustRightInd w:val="0"/>
        <w:spacing w:line="360" w:lineRule="auto"/>
        <w:ind w:firstLine="420" w:firstLineChars="200"/>
        <w:jc w:val="left"/>
        <w:rPr>
          <w:rFonts w:ascii="仿宋" w:hAnsi="仿宋" w:eastAsia="仿宋" w:cs="仿宋"/>
          <w:highlight w:val="none"/>
        </w:rPr>
      </w:pPr>
      <w:r>
        <w:rPr>
          <w:rFonts w:ascii="仿宋" w:hAnsi="仿宋" w:eastAsia="仿宋" w:cs="仿宋"/>
          <w:highlight w:val="none"/>
        </w:rPr>
        <w:t>润滑脂桶</w:t>
      </w:r>
      <w:r>
        <w:rPr>
          <w:rFonts w:hint="eastAsia" w:ascii="仿宋" w:hAnsi="仿宋" w:eastAsia="仿宋" w:cs="仿宋"/>
          <w:highlight w:val="none"/>
        </w:rPr>
        <w:t>和设备可整体便捷移动。</w:t>
      </w:r>
    </w:p>
    <w:p>
      <w:pPr>
        <w:rPr>
          <w:rFonts w:hint="eastAsia" w:ascii="仿宋" w:hAnsi="仿宋" w:eastAsia="仿宋" w:cs="仿宋"/>
          <w:kern w:val="2"/>
          <w:sz w:val="24"/>
          <w:szCs w:val="24"/>
          <w:highlight w:val="none"/>
          <w:lang w:val="en-US" w:eastAsia="zh-CN" w:bidi="ar-SA"/>
        </w:rPr>
      </w:pPr>
    </w:p>
    <w:p>
      <w:pPr>
        <w:snapToGrid w:val="0"/>
        <w:spacing w:line="360" w:lineRule="auto"/>
        <w:ind w:firstLine="422" w:firstLineChars="200"/>
        <w:outlineLvl w:val="1"/>
        <w:rPr>
          <w:rFonts w:hint="eastAsia" w:ascii="仿宋" w:hAnsi="仿宋" w:eastAsia="仿宋" w:cs="仿宋"/>
          <w:b/>
          <w:bCs/>
          <w:highlight w:val="none"/>
          <w:lang w:val="en-US" w:eastAsia="zh-CN"/>
        </w:rPr>
      </w:pPr>
      <w:r>
        <w:rPr>
          <w:rFonts w:hint="eastAsia" w:ascii="仿宋" w:hAnsi="仿宋" w:eastAsia="仿宋" w:cs="仿宋"/>
          <w:b/>
          <w:bCs/>
          <w:highlight w:val="none"/>
          <w:lang w:val="en-US" w:eastAsia="zh-CN"/>
        </w:rPr>
        <w:t>3.5拨叉轴、活塞定量注脂机</w:t>
      </w:r>
    </w:p>
    <w:p>
      <w:pPr>
        <w:pStyle w:val="26"/>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3.</w:t>
      </w:r>
      <w:r>
        <w:rPr>
          <w:rFonts w:hint="eastAsia" w:ascii="仿宋" w:hAnsi="仿宋" w:eastAsia="仿宋" w:cs="仿宋"/>
          <w:highlight w:val="none"/>
          <w:lang w:val="en-US" w:eastAsia="zh-CN"/>
        </w:rPr>
        <w:t>5.1</w:t>
      </w:r>
      <w:r>
        <w:rPr>
          <w:rFonts w:hint="eastAsia" w:ascii="仿宋" w:hAnsi="仿宋" w:eastAsia="仿宋" w:cs="仿宋"/>
          <w:highlight w:val="none"/>
        </w:rPr>
        <w:t>生产能力及产品说明</w:t>
      </w:r>
    </w:p>
    <w:p>
      <w:pPr>
        <w:pStyle w:val="26"/>
        <w:snapToGrid w:val="0"/>
        <w:spacing w:line="360" w:lineRule="auto"/>
        <w:ind w:firstLine="420" w:firstLineChars="200"/>
        <w:rPr>
          <w:rFonts w:hint="eastAsia" w:ascii="仿宋" w:hAnsi="仿宋" w:eastAsia="仿宋" w:cs="仿宋"/>
          <w:highlight w:val="none"/>
          <w:lang w:val="en-US" w:eastAsia="zh-CN"/>
        </w:rPr>
      </w:pPr>
      <w:r>
        <w:rPr>
          <w:rFonts w:hint="eastAsia" w:ascii="仿宋" w:hAnsi="仿宋" w:eastAsia="仿宋" w:cs="仿宋"/>
          <w:highlight w:val="none"/>
        </w:rPr>
        <w:t>生产能力要求：</w:t>
      </w:r>
      <w:r>
        <w:rPr>
          <w:rFonts w:hint="eastAsia" w:ascii="仿宋" w:hAnsi="仿宋" w:eastAsia="仿宋" w:cs="仿宋"/>
          <w:highlight w:val="none"/>
          <w:lang w:val="en-US" w:eastAsia="zh-CN"/>
        </w:rPr>
        <w:t>拨叉轴注脂≤5S，活塞注脂≤</w:t>
      </w:r>
      <w:r>
        <w:rPr>
          <w:rFonts w:hint="eastAsia" w:ascii="仿宋" w:hAnsi="仿宋" w:eastAsia="仿宋" w:cs="仿宋"/>
          <w:color w:val="auto"/>
          <w:highlight w:val="none"/>
          <w:lang w:val="en-US" w:eastAsia="zh-CN"/>
        </w:rPr>
        <w:t>5S</w:t>
      </w:r>
      <w:r>
        <w:rPr>
          <w:rFonts w:hint="eastAsia" w:ascii="仿宋" w:hAnsi="仿宋" w:eastAsia="仿宋" w:cs="仿宋"/>
          <w:highlight w:val="none"/>
          <w:lang w:val="en-US" w:eastAsia="zh-CN"/>
        </w:rPr>
        <w:t>。</w:t>
      </w:r>
    </w:p>
    <w:p>
      <w:pPr>
        <w:pStyle w:val="26"/>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产品状态</w:t>
      </w:r>
      <w:r>
        <w:rPr>
          <w:rFonts w:hint="eastAsia" w:ascii="仿宋" w:hAnsi="仿宋" w:eastAsia="仿宋" w:cs="仿宋"/>
          <w:highlight w:val="none"/>
          <w:lang w:eastAsia="zh-CN"/>
        </w:rPr>
        <w:t>，</w:t>
      </w:r>
      <w:r>
        <w:rPr>
          <w:rFonts w:hint="eastAsia" w:ascii="仿宋" w:hAnsi="仿宋" w:eastAsia="仿宋" w:cs="仿宋"/>
          <w:highlight w:val="none"/>
          <w:lang w:val="en-US" w:eastAsia="zh-CN"/>
        </w:rPr>
        <w:t>如下图</w:t>
      </w:r>
      <w:r>
        <w:rPr>
          <w:rFonts w:hint="eastAsia" w:ascii="仿宋" w:hAnsi="仿宋" w:eastAsia="仿宋" w:cs="仿宋"/>
          <w:highlight w:val="none"/>
        </w:rPr>
        <w:t>：</w:t>
      </w:r>
    </w:p>
    <w:p>
      <w:pPr>
        <w:jc w:val="both"/>
        <w:rPr>
          <w:rFonts w:ascii="仿宋_GB2312" w:hAnsi="仿宋"/>
          <w:bCs/>
          <w:szCs w:val="28"/>
          <w:highlight w:val="none"/>
        </w:rPr>
      </w:pPr>
      <w:r>
        <w:rPr>
          <w:highlight w:val="none"/>
        </w:rPr>
        <w:drawing>
          <wp:inline distT="0" distB="0" distL="114300" distR="114300">
            <wp:extent cx="3414395" cy="1503045"/>
            <wp:effectExtent l="0" t="0" r="1905" b="825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53"/>
                    <a:srcRect l="4176"/>
                    <a:stretch>
                      <a:fillRect/>
                    </a:stretch>
                  </pic:blipFill>
                  <pic:spPr>
                    <a:xfrm>
                      <a:off x="0" y="0"/>
                      <a:ext cx="3414395" cy="1503045"/>
                    </a:xfrm>
                    <a:prstGeom prst="rect">
                      <a:avLst/>
                    </a:prstGeom>
                    <a:noFill/>
                    <a:ln>
                      <a:noFill/>
                    </a:ln>
                  </pic:spPr>
                </pic:pic>
              </a:graphicData>
            </a:graphic>
          </wp:inline>
        </w:drawing>
      </w:r>
      <w:r>
        <w:rPr>
          <w:highlight w:val="none"/>
        </w:rPr>
        <w:drawing>
          <wp:inline distT="0" distB="0" distL="114300" distR="114300">
            <wp:extent cx="1806575" cy="1495425"/>
            <wp:effectExtent l="0" t="0" r="9525"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4"/>
                    <a:srcRect l="23565" t="11647" r="29413" b="13059"/>
                    <a:stretch>
                      <a:fillRect/>
                    </a:stretch>
                  </pic:blipFill>
                  <pic:spPr>
                    <a:xfrm>
                      <a:off x="0" y="0"/>
                      <a:ext cx="1806575" cy="1495425"/>
                    </a:xfrm>
                    <a:prstGeom prst="rect">
                      <a:avLst/>
                    </a:prstGeom>
                    <a:noFill/>
                    <a:ln>
                      <a:noFill/>
                    </a:ln>
                  </pic:spPr>
                </pic:pic>
              </a:graphicData>
            </a:graphic>
          </wp:inline>
        </w:drawing>
      </w:r>
    </w:p>
    <w:p>
      <w:pPr>
        <w:pStyle w:val="18"/>
        <w:ind w:firstLine="2100" w:firstLineChars="1000"/>
        <w:rPr>
          <w:rFonts w:hint="default" w:ascii="仿宋" w:hAnsi="仿宋" w:eastAsia="仿宋" w:cs="仿宋"/>
          <w:highlight w:val="none"/>
          <w:lang w:val="en-US" w:eastAsia="zh-CN"/>
        </w:rPr>
      </w:pPr>
      <w:r>
        <w:rPr>
          <w:rFonts w:hint="eastAsia" w:ascii="仿宋" w:hAnsi="仿宋" w:eastAsia="仿宋" w:cs="仿宋"/>
          <w:highlight w:val="none"/>
          <w:lang w:val="en-US" w:eastAsia="zh-CN"/>
        </w:rPr>
        <w:t>拨叉轴一                   拨叉轴注脂位置示意图</w:t>
      </w:r>
    </w:p>
    <w:p>
      <w:pPr>
        <w:jc w:val="center"/>
        <w:rPr>
          <w:highlight w:val="none"/>
        </w:rPr>
      </w:pPr>
      <w:r>
        <w:rPr>
          <w:highlight w:val="none"/>
        </w:rPr>
        <w:drawing>
          <wp:inline distT="0" distB="0" distL="114300" distR="114300">
            <wp:extent cx="2294255" cy="1285240"/>
            <wp:effectExtent l="0" t="0" r="4445" b="10160"/>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55"/>
                    <a:stretch>
                      <a:fillRect/>
                    </a:stretch>
                  </pic:blipFill>
                  <pic:spPr>
                    <a:xfrm>
                      <a:off x="0" y="0"/>
                      <a:ext cx="2294255" cy="1285240"/>
                    </a:xfrm>
                    <a:prstGeom prst="rect">
                      <a:avLst/>
                    </a:prstGeom>
                    <a:noFill/>
                    <a:ln>
                      <a:noFill/>
                    </a:ln>
                  </pic:spPr>
                </pic:pic>
              </a:graphicData>
            </a:graphic>
          </wp:inline>
        </w:drawing>
      </w:r>
      <w:r>
        <w:rPr>
          <w:rFonts w:hint="eastAsia"/>
          <w:highlight w:val="none"/>
          <w:lang w:val="en-US" w:eastAsia="zh-CN"/>
        </w:rPr>
        <w:t xml:space="preserve"> </w:t>
      </w:r>
      <w:r>
        <w:rPr>
          <w:rFonts w:hint="eastAsia" w:eastAsia="宋体"/>
          <w:highlight w:val="none"/>
          <w:lang w:eastAsia="zh-CN"/>
        </w:rPr>
        <w:drawing>
          <wp:inline distT="0" distB="0" distL="114300" distR="114300">
            <wp:extent cx="2359660" cy="1293495"/>
            <wp:effectExtent l="0" t="0" r="2540" b="1905"/>
            <wp:docPr id="47" name="图片 47" descr="e1ea54e609193edb3654fe99a531b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e1ea54e609193edb3654fe99a531b375"/>
                    <pic:cNvPicPr>
                      <a:picLocks noChangeAspect="1"/>
                    </pic:cNvPicPr>
                  </pic:nvPicPr>
                  <pic:blipFill>
                    <a:blip r:embed="rId56"/>
                    <a:stretch>
                      <a:fillRect/>
                    </a:stretch>
                  </pic:blipFill>
                  <pic:spPr>
                    <a:xfrm>
                      <a:off x="0" y="0"/>
                      <a:ext cx="2359660" cy="1293495"/>
                    </a:xfrm>
                    <a:prstGeom prst="rect">
                      <a:avLst/>
                    </a:prstGeom>
                  </pic:spPr>
                </pic:pic>
              </a:graphicData>
            </a:graphic>
          </wp:inline>
        </w:drawing>
      </w:r>
    </w:p>
    <w:p>
      <w:pPr>
        <w:pStyle w:val="18"/>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 xml:space="preserve"> 拨叉轴二                   拨叉轴三</w:t>
      </w:r>
    </w:p>
    <w:p>
      <w:pPr>
        <w:pStyle w:val="18"/>
        <w:jc w:val="center"/>
        <w:rPr>
          <w:highlight w:val="none"/>
        </w:rPr>
      </w:pPr>
      <w:r>
        <w:rPr>
          <w:highlight w:val="none"/>
        </w:rPr>
        <w:drawing>
          <wp:inline distT="0" distB="0" distL="114300" distR="114300">
            <wp:extent cx="3915410" cy="1212850"/>
            <wp:effectExtent l="0" t="0" r="8890" b="6350"/>
            <wp:docPr id="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pic:cNvPicPr>
                      <a:picLocks noChangeAspect="1"/>
                    </pic:cNvPicPr>
                  </pic:nvPicPr>
                  <pic:blipFill>
                    <a:blip r:embed="rId57"/>
                    <a:srcRect l="2578" t="3288" r="2223" b="9498"/>
                    <a:stretch>
                      <a:fillRect/>
                    </a:stretch>
                  </pic:blipFill>
                  <pic:spPr>
                    <a:xfrm>
                      <a:off x="0" y="0"/>
                      <a:ext cx="3915410" cy="1212850"/>
                    </a:xfrm>
                    <a:prstGeom prst="rect">
                      <a:avLst/>
                    </a:prstGeom>
                    <a:noFill/>
                    <a:ln>
                      <a:noFill/>
                    </a:ln>
                  </pic:spPr>
                </pic:pic>
              </a:graphicData>
            </a:graphic>
          </wp:inline>
        </w:drawing>
      </w:r>
    </w:p>
    <w:p>
      <w:pPr>
        <w:pStyle w:val="18"/>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拨叉轴四（其它尺寸同拨叉轴一）</w:t>
      </w:r>
    </w:p>
    <w:p>
      <w:pPr>
        <w:pStyle w:val="18"/>
        <w:rPr>
          <w:highlight w:val="none"/>
        </w:rPr>
      </w:pPr>
      <w:r>
        <w:rPr>
          <w:rFonts w:hint="eastAsia"/>
          <w:highlight w:val="none"/>
          <w:lang w:val="en-US" w:eastAsia="zh-CN"/>
        </w:rPr>
        <w:t xml:space="preserve"> </w:t>
      </w:r>
      <w:r>
        <w:rPr>
          <w:rFonts w:hint="eastAsia" w:ascii="宋体" w:hAnsi="宋体" w:eastAsia="宋体" w:cs="宋体"/>
          <w:highlight w:val="none"/>
        </w:rPr>
        <w:drawing>
          <wp:inline distT="0" distB="0" distL="114300" distR="114300">
            <wp:extent cx="1387475" cy="1836420"/>
            <wp:effectExtent l="0" t="0" r="9525" b="508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8"/>
                    <a:srcRect l="38863" t="5978" r="23382" b="2205"/>
                    <a:stretch>
                      <a:fillRect/>
                    </a:stretch>
                  </pic:blipFill>
                  <pic:spPr>
                    <a:xfrm>
                      <a:off x="0" y="0"/>
                      <a:ext cx="1387475" cy="1836420"/>
                    </a:xfrm>
                    <a:prstGeom prst="rect">
                      <a:avLst/>
                    </a:prstGeom>
                    <a:noFill/>
                    <a:ln>
                      <a:noFill/>
                    </a:ln>
                  </pic:spPr>
                </pic:pic>
              </a:graphicData>
            </a:graphic>
          </wp:inline>
        </w:drawing>
      </w:r>
      <w:r>
        <w:rPr>
          <w:rFonts w:hint="eastAsia" w:ascii="宋体" w:hAnsi="宋体" w:cs="宋体"/>
          <w:highlight w:val="none"/>
          <w:lang w:val="en-US" w:eastAsia="zh-CN"/>
        </w:rPr>
        <w:t xml:space="preserve">  </w:t>
      </w:r>
      <w:r>
        <w:rPr>
          <w:highlight w:val="none"/>
        </w:rPr>
        <w:drawing>
          <wp:inline distT="0" distB="0" distL="114300" distR="114300">
            <wp:extent cx="3425190" cy="1093470"/>
            <wp:effectExtent l="0" t="0" r="3810" b="11430"/>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59"/>
                    <a:stretch>
                      <a:fillRect/>
                    </a:stretch>
                  </pic:blipFill>
                  <pic:spPr>
                    <a:xfrm>
                      <a:off x="0" y="0"/>
                      <a:ext cx="3425190" cy="1093470"/>
                    </a:xfrm>
                    <a:prstGeom prst="rect">
                      <a:avLst/>
                    </a:prstGeom>
                    <a:noFill/>
                    <a:ln>
                      <a:noFill/>
                    </a:ln>
                  </pic:spPr>
                </pic:pic>
              </a:graphicData>
            </a:graphic>
          </wp:inline>
        </w:drawing>
      </w:r>
    </w:p>
    <w:p>
      <w:pPr>
        <w:pStyle w:val="26"/>
        <w:snapToGrid w:val="0"/>
        <w:spacing w:line="360" w:lineRule="auto"/>
        <w:ind w:firstLine="840" w:firstLineChars="40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活塞拨叉轴注脂位置示意图（两种型号）</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3.5.2工艺要求</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（1）工艺流程（参考）：</w:t>
      </w:r>
    </w:p>
    <w:p>
      <w:pPr>
        <w:pStyle w:val="172"/>
        <w:keepNext w:val="0"/>
        <w:keepLines w:val="0"/>
        <w:pageBreakBefore w:val="0"/>
        <w:widowControl w:val="0"/>
        <w:kinsoku/>
        <w:wordWrap/>
        <w:overflowPunct/>
        <w:topLinePunct w:val="0"/>
        <w:bidi w:val="0"/>
        <w:spacing w:line="360" w:lineRule="auto"/>
        <w:textAlignment w:val="auto"/>
        <w:rPr>
          <w:rFonts w:hint="eastAsia" w:ascii="仿宋" w:hAnsi="仿宋" w:eastAsia="仿宋" w:cs="Times New Roman"/>
          <w:bCs w:val="0"/>
          <w:kern w:val="0"/>
          <w:sz w:val="24"/>
          <w:szCs w:val="24"/>
          <w:highlight w:val="none"/>
          <w:lang w:val="en-US" w:eastAsia="zh-CN" w:bidi="ar-SA"/>
        </w:rPr>
      </w:pPr>
      <w:r>
        <w:rPr>
          <w:rFonts w:hint="eastAsia" w:ascii="仿宋" w:hAnsi="仿宋" w:eastAsia="仿宋" w:cs="Times New Roman"/>
          <w:bCs w:val="0"/>
          <w:kern w:val="0"/>
          <w:sz w:val="24"/>
          <w:szCs w:val="24"/>
          <w:highlight w:val="none"/>
          <w:lang w:val="en-US" w:eastAsia="zh-CN" w:bidi="ar-SA"/>
        </w:rPr>
        <w:t>人工将安装O型圈的拨叉轴/活塞放置到加注工装内，启动加注开关自动定量注脂，人工将拨叉轴至工装内取出。</w:t>
      </w:r>
    </w:p>
    <w:p>
      <w:pPr>
        <w:pStyle w:val="172"/>
        <w:keepNext w:val="0"/>
        <w:keepLines w:val="0"/>
        <w:pageBreakBefore w:val="0"/>
        <w:widowControl w:val="0"/>
        <w:kinsoku/>
        <w:wordWrap/>
        <w:overflowPunct/>
        <w:topLinePunct w:val="0"/>
        <w:bidi w:val="0"/>
        <w:spacing w:line="360" w:lineRule="auto"/>
        <w:textAlignment w:val="auto"/>
        <w:rPr>
          <w:rFonts w:hint="eastAsia" w:ascii="仿宋" w:hAnsi="仿宋" w:eastAsia="仿宋" w:cs="Times New Roman"/>
          <w:bCs w:val="0"/>
          <w:kern w:val="0"/>
          <w:sz w:val="24"/>
          <w:szCs w:val="24"/>
          <w:highlight w:val="none"/>
          <w:lang w:val="en-US" w:eastAsia="zh-CN" w:bidi="ar-SA"/>
        </w:rPr>
      </w:pPr>
      <w:r>
        <w:rPr>
          <w:rFonts w:hint="eastAsia" w:ascii="仿宋" w:hAnsi="仿宋" w:eastAsia="仿宋" w:cs="Times New Roman"/>
          <w:bCs w:val="0"/>
          <w:kern w:val="0"/>
          <w:sz w:val="24"/>
          <w:szCs w:val="24"/>
          <w:highlight w:val="none"/>
          <w:lang w:val="en-US" w:eastAsia="zh-CN" w:bidi="ar-SA"/>
        </w:rPr>
        <w:t>（2）注脂定量要求：</w:t>
      </w:r>
    </w:p>
    <w:p>
      <w:pPr>
        <w:pStyle w:val="172"/>
        <w:keepNext w:val="0"/>
        <w:keepLines w:val="0"/>
        <w:pageBreakBefore w:val="0"/>
        <w:widowControl w:val="0"/>
        <w:kinsoku/>
        <w:wordWrap/>
        <w:overflowPunct/>
        <w:topLinePunct w:val="0"/>
        <w:bidi w:val="0"/>
        <w:spacing w:line="360" w:lineRule="auto"/>
        <w:textAlignment w:val="auto"/>
        <w:rPr>
          <w:rFonts w:hint="eastAsia" w:ascii="仿宋" w:hAnsi="仿宋" w:eastAsia="仿宋" w:cs="Times New Roman"/>
          <w:bCs w:val="0"/>
          <w:kern w:val="0"/>
          <w:sz w:val="24"/>
          <w:szCs w:val="24"/>
          <w:highlight w:val="none"/>
          <w:lang w:val="en-US" w:eastAsia="zh-CN" w:bidi="ar-SA"/>
        </w:rPr>
      </w:pPr>
      <w:r>
        <w:rPr>
          <w:rFonts w:hint="eastAsia" w:ascii="仿宋" w:hAnsi="仿宋" w:eastAsia="仿宋" w:cs="Times New Roman"/>
          <w:bCs w:val="0"/>
          <w:kern w:val="0"/>
          <w:sz w:val="24"/>
          <w:szCs w:val="24"/>
          <w:highlight w:val="none"/>
          <w:lang w:val="en-US" w:eastAsia="zh-CN" w:bidi="ar-SA"/>
        </w:rPr>
        <w:t>拨叉轴小轴端及O型圈处共涂抹3g润滑脂OPTIMOL；</w:t>
      </w:r>
    </w:p>
    <w:p>
      <w:pPr>
        <w:pStyle w:val="172"/>
        <w:keepNext w:val="0"/>
        <w:keepLines w:val="0"/>
        <w:pageBreakBefore w:val="0"/>
        <w:widowControl w:val="0"/>
        <w:kinsoku/>
        <w:wordWrap/>
        <w:overflowPunct/>
        <w:topLinePunct w:val="0"/>
        <w:bidi w:val="0"/>
        <w:spacing w:line="360" w:lineRule="auto"/>
        <w:textAlignment w:val="auto"/>
        <w:rPr>
          <w:rFonts w:hint="eastAsia" w:ascii="仿宋" w:hAnsi="仿宋" w:eastAsia="仿宋" w:cs="Times New Roman"/>
          <w:bCs w:val="0"/>
          <w:kern w:val="0"/>
          <w:sz w:val="24"/>
          <w:szCs w:val="24"/>
          <w:highlight w:val="none"/>
          <w:lang w:val="en-US" w:eastAsia="zh-CN" w:bidi="ar-SA"/>
        </w:rPr>
      </w:pPr>
      <w:r>
        <w:rPr>
          <w:rFonts w:hint="eastAsia" w:ascii="仿宋" w:hAnsi="仿宋" w:eastAsia="仿宋" w:cs="Times New Roman"/>
          <w:bCs w:val="0"/>
          <w:kern w:val="0"/>
          <w:sz w:val="24"/>
          <w:szCs w:val="24"/>
          <w:highlight w:val="none"/>
          <w:lang w:val="en-US" w:eastAsia="zh-CN" w:bidi="ar-SA"/>
        </w:rPr>
        <w:t>活塞外O型圈处均匀涂抺2-3mL润滑脂特浦朗克LG PHT2。</w:t>
      </w:r>
    </w:p>
    <w:p>
      <w:pPr>
        <w:pStyle w:val="172"/>
        <w:keepNext w:val="0"/>
        <w:keepLines w:val="0"/>
        <w:pageBreakBefore w:val="0"/>
        <w:widowControl w:val="0"/>
        <w:kinsoku/>
        <w:wordWrap/>
        <w:overflowPunct/>
        <w:topLinePunct w:val="0"/>
        <w:bidi w:val="0"/>
        <w:spacing w:line="360" w:lineRule="auto"/>
        <w:textAlignment w:val="auto"/>
        <w:rPr>
          <w:rFonts w:hint="eastAsia" w:ascii="仿宋" w:hAnsi="仿宋" w:eastAsia="仿宋" w:cs="Times New Roman"/>
          <w:bCs w:val="0"/>
          <w:kern w:val="0"/>
          <w:sz w:val="24"/>
          <w:szCs w:val="24"/>
          <w:highlight w:val="none"/>
          <w:lang w:val="en-US" w:eastAsia="zh-CN" w:bidi="ar-SA"/>
        </w:rPr>
      </w:pPr>
      <w:r>
        <w:rPr>
          <w:rFonts w:hint="eastAsia" w:ascii="仿宋" w:hAnsi="仿宋" w:eastAsia="仿宋" w:cs="Times New Roman"/>
          <w:bCs w:val="0"/>
          <w:kern w:val="0"/>
          <w:sz w:val="24"/>
          <w:szCs w:val="24"/>
          <w:highlight w:val="none"/>
          <w:lang w:val="en-US" w:eastAsia="zh-CN" w:bidi="ar-SA"/>
        </w:rPr>
        <w:t>3.5.3布置布局：</w:t>
      </w:r>
    </w:p>
    <w:p>
      <w:pPr>
        <w:pStyle w:val="172"/>
        <w:keepNext w:val="0"/>
        <w:keepLines w:val="0"/>
        <w:pageBreakBefore w:val="0"/>
        <w:widowControl w:val="0"/>
        <w:kinsoku/>
        <w:wordWrap/>
        <w:overflowPunct/>
        <w:topLinePunct w:val="0"/>
        <w:bidi w:val="0"/>
        <w:spacing w:line="360" w:lineRule="auto"/>
        <w:textAlignment w:val="auto"/>
        <w:rPr>
          <w:rFonts w:hint="eastAsia" w:ascii="仿宋" w:hAnsi="仿宋" w:eastAsia="仿宋" w:cs="Times New Roman"/>
          <w:bCs w:val="0"/>
          <w:kern w:val="0"/>
          <w:sz w:val="24"/>
          <w:szCs w:val="24"/>
          <w:highlight w:val="none"/>
          <w:lang w:val="en-US" w:eastAsia="zh-CN" w:bidi="ar-SA"/>
        </w:rPr>
      </w:pPr>
      <w:r>
        <w:rPr>
          <w:rFonts w:hint="eastAsia" w:ascii="仿宋" w:hAnsi="仿宋" w:eastAsia="仿宋" w:cs="Times New Roman"/>
          <w:bCs w:val="0"/>
          <w:kern w:val="0"/>
          <w:sz w:val="24"/>
          <w:szCs w:val="24"/>
          <w:highlight w:val="none"/>
          <w:lang w:val="en-US" w:eastAsia="zh-CN" w:bidi="ar-SA"/>
        </w:rPr>
        <w:t>拨叉轴定量注脂机：主减装配A、B、C、D线各2台，电驱、E、智能装配线各1台；</w:t>
      </w:r>
    </w:p>
    <w:p>
      <w:pPr>
        <w:pStyle w:val="172"/>
        <w:keepNext w:val="0"/>
        <w:keepLines w:val="0"/>
        <w:pageBreakBefore w:val="0"/>
        <w:widowControl w:val="0"/>
        <w:kinsoku/>
        <w:wordWrap/>
        <w:overflowPunct/>
        <w:topLinePunct w:val="0"/>
        <w:bidi w:val="0"/>
        <w:spacing w:line="360" w:lineRule="auto"/>
        <w:textAlignment w:val="auto"/>
        <w:rPr>
          <w:rFonts w:hint="eastAsia" w:ascii="仿宋" w:hAnsi="仿宋" w:eastAsia="仿宋" w:cs="Times New Roman"/>
          <w:bCs w:val="0"/>
          <w:kern w:val="0"/>
          <w:sz w:val="24"/>
          <w:szCs w:val="24"/>
          <w:highlight w:val="none"/>
          <w:lang w:val="en-US" w:eastAsia="zh-CN" w:bidi="ar-SA"/>
        </w:rPr>
      </w:pPr>
      <w:r>
        <w:rPr>
          <w:rFonts w:hint="eastAsia" w:ascii="仿宋" w:hAnsi="仿宋" w:eastAsia="仿宋" w:cs="Times New Roman"/>
          <w:bCs w:val="0"/>
          <w:kern w:val="0"/>
          <w:sz w:val="24"/>
          <w:szCs w:val="24"/>
          <w:highlight w:val="none"/>
          <w:lang w:val="en-US" w:eastAsia="zh-CN" w:bidi="ar-SA"/>
        </w:rPr>
        <w:t>活塞定量注脂机：电驱主减装配线1台。</w:t>
      </w:r>
    </w:p>
    <w:p>
      <w:pPr>
        <w:pStyle w:val="172"/>
        <w:keepNext w:val="0"/>
        <w:keepLines w:val="0"/>
        <w:pageBreakBefore w:val="0"/>
        <w:widowControl w:val="0"/>
        <w:kinsoku/>
        <w:wordWrap/>
        <w:overflowPunct/>
        <w:topLinePunct w:val="0"/>
        <w:bidi w:val="0"/>
        <w:spacing w:line="360" w:lineRule="auto"/>
        <w:textAlignment w:val="auto"/>
        <w:rPr>
          <w:rFonts w:hint="default" w:ascii="仿宋" w:hAnsi="仿宋" w:eastAsia="仿宋" w:cs="Times New Roman"/>
          <w:bCs w:val="0"/>
          <w:kern w:val="0"/>
          <w:sz w:val="24"/>
          <w:szCs w:val="24"/>
          <w:highlight w:val="none"/>
          <w:lang w:val="en-US" w:eastAsia="zh-CN" w:bidi="ar-SA"/>
        </w:rPr>
      </w:pPr>
      <w:r>
        <w:rPr>
          <w:rFonts w:hint="eastAsia" w:ascii="仿宋" w:hAnsi="仿宋" w:eastAsia="仿宋" w:cs="Times New Roman"/>
          <w:bCs w:val="0"/>
          <w:kern w:val="0"/>
          <w:sz w:val="24"/>
          <w:szCs w:val="24"/>
          <w:highlight w:val="none"/>
          <w:lang w:val="en-US" w:eastAsia="zh-CN" w:bidi="ar-SA"/>
        </w:rPr>
        <w:t>单台设备占地面积不超过0.5*0.5米。</w:t>
      </w:r>
    </w:p>
    <w:p>
      <w:pPr>
        <w:pStyle w:val="172"/>
        <w:keepNext w:val="0"/>
        <w:keepLines w:val="0"/>
        <w:pageBreakBefore w:val="0"/>
        <w:widowControl w:val="0"/>
        <w:kinsoku/>
        <w:wordWrap/>
        <w:overflowPunct/>
        <w:topLinePunct w:val="0"/>
        <w:bidi w:val="0"/>
        <w:spacing w:line="360" w:lineRule="auto"/>
        <w:ind w:left="0" w:leftChars="0" w:firstLine="0" w:firstLineChars="0"/>
        <w:textAlignment w:val="auto"/>
        <w:rPr>
          <w:rFonts w:hint="eastAsia" w:ascii="仿宋" w:hAnsi="仿宋" w:eastAsia="仿宋" w:cs="Times New Roman"/>
          <w:bCs w:val="0"/>
          <w:kern w:val="0"/>
          <w:sz w:val="24"/>
          <w:szCs w:val="24"/>
          <w:highlight w:val="none"/>
          <w:lang w:val="en-US" w:eastAsia="zh-CN" w:bidi="ar-SA"/>
        </w:rPr>
      </w:pPr>
      <w:r>
        <w:rPr>
          <w:rFonts w:hint="eastAsia" w:ascii="仿宋" w:hAnsi="仿宋" w:eastAsia="仿宋" w:cs="Times New Roman"/>
          <w:bCs w:val="0"/>
          <w:kern w:val="0"/>
          <w:sz w:val="24"/>
          <w:szCs w:val="24"/>
          <w:highlight w:val="none"/>
          <w:lang w:val="en-US" w:eastAsia="zh-CN" w:bidi="ar-SA"/>
        </w:rPr>
        <w:drawing>
          <wp:inline distT="0" distB="0" distL="114300" distR="114300">
            <wp:extent cx="5273675" cy="2374265"/>
            <wp:effectExtent l="0" t="0" r="9525" b="635"/>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60"/>
                    <a:stretch>
                      <a:fillRect/>
                    </a:stretch>
                  </pic:blipFill>
                  <pic:spPr>
                    <a:xfrm>
                      <a:off x="0" y="0"/>
                      <a:ext cx="5273675" cy="2374265"/>
                    </a:xfrm>
                    <a:prstGeom prst="rect">
                      <a:avLst/>
                    </a:prstGeom>
                    <a:noFill/>
                    <a:ln>
                      <a:noFill/>
                    </a:ln>
                  </pic:spPr>
                </pic:pic>
              </a:graphicData>
            </a:graphic>
          </wp:inline>
        </w:drawing>
      </w:r>
    </w:p>
    <w:p>
      <w:pPr>
        <w:pStyle w:val="172"/>
        <w:keepNext w:val="0"/>
        <w:keepLines w:val="0"/>
        <w:pageBreakBefore w:val="0"/>
        <w:widowControl w:val="0"/>
        <w:kinsoku/>
        <w:wordWrap/>
        <w:overflowPunct/>
        <w:topLinePunct w:val="0"/>
        <w:bidi w:val="0"/>
        <w:spacing w:line="360" w:lineRule="auto"/>
        <w:textAlignment w:val="auto"/>
        <w:rPr>
          <w:rFonts w:hint="default" w:ascii="仿宋" w:hAnsi="仿宋" w:eastAsia="仿宋" w:cs="Times New Roman"/>
          <w:bCs w:val="0"/>
          <w:kern w:val="0"/>
          <w:sz w:val="24"/>
          <w:szCs w:val="24"/>
          <w:highlight w:val="none"/>
          <w:lang w:val="en-US" w:eastAsia="zh-CN" w:bidi="ar-SA"/>
        </w:rPr>
      </w:pPr>
      <w:r>
        <w:rPr>
          <w:rFonts w:hint="eastAsia" w:ascii="仿宋" w:hAnsi="仿宋" w:eastAsia="仿宋" w:cs="Times New Roman"/>
          <w:bCs w:val="0"/>
          <w:kern w:val="0"/>
          <w:sz w:val="24"/>
          <w:szCs w:val="24"/>
          <w:highlight w:val="none"/>
          <w:lang w:val="en-US" w:eastAsia="zh-CN" w:bidi="ar-SA"/>
        </w:rPr>
        <w:t>红色：拨叉轴定量注脂机；蓝色：活塞定量注脂机</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rPr>
      </w:pPr>
      <w:r>
        <w:rPr>
          <w:rFonts w:hint="eastAsia" w:ascii="仿宋" w:hAnsi="仿宋" w:eastAsia="仿宋" w:cs="仿宋"/>
          <w:highlight w:val="none"/>
        </w:rPr>
        <w:t>3.</w:t>
      </w:r>
      <w:r>
        <w:rPr>
          <w:rFonts w:hint="eastAsia" w:ascii="仿宋" w:hAnsi="仿宋" w:eastAsia="仿宋" w:cs="仿宋"/>
          <w:highlight w:val="none"/>
          <w:lang w:val="en-US" w:eastAsia="zh-CN"/>
        </w:rPr>
        <w:t>5</w:t>
      </w:r>
      <w:r>
        <w:rPr>
          <w:rFonts w:hint="eastAsia" w:ascii="仿宋" w:hAnsi="仿宋" w:eastAsia="仿宋" w:cs="仿宋"/>
          <w:highlight w:val="none"/>
        </w:rPr>
        <w:t>.</w:t>
      </w:r>
      <w:r>
        <w:rPr>
          <w:rFonts w:hint="eastAsia" w:ascii="仿宋" w:hAnsi="仿宋" w:eastAsia="仿宋" w:cs="仿宋"/>
          <w:highlight w:val="none"/>
          <w:lang w:val="en-US" w:eastAsia="zh-CN"/>
        </w:rPr>
        <w:t>4设备</w:t>
      </w:r>
      <w:r>
        <w:rPr>
          <w:rFonts w:hint="eastAsia" w:ascii="仿宋" w:hAnsi="仿宋" w:eastAsia="仿宋" w:cs="仿宋"/>
          <w:highlight w:val="none"/>
        </w:rPr>
        <w:t>功能</w:t>
      </w:r>
      <w:r>
        <w:rPr>
          <w:rFonts w:hint="eastAsia" w:ascii="仿宋" w:hAnsi="仿宋" w:eastAsia="仿宋" w:cs="仿宋"/>
          <w:highlight w:val="none"/>
          <w:lang w:val="en-US" w:eastAsia="zh-CN"/>
        </w:rPr>
        <w:t>和要求</w:t>
      </w:r>
      <w:r>
        <w:rPr>
          <w:rFonts w:hint="eastAsia" w:ascii="仿宋" w:hAnsi="仿宋" w:eastAsia="仿宋" w:cs="仿宋"/>
          <w:highlight w:val="none"/>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定量注脂设备主要包含定量控制系统和加注工装，实现</w:t>
      </w:r>
      <w:r>
        <w:rPr>
          <w:rFonts w:hint="eastAsia" w:ascii="仿宋" w:hAnsi="仿宋" w:eastAsia="仿宋" w:cs="Times New Roman"/>
          <w:bCs w:val="0"/>
          <w:kern w:val="0"/>
          <w:sz w:val="24"/>
          <w:szCs w:val="24"/>
          <w:highlight w:val="none"/>
          <w:lang w:val="en-US" w:eastAsia="zh-CN" w:bidi="ar-SA"/>
        </w:rPr>
        <w:t>拨叉轴和、活塞的</w:t>
      </w:r>
      <w:r>
        <w:rPr>
          <w:rFonts w:hint="eastAsia" w:ascii="仿宋" w:hAnsi="仿宋" w:eastAsia="仿宋" w:cs="仿宋"/>
          <w:highlight w:val="none"/>
          <w:lang w:val="en-US" w:eastAsia="zh-CN"/>
        </w:rPr>
        <w:t>定量注脂，保证涂抹均匀。</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left"/>
        <w:textAlignment w:val="auto"/>
        <w:rPr>
          <w:rFonts w:hint="eastAsia" w:ascii="仿宋" w:hAnsi="仿宋" w:eastAsia="仿宋" w:cs="仿宋"/>
          <w:highlight w:val="none"/>
          <w:lang w:val="en-US" w:eastAsia="zh-CN"/>
        </w:rPr>
      </w:pPr>
      <w:r>
        <w:rPr>
          <w:rFonts w:hint="eastAsia" w:ascii="仿宋" w:hAnsi="仿宋" w:eastAsia="仿宋" w:cs="仿宋"/>
          <w:kern w:val="2"/>
          <w:sz w:val="24"/>
          <w:szCs w:val="24"/>
          <w:highlight w:val="none"/>
          <w:lang w:val="en-US" w:eastAsia="zh-CN" w:bidi="ar-SA"/>
        </w:rPr>
        <w:t>（1）</w:t>
      </w:r>
      <w:r>
        <w:rPr>
          <w:rFonts w:hint="eastAsia" w:ascii="仿宋" w:hAnsi="仿宋" w:eastAsia="仿宋" w:cs="仿宋"/>
          <w:highlight w:val="none"/>
          <w:lang w:val="en-US" w:eastAsia="zh-CN"/>
        </w:rPr>
        <w:t>定量控制系统包含但不限于</w:t>
      </w:r>
      <w:r>
        <w:rPr>
          <w:rFonts w:hint="eastAsia" w:ascii="仿宋" w:hAnsi="仿宋" w:eastAsia="仿宋" w:cs="Times New Roman"/>
          <w:kern w:val="0"/>
          <w:sz w:val="24"/>
          <w:szCs w:val="24"/>
          <w:highlight w:val="none"/>
          <w:lang w:val="en-US" w:eastAsia="zh-CN" w:bidi="ar-SA"/>
        </w:rPr>
        <w:t>气动润滑泵</w:t>
      </w:r>
      <w:r>
        <w:rPr>
          <w:rFonts w:hint="eastAsia" w:ascii="仿宋" w:hAnsi="仿宋" w:eastAsia="仿宋" w:cs="仿宋"/>
          <w:highlight w:val="none"/>
          <w:lang w:val="en-US" w:eastAsia="zh-CN"/>
        </w:rPr>
        <w:t>、</w:t>
      </w:r>
      <w:r>
        <w:rPr>
          <w:rFonts w:hint="eastAsia" w:ascii="仿宋" w:hAnsi="仿宋" w:eastAsia="仿宋" w:cs="Times New Roman"/>
          <w:kern w:val="0"/>
          <w:sz w:val="24"/>
          <w:szCs w:val="24"/>
          <w:highlight w:val="none"/>
          <w:lang w:val="en-US" w:eastAsia="zh-CN" w:bidi="ar-SA"/>
        </w:rPr>
        <w:t>单线注油器、调压阀、电磁阀</w:t>
      </w:r>
      <w:r>
        <w:rPr>
          <w:rFonts w:hint="eastAsia" w:ascii="仿宋" w:hAnsi="仿宋" w:eastAsia="仿宋" w:cs="仿宋"/>
          <w:highlight w:val="none"/>
          <w:lang w:val="en-US" w:eastAsia="zh-CN"/>
        </w:rPr>
        <w:t>、开关阀、控制系统等。</w:t>
      </w:r>
    </w:p>
    <w:p>
      <w:pPr>
        <w:pStyle w:val="172"/>
        <w:keepNext w:val="0"/>
        <w:keepLines w:val="0"/>
        <w:pageBreakBefore w:val="0"/>
        <w:widowControl w:val="0"/>
        <w:kinsoku/>
        <w:wordWrap/>
        <w:overflowPunct/>
        <w:topLinePunct w:val="0"/>
        <w:bidi w:val="0"/>
        <w:snapToGrid/>
        <w:spacing w:line="360" w:lineRule="auto"/>
        <w:textAlignment w:val="auto"/>
        <w:rPr>
          <w:rFonts w:hint="eastAsia" w:ascii="仿宋" w:hAnsi="仿宋" w:eastAsia="仿宋" w:cs="Times New Roman"/>
          <w:bCs w:val="0"/>
          <w:kern w:val="0"/>
          <w:sz w:val="24"/>
          <w:szCs w:val="24"/>
          <w:highlight w:val="none"/>
          <w:lang w:val="en-US" w:eastAsia="zh-CN" w:bidi="ar-SA"/>
        </w:rPr>
      </w:pPr>
      <w:r>
        <w:rPr>
          <w:rFonts w:hint="eastAsia" w:ascii="仿宋" w:hAnsi="仿宋" w:eastAsia="仿宋" w:cs="Times New Roman"/>
          <w:bCs w:val="0"/>
          <w:kern w:val="0"/>
          <w:sz w:val="24"/>
          <w:szCs w:val="24"/>
          <w:highlight w:val="none"/>
          <w:lang w:val="en-US" w:eastAsia="zh-CN" w:bidi="ar-SA"/>
        </w:rPr>
        <w:t>气动润滑泵，选用GRACO、Atlas Copco、ARO或同等水平的国内外一线品牌；储脂量约10Kg（约使用1周），具备缺脂提醒功能。泵罐密封，确保存放润滑脂不变质，不受污染，泵罐人工清理方便。</w:t>
      </w:r>
    </w:p>
    <w:p>
      <w:pPr>
        <w:pStyle w:val="172"/>
        <w:keepNext w:val="0"/>
        <w:keepLines w:val="0"/>
        <w:pageBreakBefore w:val="0"/>
        <w:widowControl w:val="0"/>
        <w:kinsoku/>
        <w:wordWrap/>
        <w:overflowPunct/>
        <w:topLinePunct w:val="0"/>
        <w:bidi w:val="0"/>
        <w:snapToGrid/>
        <w:spacing w:line="360" w:lineRule="auto"/>
        <w:textAlignment w:val="auto"/>
        <w:rPr>
          <w:rFonts w:hint="eastAsia" w:ascii="仿宋" w:hAnsi="仿宋" w:eastAsia="仿宋" w:cs="Times New Roman"/>
          <w:bCs w:val="0"/>
          <w:kern w:val="0"/>
          <w:sz w:val="24"/>
          <w:szCs w:val="24"/>
          <w:highlight w:val="none"/>
          <w:lang w:val="en-US" w:eastAsia="zh-CN" w:bidi="ar-SA"/>
        </w:rPr>
      </w:pPr>
      <w:r>
        <w:rPr>
          <w:rFonts w:hint="eastAsia" w:ascii="仿宋" w:hAnsi="仿宋" w:eastAsia="仿宋" w:cs="Times New Roman"/>
          <w:bCs w:val="0"/>
          <w:kern w:val="0"/>
          <w:sz w:val="24"/>
          <w:szCs w:val="24"/>
          <w:highlight w:val="none"/>
          <w:lang w:val="en-US" w:eastAsia="zh-CN" w:bidi="ar-SA"/>
        </w:rPr>
        <w:t>单线注油器具备手动调节容量功能，选用选用固瑞克、英格索兰、科普柯或同等水平的国内外一线品牌。</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调压阀，采用采用GRACO、Atlas Copco、ARO等国际一线品牌，满足±5%精度使用要求。</w:t>
      </w:r>
    </w:p>
    <w:p>
      <w:pPr>
        <w:pStyle w:val="172"/>
        <w:keepNext w:val="0"/>
        <w:keepLines w:val="0"/>
        <w:pageBreakBefore w:val="0"/>
        <w:widowControl w:val="0"/>
        <w:kinsoku/>
        <w:wordWrap/>
        <w:overflowPunct/>
        <w:topLinePunct w:val="0"/>
        <w:bidi w:val="0"/>
        <w:spacing w:line="360" w:lineRule="auto"/>
        <w:textAlignment w:val="auto"/>
        <w:rPr>
          <w:rFonts w:hint="eastAsia" w:ascii="仿宋" w:hAnsi="仿宋" w:eastAsia="仿宋" w:cs="Times New Roman"/>
          <w:bCs w:val="0"/>
          <w:kern w:val="0"/>
          <w:sz w:val="24"/>
          <w:szCs w:val="24"/>
          <w:highlight w:val="none"/>
          <w:lang w:val="en-US" w:eastAsia="zh-CN" w:bidi="ar-SA"/>
        </w:rPr>
      </w:pPr>
      <w:r>
        <w:rPr>
          <w:rFonts w:hint="eastAsia" w:ascii="仿宋" w:hAnsi="仿宋" w:eastAsia="仿宋" w:cs="Times New Roman"/>
          <w:bCs w:val="0"/>
          <w:kern w:val="0"/>
          <w:sz w:val="24"/>
          <w:szCs w:val="24"/>
          <w:highlight w:val="none"/>
          <w:lang w:val="en-US" w:eastAsia="zh-CN" w:bidi="ar-SA"/>
        </w:rPr>
        <w:t>油脂管路，采用高压油管，内含钢丝网骨架，避免使用中因高压膨胀变形。</w:t>
      </w:r>
    </w:p>
    <w:p>
      <w:pPr>
        <w:pStyle w:val="172"/>
        <w:keepNext w:val="0"/>
        <w:keepLines w:val="0"/>
        <w:pageBreakBefore w:val="0"/>
        <w:widowControl w:val="0"/>
        <w:kinsoku/>
        <w:wordWrap/>
        <w:overflowPunct/>
        <w:topLinePunct w:val="0"/>
        <w:bidi w:val="0"/>
        <w:spacing w:line="360" w:lineRule="auto"/>
        <w:textAlignment w:val="auto"/>
        <w:rPr>
          <w:rFonts w:hint="eastAsia" w:ascii="仿宋" w:hAnsi="仿宋" w:eastAsia="仿宋" w:cs="Times New Roman"/>
          <w:bCs w:val="0"/>
          <w:kern w:val="0"/>
          <w:sz w:val="24"/>
          <w:szCs w:val="24"/>
          <w:highlight w:val="none"/>
          <w:lang w:val="en-US" w:eastAsia="zh-CN" w:bidi="ar-SA"/>
        </w:rPr>
      </w:pPr>
      <w:r>
        <w:rPr>
          <w:rFonts w:hint="eastAsia" w:ascii="仿宋" w:hAnsi="仿宋" w:eastAsia="仿宋" w:cs="Times New Roman"/>
          <w:bCs w:val="0"/>
          <w:kern w:val="0"/>
          <w:sz w:val="24"/>
          <w:szCs w:val="24"/>
          <w:highlight w:val="none"/>
          <w:lang w:val="en-US" w:eastAsia="zh-CN" w:bidi="ar-SA"/>
        </w:rPr>
        <w:t>加热装置，用于冬季油脂加热，避免加注困难。</w:t>
      </w:r>
    </w:p>
    <w:p>
      <w:pPr>
        <w:pStyle w:val="172"/>
        <w:keepNext w:val="0"/>
        <w:keepLines w:val="0"/>
        <w:pageBreakBefore w:val="0"/>
        <w:widowControl w:val="0"/>
        <w:kinsoku/>
        <w:wordWrap/>
        <w:overflowPunct/>
        <w:topLinePunct w:val="0"/>
        <w:bidi w:val="0"/>
        <w:spacing w:line="360" w:lineRule="auto"/>
        <w:textAlignment w:val="auto"/>
        <w:rPr>
          <w:rFonts w:hint="eastAsia" w:ascii="仿宋" w:hAnsi="仿宋" w:eastAsia="仿宋" w:cs="Times New Roman"/>
          <w:bCs w:val="0"/>
          <w:kern w:val="0"/>
          <w:sz w:val="24"/>
          <w:szCs w:val="24"/>
          <w:highlight w:val="none"/>
          <w:lang w:val="en-US" w:eastAsia="zh-CN" w:bidi="ar-SA"/>
        </w:rPr>
      </w:pPr>
      <w:r>
        <w:rPr>
          <w:rFonts w:hint="eastAsia" w:ascii="仿宋" w:hAnsi="仿宋" w:eastAsia="仿宋" w:cs="Times New Roman"/>
          <w:bCs w:val="0"/>
          <w:kern w:val="0"/>
          <w:sz w:val="24"/>
          <w:szCs w:val="24"/>
          <w:highlight w:val="none"/>
          <w:lang w:val="en-US" w:eastAsia="zh-CN" w:bidi="ar-SA"/>
        </w:rPr>
        <w:t>控制系统，采用PLC控制，PLC选用西门子、三菱等国际一线品牌；可根据不同产品设定不同的机型，可人工增加、修改机型，该设置功能有密码保护；显示界面能够显示设备工作时间、注脂完工数、润滑脂加注量统计、缺脂提醒功能、按照天/周/月/年等的统计数据、设备报警等信息。</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20" w:firstLineChars="200"/>
        <w:jc w:val="left"/>
        <w:textAlignment w:val="auto"/>
        <w:rPr>
          <w:rFonts w:hint="default" w:ascii="仿宋" w:hAnsi="仿宋" w:eastAsia="仿宋" w:cs="仿宋"/>
          <w:highlight w:val="none"/>
          <w:lang w:val="en-US" w:eastAsia="zh-CN"/>
        </w:rPr>
      </w:pPr>
      <w:r>
        <w:rPr>
          <w:rFonts w:hint="eastAsia" w:ascii="仿宋" w:hAnsi="仿宋" w:eastAsia="仿宋" w:cs="仿宋"/>
          <w:highlight w:val="none"/>
          <w:lang w:val="en-US" w:eastAsia="zh-CN"/>
        </w:rPr>
        <w:t>设备具有防错功能，防止出现漏注或者空注等问题。</w:t>
      </w:r>
    </w:p>
    <w:p>
      <w:pPr>
        <w:pStyle w:val="172"/>
        <w:keepNext w:val="0"/>
        <w:keepLines w:val="0"/>
        <w:pageBreakBefore w:val="0"/>
        <w:widowControl w:val="0"/>
        <w:kinsoku/>
        <w:wordWrap/>
        <w:overflowPunct/>
        <w:topLinePunct w:val="0"/>
        <w:bidi w:val="0"/>
        <w:spacing w:line="360" w:lineRule="auto"/>
        <w:textAlignment w:val="auto"/>
        <w:rPr>
          <w:rFonts w:hint="eastAsia" w:ascii="仿宋" w:hAnsi="仿宋" w:eastAsia="仿宋" w:cs="Times New Roman"/>
          <w:bCs w:val="0"/>
          <w:kern w:val="0"/>
          <w:sz w:val="24"/>
          <w:szCs w:val="24"/>
          <w:highlight w:val="none"/>
          <w:lang w:val="en-US" w:eastAsia="zh-CN" w:bidi="ar-SA"/>
        </w:rPr>
      </w:pPr>
      <w:r>
        <w:rPr>
          <w:rFonts w:hint="eastAsia" w:ascii="仿宋" w:hAnsi="仿宋" w:eastAsia="仿宋" w:cs="Times New Roman"/>
          <w:bCs w:val="0"/>
          <w:kern w:val="0"/>
          <w:sz w:val="24"/>
          <w:szCs w:val="24"/>
          <w:highlight w:val="none"/>
          <w:lang w:val="en-US" w:eastAsia="zh-CN" w:bidi="ar-SA"/>
        </w:rPr>
        <w:t>设备具备注脂量校验、标定功能，配置校验装置，及校验作业说明书。</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default" w:ascii="仿宋" w:hAnsi="仿宋" w:eastAsia="仿宋" w:cs="仿宋"/>
          <w:highlight w:val="none"/>
          <w:lang w:val="en-US" w:eastAsia="zh-CN"/>
        </w:rPr>
      </w:pPr>
      <w:r>
        <w:rPr>
          <w:rFonts w:hint="eastAsia" w:ascii="仿宋" w:hAnsi="仿宋" w:eastAsia="仿宋" w:cs="仿宋"/>
          <w:highlight w:val="none"/>
          <w:lang w:val="en-US" w:eastAsia="zh-CN"/>
        </w:rPr>
        <w:t>设备均选择自动或手动模式，以实现人工校对出脂量及故障模式下的手动注脂控制。</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default" w:ascii="仿宋" w:hAnsi="仿宋" w:eastAsia="仿宋" w:cs="仿宋"/>
          <w:highlight w:val="none"/>
          <w:lang w:val="en-US" w:eastAsia="zh-CN"/>
        </w:rPr>
      </w:pPr>
      <w:r>
        <w:rPr>
          <w:rFonts w:hint="eastAsia" w:ascii="仿宋" w:hAnsi="仿宋" w:eastAsia="仿宋" w:cs="仿宋"/>
          <w:highlight w:val="none"/>
          <w:lang w:val="en-US" w:eastAsia="zh-CN"/>
        </w:rPr>
        <w:t>（2）加注工装</w:t>
      </w:r>
    </w:p>
    <w:p>
      <w:pPr>
        <w:pStyle w:val="172"/>
        <w:keepNext w:val="0"/>
        <w:keepLines w:val="0"/>
        <w:pageBreakBefore w:val="0"/>
        <w:widowControl w:val="0"/>
        <w:kinsoku/>
        <w:wordWrap/>
        <w:overflowPunct/>
        <w:topLinePunct w:val="0"/>
        <w:bidi w:val="0"/>
        <w:spacing w:line="360" w:lineRule="auto"/>
        <w:textAlignment w:val="auto"/>
        <w:rPr>
          <w:rFonts w:hint="eastAsia" w:ascii="仿宋" w:hAnsi="仿宋" w:eastAsia="仿宋" w:cs="Times New Roman"/>
          <w:bCs w:val="0"/>
          <w:kern w:val="0"/>
          <w:sz w:val="24"/>
          <w:szCs w:val="24"/>
          <w:highlight w:val="none"/>
          <w:lang w:val="en-US" w:eastAsia="zh-CN" w:bidi="ar-SA"/>
        </w:rPr>
      </w:pPr>
      <w:r>
        <w:rPr>
          <w:rFonts w:hint="eastAsia" w:ascii="仿宋" w:hAnsi="仿宋" w:eastAsia="仿宋" w:cs="Times New Roman"/>
          <w:bCs w:val="0"/>
          <w:kern w:val="0"/>
          <w:sz w:val="24"/>
          <w:szCs w:val="24"/>
          <w:highlight w:val="none"/>
          <w:lang w:val="en-US" w:eastAsia="zh-CN" w:bidi="ar-SA"/>
        </w:rPr>
        <w:t>加注工装，确保将定量控制系统传递来的定量润滑脂，均匀涂抹至工件上。</w:t>
      </w:r>
    </w:p>
    <w:p>
      <w:pPr>
        <w:pStyle w:val="172"/>
        <w:keepNext w:val="0"/>
        <w:keepLines w:val="0"/>
        <w:pageBreakBefore w:val="0"/>
        <w:widowControl w:val="0"/>
        <w:kinsoku/>
        <w:wordWrap/>
        <w:overflowPunct/>
        <w:topLinePunct w:val="0"/>
        <w:bidi w:val="0"/>
        <w:spacing w:line="360" w:lineRule="auto"/>
        <w:textAlignment w:val="auto"/>
        <w:rPr>
          <w:rFonts w:hint="eastAsia" w:ascii="仿宋" w:hAnsi="仿宋" w:eastAsia="仿宋" w:cs="Times New Roman"/>
          <w:bCs w:val="0"/>
          <w:kern w:val="0"/>
          <w:sz w:val="24"/>
          <w:szCs w:val="24"/>
          <w:highlight w:val="none"/>
          <w:lang w:val="en-US" w:eastAsia="zh-CN" w:bidi="ar-SA"/>
        </w:rPr>
      </w:pPr>
      <w:r>
        <w:rPr>
          <w:rFonts w:hint="eastAsia" w:ascii="仿宋" w:hAnsi="仿宋" w:eastAsia="仿宋" w:cs="Times New Roman"/>
          <w:bCs w:val="0"/>
          <w:kern w:val="0"/>
          <w:sz w:val="24"/>
          <w:szCs w:val="24"/>
          <w:highlight w:val="none"/>
          <w:lang w:val="en-US" w:eastAsia="zh-CN" w:bidi="ar-SA"/>
        </w:rPr>
        <w:t>加注工装采用套式，内腔与工件尺寸一致，布有出脂孔；易于清理。</w:t>
      </w:r>
    </w:p>
    <w:p>
      <w:pPr>
        <w:pStyle w:val="172"/>
        <w:keepNext w:val="0"/>
        <w:keepLines w:val="0"/>
        <w:pageBreakBefore w:val="0"/>
        <w:widowControl w:val="0"/>
        <w:kinsoku/>
        <w:wordWrap/>
        <w:overflowPunct/>
        <w:topLinePunct w:val="0"/>
        <w:bidi w:val="0"/>
        <w:spacing w:line="360" w:lineRule="auto"/>
        <w:textAlignment w:val="auto"/>
        <w:rPr>
          <w:rFonts w:hint="default" w:ascii="仿宋" w:hAnsi="仿宋" w:eastAsia="仿宋" w:cs="Times New Roman"/>
          <w:bCs w:val="0"/>
          <w:kern w:val="0"/>
          <w:sz w:val="24"/>
          <w:szCs w:val="24"/>
          <w:highlight w:val="none"/>
          <w:lang w:val="en-US" w:eastAsia="zh-CN" w:bidi="ar-SA"/>
        </w:rPr>
      </w:pPr>
      <w:r>
        <w:rPr>
          <w:rFonts w:hint="eastAsia" w:ascii="仿宋" w:hAnsi="仿宋" w:eastAsia="仿宋" w:cs="Times New Roman"/>
          <w:bCs w:val="0"/>
          <w:kern w:val="0"/>
          <w:sz w:val="24"/>
          <w:szCs w:val="24"/>
          <w:highlight w:val="none"/>
          <w:lang w:val="en-US" w:eastAsia="zh-CN" w:bidi="ar-SA"/>
        </w:rPr>
        <w:t>每个设备配备加注工装1用2备，满足各型号产品的涂脂。</w:t>
      </w:r>
    </w:p>
    <w:p>
      <w:pPr>
        <w:pStyle w:val="172"/>
        <w:keepNext w:val="0"/>
        <w:keepLines w:val="0"/>
        <w:pageBreakBefore w:val="0"/>
        <w:widowControl w:val="0"/>
        <w:kinsoku/>
        <w:wordWrap/>
        <w:overflowPunct/>
        <w:topLinePunct w:val="0"/>
        <w:bidi w:val="0"/>
        <w:spacing w:line="360" w:lineRule="auto"/>
        <w:textAlignment w:val="auto"/>
        <w:rPr>
          <w:rFonts w:hint="default" w:ascii="仿宋" w:hAnsi="仿宋" w:eastAsia="仿宋" w:cs="Times New Roman"/>
          <w:bCs w:val="0"/>
          <w:kern w:val="0"/>
          <w:sz w:val="24"/>
          <w:szCs w:val="24"/>
          <w:highlight w:val="none"/>
          <w:lang w:val="en-US" w:eastAsia="zh-CN" w:bidi="ar-SA"/>
        </w:rPr>
      </w:pPr>
      <w:r>
        <w:rPr>
          <w:rFonts w:hint="eastAsia" w:ascii="仿宋" w:hAnsi="仿宋" w:eastAsia="仿宋" w:cs="Times New Roman"/>
          <w:bCs w:val="0"/>
          <w:kern w:val="0"/>
          <w:sz w:val="24"/>
          <w:szCs w:val="24"/>
          <w:highlight w:val="none"/>
          <w:lang w:val="en-US" w:eastAsia="zh-CN" w:bidi="ar-SA"/>
        </w:rPr>
        <w:t>每个设备配备1套拨叉轴、活塞拿取工具。</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保证注脂过程防护有效，确保零部件防尘和清洁度，不会对零部件产生磕碰。</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default" w:ascii="仿宋" w:hAnsi="仿宋" w:eastAsia="仿宋" w:cs="仿宋"/>
          <w:highlight w:val="none"/>
          <w:lang w:val="en-US" w:eastAsia="zh-CN"/>
        </w:rPr>
      </w:pPr>
      <w:r>
        <w:rPr>
          <w:rFonts w:hint="eastAsia" w:ascii="仿宋" w:hAnsi="仿宋" w:eastAsia="仿宋" w:cs="仿宋"/>
          <w:highlight w:val="none"/>
          <w:lang w:val="en-US" w:eastAsia="zh-CN"/>
        </w:rPr>
        <w:t>确保注脂完成后，工装与工件分离时不能有润滑脂附着到非涂抹面、污染现场等情况。</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配置工作台，工装整体结构简单，便于人工操作。</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3.6 其它要求</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3.6.1 注脂量校验、标定装置，共计配备3套，前桥产品、驱动器产品、主减速器产品各1套。</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default" w:ascii="仿宋" w:hAnsi="仿宋" w:eastAsia="仿宋" w:cs="仿宋"/>
          <w:highlight w:val="none"/>
          <w:lang w:val="en-US" w:eastAsia="zh-CN"/>
        </w:rPr>
      </w:pPr>
      <w:r>
        <w:rPr>
          <w:rFonts w:hint="eastAsia" w:ascii="仿宋" w:hAnsi="仿宋" w:eastAsia="仿宋" w:cs="仿宋"/>
          <w:highlight w:val="none"/>
          <w:lang w:val="en-US" w:eastAsia="zh-CN"/>
        </w:rPr>
        <w:t>3.6.2 投标方需自行对设备所需电源、气源以及走线桥架等进行安装。</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bookmarkStart w:id="356" w:name="_Toc7237"/>
      <w:bookmarkStart w:id="357" w:name="_Toc31161"/>
      <w:bookmarkStart w:id="358" w:name="_Toc31070"/>
      <w:bookmarkStart w:id="359" w:name="_Toc19257"/>
      <w:bookmarkStart w:id="360" w:name="_Toc12134"/>
      <w:bookmarkStart w:id="361" w:name="_Toc3790"/>
      <w:bookmarkStart w:id="362" w:name="_Toc16236"/>
      <w:bookmarkStart w:id="363" w:name="_Toc16054"/>
      <w:bookmarkStart w:id="364" w:name="_Toc11090"/>
      <w:bookmarkStart w:id="365" w:name="_Toc21816"/>
      <w:bookmarkStart w:id="366" w:name="_Toc31998"/>
      <w:bookmarkStart w:id="367" w:name="_Toc22251"/>
      <w:bookmarkStart w:id="368" w:name="_Toc21455"/>
      <w:bookmarkStart w:id="369" w:name="_Toc22966"/>
      <w:bookmarkStart w:id="370" w:name="_Toc20175"/>
      <w:bookmarkStart w:id="371" w:name="_Toc16004"/>
      <w:bookmarkStart w:id="372" w:name="_Toc31203"/>
      <w:bookmarkStart w:id="373" w:name="_Toc15804"/>
      <w:bookmarkStart w:id="374" w:name="_Toc5217"/>
      <w:r>
        <w:rPr>
          <w:rFonts w:hint="eastAsia" w:ascii="仿宋" w:hAnsi="仿宋" w:eastAsia="仿宋" w:cs="仿宋"/>
          <w:highlight w:val="none"/>
          <w:lang w:val="en-US" w:eastAsia="zh-CN"/>
        </w:rPr>
        <w:t>3.7投标货物设备要求</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3.7.1 设备规范</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设备设计合理，制造精良，性能稳定可靠，且使用维修方便，造型美观，设备的结构应保证有足够的静态、动态、热稳态刚度。</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3.7.2电气规范</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default" w:ascii="仿宋" w:hAnsi="仿宋" w:eastAsia="仿宋" w:cs="仿宋"/>
          <w:highlight w:val="none"/>
          <w:lang w:val="en-US" w:eastAsia="zh-CN"/>
        </w:rPr>
      </w:pPr>
      <w:r>
        <w:rPr>
          <w:rFonts w:hint="eastAsia" w:ascii="仿宋" w:hAnsi="仿宋" w:eastAsia="仿宋" w:cs="仿宋"/>
          <w:highlight w:val="none"/>
          <w:lang w:val="en-US" w:eastAsia="zh-CN"/>
        </w:rPr>
        <w:t>3.7.2.1电器柜标准配置采用全封闭式，电器柜加装工业空调，门框加装密封条，保证密封防尘，外形光洁美观；电器柜内的元件须布局合理，元件之间应保证有足够的空间以便于维修，装有维修用电源插座，元件的安装应整齐规范，号码清晰、耐油、不易脱落，电缆线在电气柜内应长短合适、布局美观；电器柜门下方辐射绝缘地垫。</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3.7.2.3电器元件全部采用取得国际电工认证标准的正规厂商产品，主要电器元件采用施耐德、西门子、巴鲁夫、TRUCK、IFM等世界著名品牌；</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3.7.2.4设备和PLC控制系统采用西门子、三菱等世界著名品牌，输入输出点各留20%备用点；主要低压元件采用著名公司产品；气动元件、光电开关、行程开关等均采用国内外知名产品；伺服电机、变频器选用西门子等世界著名品牌。</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3.7.2.5电气PLC控制器的电源前端加有隔离变压器和滤波器，防止电网的波动和噪声污染使PLC发生故障。同时通过程序实现完善的互锁保护和报警功能使系统的安全运行得以保证。</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3.7.3控制系统</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3.7.3.1控制系统具备简体中文显示的人机交互界面，应具备数据自动采集、监控并显示、数据存储、历史数据查询、生产线（设备）运行状况及生产活动信息数据等功能。生产线（设备）运行状况及生产活动信息数据不限于以下信息：生产状态统计、产品质量监控与统计、设备运行管控、程序管理等。</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3.7.3.2投标方免费提供数据交互功能，交互数据包括但不限于实时数据、历史数据、报警信息等。</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仿宋" w:hAnsi="仿宋" w:eastAsia="仿宋" w:cs="仿宋"/>
          <w:kern w:val="0"/>
          <w:sz w:val="24"/>
          <w:szCs w:val="24"/>
          <w:highlight w:val="none"/>
          <w:lang w:val="en-US" w:eastAsia="zh-CN" w:bidi="ar-SA"/>
        </w:rPr>
      </w:pPr>
      <w:r>
        <w:rPr>
          <w:rFonts w:hint="eastAsia" w:ascii="仿宋" w:hAnsi="仿宋" w:eastAsia="仿宋" w:cs="仿宋"/>
          <w:highlight w:val="none"/>
          <w:lang w:val="en-US" w:eastAsia="zh-CN"/>
        </w:rPr>
        <w:t>3.7.3.3控制系统须具有相应的以太网、总线等通讯接口，且免费开放所有通讯接口，提供系统涉及所有通信协议，包括但不限于以太网、RS232、RS485、</w:t>
      </w:r>
      <w:r>
        <w:rPr>
          <w:rFonts w:hint="eastAsia" w:ascii="仿宋" w:hAnsi="仿宋" w:eastAsia="仿宋" w:cs="仿宋"/>
          <w:kern w:val="0"/>
          <w:sz w:val="24"/>
          <w:szCs w:val="24"/>
          <w:highlight w:val="none"/>
          <w:lang w:val="en-US" w:eastAsia="zh-CN" w:bidi="ar-SA"/>
        </w:rPr>
        <w:t>PROFIBUS、PROFINET、MODBUS 等常见接口，以及设备特有的专用接口</w:t>
      </w:r>
      <w:r>
        <w:rPr>
          <w:rFonts w:hint="eastAsia" w:ascii="仿宋" w:hAnsi="仿宋" w:eastAsia="仿宋" w:cs="仿宋"/>
          <w:highlight w:val="none"/>
          <w:lang w:eastAsia="zh-CN"/>
        </w:rPr>
        <w:t>。</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w:t>
      </w:r>
      <w:r>
        <w:rPr>
          <w:rFonts w:hint="eastAsia" w:ascii="仿宋" w:hAnsi="仿宋" w:eastAsia="仿宋" w:cs="仿宋"/>
          <w:highlight w:val="none"/>
          <w:lang w:val="en-US" w:eastAsia="zh-CN"/>
        </w:rPr>
        <w:t>7.3</w:t>
      </w:r>
      <w:r>
        <w:rPr>
          <w:rFonts w:ascii="仿宋" w:hAnsi="仿宋" w:eastAsia="仿宋" w:cs="仿宋"/>
          <w:highlight w:val="none"/>
        </w:rPr>
        <w:t>.</w:t>
      </w:r>
      <w:r>
        <w:rPr>
          <w:rFonts w:hint="eastAsia" w:ascii="仿宋" w:hAnsi="仿宋" w:eastAsia="仿宋" w:cs="仿宋"/>
          <w:highlight w:val="none"/>
          <w:lang w:val="en-US" w:eastAsia="zh-CN"/>
        </w:rPr>
        <w:t>4</w:t>
      </w:r>
      <w:r>
        <w:rPr>
          <w:rFonts w:hint="eastAsia" w:ascii="仿宋" w:hAnsi="仿宋" w:eastAsia="仿宋" w:cs="仿宋"/>
          <w:highlight w:val="none"/>
        </w:rPr>
        <w:t>控制系统具备自动、调试、手动功能模式。</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w:t>
      </w:r>
      <w:r>
        <w:rPr>
          <w:rFonts w:hint="eastAsia" w:ascii="仿宋" w:hAnsi="仿宋" w:eastAsia="仿宋" w:cs="仿宋"/>
          <w:highlight w:val="none"/>
          <w:lang w:val="en-US" w:eastAsia="zh-CN"/>
        </w:rPr>
        <w:t>7.3</w:t>
      </w:r>
      <w:r>
        <w:rPr>
          <w:rFonts w:ascii="仿宋" w:hAnsi="仿宋" w:eastAsia="仿宋" w:cs="仿宋"/>
          <w:highlight w:val="none"/>
        </w:rPr>
        <w:t>.</w:t>
      </w:r>
      <w:r>
        <w:rPr>
          <w:rFonts w:hint="eastAsia" w:ascii="仿宋" w:hAnsi="仿宋" w:eastAsia="仿宋" w:cs="仿宋"/>
          <w:highlight w:val="none"/>
          <w:lang w:val="en-US" w:eastAsia="zh-CN"/>
        </w:rPr>
        <w:t>5投标方</w:t>
      </w:r>
      <w:r>
        <w:rPr>
          <w:rFonts w:ascii="仿宋" w:hAnsi="仿宋" w:eastAsia="仿宋" w:cs="仿宋"/>
          <w:highlight w:val="none"/>
          <w:lang w:val="en-US" w:eastAsia="zh-CN"/>
        </w:rPr>
        <w:t>必须提供所有设备程序的源代码，包括但不限于 PLC</w:t>
      </w:r>
      <w:r>
        <w:rPr>
          <w:rFonts w:hint="eastAsia" w:ascii="仿宋" w:hAnsi="仿宋" w:eastAsia="仿宋" w:cs="仿宋"/>
          <w:highlight w:val="none"/>
          <w:lang w:val="en-US" w:eastAsia="zh-CN"/>
        </w:rPr>
        <w:t>程序、HMI 程序、机器人程序、视觉程序、伺服等。</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w:t>
      </w:r>
      <w:r>
        <w:rPr>
          <w:rFonts w:hint="eastAsia" w:ascii="仿宋" w:hAnsi="仿宋" w:eastAsia="仿宋" w:cs="仿宋"/>
          <w:highlight w:val="none"/>
          <w:lang w:val="en-US" w:eastAsia="zh-CN"/>
        </w:rPr>
        <w:t>7.3</w:t>
      </w:r>
      <w:r>
        <w:rPr>
          <w:rFonts w:ascii="仿宋" w:hAnsi="仿宋" w:eastAsia="仿宋" w:cs="仿宋"/>
          <w:highlight w:val="none"/>
        </w:rPr>
        <w:t>.</w:t>
      </w:r>
      <w:r>
        <w:rPr>
          <w:rFonts w:hint="eastAsia" w:ascii="仿宋" w:hAnsi="仿宋" w:eastAsia="仿宋" w:cs="仿宋"/>
          <w:highlight w:val="none"/>
          <w:lang w:val="en-US" w:eastAsia="zh-CN"/>
        </w:rPr>
        <w:t>6</w:t>
      </w:r>
      <w:r>
        <w:rPr>
          <w:rFonts w:ascii="仿宋" w:hAnsi="仿宋" w:eastAsia="仿宋" w:cs="仿宋"/>
          <w:highlight w:val="none"/>
          <w:lang w:val="en-US" w:eastAsia="zh-CN"/>
        </w:rPr>
        <w:t xml:space="preserve"> </w:t>
      </w:r>
      <w:r>
        <w:rPr>
          <w:rFonts w:hint="eastAsia" w:ascii="仿宋" w:hAnsi="仿宋" w:eastAsia="仿宋" w:cs="仿宋"/>
          <w:highlight w:val="none"/>
          <w:lang w:val="en-US" w:eastAsia="zh-CN"/>
        </w:rPr>
        <w:t>投标方</w:t>
      </w:r>
      <w:r>
        <w:rPr>
          <w:rFonts w:ascii="仿宋" w:hAnsi="仿宋" w:eastAsia="仿宋" w:cs="仿宋"/>
          <w:highlight w:val="none"/>
          <w:lang w:val="en-US" w:eastAsia="zh-CN"/>
        </w:rPr>
        <w:t>所提供的程序不得设置任何密码、保护等限制手段，</w:t>
      </w:r>
      <w:r>
        <w:rPr>
          <w:rFonts w:hint="eastAsia" w:ascii="仿宋" w:hAnsi="仿宋" w:eastAsia="仿宋" w:cs="仿宋"/>
          <w:highlight w:val="none"/>
          <w:lang w:val="en-US" w:eastAsia="zh-CN"/>
        </w:rPr>
        <w:t>PLC 不得设置修改下载权限，功能块不得设置密码保护。HMI界面等需要密码保护的程序，投标方必须提供所有级别的用户名、密码。</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w:t>
      </w:r>
      <w:r>
        <w:rPr>
          <w:rFonts w:hint="eastAsia" w:ascii="仿宋" w:hAnsi="仿宋" w:eastAsia="仿宋" w:cs="仿宋"/>
          <w:highlight w:val="none"/>
          <w:lang w:val="en-US" w:eastAsia="zh-CN"/>
        </w:rPr>
        <w:t>7.3</w:t>
      </w:r>
      <w:r>
        <w:rPr>
          <w:rFonts w:ascii="仿宋" w:hAnsi="仿宋" w:eastAsia="仿宋" w:cs="仿宋"/>
          <w:highlight w:val="none"/>
        </w:rPr>
        <w:t>.</w:t>
      </w:r>
      <w:r>
        <w:rPr>
          <w:rFonts w:hint="eastAsia" w:ascii="仿宋" w:hAnsi="仿宋" w:eastAsia="仿宋" w:cs="仿宋"/>
          <w:highlight w:val="none"/>
          <w:lang w:val="en-US" w:eastAsia="zh-CN"/>
        </w:rPr>
        <w:t>7 投标方需在设备入场前提供设备程序源码，HMI 界面各级用户名和密码，并保证与现场程序一致。</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w:t>
      </w:r>
      <w:r>
        <w:rPr>
          <w:rFonts w:hint="eastAsia" w:ascii="仿宋" w:hAnsi="仿宋" w:eastAsia="仿宋" w:cs="仿宋"/>
          <w:highlight w:val="none"/>
          <w:lang w:val="en-US" w:eastAsia="zh-CN"/>
        </w:rPr>
        <w:t>7.3</w:t>
      </w:r>
      <w:r>
        <w:rPr>
          <w:rFonts w:ascii="仿宋" w:hAnsi="仿宋" w:eastAsia="仿宋" w:cs="仿宋"/>
          <w:highlight w:val="none"/>
        </w:rPr>
        <w:t>.</w:t>
      </w:r>
      <w:r>
        <w:rPr>
          <w:rFonts w:hint="eastAsia" w:ascii="仿宋" w:hAnsi="仿宋" w:eastAsia="仿宋" w:cs="仿宋"/>
          <w:highlight w:val="none"/>
          <w:lang w:val="en-US" w:eastAsia="zh-CN"/>
        </w:rPr>
        <w:t>8 投标方需在终验收前提供最新的设备程序源码和电气图纸，图纸要求为可编辑原格式（EPLAN、CAD 格式）且与实际接线一致。</w:t>
      </w:r>
    </w:p>
    <w:p>
      <w:pPr>
        <w:pStyle w:val="26"/>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w:t>
      </w:r>
      <w:r>
        <w:rPr>
          <w:rFonts w:hint="eastAsia" w:ascii="仿宋" w:hAnsi="仿宋" w:eastAsia="仿宋" w:cs="仿宋"/>
          <w:highlight w:val="none"/>
          <w:lang w:val="en-US" w:eastAsia="zh-CN"/>
        </w:rPr>
        <w:t>7.3</w:t>
      </w:r>
      <w:r>
        <w:rPr>
          <w:rFonts w:ascii="仿宋" w:hAnsi="仿宋" w:eastAsia="仿宋" w:cs="仿宋"/>
          <w:highlight w:val="none"/>
        </w:rPr>
        <w:t>.</w:t>
      </w:r>
      <w:r>
        <w:rPr>
          <w:rFonts w:hint="eastAsia" w:ascii="仿宋" w:hAnsi="仿宋" w:eastAsia="仿宋" w:cs="仿宋"/>
          <w:highlight w:val="none"/>
          <w:lang w:val="en-US" w:eastAsia="zh-CN"/>
        </w:rPr>
        <w:t>9</w:t>
      </w:r>
      <w:r>
        <w:rPr>
          <w:rFonts w:hint="eastAsia" w:ascii="仿宋" w:hAnsi="仿宋" w:eastAsia="仿宋" w:cs="仿宋"/>
          <w:highlight w:val="none"/>
        </w:rPr>
        <w:t>投标方提供系统恢复盘（备份），在系统出现故障需要重装系统时，保证招标方自主重装系统后，控制系统能后恢复到投标方调试完成最终交付时的状态。</w:t>
      </w:r>
    </w:p>
    <w:p>
      <w:pPr>
        <w:pStyle w:val="26"/>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w:t>
      </w:r>
      <w:r>
        <w:rPr>
          <w:rFonts w:hint="eastAsia" w:ascii="仿宋" w:hAnsi="仿宋" w:eastAsia="仿宋" w:cs="仿宋"/>
          <w:highlight w:val="none"/>
          <w:lang w:val="en-US" w:eastAsia="zh-CN"/>
        </w:rPr>
        <w:t>7.3</w:t>
      </w:r>
      <w:r>
        <w:rPr>
          <w:rFonts w:ascii="仿宋" w:hAnsi="仿宋" w:eastAsia="仿宋" w:cs="仿宋"/>
          <w:highlight w:val="none"/>
        </w:rPr>
        <w:t>.</w:t>
      </w:r>
      <w:r>
        <w:rPr>
          <w:rFonts w:hint="eastAsia" w:ascii="仿宋" w:hAnsi="仿宋" w:eastAsia="仿宋" w:cs="仿宋"/>
          <w:highlight w:val="none"/>
          <w:lang w:val="en-US" w:eastAsia="zh-CN"/>
        </w:rPr>
        <w:t>10项目若包含在线监控或 MES 系统，所属 MES 系统均应将所提取数据传输至重汽 IOT 平台,并由I0T 平台再传输至厂家 MES系统内。</w:t>
      </w:r>
    </w:p>
    <w:p>
      <w:pPr>
        <w:pStyle w:val="26"/>
        <w:snapToGrid w:val="0"/>
        <w:spacing w:line="360" w:lineRule="auto"/>
        <w:ind w:firstLine="420" w:firstLineChars="200"/>
        <w:rPr>
          <w:rFonts w:ascii="仿宋" w:hAnsi="仿宋" w:eastAsia="仿宋" w:cs="仿宋"/>
          <w:highlight w:val="none"/>
        </w:rPr>
      </w:pPr>
      <w:bookmarkStart w:id="375" w:name="_Toc13942"/>
      <w:bookmarkStart w:id="376" w:name="_Toc16996"/>
      <w:bookmarkStart w:id="377" w:name="_Toc6136"/>
      <w:bookmarkStart w:id="378" w:name="_Toc20368"/>
      <w:bookmarkStart w:id="379" w:name="_Toc15181"/>
      <w:bookmarkStart w:id="380" w:name="_Toc20611"/>
      <w:bookmarkStart w:id="381" w:name="_Toc2985"/>
      <w:bookmarkStart w:id="382" w:name="_Toc24889"/>
      <w:bookmarkStart w:id="383" w:name="_Toc32598"/>
      <w:bookmarkStart w:id="384" w:name="_Toc6345"/>
      <w:bookmarkStart w:id="385" w:name="_Toc11183"/>
      <w:r>
        <w:rPr>
          <w:rFonts w:hint="eastAsia" w:ascii="仿宋" w:hAnsi="仿宋" w:eastAsia="仿宋" w:cs="仿宋"/>
          <w:highlight w:val="none"/>
        </w:rPr>
        <w:t>3.</w:t>
      </w:r>
      <w:bookmarkEnd w:id="375"/>
      <w:bookmarkEnd w:id="376"/>
      <w:bookmarkEnd w:id="377"/>
      <w:bookmarkEnd w:id="378"/>
      <w:bookmarkEnd w:id="379"/>
      <w:bookmarkEnd w:id="380"/>
      <w:bookmarkEnd w:id="381"/>
      <w:bookmarkEnd w:id="382"/>
      <w:bookmarkEnd w:id="383"/>
      <w:bookmarkEnd w:id="384"/>
      <w:bookmarkEnd w:id="385"/>
      <w:r>
        <w:rPr>
          <w:rFonts w:hint="eastAsia" w:ascii="仿宋" w:hAnsi="仿宋" w:eastAsia="仿宋" w:cs="仿宋"/>
          <w:highlight w:val="none"/>
          <w:lang w:val="en-US" w:eastAsia="zh-CN"/>
        </w:rPr>
        <w:t>8</w:t>
      </w:r>
      <w:r>
        <w:rPr>
          <w:rFonts w:hint="eastAsia" w:ascii="仿宋" w:hAnsi="仿宋" w:eastAsia="仿宋" w:cs="仿宋"/>
          <w:highlight w:val="none"/>
        </w:rPr>
        <w:t>本项目</w:t>
      </w:r>
      <w:r>
        <w:rPr>
          <w:rFonts w:hint="eastAsia" w:ascii="仿宋" w:hAnsi="仿宋" w:eastAsia="仿宋" w:cs="仿宋"/>
          <w:highlight w:val="none"/>
          <w:lang w:val="en-US" w:eastAsia="zh-CN"/>
        </w:rPr>
        <w:t>供货主要元器件</w:t>
      </w:r>
      <w:r>
        <w:rPr>
          <w:rFonts w:hint="eastAsia" w:ascii="仿宋" w:hAnsi="仿宋" w:eastAsia="仿宋" w:cs="仿宋"/>
          <w:highlight w:val="none"/>
        </w:rPr>
        <w:t>清单</w:t>
      </w:r>
    </w:p>
    <w:tbl>
      <w:tblPr>
        <w:tblStyle w:val="42"/>
        <w:tblW w:w="8390" w:type="dxa"/>
        <w:jc w:val="center"/>
        <w:tblLayout w:type="fixed"/>
        <w:tblCellMar>
          <w:top w:w="0" w:type="dxa"/>
          <w:left w:w="108" w:type="dxa"/>
          <w:bottom w:w="0" w:type="dxa"/>
          <w:right w:w="108" w:type="dxa"/>
        </w:tblCellMar>
      </w:tblPr>
      <w:tblGrid>
        <w:gridCol w:w="708"/>
        <w:gridCol w:w="2486"/>
        <w:gridCol w:w="3709"/>
        <w:gridCol w:w="1487"/>
      </w:tblGrid>
      <w:tr>
        <w:tblPrEx>
          <w:tblCellMar>
            <w:top w:w="0" w:type="dxa"/>
            <w:left w:w="108" w:type="dxa"/>
            <w:bottom w:w="0" w:type="dxa"/>
            <w:right w:w="108" w:type="dxa"/>
          </w:tblCellMar>
        </w:tblPrEx>
        <w:trPr>
          <w:trHeight w:val="270" w:hRule="atLeast"/>
          <w:jc w:val="center"/>
        </w:trPr>
        <w:tc>
          <w:tcPr>
            <w:tcW w:w="8390" w:type="dxa"/>
            <w:gridSpan w:val="4"/>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主要外购件品牌一览表</w:t>
            </w:r>
          </w:p>
        </w:tc>
      </w:tr>
      <w:tr>
        <w:tblPrEx>
          <w:tblCellMar>
            <w:top w:w="0" w:type="dxa"/>
            <w:left w:w="108" w:type="dxa"/>
            <w:bottom w:w="0" w:type="dxa"/>
            <w:right w:w="108" w:type="dxa"/>
          </w:tblCellMar>
        </w:tblPrEx>
        <w:trPr>
          <w:trHeight w:val="270" w:hRule="atLeast"/>
          <w:jc w:val="center"/>
        </w:trPr>
        <w:tc>
          <w:tcPr>
            <w:tcW w:w="708" w:type="dxa"/>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序号</w:t>
            </w:r>
          </w:p>
        </w:tc>
        <w:tc>
          <w:tcPr>
            <w:tcW w:w="2486"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名称</w:t>
            </w:r>
          </w:p>
        </w:tc>
        <w:tc>
          <w:tcPr>
            <w:tcW w:w="3709"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品牌</w:t>
            </w:r>
          </w:p>
        </w:tc>
        <w:tc>
          <w:tcPr>
            <w:tcW w:w="1487" w:type="dxa"/>
            <w:tcBorders>
              <w:top w:val="nil"/>
              <w:left w:val="nil"/>
              <w:bottom w:val="single" w:color="auto" w:sz="4" w:space="0"/>
              <w:right w:val="single" w:color="auto" w:sz="4" w:space="0"/>
            </w:tcBorders>
            <w:shd w:val="clear" w:color="auto" w:fill="auto"/>
            <w:noWrap/>
            <w:vAlign w:val="bottom"/>
          </w:tcPr>
          <w:p>
            <w:pPr>
              <w:widowControl/>
              <w:jc w:val="center"/>
              <w:rPr>
                <w:rFonts w:hint="eastAsia" w:ascii="仿宋" w:hAnsi="仿宋" w:eastAsia="仿宋" w:cs="仿宋"/>
                <w:color w:val="000000"/>
                <w:kern w:val="0"/>
                <w:sz w:val="21"/>
                <w:szCs w:val="21"/>
                <w:highlight w:val="none"/>
                <w:lang w:eastAsia="zh-CN"/>
              </w:rPr>
            </w:pPr>
            <w:r>
              <w:rPr>
                <w:rFonts w:hint="eastAsia" w:ascii="仿宋" w:hAnsi="仿宋" w:eastAsia="仿宋" w:cs="仿宋"/>
                <w:sz w:val="21"/>
                <w:szCs w:val="21"/>
                <w:highlight w:val="none"/>
                <w:lang w:val="en-US" w:eastAsia="zh-CN"/>
              </w:rPr>
              <w:t>可验证阶段</w:t>
            </w:r>
          </w:p>
        </w:tc>
      </w:tr>
      <w:tr>
        <w:tblPrEx>
          <w:tblCellMar>
            <w:top w:w="0" w:type="dxa"/>
            <w:left w:w="108" w:type="dxa"/>
            <w:bottom w:w="0" w:type="dxa"/>
            <w:right w:w="108" w:type="dxa"/>
          </w:tblCellMar>
        </w:tblPrEx>
        <w:trPr>
          <w:trHeight w:val="270" w:hRule="atLeast"/>
          <w:jc w:val="center"/>
        </w:trPr>
        <w:tc>
          <w:tcPr>
            <w:tcW w:w="708" w:type="dxa"/>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hint="eastAsia" w:ascii="仿宋" w:hAnsi="仿宋" w:eastAsia="仿宋" w:cs="仿宋"/>
                <w:color w:val="000000"/>
                <w:kern w:val="0"/>
                <w:sz w:val="21"/>
                <w:szCs w:val="21"/>
                <w:highlight w:val="none"/>
              </w:rPr>
            </w:pPr>
          </w:p>
        </w:tc>
        <w:tc>
          <w:tcPr>
            <w:tcW w:w="2486" w:type="dxa"/>
            <w:tcBorders>
              <w:top w:val="nil"/>
              <w:left w:val="nil"/>
              <w:bottom w:val="single" w:color="auto" w:sz="4" w:space="0"/>
              <w:right w:val="single" w:color="auto" w:sz="4" w:space="0"/>
            </w:tcBorders>
            <w:shd w:val="clear" w:color="auto" w:fill="auto"/>
            <w:noWrap/>
            <w:vAlign w:val="bottom"/>
          </w:tcPr>
          <w:p>
            <w:pPr>
              <w:widowControl/>
              <w:jc w:val="left"/>
              <w:rPr>
                <w:rFonts w:hint="eastAsia" w:ascii="仿宋" w:hAnsi="仿宋" w:eastAsia="仿宋" w:cs="仿宋"/>
                <w:color w:val="000000"/>
                <w:kern w:val="0"/>
                <w:sz w:val="21"/>
                <w:szCs w:val="21"/>
                <w:highlight w:val="none"/>
              </w:rPr>
            </w:pPr>
          </w:p>
        </w:tc>
        <w:tc>
          <w:tcPr>
            <w:tcW w:w="3709" w:type="dxa"/>
            <w:tcBorders>
              <w:top w:val="nil"/>
              <w:left w:val="nil"/>
              <w:bottom w:val="single" w:color="auto" w:sz="4" w:space="0"/>
              <w:right w:val="single" w:color="auto" w:sz="4" w:space="0"/>
            </w:tcBorders>
            <w:shd w:val="clear" w:color="auto" w:fill="auto"/>
            <w:noWrap/>
            <w:vAlign w:val="bottom"/>
          </w:tcPr>
          <w:p>
            <w:pPr>
              <w:widowControl/>
              <w:jc w:val="left"/>
              <w:rPr>
                <w:rFonts w:hint="default" w:ascii="仿宋" w:hAnsi="仿宋" w:eastAsia="仿宋" w:cs="仿宋"/>
                <w:color w:val="000000"/>
                <w:kern w:val="0"/>
                <w:sz w:val="21"/>
                <w:szCs w:val="21"/>
                <w:highlight w:val="none"/>
                <w:lang w:val="en-US"/>
              </w:rPr>
            </w:pPr>
          </w:p>
        </w:tc>
        <w:tc>
          <w:tcPr>
            <w:tcW w:w="1487" w:type="dxa"/>
            <w:tcBorders>
              <w:top w:val="nil"/>
              <w:left w:val="nil"/>
              <w:bottom w:val="single" w:color="auto" w:sz="4" w:space="0"/>
              <w:right w:val="single" w:color="auto" w:sz="4" w:space="0"/>
            </w:tcBorders>
            <w:shd w:val="clear" w:color="auto" w:fill="auto"/>
            <w:noWrap/>
            <w:vAlign w:val="bottom"/>
          </w:tcPr>
          <w:p>
            <w:pPr>
              <w:widowControl/>
              <w:jc w:val="left"/>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　</w:t>
            </w:r>
          </w:p>
        </w:tc>
      </w:tr>
      <w:tr>
        <w:tblPrEx>
          <w:tblCellMar>
            <w:top w:w="0" w:type="dxa"/>
            <w:left w:w="108" w:type="dxa"/>
            <w:bottom w:w="0" w:type="dxa"/>
            <w:right w:w="108" w:type="dxa"/>
          </w:tblCellMar>
        </w:tblPrEx>
        <w:trPr>
          <w:trHeight w:val="270" w:hRule="atLeast"/>
          <w:jc w:val="center"/>
        </w:trPr>
        <w:tc>
          <w:tcPr>
            <w:tcW w:w="708" w:type="dxa"/>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hint="eastAsia" w:ascii="仿宋" w:hAnsi="仿宋" w:eastAsia="仿宋" w:cs="仿宋"/>
                <w:color w:val="000000"/>
                <w:kern w:val="0"/>
                <w:sz w:val="21"/>
                <w:szCs w:val="21"/>
                <w:highlight w:val="none"/>
              </w:rPr>
            </w:pPr>
          </w:p>
        </w:tc>
        <w:tc>
          <w:tcPr>
            <w:tcW w:w="2486" w:type="dxa"/>
            <w:tcBorders>
              <w:top w:val="nil"/>
              <w:left w:val="nil"/>
              <w:bottom w:val="single" w:color="auto" w:sz="4" w:space="0"/>
              <w:right w:val="single" w:color="auto" w:sz="4" w:space="0"/>
            </w:tcBorders>
            <w:shd w:val="clear" w:color="auto" w:fill="auto"/>
            <w:noWrap/>
            <w:vAlign w:val="bottom"/>
          </w:tcPr>
          <w:p>
            <w:pPr>
              <w:widowControl/>
              <w:jc w:val="left"/>
              <w:rPr>
                <w:rFonts w:hint="eastAsia" w:ascii="仿宋" w:hAnsi="仿宋" w:eastAsia="仿宋" w:cs="仿宋"/>
                <w:color w:val="000000"/>
                <w:kern w:val="0"/>
                <w:sz w:val="21"/>
                <w:szCs w:val="21"/>
                <w:highlight w:val="none"/>
              </w:rPr>
            </w:pPr>
          </w:p>
        </w:tc>
        <w:tc>
          <w:tcPr>
            <w:tcW w:w="3709" w:type="dxa"/>
            <w:tcBorders>
              <w:top w:val="nil"/>
              <w:left w:val="nil"/>
              <w:bottom w:val="single" w:color="auto" w:sz="4" w:space="0"/>
              <w:right w:val="single" w:color="auto" w:sz="4" w:space="0"/>
            </w:tcBorders>
            <w:shd w:val="clear" w:color="auto" w:fill="auto"/>
            <w:noWrap/>
            <w:vAlign w:val="bottom"/>
          </w:tcPr>
          <w:p>
            <w:pPr>
              <w:widowControl/>
              <w:jc w:val="left"/>
              <w:rPr>
                <w:rFonts w:hint="eastAsia" w:ascii="仿宋" w:hAnsi="仿宋" w:eastAsia="仿宋" w:cs="仿宋"/>
                <w:color w:val="000000"/>
                <w:kern w:val="0"/>
                <w:sz w:val="21"/>
                <w:szCs w:val="21"/>
                <w:highlight w:val="none"/>
              </w:rPr>
            </w:pPr>
          </w:p>
        </w:tc>
        <w:tc>
          <w:tcPr>
            <w:tcW w:w="1487" w:type="dxa"/>
            <w:tcBorders>
              <w:top w:val="nil"/>
              <w:left w:val="nil"/>
              <w:bottom w:val="single" w:color="auto" w:sz="4" w:space="0"/>
              <w:right w:val="single" w:color="auto" w:sz="4" w:space="0"/>
            </w:tcBorders>
            <w:shd w:val="clear" w:color="auto" w:fill="auto"/>
            <w:noWrap/>
            <w:vAlign w:val="bottom"/>
          </w:tcPr>
          <w:p>
            <w:pPr>
              <w:widowControl/>
              <w:jc w:val="left"/>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　</w:t>
            </w:r>
          </w:p>
        </w:tc>
      </w:tr>
      <w:tr>
        <w:tblPrEx>
          <w:tblCellMar>
            <w:top w:w="0" w:type="dxa"/>
            <w:left w:w="108" w:type="dxa"/>
            <w:bottom w:w="0" w:type="dxa"/>
            <w:right w:w="108" w:type="dxa"/>
          </w:tblCellMar>
        </w:tblPrEx>
        <w:trPr>
          <w:trHeight w:val="270" w:hRule="atLeast"/>
          <w:jc w:val="center"/>
        </w:trPr>
        <w:tc>
          <w:tcPr>
            <w:tcW w:w="708" w:type="dxa"/>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hint="eastAsia" w:ascii="仿宋" w:hAnsi="仿宋" w:eastAsia="仿宋" w:cs="仿宋"/>
                <w:color w:val="000000"/>
                <w:kern w:val="0"/>
                <w:sz w:val="21"/>
                <w:szCs w:val="21"/>
                <w:highlight w:val="none"/>
              </w:rPr>
            </w:pPr>
          </w:p>
        </w:tc>
        <w:tc>
          <w:tcPr>
            <w:tcW w:w="2486" w:type="dxa"/>
            <w:tcBorders>
              <w:top w:val="nil"/>
              <w:left w:val="nil"/>
              <w:bottom w:val="single" w:color="auto" w:sz="4" w:space="0"/>
              <w:right w:val="single" w:color="auto" w:sz="4" w:space="0"/>
            </w:tcBorders>
            <w:shd w:val="clear" w:color="auto" w:fill="auto"/>
            <w:noWrap/>
            <w:vAlign w:val="bottom"/>
          </w:tcPr>
          <w:p>
            <w:pPr>
              <w:widowControl/>
              <w:jc w:val="left"/>
              <w:rPr>
                <w:rFonts w:hint="eastAsia" w:ascii="仿宋" w:hAnsi="仿宋" w:eastAsia="仿宋" w:cs="仿宋"/>
                <w:color w:val="000000"/>
                <w:kern w:val="0"/>
                <w:sz w:val="21"/>
                <w:szCs w:val="21"/>
                <w:highlight w:val="none"/>
              </w:rPr>
            </w:pPr>
          </w:p>
        </w:tc>
        <w:tc>
          <w:tcPr>
            <w:tcW w:w="3709" w:type="dxa"/>
            <w:tcBorders>
              <w:top w:val="nil"/>
              <w:left w:val="nil"/>
              <w:bottom w:val="single" w:color="auto" w:sz="4" w:space="0"/>
              <w:right w:val="single" w:color="auto" w:sz="4" w:space="0"/>
            </w:tcBorders>
            <w:shd w:val="clear" w:color="auto" w:fill="auto"/>
            <w:noWrap/>
            <w:vAlign w:val="bottom"/>
          </w:tcPr>
          <w:p>
            <w:pPr>
              <w:widowControl/>
              <w:jc w:val="left"/>
              <w:rPr>
                <w:rFonts w:hint="eastAsia" w:ascii="仿宋" w:hAnsi="仿宋" w:eastAsia="仿宋" w:cs="仿宋"/>
                <w:color w:val="000000"/>
                <w:kern w:val="0"/>
                <w:sz w:val="21"/>
                <w:szCs w:val="21"/>
                <w:highlight w:val="none"/>
              </w:rPr>
            </w:pPr>
          </w:p>
        </w:tc>
        <w:tc>
          <w:tcPr>
            <w:tcW w:w="1487" w:type="dxa"/>
            <w:tcBorders>
              <w:top w:val="nil"/>
              <w:left w:val="nil"/>
              <w:bottom w:val="single" w:color="auto" w:sz="4" w:space="0"/>
              <w:right w:val="single" w:color="auto" w:sz="4" w:space="0"/>
            </w:tcBorders>
            <w:shd w:val="clear" w:color="auto" w:fill="auto"/>
            <w:noWrap/>
            <w:vAlign w:val="bottom"/>
          </w:tcPr>
          <w:p>
            <w:pPr>
              <w:widowControl/>
              <w:jc w:val="left"/>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　</w:t>
            </w:r>
          </w:p>
        </w:tc>
      </w:tr>
      <w:tr>
        <w:tblPrEx>
          <w:tblCellMar>
            <w:top w:w="0" w:type="dxa"/>
            <w:left w:w="108" w:type="dxa"/>
            <w:bottom w:w="0" w:type="dxa"/>
            <w:right w:w="108" w:type="dxa"/>
          </w:tblCellMar>
        </w:tblPrEx>
        <w:trPr>
          <w:trHeight w:val="270" w:hRule="atLeast"/>
          <w:jc w:val="center"/>
        </w:trPr>
        <w:tc>
          <w:tcPr>
            <w:tcW w:w="708" w:type="dxa"/>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hint="eastAsia" w:ascii="仿宋" w:hAnsi="仿宋" w:eastAsia="仿宋" w:cs="仿宋"/>
                <w:color w:val="000000"/>
                <w:kern w:val="0"/>
                <w:sz w:val="21"/>
                <w:szCs w:val="21"/>
                <w:highlight w:val="none"/>
              </w:rPr>
            </w:pPr>
          </w:p>
        </w:tc>
        <w:tc>
          <w:tcPr>
            <w:tcW w:w="2486" w:type="dxa"/>
            <w:tcBorders>
              <w:top w:val="nil"/>
              <w:left w:val="nil"/>
              <w:bottom w:val="single" w:color="auto" w:sz="4" w:space="0"/>
              <w:right w:val="single" w:color="auto" w:sz="4" w:space="0"/>
            </w:tcBorders>
            <w:shd w:val="clear" w:color="auto" w:fill="auto"/>
            <w:noWrap/>
            <w:vAlign w:val="bottom"/>
          </w:tcPr>
          <w:p>
            <w:pPr>
              <w:widowControl/>
              <w:jc w:val="left"/>
              <w:rPr>
                <w:rFonts w:hint="eastAsia" w:ascii="仿宋" w:hAnsi="仿宋" w:eastAsia="仿宋" w:cs="仿宋"/>
                <w:color w:val="000000"/>
                <w:kern w:val="0"/>
                <w:sz w:val="21"/>
                <w:szCs w:val="21"/>
                <w:highlight w:val="none"/>
              </w:rPr>
            </w:pPr>
          </w:p>
        </w:tc>
        <w:tc>
          <w:tcPr>
            <w:tcW w:w="3709" w:type="dxa"/>
            <w:tcBorders>
              <w:top w:val="nil"/>
              <w:left w:val="nil"/>
              <w:bottom w:val="single" w:color="auto" w:sz="4" w:space="0"/>
              <w:right w:val="single" w:color="auto" w:sz="4" w:space="0"/>
            </w:tcBorders>
            <w:shd w:val="clear" w:color="auto" w:fill="auto"/>
            <w:noWrap/>
            <w:vAlign w:val="bottom"/>
          </w:tcPr>
          <w:p>
            <w:pPr>
              <w:widowControl/>
              <w:jc w:val="left"/>
              <w:rPr>
                <w:rFonts w:hint="eastAsia" w:ascii="仿宋" w:hAnsi="仿宋" w:eastAsia="仿宋" w:cs="仿宋"/>
                <w:color w:val="000000"/>
                <w:kern w:val="0"/>
                <w:sz w:val="21"/>
                <w:szCs w:val="21"/>
                <w:highlight w:val="none"/>
                <w:lang w:val="en-US" w:eastAsia="zh-CN"/>
              </w:rPr>
            </w:pPr>
          </w:p>
        </w:tc>
        <w:tc>
          <w:tcPr>
            <w:tcW w:w="1487" w:type="dxa"/>
            <w:tcBorders>
              <w:top w:val="nil"/>
              <w:left w:val="nil"/>
              <w:bottom w:val="single" w:color="auto" w:sz="4" w:space="0"/>
              <w:right w:val="single" w:color="auto" w:sz="4" w:space="0"/>
            </w:tcBorders>
            <w:shd w:val="clear" w:color="auto" w:fill="auto"/>
            <w:noWrap/>
            <w:vAlign w:val="bottom"/>
          </w:tcPr>
          <w:p>
            <w:pPr>
              <w:widowControl/>
              <w:jc w:val="left"/>
              <w:rPr>
                <w:rFonts w:hint="eastAsia" w:ascii="仿宋" w:hAnsi="仿宋" w:eastAsia="仿宋" w:cs="仿宋"/>
                <w:color w:val="000000"/>
                <w:kern w:val="0"/>
                <w:sz w:val="21"/>
                <w:szCs w:val="21"/>
                <w:highlight w:val="none"/>
              </w:rPr>
            </w:pPr>
          </w:p>
        </w:tc>
      </w:tr>
    </w:tbl>
    <w:p>
      <w:pPr>
        <w:pStyle w:val="26"/>
        <w:snapToGrid w:val="0"/>
        <w:spacing w:line="360" w:lineRule="auto"/>
        <w:ind w:firstLine="422" w:firstLineChars="200"/>
        <w:rPr>
          <w:rFonts w:hint="eastAsia" w:ascii="仿宋" w:hAnsi="仿宋" w:eastAsia="仿宋" w:cs="仿宋"/>
          <w:sz w:val="21"/>
          <w:szCs w:val="21"/>
          <w:highlight w:val="none"/>
          <w:lang w:val="en-US" w:eastAsia="zh-CN"/>
        </w:rPr>
      </w:pPr>
      <w:r>
        <w:rPr>
          <w:rFonts w:hint="eastAsia" w:ascii="仿宋" w:hAnsi="仿宋" w:eastAsia="仿宋" w:cs="仿宋"/>
          <w:b/>
          <w:kern w:val="2"/>
          <w:sz w:val="21"/>
          <w:szCs w:val="21"/>
          <w:highlight w:val="none"/>
          <w:lang w:bidi="ar"/>
        </w:rPr>
        <w:t>注：</w:t>
      </w:r>
      <w:r>
        <w:rPr>
          <w:rFonts w:hint="eastAsia" w:ascii="仿宋" w:hAnsi="仿宋" w:eastAsia="仿宋" w:cs="仿宋"/>
          <w:bCs/>
          <w:kern w:val="2"/>
          <w:sz w:val="21"/>
          <w:szCs w:val="21"/>
          <w:highlight w:val="none"/>
          <w:lang w:bidi="ar"/>
        </w:rPr>
        <w:t>1.</w:t>
      </w:r>
      <w:r>
        <w:rPr>
          <w:rFonts w:hint="eastAsia" w:ascii="仿宋" w:hAnsi="仿宋" w:eastAsia="仿宋" w:cs="仿宋"/>
          <w:kern w:val="2"/>
          <w:sz w:val="21"/>
          <w:szCs w:val="21"/>
          <w:highlight w:val="none"/>
          <w:lang w:bidi="ar"/>
        </w:rPr>
        <w:t>未注明国产或进口的元件均按进口元件选定；</w:t>
      </w:r>
      <w:r>
        <w:rPr>
          <w:rFonts w:hint="eastAsia" w:ascii="仿宋" w:hAnsi="仿宋" w:eastAsia="仿宋" w:cs="仿宋"/>
          <w:b/>
          <w:kern w:val="2"/>
          <w:sz w:val="21"/>
          <w:szCs w:val="21"/>
          <w:highlight w:val="none"/>
          <w:lang w:bidi="ar"/>
        </w:rPr>
        <w:t>2.</w:t>
      </w:r>
      <w:r>
        <w:rPr>
          <w:rFonts w:hint="eastAsia" w:ascii="仿宋" w:hAnsi="仿宋" w:eastAsia="仿宋" w:cs="仿宋"/>
          <w:kern w:val="2"/>
          <w:sz w:val="21"/>
          <w:szCs w:val="21"/>
          <w:highlight w:val="none"/>
          <w:lang w:bidi="ar"/>
        </w:rPr>
        <w:t>出现不能满足附表选型时，应与招标方进行协商，必须取得招标方的批准；</w:t>
      </w:r>
      <w:r>
        <w:rPr>
          <w:rFonts w:hint="eastAsia" w:ascii="仿宋" w:hAnsi="仿宋" w:eastAsia="仿宋" w:cs="仿宋"/>
          <w:b/>
          <w:kern w:val="2"/>
          <w:sz w:val="21"/>
          <w:szCs w:val="21"/>
          <w:highlight w:val="none"/>
          <w:lang w:bidi="ar"/>
        </w:rPr>
        <w:t>3.</w:t>
      </w:r>
      <w:r>
        <w:rPr>
          <w:rFonts w:hint="eastAsia" w:ascii="仿宋" w:hAnsi="仿宋" w:eastAsia="仿宋" w:cs="仿宋"/>
          <w:kern w:val="2"/>
          <w:sz w:val="21"/>
          <w:szCs w:val="21"/>
          <w:highlight w:val="none"/>
          <w:lang w:bidi="ar"/>
        </w:rPr>
        <w:t>所有电气零部件保护等级须符合IEC：IP-54以上，如工艺要求更高的防护以实际工艺要求为准。</w:t>
      </w:r>
      <w:r>
        <w:rPr>
          <w:rFonts w:hint="eastAsia" w:ascii="仿宋" w:hAnsi="仿宋" w:eastAsia="仿宋" w:cs="仿宋"/>
          <w:kern w:val="2"/>
          <w:sz w:val="21"/>
          <w:szCs w:val="21"/>
          <w:highlight w:val="none"/>
          <w:lang w:val="en-US" w:eastAsia="zh-CN" w:bidi="ar"/>
        </w:rPr>
        <w:t>4.部件选用品牌不低于上表级别，</w:t>
      </w:r>
      <w:r>
        <w:rPr>
          <w:rFonts w:hint="eastAsia" w:ascii="仿宋" w:hAnsi="仿宋" w:eastAsia="仿宋" w:cs="仿宋"/>
          <w:kern w:val="2"/>
          <w:sz w:val="21"/>
          <w:szCs w:val="21"/>
          <w:highlight w:val="none"/>
          <w:lang w:bidi="ar"/>
        </w:rPr>
        <w:t>本表作为投标方编制投标技术文件的一般格式</w:t>
      </w:r>
      <w:r>
        <w:rPr>
          <w:rFonts w:hint="eastAsia" w:ascii="仿宋" w:hAnsi="仿宋" w:eastAsia="仿宋" w:cs="仿宋"/>
          <w:kern w:val="2"/>
          <w:sz w:val="21"/>
          <w:szCs w:val="21"/>
          <w:highlight w:val="none"/>
          <w:lang w:eastAsia="zh-CN" w:bidi="ar"/>
        </w:rPr>
        <w:t>。</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hint="eastAsia" w:ascii="仿宋" w:hAnsi="仿宋" w:eastAsia="仿宋" w:cs="仿宋"/>
          <w:highlight w:val="none"/>
          <w:lang w:val="en-US" w:eastAsia="zh-CN"/>
        </w:rPr>
        <w:t>9</w:t>
      </w:r>
      <w:r>
        <w:rPr>
          <w:rFonts w:hint="eastAsia" w:ascii="仿宋" w:hAnsi="仿宋" w:eastAsia="仿宋" w:cs="仿宋"/>
          <w:highlight w:val="none"/>
        </w:rPr>
        <w:t>安全及环保要求</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hint="eastAsia" w:ascii="仿宋" w:hAnsi="仿宋" w:eastAsia="仿宋" w:cs="仿宋"/>
          <w:highlight w:val="none"/>
          <w:lang w:val="en-US" w:eastAsia="zh-CN"/>
        </w:rPr>
        <w:t>9</w:t>
      </w:r>
      <w:r>
        <w:rPr>
          <w:rFonts w:hint="eastAsia" w:ascii="仿宋" w:hAnsi="仿宋" w:eastAsia="仿宋" w:cs="仿宋"/>
          <w:highlight w:val="none"/>
        </w:rPr>
        <w:t>.1投标方所供的货物（或生产线），必须符合中国最新版的安全</w:t>
      </w:r>
      <w:r>
        <w:rPr>
          <w:rFonts w:hint="eastAsia" w:ascii="仿宋" w:hAnsi="仿宋" w:eastAsia="仿宋" w:cs="仿宋"/>
          <w:highlight w:val="none"/>
          <w:lang w:eastAsia="zh-CN"/>
        </w:rPr>
        <w:t>、环保、消防及职业健康的</w:t>
      </w:r>
      <w:r>
        <w:rPr>
          <w:rFonts w:hint="eastAsia" w:ascii="仿宋" w:hAnsi="仿宋" w:eastAsia="仿宋" w:cs="仿宋"/>
          <w:highlight w:val="none"/>
        </w:rPr>
        <w:t>法律、法规要求，符合行业安全标准及项目所在地政府有关特殊要求。</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hint="eastAsia" w:ascii="仿宋" w:hAnsi="仿宋" w:eastAsia="仿宋" w:cs="仿宋"/>
          <w:highlight w:val="none"/>
          <w:lang w:val="en-US" w:eastAsia="zh-CN"/>
        </w:rPr>
        <w:t>9</w:t>
      </w:r>
      <w:r>
        <w:rPr>
          <w:rFonts w:hint="eastAsia" w:ascii="仿宋" w:hAnsi="仿宋" w:eastAsia="仿宋" w:cs="仿宋"/>
          <w:highlight w:val="none"/>
        </w:rPr>
        <w:t>.2 货物（或生产线）应完整且所有的零部件应该安装安全、牢固，外观无损伤，所有的焊缝饱满、无残渣等缺陷且符合国家及行业相关标准。</w:t>
      </w:r>
    </w:p>
    <w:p>
      <w:pPr>
        <w:snapToGri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3.</w:t>
      </w:r>
      <w:r>
        <w:rPr>
          <w:rFonts w:hint="eastAsia" w:ascii="仿宋" w:hAnsi="仿宋" w:eastAsia="仿宋" w:cs="仿宋"/>
          <w:highlight w:val="none"/>
          <w:lang w:val="en-US" w:eastAsia="zh-CN"/>
        </w:rPr>
        <w:t>9</w:t>
      </w:r>
      <w:r>
        <w:rPr>
          <w:rFonts w:hint="eastAsia" w:ascii="仿宋" w:hAnsi="仿宋" w:eastAsia="仿宋" w:cs="仿宋"/>
          <w:highlight w:val="none"/>
        </w:rPr>
        <w:t>.3 对生产线存在安全</w:t>
      </w:r>
      <w:r>
        <w:rPr>
          <w:rFonts w:hint="eastAsia" w:ascii="仿宋" w:hAnsi="仿宋" w:eastAsia="仿宋" w:cs="仿宋"/>
          <w:highlight w:val="none"/>
          <w:lang w:val="en-US" w:eastAsia="zh-CN"/>
        </w:rPr>
        <w:t>风险</w:t>
      </w:r>
      <w:r>
        <w:rPr>
          <w:rFonts w:hint="eastAsia" w:ascii="仿宋" w:hAnsi="仿宋" w:eastAsia="仿宋" w:cs="仿宋"/>
          <w:highlight w:val="none"/>
        </w:rPr>
        <w:t>的工位必须采取安全措施，如：线体防护板、高温防护、光栅等。</w:t>
      </w:r>
    </w:p>
    <w:p>
      <w:pPr>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3.</w:t>
      </w:r>
      <w:r>
        <w:rPr>
          <w:rFonts w:hint="eastAsia" w:ascii="仿宋" w:hAnsi="仿宋" w:eastAsia="仿宋" w:cs="仿宋"/>
          <w:highlight w:val="none"/>
          <w:lang w:val="en-US" w:eastAsia="zh-CN"/>
        </w:rPr>
        <w:t>9</w:t>
      </w:r>
      <w:r>
        <w:rPr>
          <w:rFonts w:hint="eastAsia" w:ascii="仿宋" w:hAnsi="仿宋" w:eastAsia="仿宋" w:cs="仿宋"/>
          <w:highlight w:val="none"/>
        </w:rPr>
        <w:t>.4 从安全生产的角度考虑各单元及工位应设有急停按钮，并有明显标识。设置位置在物料入口以及出口位置:需要对机器进行干预的位置，例如有保持一运行控制装置的工位;所有设计为人机交互的位置(如装料/卸料区),急停开关必须为红色，且有清晰的标签；按钮操作应灵活、可靠、无卡阻。</w:t>
      </w:r>
    </w:p>
    <w:p>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hint="eastAsia" w:ascii="仿宋" w:hAnsi="仿宋" w:eastAsia="仿宋" w:cs="仿宋"/>
          <w:highlight w:val="none"/>
          <w:lang w:val="en-US" w:eastAsia="zh-CN"/>
        </w:rPr>
        <w:t>9</w:t>
      </w:r>
      <w:r>
        <w:rPr>
          <w:rFonts w:hint="eastAsia" w:ascii="仿宋" w:hAnsi="仿宋" w:eastAsia="仿宋" w:cs="仿宋"/>
          <w:highlight w:val="none"/>
        </w:rPr>
        <w:t>.</w:t>
      </w:r>
      <w:r>
        <w:rPr>
          <w:rFonts w:ascii="仿宋" w:hAnsi="仿宋" w:eastAsia="仿宋" w:cs="仿宋"/>
          <w:highlight w:val="none"/>
        </w:rPr>
        <w:t>5</w:t>
      </w:r>
      <w:r>
        <w:rPr>
          <w:rFonts w:hint="eastAsia" w:ascii="仿宋" w:hAnsi="仿宋" w:eastAsia="仿宋" w:cs="仿宋"/>
          <w:highlight w:val="none"/>
        </w:rPr>
        <w:t xml:space="preserve"> 单元操作面板上有上电按钮和急停按钮，上电后可对系统进行操作。</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hint="eastAsia" w:ascii="仿宋" w:hAnsi="仿宋" w:eastAsia="仿宋" w:cs="仿宋"/>
          <w:highlight w:val="none"/>
          <w:lang w:val="en-US" w:eastAsia="zh-CN"/>
        </w:rPr>
        <w:t>9</w:t>
      </w:r>
      <w:r>
        <w:rPr>
          <w:rFonts w:hint="eastAsia" w:ascii="仿宋" w:hAnsi="仿宋" w:eastAsia="仿宋" w:cs="仿宋"/>
          <w:highlight w:val="none"/>
        </w:rPr>
        <w:t>.</w:t>
      </w:r>
      <w:r>
        <w:rPr>
          <w:rFonts w:ascii="仿宋" w:hAnsi="仿宋" w:eastAsia="仿宋" w:cs="仿宋"/>
          <w:highlight w:val="none"/>
        </w:rPr>
        <w:t>6</w:t>
      </w:r>
      <w:r>
        <w:rPr>
          <w:rFonts w:hint="eastAsia" w:ascii="仿宋" w:hAnsi="仿宋" w:eastAsia="仿宋" w:cs="仿宋"/>
          <w:highlight w:val="none"/>
        </w:rPr>
        <w:t xml:space="preserve"> 所有电气安装和施工均应符合我国现行行业标准（规范）</w:t>
      </w:r>
      <w:r>
        <w:rPr>
          <w:rFonts w:hint="eastAsia" w:ascii="仿宋" w:hAnsi="仿宋" w:eastAsia="仿宋" w:cs="仿宋"/>
          <w:highlight w:val="none"/>
          <w:lang w:eastAsia="zh-CN"/>
        </w:rPr>
        <w:t>，电器柜需张贴当心触电警示标识</w:t>
      </w:r>
      <w:r>
        <w:rPr>
          <w:rFonts w:hint="eastAsia" w:ascii="仿宋" w:hAnsi="仿宋" w:eastAsia="仿宋" w:cs="仿宋"/>
          <w:highlight w:val="none"/>
        </w:rPr>
        <w:t>。</w:t>
      </w:r>
    </w:p>
    <w:p>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hint="eastAsia" w:ascii="仿宋" w:hAnsi="仿宋" w:eastAsia="仿宋" w:cs="仿宋"/>
          <w:highlight w:val="none"/>
          <w:lang w:val="en-US" w:eastAsia="zh-CN"/>
        </w:rPr>
        <w:t>8</w:t>
      </w:r>
      <w:r>
        <w:rPr>
          <w:rFonts w:hint="eastAsia" w:ascii="仿宋" w:hAnsi="仿宋" w:eastAsia="仿宋" w:cs="仿宋"/>
          <w:highlight w:val="none"/>
        </w:rPr>
        <w:t>.</w:t>
      </w:r>
      <w:r>
        <w:rPr>
          <w:rFonts w:ascii="仿宋" w:hAnsi="仿宋" w:eastAsia="仿宋" w:cs="仿宋"/>
          <w:highlight w:val="none"/>
        </w:rPr>
        <w:t>7</w:t>
      </w:r>
      <w:r>
        <w:rPr>
          <w:rFonts w:hint="eastAsia" w:ascii="仿宋" w:hAnsi="仿宋" w:eastAsia="仿宋" w:cs="仿宋"/>
          <w:highlight w:val="none"/>
        </w:rPr>
        <w:t xml:space="preserve"> 投标方必须提供所供设备相应的安全操作规程和安全事项的说明书，危险化学品“一书一签”；负责对招标方相关人员开展“四新”安全培训。</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hint="eastAsia" w:ascii="仿宋" w:hAnsi="仿宋" w:eastAsia="仿宋" w:cs="仿宋"/>
          <w:highlight w:val="none"/>
          <w:lang w:val="en-US" w:eastAsia="zh-CN"/>
        </w:rPr>
        <w:t>9</w:t>
      </w:r>
      <w:r>
        <w:rPr>
          <w:rFonts w:hint="eastAsia" w:ascii="仿宋" w:hAnsi="仿宋" w:eastAsia="仿宋" w:cs="仿宋"/>
          <w:highlight w:val="none"/>
        </w:rPr>
        <w:t>.</w:t>
      </w:r>
      <w:r>
        <w:rPr>
          <w:rFonts w:ascii="仿宋" w:hAnsi="仿宋" w:eastAsia="仿宋" w:cs="仿宋"/>
          <w:highlight w:val="none"/>
        </w:rPr>
        <w:t>8</w:t>
      </w:r>
      <w:r>
        <w:rPr>
          <w:rFonts w:hint="eastAsia" w:ascii="仿宋" w:hAnsi="仿宋" w:eastAsia="仿宋" w:cs="仿宋"/>
          <w:highlight w:val="none"/>
        </w:rPr>
        <w:t>货物（或生产线）应运行稳定、可靠、安全，无非正常变形，非正常振动，无异常声音；无漏水、漏液、漏气（汽）、漏电等现象。</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hint="eastAsia" w:ascii="仿宋" w:hAnsi="仿宋" w:eastAsia="仿宋" w:cs="仿宋"/>
          <w:highlight w:val="none"/>
          <w:lang w:val="en-US" w:eastAsia="zh-CN"/>
        </w:rPr>
        <w:t>9</w:t>
      </w:r>
      <w:r>
        <w:rPr>
          <w:rFonts w:hint="eastAsia" w:ascii="仿宋" w:hAnsi="仿宋" w:eastAsia="仿宋" w:cs="仿宋"/>
          <w:highlight w:val="none"/>
        </w:rPr>
        <w:t>.</w:t>
      </w:r>
      <w:r>
        <w:rPr>
          <w:rFonts w:ascii="仿宋" w:hAnsi="仿宋" w:eastAsia="仿宋" w:cs="仿宋"/>
          <w:highlight w:val="none"/>
        </w:rPr>
        <w:t>9</w:t>
      </w:r>
      <w:r>
        <w:rPr>
          <w:rFonts w:hint="eastAsia" w:ascii="仿宋" w:hAnsi="仿宋" w:eastAsia="仿宋" w:cs="仿宋"/>
          <w:highlight w:val="none"/>
        </w:rPr>
        <w:t xml:space="preserve"> 所有的管路和线缆等，接头应完全正确、可靠地联接；应排列有序（正确、牢固、整齐），有必要的防护，无皱褶、收缩和裂缝等不良现象。</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hint="eastAsia" w:ascii="仿宋" w:hAnsi="仿宋" w:eastAsia="仿宋" w:cs="仿宋"/>
          <w:highlight w:val="none"/>
          <w:lang w:val="en-US" w:eastAsia="zh-CN"/>
        </w:rPr>
        <w:t>9</w:t>
      </w:r>
      <w:r>
        <w:rPr>
          <w:rFonts w:hint="eastAsia" w:ascii="仿宋" w:hAnsi="仿宋" w:eastAsia="仿宋" w:cs="仿宋"/>
          <w:highlight w:val="none"/>
        </w:rPr>
        <w:t>.1</w:t>
      </w:r>
      <w:r>
        <w:rPr>
          <w:rFonts w:ascii="仿宋" w:hAnsi="仿宋" w:eastAsia="仿宋" w:cs="仿宋"/>
          <w:highlight w:val="none"/>
        </w:rPr>
        <w:t>0</w:t>
      </w:r>
      <w:r>
        <w:rPr>
          <w:rFonts w:hint="eastAsia" w:ascii="仿宋" w:hAnsi="仿宋" w:eastAsia="仿宋" w:cs="仿宋"/>
          <w:highlight w:val="none"/>
        </w:rPr>
        <w:t>地线联接和地极符合国际（ISO/IEC）标准规范</w:t>
      </w:r>
      <w:r>
        <w:rPr>
          <w:rFonts w:hint="eastAsia" w:ascii="仿宋" w:hAnsi="仿宋" w:eastAsia="仿宋" w:cs="仿宋"/>
          <w:highlight w:val="none"/>
          <w:lang w:eastAsia="zh-CN"/>
        </w:rPr>
        <w:t>，电器柜需张贴当心触电警示标识</w:t>
      </w:r>
      <w:r>
        <w:rPr>
          <w:rFonts w:hint="eastAsia" w:ascii="仿宋" w:hAnsi="仿宋" w:eastAsia="仿宋" w:cs="仿宋"/>
          <w:highlight w:val="none"/>
        </w:rPr>
        <w:t>。</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hint="eastAsia" w:ascii="仿宋" w:hAnsi="仿宋" w:eastAsia="仿宋" w:cs="仿宋"/>
          <w:highlight w:val="none"/>
          <w:lang w:val="en-US" w:eastAsia="zh-CN"/>
        </w:rPr>
        <w:t>9</w:t>
      </w:r>
      <w:r>
        <w:rPr>
          <w:rFonts w:hint="eastAsia" w:ascii="仿宋" w:hAnsi="仿宋" w:eastAsia="仿宋" w:cs="仿宋"/>
          <w:highlight w:val="none"/>
        </w:rPr>
        <w:t>.1</w:t>
      </w:r>
      <w:r>
        <w:rPr>
          <w:rFonts w:ascii="仿宋" w:hAnsi="仿宋" w:eastAsia="仿宋" w:cs="仿宋"/>
          <w:highlight w:val="none"/>
        </w:rPr>
        <w:t>1</w:t>
      </w:r>
      <w:r>
        <w:rPr>
          <w:rFonts w:hint="eastAsia" w:ascii="仿宋" w:hAnsi="仿宋" w:eastAsia="仿宋" w:cs="仿宋"/>
          <w:highlight w:val="none"/>
        </w:rPr>
        <w:t>货物（或生产线）正常运行时，噪声等环境影响因素满足国家（《工作场所物理因素测量 噪声》GBZ/T 189.8-2007. 噪音≤80dB(A)（距设备一米处测量））和当地环保主管部门规定。项目验收时，投标方须提供</w:t>
      </w:r>
      <w:r>
        <w:rPr>
          <w:rFonts w:hint="eastAsia" w:ascii="仿宋_GB2312" w:hAnsi="宋体" w:eastAsia="仿宋_GB2312" w:cs="宋体"/>
          <w:highlight w:val="none"/>
          <w:lang w:bidi="ar"/>
        </w:rPr>
        <w:t>由第三方监测机构出具的噪音合格监测报告。</w:t>
      </w:r>
    </w:p>
    <w:p>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hint="eastAsia" w:ascii="仿宋" w:hAnsi="仿宋" w:eastAsia="仿宋" w:cs="仿宋"/>
          <w:highlight w:val="none"/>
          <w:lang w:val="en-US" w:eastAsia="zh-CN"/>
        </w:rPr>
        <w:t>9</w:t>
      </w:r>
      <w:r>
        <w:rPr>
          <w:rFonts w:hint="eastAsia" w:ascii="仿宋" w:hAnsi="仿宋" w:eastAsia="仿宋" w:cs="仿宋"/>
          <w:highlight w:val="none"/>
        </w:rPr>
        <w:t>.1</w:t>
      </w:r>
      <w:r>
        <w:rPr>
          <w:rFonts w:ascii="仿宋" w:hAnsi="仿宋" w:eastAsia="仿宋" w:cs="仿宋"/>
          <w:highlight w:val="none"/>
        </w:rPr>
        <w:t>2</w:t>
      </w:r>
      <w:r>
        <w:rPr>
          <w:rFonts w:hint="eastAsia" w:ascii="仿宋" w:hAnsi="仿宋" w:eastAsia="仿宋" w:cs="仿宋"/>
          <w:highlight w:val="none"/>
        </w:rPr>
        <w:t xml:space="preserve"> 可附有投标方认为能够证明其所供货物（或生产线）安全性水平、节能性水平、环保性水平等相关的其它证明文件或资料、报告等，如电气开关柜等电气设备的内部故障电弧效应试验报告、噪声较大设备的噪声检验报告等。</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hint="eastAsia" w:ascii="仿宋" w:hAnsi="仿宋" w:eastAsia="仿宋" w:cs="仿宋"/>
          <w:highlight w:val="none"/>
          <w:lang w:val="en-US" w:eastAsia="zh-CN"/>
        </w:rPr>
        <w:t>9</w:t>
      </w:r>
      <w:r>
        <w:rPr>
          <w:rFonts w:hint="eastAsia" w:ascii="仿宋" w:hAnsi="仿宋" w:eastAsia="仿宋" w:cs="仿宋"/>
          <w:highlight w:val="none"/>
        </w:rPr>
        <w:t>.1</w:t>
      </w:r>
      <w:r>
        <w:rPr>
          <w:rFonts w:ascii="仿宋" w:hAnsi="仿宋" w:eastAsia="仿宋" w:cs="仿宋"/>
          <w:highlight w:val="none"/>
        </w:rPr>
        <w:t>3</w:t>
      </w:r>
      <w:r>
        <w:rPr>
          <w:rFonts w:hint="eastAsia" w:ascii="仿宋" w:hAnsi="仿宋" w:eastAsia="仿宋" w:cs="仿宋"/>
          <w:highlight w:val="none"/>
        </w:rPr>
        <w:t xml:space="preserve"> 涉及需要进行环保、职业卫生强制检测的项目（设备、设施），应由中标方提供权威第三方检测机构出具的完工检测报告。</w:t>
      </w:r>
    </w:p>
    <w:p>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w:t>
      </w:r>
      <w:r>
        <w:rPr>
          <w:rFonts w:hint="eastAsia" w:ascii="仿宋" w:hAnsi="仿宋" w:eastAsia="仿宋" w:cs="仿宋"/>
          <w:color w:val="auto"/>
          <w:highlight w:val="none"/>
          <w:lang w:val="en-US" w:eastAsia="zh-CN"/>
        </w:rPr>
        <w:t>9</w:t>
      </w:r>
      <w:r>
        <w:rPr>
          <w:rFonts w:hint="eastAsia" w:ascii="仿宋" w:hAnsi="仿宋" w:eastAsia="仿宋" w:cs="仿宋"/>
          <w:color w:val="auto"/>
          <w:highlight w:val="none"/>
        </w:rPr>
        <w:t>.1</w:t>
      </w:r>
      <w:r>
        <w:rPr>
          <w:rFonts w:ascii="仿宋" w:hAnsi="仿宋" w:eastAsia="仿宋" w:cs="仿宋"/>
          <w:color w:val="auto"/>
          <w:highlight w:val="none"/>
        </w:rPr>
        <w:t>4</w:t>
      </w:r>
      <w:r>
        <w:rPr>
          <w:rFonts w:hint="eastAsia" w:ascii="仿宋" w:hAnsi="仿宋" w:eastAsia="仿宋" w:cs="仿宋"/>
          <w:color w:val="auto"/>
          <w:highlight w:val="none"/>
        </w:rPr>
        <w:t xml:space="preserve"> 特种设备应提供济南市特种设备检验研究院出具的首次检验报告，招标方协助中标方办理相关注册登记手续。</w:t>
      </w:r>
    </w:p>
    <w:p>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w:t>
      </w:r>
      <w:r>
        <w:rPr>
          <w:rFonts w:hint="eastAsia" w:ascii="仿宋" w:hAnsi="仿宋" w:eastAsia="仿宋" w:cs="仿宋"/>
          <w:color w:val="auto"/>
          <w:highlight w:val="none"/>
          <w:lang w:val="en-US" w:eastAsia="zh-CN"/>
        </w:rPr>
        <w:t>9</w:t>
      </w:r>
      <w:r>
        <w:rPr>
          <w:rFonts w:hint="eastAsia" w:ascii="仿宋" w:hAnsi="仿宋" w:eastAsia="仿宋" w:cs="仿宋"/>
          <w:color w:val="auto"/>
          <w:highlight w:val="none"/>
        </w:rPr>
        <w:t>.1</w:t>
      </w:r>
      <w:r>
        <w:rPr>
          <w:rFonts w:ascii="仿宋" w:hAnsi="仿宋" w:eastAsia="仿宋" w:cs="仿宋"/>
          <w:color w:val="auto"/>
          <w:highlight w:val="none"/>
        </w:rPr>
        <w:t>5</w:t>
      </w:r>
      <w:r>
        <w:rPr>
          <w:rFonts w:hint="eastAsia" w:ascii="仿宋" w:hAnsi="仿宋" w:eastAsia="仿宋" w:cs="仿宋"/>
          <w:color w:val="auto"/>
          <w:highlight w:val="none"/>
        </w:rPr>
        <w:t>机器人作业区域安全防护。</w:t>
      </w:r>
      <w:r>
        <w:rPr>
          <w:rFonts w:hint="eastAsia" w:ascii="仿宋" w:hAnsi="仿宋" w:eastAsia="仿宋" w:cs="仿宋"/>
          <w:color w:val="auto"/>
          <w:highlight w:val="none"/>
          <w:lang w:val="en-US" w:eastAsia="zh-CN"/>
        </w:rPr>
        <w:t>机器人作业区域需安装</w:t>
      </w:r>
      <w:r>
        <w:rPr>
          <w:rFonts w:hint="eastAsia" w:ascii="仿宋" w:hAnsi="仿宋" w:eastAsia="仿宋" w:cs="仿宋"/>
          <w:color w:val="auto"/>
          <w:highlight w:val="none"/>
        </w:rPr>
        <w:t>安全防护</w:t>
      </w:r>
      <w:r>
        <w:rPr>
          <w:rFonts w:hint="eastAsia" w:ascii="仿宋" w:hAnsi="仿宋" w:eastAsia="仿宋" w:cs="仿宋"/>
          <w:color w:val="auto"/>
          <w:highlight w:val="none"/>
          <w:lang w:val="en-US" w:eastAsia="zh-CN"/>
        </w:rPr>
        <w:t>隔离，安全防护隔离</w:t>
      </w:r>
      <w:r>
        <w:rPr>
          <w:rFonts w:hint="eastAsia" w:ascii="仿宋" w:hAnsi="仿宋" w:eastAsia="仿宋" w:cs="仿宋"/>
          <w:color w:val="auto"/>
          <w:highlight w:val="none"/>
        </w:rPr>
        <w:t>形式：采用型钢材质整体式设计，由方管焊接框架结构和金属网格组成，防护栏立柱和防护栏采用螺栓连接；安全门采用门联锁进行安全防护。门联锁必须保证，只有当安全门处于完全关闭状态时，才容许机器人自动运行，当安全门打开时机器人须立即停止运行。</w:t>
      </w:r>
    </w:p>
    <w:p>
      <w:pPr>
        <w:pStyle w:val="26"/>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3.</w:t>
      </w:r>
      <w:r>
        <w:rPr>
          <w:rFonts w:hint="eastAsia" w:ascii="仿宋" w:hAnsi="仿宋" w:eastAsia="仿宋" w:cs="仿宋"/>
          <w:highlight w:val="none"/>
          <w:lang w:val="en-US" w:eastAsia="zh-CN"/>
        </w:rPr>
        <w:t>10</w:t>
      </w:r>
      <w:r>
        <w:rPr>
          <w:rFonts w:hint="eastAsia" w:ascii="仿宋" w:hAnsi="仿宋" w:eastAsia="仿宋" w:cs="仿宋"/>
          <w:highlight w:val="none"/>
        </w:rPr>
        <w:t>投标方所投货物外观颜色标准按招标方提供的标准《Q/ZZ 30070—2020》或双方书面约定的标准执行。</w:t>
      </w:r>
    </w:p>
    <w:p>
      <w:pPr>
        <w:snapToGrid w:val="0"/>
        <w:spacing w:line="360" w:lineRule="auto"/>
        <w:ind w:firstLine="422" w:firstLineChars="200"/>
        <w:outlineLvl w:val="1"/>
        <w:rPr>
          <w:rFonts w:ascii="仿宋" w:hAnsi="仿宋" w:eastAsia="仿宋" w:cs="仿宋"/>
          <w:b/>
          <w:bCs/>
          <w:highlight w:val="none"/>
        </w:rPr>
      </w:pPr>
      <w:bookmarkStart w:id="386" w:name="_Toc900"/>
      <w:bookmarkStart w:id="387" w:name="_Toc16595"/>
      <w:bookmarkStart w:id="388" w:name="_Toc24970"/>
      <w:bookmarkStart w:id="389" w:name="_Toc16458"/>
      <w:bookmarkStart w:id="390" w:name="_Toc31046"/>
      <w:bookmarkStart w:id="391" w:name="_Toc28651"/>
      <w:bookmarkStart w:id="392" w:name="_Toc3721"/>
      <w:bookmarkStart w:id="393" w:name="_Toc1717"/>
      <w:bookmarkStart w:id="394" w:name="_Toc14754"/>
      <w:bookmarkStart w:id="395" w:name="_Toc24311"/>
      <w:bookmarkStart w:id="396" w:name="_Toc11448"/>
      <w:bookmarkStart w:id="397" w:name="_Toc12383"/>
      <w:bookmarkStart w:id="398" w:name="_Toc31509"/>
      <w:bookmarkStart w:id="399" w:name="_Toc30526"/>
      <w:bookmarkStart w:id="400" w:name="_Toc963"/>
      <w:bookmarkStart w:id="401" w:name="_Toc2761"/>
      <w:bookmarkStart w:id="402" w:name="_Toc14191"/>
      <w:bookmarkStart w:id="403" w:name="_Toc13730"/>
      <w:bookmarkStart w:id="404" w:name="_Toc73112402"/>
      <w:bookmarkStart w:id="405" w:name="_Toc2382"/>
      <w:bookmarkStart w:id="406" w:name="_Toc466"/>
      <w:bookmarkStart w:id="407" w:name="_Toc10838"/>
      <w:bookmarkStart w:id="408" w:name="_Toc12980"/>
      <w:bookmarkStart w:id="409" w:name="_Toc4932"/>
      <w:bookmarkStart w:id="410" w:name="_Toc17206"/>
      <w:bookmarkStart w:id="411" w:name="_Toc11582"/>
      <w:bookmarkStart w:id="412" w:name="_Toc11237"/>
      <w:bookmarkStart w:id="413" w:name="_Toc14715"/>
      <w:bookmarkStart w:id="414" w:name="_Toc8333"/>
      <w:bookmarkStart w:id="415" w:name="_Toc28302"/>
      <w:bookmarkStart w:id="416" w:name="_Toc25096"/>
      <w:bookmarkStart w:id="417" w:name="_Toc11655"/>
      <w:bookmarkStart w:id="418" w:name="_Toc15063"/>
      <w:bookmarkStart w:id="419" w:name="_Toc28134"/>
      <w:bookmarkStart w:id="420" w:name="_Toc3096"/>
      <w:bookmarkStart w:id="421" w:name="_Toc73"/>
      <w:bookmarkStart w:id="422" w:name="_Toc31832"/>
      <w:bookmarkStart w:id="423" w:name="_Toc24239"/>
      <w:bookmarkStart w:id="424" w:name="_Toc16723"/>
      <w:bookmarkStart w:id="425" w:name="_Toc10224"/>
      <w:bookmarkStart w:id="426" w:name="_Toc8256"/>
      <w:bookmarkStart w:id="427" w:name="_Toc14086"/>
      <w:r>
        <w:rPr>
          <w:rFonts w:hint="eastAsia" w:ascii="仿宋" w:hAnsi="仿宋" w:eastAsia="仿宋" w:cs="仿宋"/>
          <w:b/>
          <w:bCs/>
          <w:highlight w:val="none"/>
        </w:rPr>
        <w:t>4特别提示</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4.1本技术要求，仅对功能、设计、结构、性能、安装和试验等方面，提出了最低和一般性的技术要求；并未对一切技术细节作出规定，未充分引述有关标准和规范的条文。投标方应保证提供的货物（或生产线）是符合本技术标书和国家最新的有关标准、规范的优质产品。若有异议，不管是多么微小，都应在投标文件“技术偏离”中予以详细说明。</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4.2本技术要求所使用的标准、规范等，如与投标方所执行的标准、规范不一致时，应按高于本技术要求所列的标准、规范执行，并在投标文件“技术偏离”中予以说明。</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4.3投标方认为所供货物（或生产线）必需由招标方配备、解决或提供的其它要求，如设备基础隔振和减振设施、软化水、洁净气源等，均应在投标文件“技术偏离”中予以充分说明。</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4.4投标方须负责在终验收前，在招标方设备现场对投标设备实施电能质量和公用电网谐波检测并出具检测报告。检测工作由投标方负责安排第三方实施（第三方的资质须由招标方认可）。</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4.5投标文件中，针对“特别提示”条款所做的回应，将作为投标方能否中标的重要依据之一。</w:t>
      </w:r>
      <w:bookmarkStart w:id="428" w:name="_Toc133783970"/>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4.5投标方所投货物外观颜色标准按招标方提供的标准或双方书面约定的标准执行。</w:t>
      </w:r>
    </w:p>
    <w:p>
      <w:pPr>
        <w:adjustRightInd w:val="0"/>
        <w:snapToGrid w:val="0"/>
        <w:spacing w:before="163" w:beforeLines="50" w:after="163" w:afterLines="50" w:line="360" w:lineRule="auto"/>
        <w:jc w:val="center"/>
        <w:outlineLvl w:val="0"/>
        <w:rPr>
          <w:rFonts w:ascii="仿宋" w:hAnsi="仿宋" w:eastAsia="仿宋" w:cs="仿宋"/>
          <w:b/>
          <w:bCs/>
          <w:highlight w:val="none"/>
        </w:rPr>
      </w:pPr>
      <w:bookmarkStart w:id="429" w:name="_Toc22516"/>
      <w:bookmarkStart w:id="430" w:name="_Toc31816"/>
      <w:bookmarkStart w:id="431" w:name="_Toc19081"/>
      <w:bookmarkStart w:id="432" w:name="_Toc1909"/>
      <w:bookmarkStart w:id="433" w:name="_Toc26551"/>
      <w:bookmarkStart w:id="434" w:name="_Toc10828"/>
      <w:bookmarkStart w:id="435" w:name="_Toc21086"/>
      <w:bookmarkStart w:id="436" w:name="_Toc4641"/>
      <w:bookmarkStart w:id="437" w:name="_Toc6352"/>
      <w:bookmarkStart w:id="438" w:name="_Toc14583"/>
      <w:bookmarkStart w:id="439" w:name="_Toc11725"/>
      <w:bookmarkStart w:id="440" w:name="_Toc20841"/>
      <w:bookmarkStart w:id="441" w:name="_Toc29006"/>
      <w:bookmarkStart w:id="442" w:name="_Toc1171"/>
      <w:bookmarkStart w:id="443" w:name="_Toc16317"/>
      <w:bookmarkStart w:id="444" w:name="_Toc32382"/>
      <w:bookmarkStart w:id="445" w:name="_Toc7258"/>
      <w:bookmarkStart w:id="446" w:name="_Toc24173"/>
      <w:bookmarkStart w:id="447" w:name="_Toc16352"/>
      <w:bookmarkStart w:id="448" w:name="_Toc26601"/>
      <w:bookmarkStart w:id="449" w:name="_Toc27327"/>
      <w:bookmarkStart w:id="450" w:name="_Toc22347"/>
      <w:bookmarkStart w:id="451" w:name="_Toc17909"/>
      <w:bookmarkStart w:id="452" w:name="_Toc1962"/>
      <w:bookmarkStart w:id="453" w:name="_Toc11390"/>
      <w:bookmarkStart w:id="454" w:name="_Toc20994"/>
      <w:bookmarkStart w:id="455" w:name="_Toc22662"/>
      <w:bookmarkStart w:id="456" w:name="_Toc20260"/>
      <w:bookmarkStart w:id="457" w:name="_Toc19022"/>
      <w:bookmarkStart w:id="458" w:name="_Toc8892"/>
      <w:bookmarkStart w:id="459" w:name="_Toc22156"/>
      <w:bookmarkStart w:id="460" w:name="_Toc16316"/>
      <w:bookmarkStart w:id="461" w:name="_Toc30892"/>
      <w:bookmarkStart w:id="462" w:name="_Toc22710"/>
      <w:bookmarkStart w:id="463" w:name="_Toc19812"/>
      <w:bookmarkStart w:id="464" w:name="_Toc25915"/>
      <w:bookmarkStart w:id="465" w:name="_Toc20329"/>
      <w:bookmarkStart w:id="466" w:name="_Toc3808"/>
      <w:bookmarkStart w:id="467" w:name="_Toc28745"/>
      <w:bookmarkStart w:id="468" w:name="_Toc13526"/>
      <w:bookmarkStart w:id="469" w:name="_Toc19805"/>
      <w:bookmarkStart w:id="470" w:name="_Toc73112403"/>
      <w:bookmarkStart w:id="471" w:name="_Toc28398"/>
      <w:r>
        <w:rPr>
          <w:rFonts w:hint="eastAsia" w:ascii="仿宋" w:hAnsi="仿宋" w:eastAsia="仿宋" w:cs="仿宋"/>
          <w:b/>
          <w:bCs/>
          <w:highlight w:val="none"/>
        </w:rPr>
        <w:t>第三章供货范围及供货方式</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pPr>
        <w:pStyle w:val="4"/>
        <w:snapToGrid w:val="0"/>
        <w:spacing w:before="0" w:after="0" w:line="360" w:lineRule="auto"/>
        <w:ind w:left="6" w:firstLine="474"/>
        <w:jc w:val="center"/>
        <w:rPr>
          <w:rFonts w:ascii="仿宋" w:hAnsi="仿宋" w:eastAsia="仿宋" w:cs="仿宋"/>
          <w:b w:val="0"/>
          <w:bCs w:val="0"/>
          <w:sz w:val="24"/>
          <w:szCs w:val="24"/>
          <w:highlight w:val="none"/>
        </w:rPr>
      </w:pPr>
      <w:bookmarkStart w:id="472" w:name="_Toc2288"/>
      <w:bookmarkStart w:id="473" w:name="_Toc9571"/>
      <w:bookmarkStart w:id="474" w:name="_Toc4896"/>
      <w:bookmarkStart w:id="475" w:name="_Toc14383"/>
      <w:bookmarkStart w:id="476" w:name="_Toc32741"/>
      <w:bookmarkStart w:id="477" w:name="_Toc9580"/>
      <w:bookmarkStart w:id="478" w:name="_Toc29751"/>
      <w:bookmarkStart w:id="479" w:name="_Toc19111"/>
      <w:bookmarkStart w:id="480" w:name="_Toc27831"/>
      <w:bookmarkStart w:id="481" w:name="_Toc73112404"/>
      <w:bookmarkStart w:id="482" w:name="_Toc3639"/>
      <w:bookmarkStart w:id="483" w:name="_Toc25354"/>
      <w:bookmarkStart w:id="484" w:name="_Toc4032"/>
      <w:bookmarkStart w:id="485" w:name="_Toc12581"/>
      <w:bookmarkStart w:id="486" w:name="_Toc8238"/>
      <w:bookmarkStart w:id="487" w:name="_Toc5131"/>
      <w:bookmarkStart w:id="488" w:name="_Toc32286"/>
      <w:bookmarkStart w:id="489" w:name="_Toc969"/>
      <w:bookmarkStart w:id="490" w:name="_Toc27567"/>
      <w:bookmarkStart w:id="491" w:name="_Toc32542"/>
      <w:bookmarkStart w:id="492" w:name="_Toc16027"/>
      <w:bookmarkStart w:id="493" w:name="_Toc31722"/>
      <w:bookmarkStart w:id="494" w:name="_Toc32716"/>
      <w:bookmarkStart w:id="495" w:name="_Toc9994"/>
      <w:bookmarkStart w:id="496" w:name="_Toc6219"/>
      <w:bookmarkStart w:id="497" w:name="_Toc20301"/>
      <w:bookmarkStart w:id="498" w:name="_Toc5052"/>
      <w:bookmarkStart w:id="499" w:name="_Toc10323"/>
      <w:bookmarkStart w:id="500" w:name="_Toc13578"/>
      <w:bookmarkStart w:id="501" w:name="_Toc19860"/>
      <w:bookmarkStart w:id="502" w:name="_Toc20066"/>
      <w:bookmarkStart w:id="503" w:name="_Toc28344"/>
      <w:bookmarkStart w:id="504" w:name="_Toc19155"/>
      <w:bookmarkStart w:id="505" w:name="_Toc5032"/>
      <w:bookmarkStart w:id="506" w:name="_Toc6864"/>
      <w:bookmarkStart w:id="507" w:name="_Toc2127"/>
      <w:bookmarkStart w:id="508" w:name="_Toc32750"/>
      <w:bookmarkStart w:id="509" w:name="_Toc11227"/>
      <w:bookmarkStart w:id="510" w:name="_Toc680"/>
      <w:bookmarkStart w:id="511" w:name="_Toc133783971"/>
      <w:bookmarkStart w:id="512" w:name="_Toc18238"/>
      <w:bookmarkStart w:id="513" w:name="_Toc8963"/>
      <w:bookmarkStart w:id="514" w:name="_Toc17404"/>
      <w:bookmarkStart w:id="515" w:name="_Toc20721"/>
      <w:bookmarkStart w:id="516" w:name="_Toc19908"/>
      <w:bookmarkStart w:id="517" w:name="_Toc11979"/>
      <w:bookmarkStart w:id="518" w:name="_Toc3358"/>
      <w:r>
        <w:rPr>
          <w:rFonts w:hint="eastAsia" w:ascii="仿宋" w:hAnsi="仿宋" w:eastAsia="仿宋" w:cs="仿宋"/>
          <w:b w:val="0"/>
          <w:bCs w:val="0"/>
          <w:sz w:val="24"/>
          <w:szCs w:val="24"/>
          <w:highlight w:val="none"/>
        </w:rPr>
        <w:t>第一节供货范围</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pPr>
        <w:snapToGrid w:val="0"/>
        <w:spacing w:line="360" w:lineRule="auto"/>
        <w:ind w:left="480"/>
        <w:outlineLvl w:val="2"/>
        <w:rPr>
          <w:rFonts w:ascii="仿宋" w:hAnsi="仿宋" w:eastAsia="仿宋" w:cs="仿宋"/>
          <w:b/>
          <w:bCs/>
          <w:highlight w:val="none"/>
        </w:rPr>
      </w:pPr>
      <w:bookmarkStart w:id="519" w:name="_Toc9769"/>
      <w:bookmarkStart w:id="520" w:name="_Toc18228"/>
      <w:bookmarkStart w:id="521" w:name="_Toc13760"/>
      <w:bookmarkStart w:id="522" w:name="_Toc73112405"/>
      <w:bookmarkStart w:id="523" w:name="_Toc29417"/>
      <w:bookmarkStart w:id="524" w:name="_Toc6385"/>
      <w:bookmarkStart w:id="525" w:name="_Toc25761"/>
      <w:bookmarkStart w:id="526" w:name="_Toc21071"/>
      <w:bookmarkStart w:id="527" w:name="_Toc18305"/>
      <w:bookmarkStart w:id="528" w:name="_Toc17608"/>
      <w:bookmarkStart w:id="529" w:name="_Toc14280"/>
      <w:bookmarkStart w:id="530" w:name="_Toc15878"/>
      <w:bookmarkStart w:id="531" w:name="_Toc17678"/>
      <w:bookmarkStart w:id="532" w:name="_Toc4815"/>
      <w:bookmarkStart w:id="533" w:name="_Toc4850"/>
      <w:bookmarkStart w:id="534" w:name="_Toc17029"/>
      <w:bookmarkStart w:id="535" w:name="_Toc272"/>
      <w:bookmarkStart w:id="536" w:name="_Toc14137"/>
      <w:bookmarkStart w:id="537" w:name="_Toc28468"/>
      <w:bookmarkStart w:id="538" w:name="_Toc5149"/>
      <w:r>
        <w:rPr>
          <w:rFonts w:hint="eastAsia" w:ascii="仿宋" w:hAnsi="仿宋" w:eastAsia="仿宋" w:cs="仿宋"/>
          <w:b/>
          <w:bCs/>
          <w:highlight w:val="none"/>
        </w:rPr>
        <w:t>1主要供货范围</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pPr>
        <w:pStyle w:val="26"/>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1.1招标方只提供所需厂房、货物（或生产线）的基本砼基础，如不满足项目需求，由投标方负责进行建设。</w:t>
      </w:r>
    </w:p>
    <w:p>
      <w:pPr>
        <w:pStyle w:val="26"/>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1.2招标方只负责提供符合本技术标书中“采购货物概况”和“使用环境”章节所列明品质的电力、自来水、压缩空气、蒸汽、天然气（或煤气）管线至车间接口,投标方负责从车间接口到项目系统的对接。</w:t>
      </w:r>
    </w:p>
    <w:p>
      <w:pPr>
        <w:pStyle w:val="26"/>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1.3投标方应提供包括货物（或生产线）正常运行所必需的全套连线设备、材料等；如：联接法兰外端面（含联接螺栓）之内的、电气系统接口压线板（插座等）之内的设备、材料等；</w:t>
      </w:r>
    </w:p>
    <w:p>
      <w:pPr>
        <w:pStyle w:val="26"/>
        <w:snapToGrid w:val="0"/>
        <w:spacing w:line="360" w:lineRule="auto"/>
        <w:ind w:left="6" w:firstLine="474" w:firstLineChars="0"/>
        <w:rPr>
          <w:rFonts w:ascii="仿宋" w:hAnsi="仿宋" w:eastAsia="仿宋" w:cs="仿宋"/>
          <w:color w:val="auto"/>
          <w:highlight w:val="none"/>
        </w:rPr>
      </w:pPr>
      <w:r>
        <w:rPr>
          <w:rFonts w:hint="eastAsia" w:ascii="仿宋" w:hAnsi="仿宋" w:eastAsia="仿宋" w:cs="仿宋"/>
          <w:highlight w:val="none"/>
        </w:rPr>
        <w:t>1.4投标方应提供包括货物（或生产线）正常运行、使用所必需的过桥、护栏、防护网、盖板等辅助设施。标书中有要求的，按标书要求提供；标书中无具体要求而投标方认为必须具备的，在投标文件报价明细中，单独报价（但不计入税费等其它费用的计算基数）。</w:t>
      </w:r>
    </w:p>
    <w:p>
      <w:pPr>
        <w:pStyle w:val="26"/>
        <w:snapToGrid w:val="0"/>
        <w:spacing w:line="360" w:lineRule="auto"/>
        <w:ind w:left="6" w:firstLine="474" w:firstLineChars="0"/>
        <w:rPr>
          <w:rFonts w:ascii="仿宋" w:hAnsi="仿宋" w:eastAsia="仿宋" w:cs="仿宋"/>
          <w:highlight w:val="none"/>
        </w:rPr>
      </w:pPr>
      <w:r>
        <w:rPr>
          <w:rFonts w:hint="eastAsia" w:ascii="仿宋" w:hAnsi="仿宋" w:eastAsia="仿宋" w:cs="仿宋"/>
          <w:color w:val="auto"/>
          <w:highlight w:val="none"/>
        </w:rPr>
        <w:t>1.5投标方应提供包括为达到环保、消防和</w:t>
      </w:r>
      <w:r>
        <w:rPr>
          <w:rFonts w:hint="eastAsia" w:ascii="仿宋" w:hAnsi="仿宋" w:eastAsia="仿宋" w:cs="仿宋"/>
          <w:color w:val="auto"/>
          <w:highlight w:val="none"/>
          <w:lang w:eastAsia="zh-CN"/>
        </w:rPr>
        <w:t>职业健康</w:t>
      </w:r>
      <w:r>
        <w:rPr>
          <w:rFonts w:hint="eastAsia" w:ascii="仿宋" w:hAnsi="仿宋" w:eastAsia="仿宋" w:cs="仿宋"/>
          <w:color w:val="auto"/>
          <w:highlight w:val="none"/>
        </w:rPr>
        <w:t>等国家法律、法规和标准、规范要求的除尘系统、通风系统以及近距离照明系统等配</w:t>
      </w:r>
      <w:r>
        <w:rPr>
          <w:rFonts w:hint="eastAsia" w:ascii="仿宋" w:hAnsi="仿宋" w:eastAsia="仿宋" w:cs="仿宋"/>
          <w:highlight w:val="none"/>
        </w:rPr>
        <w:t>套的设备、材料等。如投标方难以提供或无优势提供，则应当在投标文件的技术偏离条款中，予以详细说明并注明投标报价未包含该部分的货值。</w:t>
      </w:r>
    </w:p>
    <w:p>
      <w:pPr>
        <w:pStyle w:val="26"/>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1.6投标方应提供包括为保证货物（或生产线）自身正常运行所必需的、适应使用地点条件的通风、冷却、降温系统等。</w:t>
      </w:r>
    </w:p>
    <w:p>
      <w:pPr>
        <w:pStyle w:val="26"/>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1.7投标方应提供包括为保证货物（或生产线）正常安装、调试和验收完成及以前所必需的整套配件、附件及材料、油料等。如果终验收完成后，投标方有需要收回的配件、附件、材料、油料等，应当在投标文件的技术偏离条款中，予以详细说明；否则视同包括在供货范围之内。</w:t>
      </w:r>
    </w:p>
    <w:p>
      <w:pPr>
        <w:pStyle w:val="26"/>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1.8投标方应提供货物（或生产线）维修所必需的专用工具，并在投标报价部分说明数量。</w:t>
      </w:r>
    </w:p>
    <w:p>
      <w:pPr>
        <w:snapToGrid w:val="0"/>
        <w:spacing w:line="360" w:lineRule="auto"/>
        <w:ind w:left="480"/>
        <w:outlineLvl w:val="2"/>
        <w:rPr>
          <w:rFonts w:ascii="仿宋" w:hAnsi="仿宋" w:eastAsia="仿宋" w:cs="仿宋"/>
          <w:b/>
          <w:bCs/>
          <w:highlight w:val="none"/>
        </w:rPr>
      </w:pPr>
      <w:bookmarkStart w:id="539" w:name="_Toc20059"/>
      <w:bookmarkStart w:id="540" w:name="_Toc31685"/>
      <w:bookmarkStart w:id="541" w:name="_Toc6916"/>
      <w:bookmarkStart w:id="542" w:name="_Toc5521"/>
      <w:bookmarkStart w:id="543" w:name="_Toc10211"/>
      <w:bookmarkStart w:id="544" w:name="_Toc25570"/>
      <w:bookmarkStart w:id="545" w:name="_Toc30087"/>
      <w:bookmarkStart w:id="546" w:name="_Toc18018"/>
      <w:bookmarkStart w:id="547" w:name="_Toc10027"/>
      <w:bookmarkStart w:id="548" w:name="_Toc3726"/>
      <w:bookmarkStart w:id="549" w:name="_Toc11531"/>
      <w:bookmarkStart w:id="550" w:name="_Toc31723"/>
      <w:bookmarkStart w:id="551" w:name="_Toc73112406"/>
      <w:bookmarkStart w:id="552" w:name="_Toc434"/>
      <w:bookmarkStart w:id="553" w:name="_Toc8330"/>
      <w:bookmarkStart w:id="554" w:name="_Toc30004"/>
      <w:bookmarkStart w:id="555" w:name="_Toc29389"/>
      <w:bookmarkStart w:id="556" w:name="_Toc31074"/>
      <w:bookmarkStart w:id="557" w:name="_Toc19187"/>
      <w:bookmarkStart w:id="558" w:name="_Toc2744"/>
      <w:r>
        <w:rPr>
          <w:rFonts w:hint="eastAsia" w:ascii="仿宋" w:hAnsi="仿宋" w:eastAsia="仿宋" w:cs="仿宋"/>
          <w:b/>
          <w:bCs/>
          <w:highlight w:val="none"/>
        </w:rPr>
        <w:t>2备品备件、易损件和专用耗材供货范围</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pPr>
        <w:pStyle w:val="26"/>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2.1招标方招标文件所指备品备件、易损件和专用耗材，是招标方为保证货物（或生产线）质保期之后正常运行一年所自备自用的备品备件、易损件和专用耗材。</w:t>
      </w:r>
    </w:p>
    <w:p>
      <w:pPr>
        <w:pStyle w:val="26"/>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2.2投标方按照招标文件要求提供、或投标方认为招标方应当储备的备品备件、易损件和专用耗材，投标方应当在投标报价部分分别说明所列备品备件、易损件和专用耗材的使用时间。</w:t>
      </w:r>
    </w:p>
    <w:p>
      <w:pPr>
        <w:pStyle w:val="26"/>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2.3投标方应提供易损件和专用耗材的制造图纸及其技术要求等资料。</w:t>
      </w:r>
    </w:p>
    <w:p>
      <w:pPr>
        <w:pStyle w:val="26"/>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2.4投标文件中，应当有备品备件、易损件和专用耗材的详细清单（内容包括名称、型号、规格、单位、数量、生产厂家、单价、总价等）。机床和机器人的主要参数、配置表、关键件和进口外购明细表、随机附明细表、技术文件明细表等。</w:t>
      </w:r>
    </w:p>
    <w:p>
      <w:pPr>
        <w:pStyle w:val="26"/>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2.5备品备件、易损件和专用耗材的费用应分类单列，并计入投标总报价之内。</w:t>
      </w:r>
    </w:p>
    <w:p>
      <w:pPr>
        <w:snapToGrid w:val="0"/>
        <w:spacing w:line="360" w:lineRule="auto"/>
        <w:ind w:left="480"/>
        <w:outlineLvl w:val="2"/>
        <w:rPr>
          <w:rFonts w:ascii="仿宋" w:hAnsi="仿宋" w:eastAsia="仿宋" w:cs="仿宋"/>
          <w:b/>
          <w:bCs/>
          <w:highlight w:val="none"/>
        </w:rPr>
      </w:pPr>
      <w:bookmarkStart w:id="559" w:name="_Toc30185"/>
      <w:bookmarkStart w:id="560" w:name="_Toc253"/>
      <w:bookmarkStart w:id="561" w:name="_Toc20956"/>
      <w:bookmarkStart w:id="562" w:name="_Toc6474"/>
      <w:bookmarkStart w:id="563" w:name="_Toc23668"/>
      <w:bookmarkStart w:id="564" w:name="_Toc14387"/>
      <w:bookmarkStart w:id="565" w:name="_Toc8994"/>
      <w:bookmarkStart w:id="566" w:name="_Toc19082"/>
      <w:bookmarkStart w:id="567" w:name="_Toc26974"/>
      <w:bookmarkStart w:id="568" w:name="_Toc11396"/>
      <w:bookmarkStart w:id="569" w:name="_Toc30333"/>
      <w:bookmarkStart w:id="570" w:name="_Toc21438"/>
      <w:bookmarkStart w:id="571" w:name="_Toc13573"/>
      <w:bookmarkStart w:id="572" w:name="_Toc29526"/>
      <w:bookmarkStart w:id="573" w:name="_Toc73112407"/>
      <w:bookmarkStart w:id="574" w:name="_Toc27176"/>
      <w:bookmarkStart w:id="575" w:name="_Toc29028"/>
      <w:bookmarkStart w:id="576" w:name="_Toc8769"/>
      <w:bookmarkStart w:id="577" w:name="_Toc30460"/>
      <w:bookmarkStart w:id="578" w:name="_Toc29622"/>
      <w:r>
        <w:rPr>
          <w:rFonts w:hint="eastAsia" w:ascii="仿宋" w:hAnsi="仿宋" w:eastAsia="仿宋" w:cs="仿宋"/>
          <w:b/>
          <w:bCs/>
          <w:highlight w:val="none"/>
        </w:rPr>
        <w:t>3技术资料供货范围</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pPr>
        <w:pStyle w:val="26"/>
        <w:snapToGrid w:val="0"/>
        <w:spacing w:line="360" w:lineRule="auto"/>
        <w:ind w:left="6" w:firstLine="474" w:firstLineChars="0"/>
        <w:rPr>
          <w:rFonts w:ascii="仿宋" w:hAnsi="仿宋" w:eastAsia="仿宋" w:cs="仿宋"/>
          <w:highlight w:val="none"/>
        </w:rPr>
      </w:pPr>
      <w:bookmarkStart w:id="579" w:name="_Toc133783972"/>
      <w:r>
        <w:rPr>
          <w:rFonts w:hint="eastAsia" w:ascii="仿宋" w:hAnsi="仿宋" w:eastAsia="仿宋" w:cs="仿宋"/>
          <w:highlight w:val="none"/>
        </w:rPr>
        <w:t>技术资料（进口设备要求中英文对照）包括：</w:t>
      </w:r>
    </w:p>
    <w:p>
      <w:pPr>
        <w:pStyle w:val="26"/>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3.1设备安全操作规程和使用手册；</w:t>
      </w:r>
    </w:p>
    <w:p>
      <w:pPr>
        <w:pStyle w:val="26"/>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3.2</w:t>
      </w:r>
      <w:r>
        <w:rPr>
          <w:rFonts w:hint="eastAsia" w:ascii="仿宋" w:hAnsi="仿宋" w:eastAsia="仿宋" w:cs="仿宋"/>
          <w:highlight w:val="none"/>
          <w:lang w:val="en-US" w:eastAsia="zh-CN"/>
        </w:rPr>
        <w:t xml:space="preserve"> </w:t>
      </w:r>
      <w:r>
        <w:rPr>
          <w:rFonts w:hint="eastAsia" w:ascii="仿宋" w:hAnsi="仿宋" w:eastAsia="仿宋" w:cs="仿宋"/>
          <w:highlight w:val="none"/>
        </w:rPr>
        <w:t>PLC编程手册和使用手册；</w:t>
      </w:r>
    </w:p>
    <w:p>
      <w:pPr>
        <w:pStyle w:val="26"/>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3.3维修手册及保养手册；</w:t>
      </w:r>
    </w:p>
    <w:p>
      <w:pPr>
        <w:pStyle w:val="26"/>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3.4液压原理图（含动作顺序表）、气动原理图（含动作顺序表）、润滑原理图、电气原理图、电器接线图、电气元件分布图、梯形图（带中文注释）；</w:t>
      </w:r>
    </w:p>
    <w:p>
      <w:pPr>
        <w:pStyle w:val="26"/>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3.5总装配图和主要部件的装配图，全部自制零件正规图纸，提供机床所有零件的明细表，零件号与装配图应一一对应，且能方便地查找零件在装配图上的位置。提供关键件、易损件零件图。</w:t>
      </w:r>
    </w:p>
    <w:p>
      <w:pPr>
        <w:pStyle w:val="26"/>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3.6采购部件提供正规装配图及零件明细;标准件提供明细（包括型号、规格、部位、数量、制造厂家）并与装配图一一对应；提供关键件，易损件明细。</w:t>
      </w:r>
    </w:p>
    <w:p>
      <w:pPr>
        <w:pStyle w:val="26"/>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3.7提供所有电气元件，液压元件，气动元件，润滑元件明细表（包括型号、规格、部位、数量、制造厂家）。</w:t>
      </w:r>
    </w:p>
    <w:p>
      <w:pPr>
        <w:pStyle w:val="26"/>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3.8 主要外购装置、外购件的使用指导说明书。</w:t>
      </w:r>
    </w:p>
    <w:p>
      <w:pPr>
        <w:pStyle w:val="26"/>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3.9主要零部件、元器件，由投标方负责检验，并提供检验报告。</w:t>
      </w:r>
    </w:p>
    <w:p>
      <w:pPr>
        <w:snapToGrid w:val="0"/>
        <w:spacing w:line="360" w:lineRule="auto"/>
        <w:ind w:left="6" w:firstLine="474"/>
        <w:rPr>
          <w:rFonts w:ascii="仿宋" w:hAnsi="仿宋" w:eastAsia="仿宋" w:cs="仿宋"/>
          <w:kern w:val="0"/>
          <w:highlight w:val="none"/>
        </w:rPr>
      </w:pPr>
      <w:r>
        <w:rPr>
          <w:rFonts w:hint="eastAsia" w:ascii="仿宋" w:hAnsi="仿宋" w:eastAsia="仿宋" w:cs="仿宋"/>
          <w:highlight w:val="none"/>
        </w:rPr>
        <w:t>3.10 应提供设备出厂所必须的具备国际标准或国内标准规定的具备相关计量检定资质单位精度检验证书、性能测试记录和报告。校准（标定）作业指导书。</w:t>
      </w:r>
    </w:p>
    <w:p>
      <w:pPr>
        <w:snapToGrid w:val="0"/>
        <w:spacing w:line="360" w:lineRule="auto"/>
        <w:ind w:left="6" w:firstLine="474"/>
        <w:rPr>
          <w:rFonts w:ascii="仿宋" w:hAnsi="仿宋" w:eastAsia="仿宋" w:cs="仿宋"/>
          <w:highlight w:val="none"/>
        </w:rPr>
      </w:pPr>
      <w:r>
        <w:rPr>
          <w:rFonts w:hint="eastAsia" w:ascii="仿宋" w:hAnsi="仿宋" w:eastAsia="仿宋" w:cs="仿宋"/>
          <w:highlight w:val="none"/>
        </w:rPr>
        <w:t>应提供具有测量、检定、校准等功能设备及具备有压力、温度、流量、位移等计量监控要求的计量器具进行检定/校准/标定所用受控标准器具及作业指导书、检定机构名单。</w:t>
      </w:r>
    </w:p>
    <w:p>
      <w:pPr>
        <w:pStyle w:val="26"/>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3.11 提供设备消耗水、电、气的详细资料。</w:t>
      </w:r>
    </w:p>
    <w:p>
      <w:pPr>
        <w:pStyle w:val="26"/>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3.12 保证设备正常运行、维护和保养必需的其他参数和资料。</w:t>
      </w:r>
    </w:p>
    <w:p>
      <w:pPr>
        <w:pStyle w:val="26"/>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3.13、投标方须负责在合同签订后</w:t>
      </w:r>
      <w:r>
        <w:rPr>
          <w:rFonts w:hint="eastAsia" w:ascii="仿宋" w:hAnsi="仿宋" w:eastAsia="仿宋" w:cs="仿宋"/>
          <w:highlight w:val="none"/>
          <w:u w:val="single"/>
          <w:shd w:val="pct10" w:color="auto" w:fill="FFFFFF"/>
        </w:rPr>
        <w:t>30</w:t>
      </w:r>
      <w:r>
        <w:rPr>
          <w:rFonts w:hint="eastAsia" w:ascii="仿宋" w:hAnsi="仿宋" w:eastAsia="仿宋" w:cs="仿宋"/>
          <w:highlight w:val="none"/>
        </w:rPr>
        <w:t>日内，提供设备基础及相关的安装、设计资料，并提供电子版资料文件，文件格式为：.doc,.dwg或.dxf；（进口货物、设备应有中外文对照）；并同时提出对厂房、基础、公用设施、消防、环保等不超出招标文件、投标文件、答疑文件、技术交流文件、技术协议书和合同等规定的、有特殊要求的解释、说明和要求；</w:t>
      </w:r>
    </w:p>
    <w:p>
      <w:pPr>
        <w:pStyle w:val="26"/>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3.14投标方须负责在预验收前，提供设备各部分的功能描述文件、图片、影像等资料（进口、设备应有中外文对照）；</w:t>
      </w:r>
    </w:p>
    <w:p>
      <w:pPr>
        <w:pStyle w:val="26"/>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3.15投标方须负责在终验收前，提供招标方所需全套的工装、模具、吊（挂）具明细及其图纸、具体技术要求等资料；</w:t>
      </w:r>
    </w:p>
    <w:p>
      <w:pPr>
        <w:pStyle w:val="26"/>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3.16投标方须负责在终验收前，提供确定的设备的外购件、外协件、电气元件及主要原材料的供货厂家明细表；</w:t>
      </w:r>
    </w:p>
    <w:p>
      <w:pPr>
        <w:pStyle w:val="26"/>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3.17投标方须负责在设备到达招标方工厂时，与设备一并提供包括设备的备品备件、易损件和专用耗材规定的图纸及技术参数、技术要求等资料；</w:t>
      </w:r>
    </w:p>
    <w:p>
      <w:pPr>
        <w:pStyle w:val="26"/>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3.18投标方须负责在设备到达招标方工厂时，与设备一并提供包括设备的操作维护手册，保养维修手册、安全操作规程和安全事项的说明书、仪器仪表检定和使用维修说明书、产品样本等技术资料、图片、影像等资料(对于进口设备，应有中外文资料说明)；</w:t>
      </w:r>
    </w:p>
    <w:p>
      <w:pPr>
        <w:pStyle w:val="26"/>
        <w:snapToGrid w:val="0"/>
        <w:spacing w:line="360" w:lineRule="auto"/>
        <w:ind w:left="6" w:firstLine="474" w:firstLineChars="0"/>
        <w:rPr>
          <w:rFonts w:hint="eastAsia" w:ascii="仿宋" w:hAnsi="仿宋" w:eastAsia="仿宋" w:cs="仿宋"/>
          <w:highlight w:val="none"/>
        </w:rPr>
      </w:pPr>
      <w:r>
        <w:rPr>
          <w:rFonts w:hint="eastAsia" w:ascii="仿宋" w:hAnsi="仿宋" w:eastAsia="仿宋" w:cs="仿宋"/>
          <w:highlight w:val="none"/>
        </w:rPr>
        <w:t>3.19投标方须负责在设备到达招标方工厂时，与设备一并提供包括设备的设计总图、设备全线布置图、电气资料（包括接线图、原理图、布线图、梯形图等）、液压（气动）原理图和系统图、安装基础图、维修图等有关的资料、图片、影像等资料(对于进口设备，应有中外文资料说明)；</w:t>
      </w:r>
    </w:p>
    <w:p>
      <w:pPr>
        <w:pStyle w:val="26"/>
        <w:snapToGrid w:val="0"/>
        <w:spacing w:line="360" w:lineRule="auto"/>
        <w:ind w:left="6" w:firstLine="474" w:firstLineChars="0"/>
        <w:rPr>
          <w:rFonts w:hint="default" w:ascii="仿宋" w:hAnsi="仿宋" w:eastAsia="仿宋" w:cs="仿宋"/>
          <w:highlight w:val="none"/>
          <w:lang w:val="en-US" w:eastAsia="zh-CN"/>
        </w:rPr>
      </w:pPr>
      <w:r>
        <w:rPr>
          <w:rFonts w:hint="eastAsia" w:ascii="仿宋" w:hAnsi="仿宋" w:eastAsia="仿宋" w:cs="仿宋"/>
          <w:highlight w:val="none"/>
          <w:lang w:val="en-US" w:eastAsia="zh-CN"/>
        </w:rPr>
        <w:t xml:space="preserve">3.20投标方在设备入场前提供接口的技术文档和参数说明，包括但不限于接口协议、通讯速率、数据格式等。 </w:t>
      </w:r>
    </w:p>
    <w:p>
      <w:pPr>
        <w:pStyle w:val="26"/>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3.2</w:t>
      </w:r>
      <w:r>
        <w:rPr>
          <w:rFonts w:hint="eastAsia" w:ascii="仿宋" w:hAnsi="仿宋" w:eastAsia="仿宋" w:cs="仿宋"/>
          <w:highlight w:val="none"/>
          <w:lang w:val="en-US" w:eastAsia="zh-CN"/>
        </w:rPr>
        <w:t>1</w:t>
      </w:r>
      <w:r>
        <w:rPr>
          <w:rFonts w:hint="eastAsia" w:ascii="仿宋" w:hAnsi="仿宋" w:eastAsia="仿宋" w:cs="仿宋"/>
          <w:highlight w:val="none"/>
        </w:rPr>
        <w:t>本“技术资料范围”所列的技术资料、图片、影像等，投标方应各提供</w:t>
      </w:r>
      <w:r>
        <w:rPr>
          <w:rFonts w:hint="eastAsia" w:ascii="仿宋" w:hAnsi="仿宋" w:eastAsia="仿宋" w:cs="仿宋"/>
          <w:highlight w:val="none"/>
          <w:shd w:val="pct10" w:color="auto" w:fill="FFFFFF"/>
        </w:rPr>
        <w:t>4</w:t>
      </w:r>
      <w:r>
        <w:rPr>
          <w:rFonts w:hint="eastAsia" w:ascii="仿宋" w:hAnsi="仿宋" w:eastAsia="仿宋" w:cs="仿宋"/>
          <w:highlight w:val="none"/>
        </w:rPr>
        <w:t>套，其中</w:t>
      </w:r>
      <w:r>
        <w:rPr>
          <w:rFonts w:hint="eastAsia" w:ascii="仿宋" w:hAnsi="仿宋" w:eastAsia="仿宋" w:cs="仿宋"/>
          <w:highlight w:val="none"/>
          <w:shd w:val="pct10" w:color="auto" w:fill="FFFFFF"/>
        </w:rPr>
        <w:t>2</w:t>
      </w:r>
      <w:r>
        <w:rPr>
          <w:rFonts w:hint="eastAsia" w:ascii="仿宋" w:hAnsi="仿宋" w:eastAsia="仿宋" w:cs="仿宋"/>
          <w:highlight w:val="none"/>
        </w:rPr>
        <w:t>套为电子版光（软）盘；每份技术文件应装有目录清单；</w:t>
      </w:r>
    </w:p>
    <w:p>
      <w:pPr>
        <w:pStyle w:val="26"/>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3.2</w:t>
      </w:r>
      <w:r>
        <w:rPr>
          <w:rFonts w:hint="eastAsia" w:ascii="仿宋" w:hAnsi="仿宋" w:eastAsia="仿宋" w:cs="仿宋"/>
          <w:highlight w:val="none"/>
          <w:lang w:val="en-US" w:eastAsia="zh-CN"/>
        </w:rPr>
        <w:t>2</w:t>
      </w:r>
      <w:r>
        <w:rPr>
          <w:rFonts w:hint="eastAsia" w:ascii="仿宋" w:hAnsi="仿宋" w:eastAsia="仿宋" w:cs="仿宋"/>
          <w:highlight w:val="none"/>
        </w:rPr>
        <w:t>本“技术资料范围”所列要求，如招标方认为投标方提供的资料不能满足要求时，有权要求投标方补充或增加。</w:t>
      </w:r>
    </w:p>
    <w:p>
      <w:pPr>
        <w:adjustRightInd w:val="0"/>
        <w:snapToGrid w:val="0"/>
        <w:spacing w:before="163" w:beforeLines="50" w:after="163" w:afterLines="50" w:line="360" w:lineRule="auto"/>
        <w:jc w:val="center"/>
        <w:outlineLvl w:val="1"/>
        <w:rPr>
          <w:rFonts w:ascii="仿宋" w:hAnsi="仿宋" w:eastAsia="仿宋" w:cs="仿宋"/>
          <w:b/>
          <w:bCs/>
          <w:highlight w:val="none"/>
        </w:rPr>
      </w:pPr>
      <w:bookmarkStart w:id="580" w:name="_Toc15671"/>
      <w:bookmarkStart w:id="581" w:name="_Toc6313"/>
      <w:bookmarkStart w:id="582" w:name="_Toc17572"/>
      <w:bookmarkStart w:id="583" w:name="_Toc11837"/>
      <w:bookmarkStart w:id="584" w:name="_Toc18839"/>
      <w:bookmarkStart w:id="585" w:name="_Toc17613"/>
      <w:bookmarkStart w:id="586" w:name="_Toc5634"/>
      <w:bookmarkStart w:id="587" w:name="_Toc29792"/>
      <w:bookmarkStart w:id="588" w:name="_Toc23025"/>
      <w:bookmarkStart w:id="589" w:name="_Toc73112408"/>
      <w:bookmarkStart w:id="590" w:name="_Toc1998"/>
      <w:bookmarkStart w:id="591" w:name="_Toc30635"/>
      <w:bookmarkStart w:id="592" w:name="_Toc27960"/>
      <w:bookmarkStart w:id="593" w:name="_Toc13201"/>
      <w:bookmarkStart w:id="594" w:name="_Toc27636"/>
      <w:bookmarkStart w:id="595" w:name="_Toc1897"/>
      <w:bookmarkStart w:id="596" w:name="_Toc8309"/>
      <w:bookmarkStart w:id="597" w:name="_Toc11851"/>
      <w:bookmarkStart w:id="598" w:name="_Toc4676"/>
      <w:bookmarkStart w:id="599" w:name="_Toc16689"/>
      <w:bookmarkStart w:id="600" w:name="_Toc18492"/>
      <w:bookmarkStart w:id="601" w:name="_Toc19194"/>
      <w:bookmarkStart w:id="602" w:name="_Toc81"/>
      <w:bookmarkStart w:id="603" w:name="_Toc15620"/>
      <w:bookmarkStart w:id="604" w:name="_Toc603"/>
      <w:bookmarkStart w:id="605" w:name="_Toc24898"/>
      <w:bookmarkStart w:id="606" w:name="_Toc20754"/>
      <w:bookmarkStart w:id="607" w:name="_Toc16163"/>
      <w:bookmarkStart w:id="608" w:name="_Toc18118"/>
      <w:bookmarkStart w:id="609" w:name="_Toc23856"/>
      <w:bookmarkStart w:id="610" w:name="_Toc4183"/>
      <w:bookmarkStart w:id="611" w:name="_Toc21360"/>
      <w:bookmarkStart w:id="612" w:name="_Toc4381"/>
      <w:bookmarkStart w:id="613" w:name="_Toc10692"/>
      <w:bookmarkStart w:id="614" w:name="_Toc17660"/>
      <w:bookmarkStart w:id="615" w:name="_Toc4601"/>
      <w:bookmarkStart w:id="616" w:name="_Toc3548"/>
      <w:bookmarkStart w:id="617" w:name="_Toc29107"/>
      <w:bookmarkStart w:id="618" w:name="_Toc3580"/>
      <w:bookmarkStart w:id="619" w:name="_Toc12288"/>
      <w:bookmarkStart w:id="620" w:name="_Toc22358"/>
      <w:bookmarkStart w:id="621" w:name="_Toc25983"/>
      <w:r>
        <w:rPr>
          <w:rFonts w:hint="eastAsia" w:ascii="仿宋" w:hAnsi="仿宋" w:eastAsia="仿宋" w:cs="仿宋"/>
          <w:b/>
          <w:bCs/>
          <w:highlight w:val="none"/>
        </w:rPr>
        <w:t>第二节供货方式</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pPr>
        <w:snapToGrid w:val="0"/>
        <w:spacing w:line="360" w:lineRule="auto"/>
        <w:ind w:left="480"/>
        <w:outlineLvl w:val="2"/>
        <w:rPr>
          <w:rFonts w:ascii="仿宋" w:hAnsi="仿宋" w:eastAsia="仿宋" w:cs="仿宋"/>
          <w:b/>
          <w:bCs/>
          <w:highlight w:val="none"/>
        </w:rPr>
      </w:pPr>
      <w:bookmarkStart w:id="622" w:name="_Toc3032"/>
      <w:bookmarkStart w:id="623" w:name="_Toc11533"/>
      <w:bookmarkStart w:id="624" w:name="_Toc1474"/>
      <w:bookmarkStart w:id="625" w:name="_Toc22679"/>
      <w:bookmarkStart w:id="626" w:name="_Toc10286"/>
      <w:bookmarkStart w:id="627" w:name="_Toc19237"/>
      <w:bookmarkStart w:id="628" w:name="_Toc28759"/>
      <w:bookmarkStart w:id="629" w:name="_Toc28962"/>
      <w:bookmarkStart w:id="630" w:name="_Toc24179"/>
      <w:bookmarkStart w:id="631" w:name="_Toc14135"/>
      <w:bookmarkStart w:id="632" w:name="_Toc1116"/>
      <w:bookmarkStart w:id="633" w:name="_Toc28360"/>
      <w:bookmarkStart w:id="634" w:name="_Toc18282"/>
      <w:bookmarkStart w:id="635" w:name="_Toc27005"/>
      <w:bookmarkStart w:id="636" w:name="_Toc4344"/>
      <w:bookmarkStart w:id="637" w:name="_Toc28222"/>
      <w:bookmarkStart w:id="638" w:name="_Toc32491"/>
      <w:bookmarkStart w:id="639" w:name="_Toc28534"/>
      <w:bookmarkStart w:id="640" w:name="_Toc73112409"/>
      <w:bookmarkStart w:id="641" w:name="_Toc20263"/>
      <w:r>
        <w:rPr>
          <w:rFonts w:hint="eastAsia" w:ascii="仿宋" w:hAnsi="仿宋" w:eastAsia="仿宋" w:cs="仿宋"/>
          <w:b/>
          <w:bCs/>
          <w:highlight w:val="none"/>
        </w:rPr>
        <w:t>1供货地点</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本项目建设工地。</w:t>
      </w:r>
    </w:p>
    <w:p>
      <w:pPr>
        <w:snapToGrid w:val="0"/>
        <w:spacing w:line="360" w:lineRule="auto"/>
        <w:ind w:left="480"/>
        <w:outlineLvl w:val="2"/>
        <w:rPr>
          <w:rFonts w:hint="eastAsia" w:ascii="仿宋" w:hAnsi="仿宋" w:eastAsia="仿宋" w:cs="仿宋"/>
          <w:b/>
          <w:bCs/>
          <w:highlight w:val="none"/>
        </w:rPr>
      </w:pPr>
      <w:bookmarkStart w:id="642" w:name="_Toc20257"/>
      <w:bookmarkStart w:id="643" w:name="_Toc30858"/>
      <w:bookmarkStart w:id="644" w:name="_Toc27558"/>
      <w:bookmarkStart w:id="645" w:name="_Toc2280"/>
      <w:bookmarkStart w:id="646" w:name="_Toc8043"/>
      <w:bookmarkStart w:id="647" w:name="_Toc11152"/>
      <w:bookmarkStart w:id="648" w:name="_Toc31657"/>
      <w:bookmarkStart w:id="649" w:name="_Toc6707"/>
      <w:bookmarkStart w:id="650" w:name="_Toc4215"/>
      <w:bookmarkStart w:id="651" w:name="_Toc26178"/>
      <w:bookmarkStart w:id="652" w:name="_Toc27724"/>
      <w:bookmarkStart w:id="653" w:name="_Toc9856"/>
      <w:bookmarkStart w:id="654" w:name="_Toc11086"/>
      <w:bookmarkStart w:id="655" w:name="_Toc531"/>
      <w:bookmarkStart w:id="656" w:name="_Toc73112410"/>
      <w:bookmarkStart w:id="657" w:name="_Toc21521"/>
      <w:bookmarkStart w:id="658" w:name="_Toc22044"/>
      <w:bookmarkStart w:id="659" w:name="_Toc26611"/>
      <w:bookmarkStart w:id="660" w:name="_Toc6963"/>
      <w:bookmarkStart w:id="661" w:name="_Toc5862"/>
      <w:r>
        <w:rPr>
          <w:rFonts w:hint="eastAsia" w:ascii="仿宋" w:hAnsi="仿宋" w:eastAsia="仿宋" w:cs="仿宋"/>
          <w:b/>
          <w:bCs/>
          <w:highlight w:val="none"/>
        </w:rPr>
        <w:t>2供货时间</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pPr>
        <w:snapToGrid w:val="0"/>
        <w:spacing w:line="360" w:lineRule="auto"/>
        <w:ind w:firstLine="420" w:firstLineChars="200"/>
        <w:jc w:val="left"/>
        <w:rPr>
          <w:rFonts w:ascii="仿宋" w:hAnsi="仿宋" w:eastAsia="仿宋" w:cs="仿宋"/>
          <w:strike/>
          <w:highlight w:val="none"/>
        </w:rPr>
      </w:pPr>
      <w:r>
        <w:rPr>
          <w:rFonts w:hint="eastAsia" w:ascii="仿宋" w:hAnsi="仿宋" w:eastAsia="仿宋" w:cs="仿宋"/>
          <w:highlight w:val="none"/>
        </w:rPr>
        <w:t>2.1投标方应自</w:t>
      </w:r>
      <w:r>
        <w:rPr>
          <w:rFonts w:hint="eastAsia" w:ascii="仿宋" w:hAnsi="仿宋" w:eastAsia="仿宋" w:cs="仿宋"/>
          <w:highlight w:val="none"/>
          <w:lang w:val="en-US" w:eastAsia="zh-CN"/>
        </w:rPr>
        <w:t>签定合同起</w:t>
      </w:r>
      <w:r>
        <w:rPr>
          <w:rFonts w:hint="eastAsia" w:ascii="仿宋" w:hAnsi="仿宋" w:eastAsia="仿宋" w:cs="仿宋"/>
          <w:highlight w:val="none"/>
          <w:u w:val="single"/>
          <w:shd w:val="pct10" w:color="auto" w:fill="FFFFFF"/>
          <w:lang w:val="en-US" w:eastAsia="zh-CN"/>
        </w:rPr>
        <w:t>60</w:t>
      </w:r>
      <w:r>
        <w:rPr>
          <w:rFonts w:hint="eastAsia" w:ascii="仿宋" w:hAnsi="仿宋" w:eastAsia="仿宋" w:cs="仿宋"/>
          <w:highlight w:val="none"/>
        </w:rPr>
        <w:t>日历日之内交货至供货地点。</w:t>
      </w:r>
    </w:p>
    <w:p>
      <w:pPr>
        <w:snapToGri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2.2连续</w:t>
      </w:r>
      <w:r>
        <w:rPr>
          <w:rFonts w:hint="eastAsia" w:ascii="仿宋" w:hAnsi="仿宋" w:eastAsia="仿宋" w:cs="仿宋"/>
          <w:highlight w:val="none"/>
          <w:u w:val="single"/>
        </w:rPr>
        <w:t xml:space="preserve"> </w:t>
      </w:r>
      <w:r>
        <w:rPr>
          <w:rFonts w:hint="eastAsia" w:ascii="仿宋" w:hAnsi="仿宋" w:eastAsia="仿宋" w:cs="仿宋"/>
          <w:highlight w:val="none"/>
          <w:u w:val="single"/>
          <w:shd w:val="pct10" w:color="auto" w:fill="FFFFFF"/>
          <w:lang w:val="en-US" w:eastAsia="zh-CN"/>
        </w:rPr>
        <w:t>15</w:t>
      </w:r>
      <w:r>
        <w:rPr>
          <w:rFonts w:hint="eastAsia" w:ascii="仿宋" w:hAnsi="仿宋" w:eastAsia="仿宋" w:cs="仿宋"/>
          <w:highlight w:val="none"/>
        </w:rPr>
        <w:t>个日历日之内安装调试完毕；</w:t>
      </w:r>
    </w:p>
    <w:p>
      <w:pPr>
        <w:snapToGri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2.3连续</w:t>
      </w:r>
      <w:r>
        <w:rPr>
          <w:rFonts w:hint="eastAsia" w:ascii="仿宋" w:hAnsi="仿宋" w:eastAsia="仿宋" w:cs="仿宋"/>
          <w:highlight w:val="none"/>
          <w:u w:val="single"/>
          <w:shd w:val="pct10" w:color="auto" w:fill="FFFFFF"/>
        </w:rPr>
        <w:t xml:space="preserve"> </w:t>
      </w:r>
      <w:r>
        <w:rPr>
          <w:rFonts w:hint="eastAsia" w:ascii="仿宋" w:hAnsi="仿宋" w:eastAsia="仿宋" w:cs="仿宋"/>
          <w:highlight w:val="none"/>
          <w:u w:val="single"/>
          <w:shd w:val="pct10" w:color="auto" w:fill="FFFFFF"/>
          <w:lang w:val="en-US" w:eastAsia="zh-CN"/>
        </w:rPr>
        <w:t>15</w:t>
      </w:r>
      <w:r>
        <w:rPr>
          <w:rFonts w:hint="eastAsia" w:ascii="仿宋" w:hAnsi="仿宋" w:eastAsia="仿宋" w:cs="仿宋"/>
          <w:highlight w:val="none"/>
          <w:u w:val="single"/>
        </w:rPr>
        <w:t xml:space="preserve"> </w:t>
      </w:r>
      <w:r>
        <w:rPr>
          <w:rFonts w:hint="eastAsia" w:ascii="仿宋" w:hAnsi="仿宋" w:eastAsia="仿宋" w:cs="仿宋"/>
          <w:highlight w:val="none"/>
        </w:rPr>
        <w:t>个日历日之内完成终验收。</w:t>
      </w:r>
    </w:p>
    <w:p>
      <w:pPr>
        <w:snapToGri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2.4必要时，投标方应当提供详细的工期计划。</w:t>
      </w:r>
    </w:p>
    <w:p>
      <w:pPr>
        <w:snapToGrid w:val="0"/>
        <w:spacing w:line="360" w:lineRule="auto"/>
        <w:ind w:left="480"/>
        <w:outlineLvl w:val="2"/>
        <w:rPr>
          <w:rFonts w:ascii="仿宋" w:hAnsi="仿宋" w:eastAsia="仿宋" w:cs="仿宋"/>
          <w:b/>
          <w:bCs/>
          <w:highlight w:val="none"/>
        </w:rPr>
      </w:pPr>
      <w:bookmarkStart w:id="662" w:name="_Toc17351"/>
      <w:bookmarkStart w:id="663" w:name="_Toc22394"/>
      <w:bookmarkStart w:id="664" w:name="_Toc24587"/>
      <w:bookmarkStart w:id="665" w:name="_Toc22617"/>
      <w:bookmarkStart w:id="666" w:name="_Toc16960"/>
      <w:bookmarkStart w:id="667" w:name="_Toc5288"/>
      <w:bookmarkStart w:id="668" w:name="_Toc17489"/>
      <w:bookmarkStart w:id="669" w:name="_Toc23122"/>
      <w:bookmarkStart w:id="670" w:name="_Toc9507"/>
      <w:bookmarkStart w:id="671" w:name="_Toc22968"/>
      <w:bookmarkStart w:id="672" w:name="_Toc29786"/>
      <w:bookmarkStart w:id="673" w:name="_Toc18845"/>
      <w:bookmarkStart w:id="674" w:name="_Toc8193"/>
      <w:bookmarkStart w:id="675" w:name="_Toc11749"/>
      <w:bookmarkStart w:id="676" w:name="_Toc4431"/>
      <w:bookmarkStart w:id="677" w:name="_Toc8419"/>
      <w:bookmarkStart w:id="678" w:name="_Toc31485"/>
      <w:bookmarkStart w:id="679" w:name="_Toc73112411"/>
      <w:bookmarkStart w:id="680" w:name="_Toc30983"/>
      <w:bookmarkStart w:id="681" w:name="_Toc18153"/>
      <w:r>
        <w:rPr>
          <w:rFonts w:hint="eastAsia" w:ascii="仿宋" w:hAnsi="仿宋" w:eastAsia="仿宋" w:cs="仿宋"/>
          <w:b/>
          <w:bCs/>
          <w:highlight w:val="none"/>
        </w:rPr>
        <w:t>3质保期</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pPr>
        <w:snapToGrid w:val="0"/>
        <w:spacing w:line="360" w:lineRule="auto"/>
        <w:ind w:firstLine="420" w:firstLineChars="200"/>
        <w:rPr>
          <w:rFonts w:ascii="仿宋" w:hAnsi="仿宋" w:eastAsia="仿宋" w:cs="仿宋"/>
          <w:strike/>
          <w:dstrike w:val="0"/>
          <w:highlight w:val="none"/>
        </w:rPr>
      </w:pPr>
      <w:r>
        <w:rPr>
          <w:rFonts w:hint="eastAsia" w:ascii="仿宋" w:hAnsi="仿宋" w:eastAsia="仿宋" w:cs="仿宋"/>
          <w:highlight w:val="none"/>
        </w:rPr>
        <w:t>3.1投标方所提供货物（或生产线）涉及的全部供货范围内的设备、材料、零配件和工器具等，除合同特别约定外，其质保期均自终验收签字生效之日起</w:t>
      </w:r>
      <w:r>
        <w:rPr>
          <w:rFonts w:hint="eastAsia" w:ascii="仿宋" w:hAnsi="仿宋" w:eastAsia="仿宋" w:cs="仿宋"/>
          <w:highlight w:val="none"/>
          <w:u w:val="single"/>
          <w:shd w:val="pct10" w:color="auto" w:fill="FFFFFF"/>
        </w:rPr>
        <w:t>12</w:t>
      </w:r>
      <w:r>
        <w:rPr>
          <w:rFonts w:hint="eastAsia" w:ascii="仿宋" w:hAnsi="仿宋" w:eastAsia="仿宋" w:cs="仿宋"/>
          <w:highlight w:val="none"/>
        </w:rPr>
        <w:t>个月。</w:t>
      </w:r>
    </w:p>
    <w:p>
      <w:pPr>
        <w:snapToGri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3.2质保期之内，如果货物（或生产线）出现关键设备、总成、零部件或者多处一般设备、总成、零部件的更换或维修行为，则质保期自更换或维修行为结束、货物（或生产线）能够正常运行使用之日起重新计算。</w:t>
      </w:r>
    </w:p>
    <w:p>
      <w:pPr>
        <w:snapToGrid w:val="0"/>
        <w:spacing w:line="360" w:lineRule="auto"/>
        <w:ind w:left="480"/>
        <w:outlineLvl w:val="2"/>
        <w:rPr>
          <w:rFonts w:ascii="仿宋" w:hAnsi="仿宋" w:eastAsia="仿宋" w:cs="仿宋"/>
          <w:b/>
          <w:bCs/>
          <w:highlight w:val="none"/>
        </w:rPr>
      </w:pPr>
      <w:bookmarkStart w:id="682" w:name="_Toc29090"/>
      <w:bookmarkStart w:id="683" w:name="_Toc27080"/>
      <w:bookmarkStart w:id="684" w:name="_Toc16664"/>
      <w:bookmarkStart w:id="685" w:name="_Toc14622"/>
      <w:bookmarkStart w:id="686" w:name="_Toc26040"/>
      <w:bookmarkStart w:id="687" w:name="_Toc21555"/>
      <w:bookmarkStart w:id="688" w:name="_Toc426"/>
      <w:bookmarkStart w:id="689" w:name="_Toc28907"/>
      <w:bookmarkStart w:id="690" w:name="_Toc20248"/>
      <w:bookmarkStart w:id="691" w:name="_Toc10272"/>
      <w:bookmarkStart w:id="692" w:name="_Toc21924"/>
      <w:bookmarkStart w:id="693" w:name="_Toc73112412"/>
      <w:bookmarkStart w:id="694" w:name="_Toc19011"/>
      <w:bookmarkStart w:id="695" w:name="_Toc20400"/>
      <w:bookmarkStart w:id="696" w:name="_Toc5126"/>
      <w:bookmarkStart w:id="697" w:name="_Toc17320"/>
      <w:bookmarkStart w:id="698" w:name="_Toc12791"/>
      <w:bookmarkStart w:id="699" w:name="_Toc16381"/>
      <w:bookmarkStart w:id="700" w:name="_Toc27729"/>
      <w:bookmarkStart w:id="701" w:name="_Toc27377"/>
      <w:r>
        <w:rPr>
          <w:rFonts w:hint="eastAsia" w:ascii="仿宋" w:hAnsi="仿宋" w:eastAsia="仿宋" w:cs="仿宋"/>
          <w:b/>
          <w:bCs/>
          <w:highlight w:val="none"/>
        </w:rPr>
        <w:t>4包装</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4.1投标方所提供货物（或设备）的包装，应遵照国家标准和有关包装、包皮的技术条件，或按照最好的商业惯例进行包装。</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4.2包装应能满足所需要采取的运输方式（船运、汽运或铁路运输）、多次吊装卸装、卸货以及长期露天堆放要求，应能防止雨淋、受潮、生锈、腐蚀、受振、受磁以及机械和化学因素等引起的损坏。</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4.3投标方所提供货物（或设备）的包装，应能防止其一般性被窃或受外力破坏；一般不得采用有大缝隙的板条包装。</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4.4投标方应对包装件做必要的加固和固定等防护措施，以防止运输可能造成的损坏。</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4.5每个包装件应有装箱单，并至少标明名称、型号规格、数量、净重和毛重、投标方（或供货商）名称和制造日期等相关内容。</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4.6每个包装箱应有明显标志，并具有中文书写的合同号、装运标志、发货和到货地点名称、发货人和收货人名称、货物（或生产线）名称和项目号、箱号和外型尺寸等内容。</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4.7投标方还应按照不同的装运要求在包装箱上标明“小心轻放”、“箭头向上”、“防潮”、“防磁”、“不准平放”等标志，以及其它适用的国标通用标志。</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4.8包装箱应连续编号，不应出现重复编号。</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4.9在不受到外界破坏情况下，包装应保证自交货日起一年内货物（或设备）完好无损。</w:t>
      </w:r>
    </w:p>
    <w:p>
      <w:pPr>
        <w:snapToGrid w:val="0"/>
        <w:spacing w:line="360" w:lineRule="auto"/>
        <w:ind w:left="480"/>
        <w:outlineLvl w:val="2"/>
        <w:rPr>
          <w:rFonts w:ascii="仿宋" w:hAnsi="仿宋" w:eastAsia="仿宋" w:cs="仿宋"/>
          <w:b/>
          <w:bCs/>
          <w:highlight w:val="none"/>
        </w:rPr>
      </w:pPr>
      <w:bookmarkStart w:id="702" w:name="_Toc21886"/>
      <w:bookmarkStart w:id="703" w:name="_Toc26302"/>
      <w:bookmarkStart w:id="704" w:name="_Toc22949"/>
      <w:bookmarkStart w:id="705" w:name="_Toc7046"/>
      <w:bookmarkStart w:id="706" w:name="_Toc25305"/>
      <w:bookmarkStart w:id="707" w:name="_Toc1857"/>
      <w:bookmarkStart w:id="708" w:name="_Toc73112413"/>
      <w:bookmarkStart w:id="709" w:name="_Toc8"/>
      <w:bookmarkStart w:id="710" w:name="_Toc22792"/>
      <w:bookmarkStart w:id="711" w:name="_Toc17881"/>
      <w:bookmarkStart w:id="712" w:name="_Toc4346"/>
      <w:bookmarkStart w:id="713" w:name="_Toc31538"/>
      <w:bookmarkStart w:id="714" w:name="_Toc5373"/>
      <w:bookmarkStart w:id="715" w:name="_Toc20536"/>
      <w:bookmarkStart w:id="716" w:name="_Toc22992"/>
      <w:bookmarkStart w:id="717" w:name="_Toc7889"/>
      <w:bookmarkStart w:id="718" w:name="_Toc21308"/>
      <w:bookmarkStart w:id="719" w:name="_Toc17990"/>
      <w:bookmarkStart w:id="720" w:name="_Toc23221"/>
      <w:bookmarkStart w:id="721" w:name="_Toc32266"/>
      <w:r>
        <w:rPr>
          <w:rFonts w:hint="eastAsia" w:ascii="仿宋" w:hAnsi="仿宋" w:eastAsia="仿宋" w:cs="仿宋"/>
          <w:b/>
          <w:bCs/>
          <w:highlight w:val="none"/>
        </w:rPr>
        <w:t>5运输</w:t>
      </w:r>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5.1投标方应负责将货物（或设备）运到目的地，并必须做到货物（或设备）在任何运输过程中不受损坏和遗失</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5.2同批货物（或设备）应统一包装、编号运输。</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5.3一般情况下，经由铁路、公路运输的包装件尺寸和重量不应超过国家所规定的尺寸限制。特殊情况应予以说明。</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5.4在每批货物（或设备）发出后，投标方应立即通知招标方；通知中应指明：合同号、货运单号、件数、重量和货物（或设备）发出日期等相关内容。</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5.5货物（或设备）运抵招标方现场后，投标方应负责货物（或设备）的卸货、搬运、保管等事宜；或按照合同约定。</w:t>
      </w:r>
      <w:bookmarkStart w:id="722" w:name="_Toc133783973"/>
    </w:p>
    <w:p>
      <w:pPr>
        <w:adjustRightInd w:val="0"/>
        <w:snapToGrid w:val="0"/>
        <w:spacing w:before="163" w:beforeLines="50" w:after="163" w:afterLines="50" w:line="360" w:lineRule="auto"/>
        <w:jc w:val="center"/>
        <w:outlineLvl w:val="0"/>
        <w:rPr>
          <w:rFonts w:ascii="仿宋" w:hAnsi="仿宋" w:eastAsia="仿宋" w:cs="仿宋"/>
          <w:b/>
          <w:bCs/>
          <w:highlight w:val="none"/>
        </w:rPr>
      </w:pPr>
      <w:bookmarkStart w:id="723" w:name="_Toc25780"/>
      <w:bookmarkStart w:id="724" w:name="_Toc24415"/>
      <w:bookmarkStart w:id="725" w:name="_Toc18423"/>
      <w:bookmarkStart w:id="726" w:name="_Toc13927"/>
      <w:bookmarkStart w:id="727" w:name="_Toc14023"/>
      <w:bookmarkStart w:id="728" w:name="_Toc26671"/>
      <w:bookmarkStart w:id="729" w:name="_Toc9059"/>
      <w:bookmarkStart w:id="730" w:name="_Toc8515"/>
      <w:bookmarkStart w:id="731" w:name="_Toc24978"/>
      <w:bookmarkStart w:id="732" w:name="_Toc26651"/>
      <w:bookmarkStart w:id="733" w:name="_Toc19986"/>
      <w:bookmarkStart w:id="734" w:name="_Toc28211"/>
      <w:bookmarkStart w:id="735" w:name="_Toc12478"/>
      <w:bookmarkStart w:id="736" w:name="_Toc31301"/>
      <w:bookmarkStart w:id="737" w:name="_Toc14171"/>
      <w:bookmarkStart w:id="738" w:name="_Toc25044"/>
      <w:bookmarkStart w:id="739" w:name="_Toc1740"/>
      <w:bookmarkStart w:id="740" w:name="_Toc12021"/>
      <w:bookmarkStart w:id="741" w:name="_Toc7501"/>
      <w:bookmarkStart w:id="742" w:name="_Toc10275"/>
      <w:bookmarkStart w:id="743" w:name="_Toc19133"/>
      <w:bookmarkStart w:id="744" w:name="_Toc28164"/>
      <w:bookmarkStart w:id="745" w:name="_Toc14862"/>
      <w:bookmarkStart w:id="746" w:name="_Toc24397"/>
      <w:bookmarkStart w:id="747" w:name="_Toc10894"/>
      <w:bookmarkStart w:id="748" w:name="_Toc32280"/>
      <w:bookmarkStart w:id="749" w:name="_Toc14414"/>
      <w:bookmarkStart w:id="750" w:name="_Toc3739"/>
      <w:bookmarkStart w:id="751" w:name="_Toc73112414"/>
      <w:bookmarkStart w:id="752" w:name="_Toc7672"/>
      <w:bookmarkStart w:id="753" w:name="_Toc10676"/>
      <w:bookmarkStart w:id="754" w:name="_Toc16036"/>
      <w:bookmarkStart w:id="755" w:name="_Toc25292"/>
      <w:bookmarkStart w:id="756" w:name="_Toc27085"/>
      <w:bookmarkStart w:id="757" w:name="_Toc14229"/>
      <w:bookmarkStart w:id="758" w:name="_Toc11027"/>
      <w:bookmarkStart w:id="759" w:name="_Toc15153"/>
      <w:bookmarkStart w:id="760" w:name="_Toc14916"/>
      <w:bookmarkStart w:id="761" w:name="_Toc2668"/>
      <w:bookmarkStart w:id="762" w:name="_Toc23255"/>
      <w:bookmarkStart w:id="763" w:name="_Toc22680"/>
      <w:bookmarkStart w:id="764" w:name="_Toc29063"/>
      <w:bookmarkStart w:id="765" w:name="_Toc27169"/>
      <w:r>
        <w:rPr>
          <w:rFonts w:hint="eastAsia" w:ascii="仿宋" w:hAnsi="仿宋" w:eastAsia="仿宋" w:cs="仿宋"/>
          <w:b/>
          <w:bCs/>
          <w:highlight w:val="none"/>
        </w:rPr>
        <w:t>第四章售中售后服务</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p>
      <w:pPr>
        <w:snapToGrid w:val="0"/>
        <w:spacing w:line="360" w:lineRule="auto"/>
        <w:ind w:left="480"/>
        <w:outlineLvl w:val="1"/>
        <w:rPr>
          <w:rFonts w:ascii="仿宋" w:hAnsi="仿宋" w:eastAsia="仿宋" w:cs="仿宋"/>
          <w:b/>
          <w:bCs/>
          <w:highlight w:val="none"/>
        </w:rPr>
      </w:pPr>
      <w:bookmarkStart w:id="766" w:name="_Toc23541"/>
      <w:bookmarkStart w:id="767" w:name="_Toc2661"/>
      <w:bookmarkStart w:id="768" w:name="_Toc14199"/>
      <w:bookmarkStart w:id="769" w:name="_Toc18522"/>
      <w:bookmarkStart w:id="770" w:name="_Toc29321"/>
      <w:bookmarkStart w:id="771" w:name="_Toc3697"/>
      <w:bookmarkStart w:id="772" w:name="_Toc7723"/>
      <w:bookmarkStart w:id="773" w:name="_Toc19735"/>
      <w:bookmarkStart w:id="774" w:name="_Toc344"/>
      <w:bookmarkStart w:id="775" w:name="_Toc23892"/>
      <w:bookmarkStart w:id="776" w:name="_Toc10787"/>
      <w:bookmarkStart w:id="777" w:name="_Toc788"/>
      <w:bookmarkStart w:id="778" w:name="_Toc9919"/>
      <w:bookmarkStart w:id="779" w:name="_Toc13786"/>
      <w:bookmarkStart w:id="780" w:name="_Toc7036"/>
      <w:bookmarkStart w:id="781" w:name="_Toc414"/>
      <w:bookmarkStart w:id="782" w:name="_Toc3722"/>
      <w:bookmarkStart w:id="783" w:name="_Toc217"/>
      <w:bookmarkStart w:id="784" w:name="_Toc4180"/>
      <w:bookmarkStart w:id="785" w:name="_Toc8465"/>
      <w:bookmarkStart w:id="786" w:name="_Toc4682"/>
      <w:bookmarkStart w:id="787" w:name="_Toc20514"/>
      <w:bookmarkStart w:id="788" w:name="_Toc13551"/>
      <w:bookmarkStart w:id="789" w:name="_Toc2564"/>
      <w:bookmarkStart w:id="790" w:name="_Toc4952"/>
      <w:bookmarkStart w:id="791" w:name="_Toc73112415"/>
      <w:bookmarkStart w:id="792" w:name="_Toc24344"/>
      <w:bookmarkStart w:id="793" w:name="_Toc12793"/>
      <w:bookmarkStart w:id="794" w:name="_Toc27811"/>
      <w:bookmarkStart w:id="795" w:name="_Toc19576"/>
      <w:bookmarkStart w:id="796" w:name="_Toc17832"/>
      <w:bookmarkStart w:id="797" w:name="_Toc28487"/>
      <w:bookmarkStart w:id="798" w:name="_Toc10791"/>
      <w:bookmarkStart w:id="799" w:name="_Toc23493"/>
      <w:bookmarkStart w:id="800" w:name="_Toc9079"/>
      <w:bookmarkStart w:id="801" w:name="_Toc20772"/>
      <w:bookmarkStart w:id="802" w:name="_Toc25505"/>
      <w:bookmarkStart w:id="803" w:name="_Toc16066"/>
      <w:bookmarkStart w:id="804" w:name="_Toc17645"/>
      <w:bookmarkStart w:id="805" w:name="_Toc29262"/>
      <w:bookmarkStart w:id="806" w:name="_Toc24654"/>
      <w:bookmarkStart w:id="807" w:name="_Toc8910"/>
      <w:r>
        <w:rPr>
          <w:rFonts w:hint="eastAsia" w:ascii="仿宋" w:hAnsi="仿宋" w:eastAsia="仿宋" w:cs="仿宋"/>
          <w:b/>
          <w:bCs/>
          <w:highlight w:val="none"/>
        </w:rPr>
        <w:t>1技术及培训服务</w:t>
      </w:r>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1.1投标方应负责对招标方</w:t>
      </w:r>
      <w:r>
        <w:rPr>
          <w:rFonts w:hint="eastAsia" w:ascii="仿宋" w:hAnsi="仿宋" w:eastAsia="仿宋" w:cs="仿宋"/>
          <w:highlight w:val="none"/>
          <w:u w:val="single"/>
          <w:shd w:val="pct10" w:color="auto" w:fill="FFFFFF"/>
        </w:rPr>
        <w:t xml:space="preserve"> 5</w:t>
      </w:r>
      <w:r>
        <w:rPr>
          <w:rFonts w:hint="eastAsia" w:ascii="仿宋" w:hAnsi="仿宋" w:eastAsia="仿宋" w:cs="仿宋"/>
          <w:highlight w:val="none"/>
          <w:u w:val="single"/>
        </w:rPr>
        <w:t xml:space="preserve"> </w:t>
      </w:r>
      <w:r>
        <w:rPr>
          <w:rFonts w:hint="eastAsia" w:ascii="仿宋" w:hAnsi="仿宋" w:eastAsia="仿宋" w:cs="仿宋"/>
          <w:highlight w:val="none"/>
        </w:rPr>
        <w:t>名工程技术人员、维修人员和操作人员提供不少于</w:t>
      </w:r>
      <w:r>
        <w:rPr>
          <w:rFonts w:hint="eastAsia" w:ascii="仿宋" w:hAnsi="仿宋" w:eastAsia="仿宋" w:cs="仿宋"/>
          <w:highlight w:val="none"/>
          <w:u w:val="single"/>
          <w:shd w:val="pct10" w:color="auto" w:fill="FFFFFF"/>
        </w:rPr>
        <w:t xml:space="preserve"> </w:t>
      </w:r>
      <w:r>
        <w:rPr>
          <w:rFonts w:hint="eastAsia" w:ascii="仿宋" w:hAnsi="仿宋" w:eastAsia="仿宋" w:cs="仿宋"/>
          <w:highlight w:val="none"/>
          <w:u w:val="single"/>
          <w:shd w:val="pct10" w:color="auto" w:fill="FFFFFF"/>
          <w:lang w:val="en-US" w:eastAsia="zh-CN"/>
        </w:rPr>
        <w:t>3</w:t>
      </w:r>
      <w:r>
        <w:rPr>
          <w:rFonts w:hint="eastAsia" w:ascii="仿宋" w:hAnsi="仿宋" w:eastAsia="仿宋" w:cs="仿宋"/>
          <w:highlight w:val="none"/>
          <w:u w:val="single"/>
        </w:rPr>
        <w:t xml:space="preserve"> </w:t>
      </w:r>
      <w:r>
        <w:rPr>
          <w:rFonts w:hint="eastAsia" w:ascii="仿宋" w:hAnsi="仿宋" w:eastAsia="仿宋" w:cs="仿宋"/>
          <w:highlight w:val="none"/>
        </w:rPr>
        <w:t>个日历日的免费的、生产制造现场的理论、技术和操作、维修、安全等方面的指导和培训，并为招标方受培训人员提供免费的培训地交通、食宿条件。</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1.2投标方应负责在招标方货物（或生产线）使用现场，进行</w:t>
      </w:r>
      <w:r>
        <w:rPr>
          <w:rFonts w:hint="eastAsia" w:ascii="仿宋" w:hAnsi="仿宋" w:eastAsia="仿宋" w:cs="仿宋"/>
          <w:highlight w:val="none"/>
          <w:shd w:val="pct10" w:color="auto" w:fill="FFFFFF"/>
        </w:rPr>
        <w:t>2～3</w:t>
      </w:r>
      <w:r>
        <w:rPr>
          <w:rFonts w:hint="eastAsia" w:ascii="仿宋" w:hAnsi="仿宋" w:eastAsia="仿宋" w:cs="仿宋"/>
          <w:highlight w:val="none"/>
        </w:rPr>
        <w:t>次免费的技术指导和培训，并接受招标方有关人员的技术咨询。</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1.3投标方应免费提供全套培训资料。所有设备均需要配备产品说明书，包括设备的内部结构、组成及保养、维护、调试等相关内容，便于生产人员及维修人员查阅。</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1.4投标方应按要求，免费积极协助和提供招标方以及招标方所委托的工程设计单位有关人员所需要的、与货物（或生产线）有关的工程设计资料、技术咨询等。</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1.5若投标方提供的货物（或生产线）涉及到外购外协货物、而且该货物的技术质量等较为关键、功能实现或操作较为困难，凡招标方提出需求的，投标方应能得到配套厂家的技术支持，并免费为招标方提供技术服务及培训。</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1.6投标方负责制定对招标方人员在设备安全、操作运行、职业防护、诊断维修、使用保养和试验等方面的培训计划，并有专人负责实施培训计划，负责指导招标方受培训人员正确理解设计和制造意图，认识设备的特点和特性，掌握在运行、维修和使用管理中应遵守的规则等方面的综合知识。</w:t>
      </w:r>
    </w:p>
    <w:p>
      <w:pPr>
        <w:snapToGrid w:val="0"/>
        <w:spacing w:line="360" w:lineRule="auto"/>
        <w:ind w:left="480"/>
        <w:outlineLvl w:val="1"/>
        <w:rPr>
          <w:rFonts w:ascii="仿宋" w:hAnsi="仿宋" w:eastAsia="仿宋" w:cs="仿宋"/>
          <w:b/>
          <w:bCs/>
          <w:highlight w:val="none"/>
        </w:rPr>
      </w:pPr>
      <w:bookmarkStart w:id="808" w:name="_Toc16867"/>
      <w:bookmarkStart w:id="809" w:name="_Toc17849"/>
      <w:bookmarkStart w:id="810" w:name="_Toc19800"/>
      <w:bookmarkStart w:id="811" w:name="_Toc16493"/>
      <w:bookmarkStart w:id="812" w:name="_Toc6394"/>
      <w:bookmarkStart w:id="813" w:name="_Toc11516"/>
      <w:bookmarkStart w:id="814" w:name="_Toc22719"/>
      <w:bookmarkStart w:id="815" w:name="_Toc1420"/>
      <w:bookmarkStart w:id="816" w:name="_Toc17865"/>
      <w:bookmarkStart w:id="817" w:name="_Toc29981"/>
      <w:bookmarkStart w:id="818" w:name="_Toc9824"/>
      <w:bookmarkStart w:id="819" w:name="_Toc31039"/>
      <w:bookmarkStart w:id="820" w:name="_Toc25721"/>
      <w:bookmarkStart w:id="821" w:name="_Toc10782"/>
      <w:bookmarkStart w:id="822" w:name="_Toc13970"/>
      <w:bookmarkStart w:id="823" w:name="_Toc13235"/>
      <w:bookmarkStart w:id="824" w:name="_Toc32690"/>
      <w:bookmarkStart w:id="825" w:name="_Toc22693"/>
      <w:bookmarkStart w:id="826" w:name="_Toc16207"/>
      <w:bookmarkStart w:id="827" w:name="_Toc22880"/>
      <w:bookmarkStart w:id="828" w:name="_Toc30271"/>
      <w:bookmarkStart w:id="829" w:name="_Toc3042"/>
      <w:bookmarkStart w:id="830" w:name="_Toc21693"/>
      <w:bookmarkStart w:id="831" w:name="_Toc29413"/>
      <w:bookmarkStart w:id="832" w:name="_Toc26880"/>
      <w:bookmarkStart w:id="833" w:name="_Toc13864"/>
      <w:bookmarkStart w:id="834" w:name="_Toc11060"/>
      <w:bookmarkStart w:id="835" w:name="_Toc29691"/>
      <w:bookmarkStart w:id="836" w:name="_Toc15460"/>
      <w:bookmarkStart w:id="837" w:name="_Toc14504"/>
      <w:bookmarkStart w:id="838" w:name="_Toc1176"/>
      <w:bookmarkStart w:id="839" w:name="_Toc3976"/>
      <w:bookmarkStart w:id="840" w:name="_Toc73112416"/>
      <w:bookmarkStart w:id="841" w:name="_Toc3907"/>
      <w:bookmarkStart w:id="842" w:name="_Toc3892"/>
      <w:bookmarkStart w:id="843" w:name="_Toc16259"/>
      <w:bookmarkStart w:id="844" w:name="_Toc25347"/>
      <w:bookmarkStart w:id="845" w:name="_Toc17516"/>
      <w:bookmarkStart w:id="846" w:name="_Toc5703"/>
      <w:bookmarkStart w:id="847" w:name="_Toc19866"/>
      <w:bookmarkStart w:id="848" w:name="_Toc15028"/>
      <w:bookmarkStart w:id="849" w:name="_Toc26430"/>
      <w:r>
        <w:rPr>
          <w:rFonts w:hint="eastAsia" w:ascii="仿宋" w:hAnsi="仿宋" w:eastAsia="仿宋" w:cs="仿宋"/>
          <w:b/>
          <w:bCs/>
          <w:highlight w:val="none"/>
        </w:rPr>
        <w:t>2安装调试服务</w:t>
      </w:r>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2.1根据货物（或生产线）的要求，调试可分空载和负载两个阶段进行；招标方将予以积极配合，协助投标方达到货物（或生产线）的各项技术指标和性能要求。</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2.2安装调试与验收期间，若投标方提供的货物（或生产线）涉及到外购外协货物、而且该货物的技术质量等较为关键、功能实现或操作较为困难时，凡招标方提出需求的，投标方应能得到配套厂家的技术支持，并免费为招标方提供安装使用现场的指导与协调。</w:t>
      </w:r>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2.3投标方提供收费的或免费的、指导安装调试或负责安装调试，至少应在投标文件的报价章节中，予以明确说明。</w:t>
      </w:r>
    </w:p>
    <w:p>
      <w:pPr>
        <w:snapToGrid w:val="0"/>
        <w:spacing w:line="360" w:lineRule="auto"/>
        <w:ind w:left="480"/>
        <w:outlineLvl w:val="1"/>
        <w:rPr>
          <w:rFonts w:ascii="仿宋" w:hAnsi="仿宋" w:eastAsia="仿宋" w:cs="仿宋"/>
          <w:b/>
          <w:bCs/>
          <w:highlight w:val="none"/>
        </w:rPr>
      </w:pPr>
      <w:bookmarkStart w:id="850" w:name="_Toc2510"/>
      <w:bookmarkStart w:id="851" w:name="_Toc16435"/>
      <w:bookmarkStart w:id="852" w:name="_Toc22871"/>
      <w:bookmarkStart w:id="853" w:name="_Toc24615"/>
      <w:bookmarkStart w:id="854" w:name="_Toc11229"/>
      <w:bookmarkStart w:id="855" w:name="_Toc16337"/>
      <w:bookmarkStart w:id="856" w:name="_Toc10635"/>
      <w:bookmarkStart w:id="857" w:name="_Toc18269"/>
      <w:bookmarkStart w:id="858" w:name="_Toc19674"/>
      <w:bookmarkStart w:id="859" w:name="_Toc1565"/>
      <w:bookmarkStart w:id="860" w:name="_Toc9269"/>
      <w:bookmarkStart w:id="861" w:name="_Toc30193"/>
      <w:bookmarkStart w:id="862" w:name="_Toc218"/>
      <w:bookmarkStart w:id="863" w:name="_Toc73112417"/>
      <w:bookmarkStart w:id="864" w:name="_Toc29125"/>
      <w:bookmarkStart w:id="865" w:name="_Toc29245"/>
      <w:bookmarkStart w:id="866" w:name="_Toc30398"/>
      <w:bookmarkStart w:id="867" w:name="_Toc13443"/>
      <w:bookmarkStart w:id="868" w:name="_Toc7783"/>
      <w:bookmarkStart w:id="869" w:name="_Toc8975"/>
      <w:bookmarkStart w:id="870" w:name="_Toc9329"/>
      <w:bookmarkStart w:id="871" w:name="_Toc2657"/>
      <w:bookmarkStart w:id="872" w:name="_Toc4751"/>
      <w:bookmarkStart w:id="873" w:name="_Toc628"/>
      <w:bookmarkStart w:id="874" w:name="_Toc32488"/>
      <w:bookmarkStart w:id="875" w:name="_Toc16916"/>
      <w:bookmarkStart w:id="876" w:name="_Toc13921"/>
      <w:bookmarkStart w:id="877" w:name="_Toc9878"/>
      <w:bookmarkStart w:id="878" w:name="_Toc17427"/>
      <w:bookmarkStart w:id="879" w:name="_Toc19810"/>
      <w:bookmarkStart w:id="880" w:name="_Toc2097"/>
      <w:bookmarkStart w:id="881" w:name="_Toc12739"/>
      <w:bookmarkStart w:id="882" w:name="_Toc3170"/>
      <w:bookmarkStart w:id="883" w:name="_Toc1585"/>
      <w:bookmarkStart w:id="884" w:name="_Toc4076"/>
      <w:bookmarkStart w:id="885" w:name="_Toc32442"/>
      <w:bookmarkStart w:id="886" w:name="_Toc25079"/>
      <w:bookmarkStart w:id="887" w:name="_Toc17284"/>
      <w:bookmarkStart w:id="888" w:name="_Toc16373"/>
      <w:bookmarkStart w:id="889" w:name="_Toc16706"/>
      <w:bookmarkStart w:id="890" w:name="_Toc29126"/>
      <w:bookmarkStart w:id="891" w:name="_Toc7956"/>
      <w:r>
        <w:rPr>
          <w:rFonts w:hint="eastAsia" w:ascii="仿宋" w:hAnsi="仿宋" w:eastAsia="仿宋" w:cs="仿宋"/>
          <w:b/>
          <w:bCs/>
          <w:highlight w:val="none"/>
        </w:rPr>
        <w:t>3验收服务</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3.1投标方在招标方现场进行的货物（或生产线）的预验收和终验收配合或指导，应当是免费的。</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3.2货物（或生产线）验收时，若投标方提供的货物（或生产线）涉及到外购外协货物、而且该货物的技术质量等较为关键、功能实现或操作较为困难时，凡招标方提出需求的，投标方应能得到配套厂家的技术支持，并免费为招标方提供使用现场验收的配合或指导。</w:t>
      </w:r>
    </w:p>
    <w:p>
      <w:pPr>
        <w:tabs>
          <w:tab w:val="left" w:pos="-1800"/>
          <w:tab w:val="left" w:pos="720"/>
        </w:tabs>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3.3在投标方所提供货物（或生产线）需要得到招标方建设项目所在地政府或行业主管部门的查验、试验、验收时，投标方应当免费完成或协助招标方完成所需要的工作、材料和服务等。协助完成的，应当在投标文件报价内容中予以说明，否则视同免费。</w:t>
      </w:r>
    </w:p>
    <w:p>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3.4合格验收时，投标方提供测量功能设备及计量器具资质合格证书，招标方根据实际情况进行相关复检，复检合格视为合格。</w:t>
      </w:r>
    </w:p>
    <w:p>
      <w:pPr>
        <w:snapToGrid w:val="0"/>
        <w:spacing w:line="360" w:lineRule="auto"/>
        <w:ind w:left="480"/>
        <w:outlineLvl w:val="1"/>
        <w:rPr>
          <w:rFonts w:ascii="仿宋" w:hAnsi="仿宋" w:eastAsia="仿宋" w:cs="仿宋"/>
          <w:b/>
          <w:bCs/>
          <w:highlight w:val="none"/>
        </w:rPr>
      </w:pPr>
      <w:bookmarkStart w:id="892" w:name="_Toc21987"/>
      <w:bookmarkStart w:id="893" w:name="_Toc11213"/>
      <w:bookmarkStart w:id="894" w:name="_Toc18836"/>
      <w:bookmarkStart w:id="895" w:name="_Toc6099"/>
      <w:bookmarkStart w:id="896" w:name="_Toc3798"/>
      <w:bookmarkStart w:id="897" w:name="_Toc22965"/>
      <w:bookmarkStart w:id="898" w:name="_Toc17056"/>
      <w:bookmarkStart w:id="899" w:name="_Toc19441"/>
      <w:bookmarkStart w:id="900" w:name="_Toc20426"/>
      <w:bookmarkStart w:id="901" w:name="_Toc20081"/>
      <w:bookmarkStart w:id="902" w:name="_Toc32079"/>
      <w:bookmarkStart w:id="903" w:name="_Toc18968"/>
      <w:bookmarkStart w:id="904" w:name="_Toc6232"/>
      <w:bookmarkStart w:id="905" w:name="_Toc29778"/>
      <w:bookmarkStart w:id="906" w:name="_Toc7478"/>
      <w:bookmarkStart w:id="907" w:name="_Toc8078"/>
      <w:bookmarkStart w:id="908" w:name="_Toc28635"/>
      <w:bookmarkStart w:id="909" w:name="_Toc20717"/>
      <w:bookmarkStart w:id="910" w:name="_Toc29633"/>
      <w:bookmarkStart w:id="911" w:name="_Toc10808"/>
      <w:bookmarkStart w:id="912" w:name="_Toc22392"/>
      <w:bookmarkStart w:id="913" w:name="_Toc10014"/>
      <w:bookmarkStart w:id="914" w:name="_Toc7782"/>
      <w:bookmarkStart w:id="915" w:name="_Toc542"/>
      <w:bookmarkStart w:id="916" w:name="_Toc26554"/>
      <w:bookmarkStart w:id="917" w:name="_Toc11699"/>
      <w:bookmarkStart w:id="918" w:name="_Toc4417"/>
      <w:bookmarkStart w:id="919" w:name="_Toc1311"/>
      <w:bookmarkStart w:id="920" w:name="_Toc29300"/>
      <w:bookmarkStart w:id="921" w:name="_Toc14739"/>
      <w:bookmarkStart w:id="922" w:name="_Toc20916"/>
      <w:bookmarkStart w:id="923" w:name="_Toc1454"/>
      <w:bookmarkStart w:id="924" w:name="_Toc9592"/>
      <w:bookmarkStart w:id="925" w:name="_Toc73112418"/>
      <w:bookmarkStart w:id="926" w:name="_Toc2093"/>
      <w:bookmarkStart w:id="927" w:name="_Toc27224"/>
      <w:bookmarkStart w:id="928" w:name="_Toc26773"/>
      <w:bookmarkStart w:id="929" w:name="_Toc1199"/>
      <w:bookmarkStart w:id="930" w:name="_Toc17895"/>
      <w:bookmarkStart w:id="931" w:name="_Toc30412"/>
      <w:bookmarkStart w:id="932" w:name="_Toc32682"/>
      <w:bookmarkStart w:id="933" w:name="_Toc19397"/>
      <w:r>
        <w:rPr>
          <w:rFonts w:hint="eastAsia" w:ascii="仿宋" w:hAnsi="仿宋" w:eastAsia="仿宋" w:cs="仿宋"/>
          <w:b/>
          <w:bCs/>
          <w:highlight w:val="none"/>
        </w:rPr>
        <w:t>4售后服务</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4.1所有的售后服务均由投标方受理。如果发生问题并且收到报告，投标方应当在2小时内予以答复。</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4.2如发现所提供的货物（或生产线）存在问题，需要投标方解决或配合解决时：在质保期之内，应在接到通知后</w:t>
      </w:r>
      <w:r>
        <w:rPr>
          <w:rFonts w:hint="eastAsia" w:ascii="仿宋" w:hAnsi="仿宋" w:eastAsia="仿宋" w:cs="仿宋"/>
          <w:highlight w:val="none"/>
          <w:u w:val="single"/>
          <w:shd w:val="pct10" w:color="auto" w:fill="FFFFFF"/>
        </w:rPr>
        <w:t>24</w:t>
      </w:r>
      <w:r>
        <w:rPr>
          <w:rFonts w:hint="eastAsia" w:ascii="仿宋" w:hAnsi="仿宋" w:eastAsia="仿宋" w:cs="仿宋"/>
          <w:highlight w:val="none"/>
          <w:u w:val="single"/>
        </w:rPr>
        <w:t xml:space="preserve"> </w:t>
      </w:r>
      <w:r>
        <w:rPr>
          <w:rFonts w:hint="eastAsia" w:ascii="仿宋" w:hAnsi="仿宋" w:eastAsia="仿宋" w:cs="仿宋"/>
          <w:highlight w:val="none"/>
        </w:rPr>
        <w:t>小时内派有关人员到达现场；在质保期之外，应在接到通知后</w:t>
      </w:r>
      <w:r>
        <w:rPr>
          <w:rFonts w:hint="eastAsia" w:ascii="仿宋" w:hAnsi="仿宋" w:eastAsia="仿宋" w:cs="仿宋"/>
          <w:highlight w:val="none"/>
          <w:u w:val="single"/>
          <w:shd w:val="pct10" w:color="auto" w:fill="FFFFFF"/>
        </w:rPr>
        <w:t>48</w:t>
      </w:r>
      <w:r>
        <w:rPr>
          <w:rFonts w:hint="eastAsia" w:ascii="仿宋" w:hAnsi="仿宋" w:eastAsia="仿宋" w:cs="仿宋"/>
          <w:highlight w:val="none"/>
          <w:u w:val="single"/>
        </w:rPr>
        <w:t xml:space="preserve"> </w:t>
      </w:r>
      <w:r>
        <w:rPr>
          <w:rFonts w:hint="eastAsia" w:ascii="仿宋" w:hAnsi="仿宋" w:eastAsia="仿宋" w:cs="仿宋"/>
          <w:highlight w:val="none"/>
        </w:rPr>
        <w:t>小时内派有关人员到达现场。</w:t>
      </w:r>
    </w:p>
    <w:p>
      <w:pPr>
        <w:adjustRightInd w:val="0"/>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4.3投标方派往招标方使用现场的人员，应具有较高的业务素质；现场解决问题时，不得无故拖延或推迟，应为招标方提供最佳的服务。</w:t>
      </w:r>
    </w:p>
    <w:p>
      <w:pPr>
        <w:adjustRightInd w:val="0"/>
        <w:snapToGrid w:val="0"/>
        <w:spacing w:line="360" w:lineRule="auto"/>
        <w:ind w:firstLine="420" w:firstLineChars="200"/>
        <w:rPr>
          <w:rFonts w:hint="eastAsia" w:eastAsia="仿宋"/>
          <w:highlight w:val="none"/>
          <w:lang w:eastAsia="zh-CN"/>
        </w:rPr>
      </w:pPr>
      <w:r>
        <w:rPr>
          <w:rFonts w:hint="eastAsia" w:ascii="仿宋" w:hAnsi="仿宋" w:eastAsia="仿宋" w:cs="仿宋"/>
          <w:highlight w:val="none"/>
        </w:rPr>
        <w:t>4.</w:t>
      </w:r>
      <w:r>
        <w:rPr>
          <w:rFonts w:hint="eastAsia" w:ascii="仿宋" w:hAnsi="仿宋" w:eastAsia="仿宋" w:cs="仿宋"/>
          <w:highlight w:val="none"/>
          <w:lang w:val="en-US" w:eastAsia="zh-CN"/>
        </w:rPr>
        <w:t>4设备（或生产线）在使用周期内，投标方免费派遣技术人员与甲方调试团队共同进行设备通讯接口的调试工作。</w:t>
      </w:r>
    </w:p>
    <w:p>
      <w:pPr>
        <w:snapToGrid w:val="0"/>
        <w:spacing w:line="360" w:lineRule="auto"/>
        <w:ind w:left="480"/>
        <w:outlineLvl w:val="1"/>
        <w:rPr>
          <w:rFonts w:ascii="仿宋" w:hAnsi="仿宋" w:eastAsia="仿宋" w:cs="仿宋"/>
          <w:b/>
          <w:bCs/>
          <w:highlight w:val="none"/>
        </w:rPr>
      </w:pPr>
      <w:bookmarkStart w:id="934" w:name="_Toc26287"/>
      <w:bookmarkStart w:id="935" w:name="_Toc27505"/>
      <w:bookmarkStart w:id="936" w:name="_Toc1573"/>
      <w:bookmarkStart w:id="937" w:name="_Toc12294"/>
      <w:bookmarkStart w:id="938" w:name="_Toc10752"/>
      <w:bookmarkStart w:id="939" w:name="_Toc26623"/>
      <w:bookmarkStart w:id="940" w:name="_Toc9982"/>
      <w:bookmarkStart w:id="941" w:name="_Toc4793"/>
      <w:bookmarkStart w:id="942" w:name="_Toc28927"/>
      <w:bookmarkStart w:id="943" w:name="_Toc18148"/>
      <w:bookmarkStart w:id="944" w:name="_Toc13974"/>
      <w:bookmarkStart w:id="945" w:name="_Toc22732"/>
      <w:bookmarkStart w:id="946" w:name="_Toc25994"/>
      <w:bookmarkStart w:id="947" w:name="_Toc20936"/>
      <w:bookmarkStart w:id="948" w:name="_Toc6354"/>
      <w:bookmarkStart w:id="949" w:name="_Toc26976"/>
      <w:bookmarkStart w:id="950" w:name="_Toc6984"/>
      <w:bookmarkStart w:id="951" w:name="_Toc31498"/>
      <w:bookmarkStart w:id="952" w:name="_Toc19301"/>
      <w:bookmarkStart w:id="953" w:name="_Toc14349"/>
      <w:bookmarkStart w:id="954" w:name="_Toc115"/>
      <w:bookmarkStart w:id="955" w:name="_Toc6107"/>
      <w:bookmarkStart w:id="956" w:name="_Toc16849"/>
      <w:bookmarkStart w:id="957" w:name="_Toc21895"/>
      <w:bookmarkStart w:id="958" w:name="_Toc27285"/>
      <w:bookmarkStart w:id="959" w:name="_Toc32502"/>
      <w:bookmarkStart w:id="960" w:name="_Toc3819"/>
      <w:bookmarkStart w:id="961" w:name="_Toc30999"/>
      <w:bookmarkStart w:id="962" w:name="_Toc32366"/>
      <w:bookmarkStart w:id="963" w:name="_Toc25242"/>
      <w:bookmarkStart w:id="964" w:name="_Toc7130"/>
      <w:bookmarkStart w:id="965" w:name="_Toc22593"/>
      <w:bookmarkStart w:id="966" w:name="_Toc30887"/>
      <w:bookmarkStart w:id="967" w:name="_Toc1118"/>
      <w:bookmarkStart w:id="968" w:name="_Toc6730"/>
      <w:bookmarkStart w:id="969" w:name="_Toc17891"/>
      <w:bookmarkStart w:id="970" w:name="_Toc27733"/>
      <w:bookmarkStart w:id="971" w:name="_Toc20327"/>
      <w:bookmarkStart w:id="972" w:name="_Toc25693"/>
      <w:bookmarkStart w:id="973" w:name="_Toc9688"/>
      <w:bookmarkStart w:id="974" w:name="_Toc913"/>
      <w:bookmarkStart w:id="975" w:name="_Toc73112419"/>
      <w:r>
        <w:rPr>
          <w:rFonts w:hint="eastAsia" w:ascii="仿宋" w:hAnsi="仿宋" w:eastAsia="仿宋" w:cs="仿宋"/>
          <w:b/>
          <w:bCs/>
          <w:highlight w:val="none"/>
        </w:rPr>
        <w:t>5其它服务</w: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5.1若投标方所提供货物（或生产线）有需要进口的，投标方一般应自行、自费办理；必要时，招标方和投标方共同办理。</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5.2除招标文件、投标文件、答疑文件、技术协议、合同等约定之外，投标方应免费负责必要的或强制性的货物（或生产线）的检验、试验、化验等直接费用。</w:t>
      </w:r>
      <w:bookmarkStart w:id="976" w:name="_Toc133783974"/>
    </w:p>
    <w:p>
      <w:pPr>
        <w:adjustRightInd w:val="0"/>
        <w:snapToGrid w:val="0"/>
        <w:spacing w:before="163" w:beforeLines="50" w:after="163" w:afterLines="50" w:line="360" w:lineRule="auto"/>
        <w:jc w:val="center"/>
        <w:outlineLvl w:val="0"/>
        <w:rPr>
          <w:rFonts w:ascii="仿宋" w:hAnsi="仿宋" w:eastAsia="仿宋" w:cs="仿宋"/>
          <w:b/>
          <w:bCs/>
          <w:highlight w:val="none"/>
        </w:rPr>
      </w:pPr>
      <w:bookmarkStart w:id="977" w:name="_Toc12454"/>
      <w:bookmarkStart w:id="978" w:name="_Toc5013"/>
      <w:bookmarkStart w:id="979" w:name="_Toc25057"/>
      <w:bookmarkStart w:id="980" w:name="_Toc9498"/>
      <w:bookmarkStart w:id="981" w:name="_Toc19017"/>
      <w:bookmarkStart w:id="982" w:name="_Toc8076"/>
      <w:bookmarkStart w:id="983" w:name="_Toc8547"/>
      <w:bookmarkStart w:id="984" w:name="_Toc32409"/>
      <w:bookmarkStart w:id="985" w:name="_Toc21122"/>
      <w:bookmarkStart w:id="986" w:name="_Toc18030"/>
      <w:bookmarkStart w:id="987" w:name="_Toc16355"/>
      <w:bookmarkStart w:id="988" w:name="_Toc73112420"/>
      <w:bookmarkStart w:id="989" w:name="_Toc18621"/>
      <w:bookmarkStart w:id="990" w:name="_Toc32483"/>
      <w:bookmarkStart w:id="991" w:name="_Toc9482"/>
      <w:bookmarkStart w:id="992" w:name="_Toc26489"/>
      <w:bookmarkStart w:id="993" w:name="_Toc29269"/>
      <w:bookmarkStart w:id="994" w:name="_Toc10438"/>
      <w:bookmarkStart w:id="995" w:name="_Toc22725"/>
      <w:bookmarkStart w:id="996" w:name="_Toc10873"/>
      <w:bookmarkStart w:id="997" w:name="_Toc13895"/>
      <w:bookmarkStart w:id="998" w:name="_Toc16312"/>
      <w:bookmarkStart w:id="999" w:name="_Toc19942"/>
      <w:bookmarkStart w:id="1000" w:name="_Toc9121"/>
      <w:bookmarkStart w:id="1001" w:name="_Toc2140"/>
      <w:bookmarkStart w:id="1002" w:name="_Toc25825"/>
      <w:bookmarkStart w:id="1003" w:name="_Toc14411"/>
      <w:bookmarkStart w:id="1004" w:name="_Toc27484"/>
      <w:bookmarkStart w:id="1005" w:name="_Toc29777"/>
      <w:bookmarkStart w:id="1006" w:name="_Toc4011"/>
      <w:bookmarkStart w:id="1007" w:name="_Toc5996"/>
      <w:bookmarkStart w:id="1008" w:name="_Toc11150"/>
      <w:bookmarkStart w:id="1009" w:name="_Toc30293"/>
      <w:bookmarkStart w:id="1010" w:name="_Toc10492"/>
      <w:bookmarkStart w:id="1011" w:name="_Toc19208"/>
      <w:bookmarkStart w:id="1012" w:name="_Toc6228"/>
      <w:bookmarkStart w:id="1013" w:name="_Toc13250"/>
      <w:bookmarkStart w:id="1014" w:name="_Toc24752"/>
      <w:bookmarkStart w:id="1015" w:name="_Toc7461"/>
      <w:bookmarkStart w:id="1016" w:name="_Toc2800"/>
      <w:bookmarkStart w:id="1017" w:name="_Toc15356"/>
      <w:bookmarkStart w:id="1018" w:name="_Toc23730"/>
      <w:bookmarkStart w:id="1019" w:name="_Toc12013"/>
      <w:r>
        <w:rPr>
          <w:rFonts w:hint="eastAsia" w:ascii="仿宋" w:hAnsi="仿宋" w:eastAsia="仿宋" w:cs="仿宋"/>
          <w:b/>
          <w:bCs/>
          <w:highlight w:val="none"/>
        </w:rPr>
        <w:t>第五章预验收和终验收</w:t>
      </w:r>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p>
    <w:p>
      <w:pPr>
        <w:snapToGrid w:val="0"/>
        <w:spacing w:line="360" w:lineRule="auto"/>
        <w:ind w:left="482"/>
        <w:outlineLvl w:val="1"/>
        <w:rPr>
          <w:rFonts w:ascii="仿宋" w:hAnsi="仿宋" w:eastAsia="仿宋" w:cs="仿宋"/>
          <w:b/>
          <w:bCs/>
          <w:highlight w:val="none"/>
        </w:rPr>
      </w:pPr>
      <w:bookmarkStart w:id="1020" w:name="_Toc11331"/>
      <w:bookmarkStart w:id="1021" w:name="_Toc21206"/>
      <w:bookmarkStart w:id="1022" w:name="_Toc242"/>
      <w:bookmarkStart w:id="1023" w:name="_Toc13718"/>
      <w:bookmarkStart w:id="1024" w:name="_Toc14541"/>
      <w:bookmarkStart w:id="1025" w:name="_Toc24517"/>
      <w:bookmarkStart w:id="1026" w:name="_Toc6378"/>
      <w:bookmarkStart w:id="1027" w:name="_Toc21557"/>
      <w:bookmarkStart w:id="1028" w:name="_Toc2326"/>
      <w:bookmarkStart w:id="1029" w:name="_Toc29611"/>
      <w:bookmarkStart w:id="1030" w:name="_Toc29287"/>
      <w:bookmarkStart w:id="1031" w:name="_Toc28506"/>
      <w:bookmarkStart w:id="1032" w:name="_Toc23231"/>
      <w:bookmarkStart w:id="1033" w:name="_Toc27951"/>
      <w:bookmarkStart w:id="1034" w:name="_Toc3676"/>
      <w:bookmarkStart w:id="1035" w:name="_Toc7191"/>
      <w:bookmarkStart w:id="1036" w:name="_Toc31478"/>
      <w:bookmarkStart w:id="1037" w:name="_Toc29608"/>
      <w:bookmarkStart w:id="1038" w:name="_Toc22207"/>
      <w:bookmarkStart w:id="1039" w:name="_Toc24809"/>
      <w:bookmarkStart w:id="1040" w:name="_Toc9902"/>
      <w:bookmarkStart w:id="1041" w:name="_Toc25574"/>
      <w:bookmarkStart w:id="1042" w:name="_Toc23191"/>
      <w:bookmarkStart w:id="1043" w:name="_Toc15025"/>
      <w:bookmarkStart w:id="1044" w:name="_Toc7463"/>
      <w:bookmarkStart w:id="1045" w:name="_Toc27225"/>
      <w:bookmarkStart w:id="1046" w:name="_Toc5401"/>
      <w:bookmarkStart w:id="1047" w:name="_Toc27448"/>
      <w:bookmarkStart w:id="1048" w:name="_Toc22981"/>
      <w:bookmarkStart w:id="1049" w:name="_Toc4070"/>
      <w:bookmarkStart w:id="1050" w:name="_Toc14965"/>
      <w:bookmarkStart w:id="1051" w:name="_Toc10033"/>
      <w:bookmarkStart w:id="1052" w:name="_Toc29964"/>
      <w:bookmarkStart w:id="1053" w:name="_Toc12239"/>
      <w:bookmarkStart w:id="1054" w:name="_Toc28073"/>
      <w:bookmarkStart w:id="1055" w:name="_Toc6924"/>
      <w:bookmarkStart w:id="1056" w:name="_Toc22140"/>
      <w:bookmarkStart w:id="1057" w:name="_Toc7184"/>
      <w:bookmarkStart w:id="1058" w:name="_Toc17620"/>
      <w:bookmarkStart w:id="1059" w:name="_Toc1286"/>
      <w:bookmarkStart w:id="1060" w:name="_Toc73112421"/>
      <w:bookmarkStart w:id="1061" w:name="_Toc12676"/>
      <w:r>
        <w:rPr>
          <w:rFonts w:hint="eastAsia" w:ascii="仿宋" w:hAnsi="仿宋" w:eastAsia="仿宋" w:cs="仿宋"/>
          <w:b/>
          <w:bCs/>
          <w:highlight w:val="none"/>
        </w:rPr>
        <w:t>1验收的一般约定</w:t>
      </w:r>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1.1验收标准一般以技术协议书和合同规定验收。</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1.2如果验收过程中，发现招标文件、投标文件、答疑文件、技术交流文件等与技术协议书、合同存在差异，原则上以涉及条款中对买方最有利条款为验收依据。</w:t>
      </w:r>
    </w:p>
    <w:p>
      <w:pPr>
        <w:snapToGrid w:val="0"/>
        <w:spacing w:line="360" w:lineRule="auto"/>
        <w:ind w:left="482"/>
        <w:outlineLvl w:val="1"/>
        <w:rPr>
          <w:rFonts w:ascii="仿宋" w:hAnsi="仿宋" w:eastAsia="仿宋" w:cs="仿宋"/>
          <w:b/>
          <w:bCs/>
          <w:highlight w:val="none"/>
        </w:rPr>
      </w:pPr>
      <w:bookmarkStart w:id="1062" w:name="_Toc8338"/>
      <w:bookmarkStart w:id="1063" w:name="_Toc6471"/>
      <w:bookmarkStart w:id="1064" w:name="_Toc8742"/>
      <w:bookmarkStart w:id="1065" w:name="_Toc20876"/>
      <w:bookmarkStart w:id="1066" w:name="_Toc31116"/>
      <w:bookmarkStart w:id="1067" w:name="_Toc19505"/>
      <w:bookmarkStart w:id="1068" w:name="_Toc7457"/>
      <w:bookmarkStart w:id="1069" w:name="_Toc1155"/>
      <w:bookmarkStart w:id="1070" w:name="_Toc8916"/>
      <w:bookmarkStart w:id="1071" w:name="_Toc28873"/>
      <w:bookmarkStart w:id="1072" w:name="_Toc22558"/>
      <w:bookmarkStart w:id="1073" w:name="_Toc27120"/>
      <w:bookmarkStart w:id="1074" w:name="_Toc18517"/>
      <w:bookmarkStart w:id="1075" w:name="_Toc28925"/>
      <w:bookmarkStart w:id="1076" w:name="_Toc13173"/>
      <w:bookmarkStart w:id="1077" w:name="_Toc10200"/>
      <w:bookmarkStart w:id="1078" w:name="_Toc21568"/>
      <w:bookmarkStart w:id="1079" w:name="_Toc29669"/>
      <w:bookmarkStart w:id="1080" w:name="_Toc6206"/>
      <w:bookmarkStart w:id="1081" w:name="_Toc8093"/>
      <w:bookmarkStart w:id="1082" w:name="_Toc9729"/>
      <w:bookmarkStart w:id="1083" w:name="_Toc13736"/>
      <w:bookmarkStart w:id="1084" w:name="_Toc22158"/>
      <w:bookmarkStart w:id="1085" w:name="_Toc16943"/>
      <w:bookmarkStart w:id="1086" w:name="_Toc73112422"/>
      <w:bookmarkStart w:id="1087" w:name="_Toc513"/>
      <w:bookmarkStart w:id="1088" w:name="_Toc21722"/>
      <w:bookmarkStart w:id="1089" w:name="_Toc21414"/>
      <w:bookmarkStart w:id="1090" w:name="_Toc7863"/>
      <w:bookmarkStart w:id="1091" w:name="_Toc11248"/>
      <w:bookmarkStart w:id="1092" w:name="_Toc17720"/>
      <w:bookmarkStart w:id="1093" w:name="_Toc15379"/>
      <w:bookmarkStart w:id="1094" w:name="_Toc25951"/>
      <w:bookmarkStart w:id="1095" w:name="_Toc10568"/>
      <w:bookmarkStart w:id="1096" w:name="_Toc32581"/>
      <w:bookmarkStart w:id="1097" w:name="_Toc30274"/>
      <w:bookmarkStart w:id="1098" w:name="_Toc11335"/>
      <w:bookmarkStart w:id="1099" w:name="_Toc27467"/>
      <w:bookmarkStart w:id="1100" w:name="_Toc23133"/>
      <w:bookmarkStart w:id="1101" w:name="_Toc2310"/>
      <w:bookmarkStart w:id="1102" w:name="_Toc23919"/>
      <w:bookmarkStart w:id="1103" w:name="_Toc17335"/>
      <w:r>
        <w:rPr>
          <w:rFonts w:hint="eastAsia" w:ascii="仿宋" w:hAnsi="仿宋" w:eastAsia="仿宋" w:cs="仿宋"/>
          <w:b/>
          <w:bCs/>
          <w:highlight w:val="none"/>
        </w:rPr>
        <w:t>2检验</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2.1国产货物（或生产线）的检验由卖买双方按照合同要求或在制造现场进行。</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2.2进口货物（或生产线）的检验按照下述要求进行：</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2.1.1进口货物（或生产线）发货前，卖方应对货物（或生产线）的质量、型号、规格、性能和数量/重量作精密、全面的检验，并出具证明书，证明所供货物（或生产线）符合合同规定。</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2.1.2卖方应依据合同规定的要求，提供买卖双方达成一致的货物（或生产线）的验收标准和装箱单，作为买方检验的依据。</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2.1.3进口货物（或生产线）到达目的地后，买方有权申请中国商品检验检疫局进行检验，如发现货物（或生产线）的品质及规格与合同或发票不符，除买方的责任外，买方有权在货物（或生产线）到达卸货目的地后</w:t>
      </w:r>
      <w:r>
        <w:rPr>
          <w:rFonts w:hint="eastAsia" w:ascii="仿宋" w:hAnsi="仿宋" w:eastAsia="仿宋" w:cs="仿宋"/>
          <w:highlight w:val="none"/>
          <w:shd w:val="pct10" w:color="auto" w:fill="FFFFFF"/>
        </w:rPr>
        <w:t>180</w:t>
      </w:r>
      <w:r>
        <w:rPr>
          <w:rFonts w:hint="eastAsia" w:ascii="仿宋" w:hAnsi="仿宋" w:eastAsia="仿宋" w:cs="仿宋"/>
          <w:highlight w:val="none"/>
        </w:rPr>
        <w:t>个日历日内，根据中国商品检验检疫局出具的证明书向卖方提出索赔，因索赔所发生的一切费用(包括检验检疫费等)均由卖方承担。</w:t>
      </w:r>
    </w:p>
    <w:p>
      <w:pPr>
        <w:snapToGrid w:val="0"/>
        <w:spacing w:line="360" w:lineRule="auto"/>
        <w:ind w:left="482"/>
        <w:outlineLvl w:val="1"/>
        <w:rPr>
          <w:rFonts w:ascii="仿宋" w:hAnsi="仿宋" w:eastAsia="仿宋" w:cs="仿宋"/>
          <w:b/>
          <w:bCs/>
          <w:highlight w:val="none"/>
        </w:rPr>
      </w:pPr>
      <w:bookmarkStart w:id="1104" w:name="_Toc5604"/>
      <w:bookmarkStart w:id="1105" w:name="_Toc1041"/>
      <w:bookmarkStart w:id="1106" w:name="_Toc16878"/>
      <w:bookmarkStart w:id="1107" w:name="_Toc73112423"/>
      <w:bookmarkStart w:id="1108" w:name="_Toc10879"/>
      <w:bookmarkStart w:id="1109" w:name="_Toc16665"/>
      <w:bookmarkStart w:id="1110" w:name="_Toc29497"/>
      <w:bookmarkStart w:id="1111" w:name="_Toc27538"/>
      <w:bookmarkStart w:id="1112" w:name="_Toc228"/>
      <w:bookmarkStart w:id="1113" w:name="_Toc27145"/>
      <w:bookmarkStart w:id="1114" w:name="_Toc1969"/>
      <w:bookmarkStart w:id="1115" w:name="_Toc14844"/>
      <w:bookmarkStart w:id="1116" w:name="_Toc32111"/>
      <w:bookmarkStart w:id="1117" w:name="_Toc21757"/>
      <w:bookmarkStart w:id="1118" w:name="_Toc23252"/>
      <w:bookmarkStart w:id="1119" w:name="_Toc11846"/>
      <w:bookmarkStart w:id="1120" w:name="_Toc18595"/>
      <w:bookmarkStart w:id="1121" w:name="_Toc8477"/>
      <w:bookmarkStart w:id="1122" w:name="_Toc14993"/>
      <w:bookmarkStart w:id="1123" w:name="_Toc5653"/>
      <w:bookmarkStart w:id="1124" w:name="_Toc25654"/>
      <w:bookmarkStart w:id="1125" w:name="_Toc15488"/>
      <w:bookmarkStart w:id="1126" w:name="_Toc18036"/>
      <w:bookmarkStart w:id="1127" w:name="_Toc22379"/>
      <w:bookmarkStart w:id="1128" w:name="_Toc6506"/>
      <w:bookmarkStart w:id="1129" w:name="_Toc8214"/>
      <w:bookmarkStart w:id="1130" w:name="_Toc23250"/>
      <w:bookmarkStart w:id="1131" w:name="_Toc14904"/>
      <w:bookmarkStart w:id="1132" w:name="_Toc17499"/>
      <w:bookmarkStart w:id="1133" w:name="_Toc27629"/>
      <w:bookmarkStart w:id="1134" w:name="_Toc11780"/>
      <w:bookmarkStart w:id="1135" w:name="_Toc8128"/>
      <w:bookmarkStart w:id="1136" w:name="_Toc31780"/>
      <w:bookmarkStart w:id="1137" w:name="_Toc27594"/>
      <w:bookmarkStart w:id="1138" w:name="_Toc1461"/>
      <w:bookmarkStart w:id="1139" w:name="_Toc30797"/>
      <w:bookmarkStart w:id="1140" w:name="_Toc28225"/>
      <w:bookmarkStart w:id="1141" w:name="_Toc14587"/>
      <w:bookmarkStart w:id="1142" w:name="_Toc19311"/>
      <w:bookmarkStart w:id="1143" w:name="_Toc8664"/>
      <w:bookmarkStart w:id="1144" w:name="_Toc21487"/>
      <w:bookmarkStart w:id="1145" w:name="_Toc27310"/>
      <w:r>
        <w:rPr>
          <w:rFonts w:hint="eastAsia" w:ascii="仿宋" w:hAnsi="仿宋" w:eastAsia="仿宋" w:cs="仿宋"/>
          <w:b/>
          <w:bCs/>
          <w:highlight w:val="none"/>
        </w:rPr>
        <w:t>3验收条件</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买卖双方按照合同约定执行了合同，同时货物（或生产线）完成了试运行并经检验合格，则具备验收条件。</w:t>
      </w:r>
    </w:p>
    <w:p>
      <w:pPr>
        <w:adjustRightInd w:val="0"/>
        <w:snapToGrid w:val="0"/>
        <w:spacing w:line="360" w:lineRule="auto"/>
        <w:ind w:firstLine="420" w:firstLineChars="200"/>
        <w:rPr>
          <w:rFonts w:ascii="仿宋" w:hAnsi="仿宋" w:eastAsia="仿宋" w:cs="仿宋"/>
          <w:highlight w:val="none"/>
        </w:rPr>
      </w:pPr>
      <w:bookmarkStart w:id="1146" w:name="_Toc25547"/>
      <w:bookmarkStart w:id="1147" w:name="_Toc24921"/>
      <w:bookmarkStart w:id="1148" w:name="_Toc4157"/>
      <w:bookmarkStart w:id="1149" w:name="_Toc10389"/>
      <w:bookmarkStart w:id="1150" w:name="_Toc7303"/>
      <w:bookmarkStart w:id="1151" w:name="_Toc11234"/>
      <w:bookmarkStart w:id="1152" w:name="_Toc23170"/>
      <w:bookmarkStart w:id="1153" w:name="_Toc16622"/>
      <w:bookmarkStart w:id="1154" w:name="_Toc20087"/>
      <w:bookmarkStart w:id="1155" w:name="_Toc11902"/>
      <w:bookmarkStart w:id="1156" w:name="_Toc24377"/>
      <w:bookmarkStart w:id="1157" w:name="_Toc1849"/>
      <w:bookmarkStart w:id="1158" w:name="_Toc17709"/>
      <w:bookmarkStart w:id="1159" w:name="_Toc6977"/>
      <w:bookmarkStart w:id="1160" w:name="_Toc32498"/>
      <w:bookmarkStart w:id="1161" w:name="_Toc5952"/>
      <w:bookmarkStart w:id="1162" w:name="_Toc19344"/>
      <w:bookmarkStart w:id="1163" w:name="_Toc362"/>
      <w:bookmarkStart w:id="1164" w:name="_Toc21811"/>
      <w:bookmarkStart w:id="1165" w:name="_Toc20504"/>
      <w:bookmarkStart w:id="1166" w:name="_Toc5473"/>
      <w:bookmarkStart w:id="1167" w:name="_Toc771"/>
      <w:bookmarkStart w:id="1168" w:name="_Toc23548"/>
      <w:bookmarkStart w:id="1169" w:name="_Toc18963"/>
      <w:bookmarkStart w:id="1170" w:name="_Toc22247"/>
      <w:bookmarkStart w:id="1171" w:name="_Toc6731"/>
      <w:bookmarkStart w:id="1172" w:name="_Toc30563"/>
      <w:bookmarkStart w:id="1173" w:name="_Toc9015"/>
      <w:bookmarkStart w:id="1174" w:name="_Toc31639"/>
      <w:bookmarkStart w:id="1175" w:name="_Toc4741"/>
      <w:bookmarkStart w:id="1176" w:name="_Toc11412"/>
      <w:bookmarkStart w:id="1177" w:name="_Toc27856"/>
      <w:bookmarkStart w:id="1178" w:name="_Toc31328"/>
      <w:bookmarkStart w:id="1179" w:name="_Toc18903"/>
      <w:bookmarkStart w:id="1180" w:name="_Toc24814"/>
      <w:bookmarkStart w:id="1181" w:name="_Toc3034"/>
      <w:bookmarkStart w:id="1182" w:name="_Toc16974"/>
      <w:bookmarkStart w:id="1183" w:name="_Toc10052"/>
      <w:bookmarkStart w:id="1184" w:name="_Toc10586"/>
      <w:bookmarkStart w:id="1185" w:name="_Toc27848"/>
      <w:bookmarkStart w:id="1186" w:name="_Toc18487"/>
      <w:r>
        <w:rPr>
          <w:rFonts w:hint="eastAsia" w:ascii="仿宋" w:hAnsi="仿宋" w:eastAsia="仿宋" w:cs="仿宋"/>
          <w:highlight w:val="none"/>
        </w:rPr>
        <w:t>3.1预验收一般条件</w:t>
      </w:r>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3.1.1卖方已经按照“供货范围”要求提供了预验收资料，并且资料齐全、完整和有效。</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3.1.2货物（或生产线）应运行稳定、可靠、安全，无非正常变形，非正常振动，无异常声音；无漏水、漏液、漏气（汽）、漏电等现象。运动的零部件（如链条、联轴器、离合器、主轴、工作台等）动作平稳、灵活运动准确。</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3.1.3货物（或生产线）应完整且所有的零部件应该安装安全、牢固，外观无损伤，所有的焊缝饱满、无残渣等缺陷。</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3.1.4一般情况下，所有的管路和线缆等，接头应完全正确、可靠地联接；应排列有序（正确、牢固、整齐），有必要的防护，无皱褶、收缩和裂缝等不良现象。</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3.1.5货物（或生产线）的润滑系统工作正常、可靠，润滑点易于到达。</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3.1.6使用的压力容器、电气等应具备合格证（如果有压力容器），</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3.1.7货物（或生产线）的油漆质量应饱满、有光泽，无掉漆、无色差、无“桔皮”等不良现象（特殊标志除外）。</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3.1.8货物（或生产线）标牌完整、清晰、明确。</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3.1.9地线联接和地极符合国际（ISO/IEC）标准规范。</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3.1.10货物（或生产线）的安全要求符合中国最新的相关法律、法规、标准和规范以及合同要求。</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3.1.11预验收试件的发放：试件品种及数量由技术协议约定，试件由招标方发到中标方所产生的一切费用（或损失）由中标方承担。</w:t>
      </w:r>
    </w:p>
    <w:p>
      <w:pPr>
        <w:adjustRightInd w:val="0"/>
        <w:snapToGrid w:val="0"/>
        <w:spacing w:line="360" w:lineRule="auto"/>
        <w:ind w:firstLine="420" w:firstLineChars="200"/>
        <w:rPr>
          <w:rFonts w:ascii="仿宋" w:hAnsi="仿宋" w:eastAsia="仿宋" w:cs="仿宋"/>
          <w:highlight w:val="none"/>
        </w:rPr>
      </w:pPr>
      <w:bookmarkStart w:id="1187" w:name="_Toc21629"/>
      <w:bookmarkStart w:id="1188" w:name="_Toc12987"/>
      <w:bookmarkStart w:id="1189" w:name="_Toc20374"/>
      <w:bookmarkStart w:id="1190" w:name="_Toc1293"/>
      <w:bookmarkStart w:id="1191" w:name="_Toc6062"/>
      <w:bookmarkStart w:id="1192" w:name="_Toc2134"/>
      <w:bookmarkStart w:id="1193" w:name="_Toc4108"/>
      <w:bookmarkStart w:id="1194" w:name="_Toc19728"/>
      <w:bookmarkStart w:id="1195" w:name="_Toc2362"/>
      <w:bookmarkStart w:id="1196" w:name="_Toc8320"/>
      <w:bookmarkStart w:id="1197" w:name="_Toc24950"/>
      <w:bookmarkStart w:id="1198" w:name="_Toc931"/>
      <w:bookmarkStart w:id="1199" w:name="_Toc19887"/>
      <w:bookmarkStart w:id="1200" w:name="_Toc18823"/>
      <w:bookmarkStart w:id="1201" w:name="_Toc4643"/>
      <w:bookmarkStart w:id="1202" w:name="_Toc11537"/>
      <w:bookmarkStart w:id="1203" w:name="_Toc12439"/>
      <w:bookmarkStart w:id="1204" w:name="_Toc9105"/>
      <w:bookmarkStart w:id="1205" w:name="_Toc29661"/>
      <w:bookmarkStart w:id="1206" w:name="_Toc21671"/>
      <w:bookmarkStart w:id="1207" w:name="_Toc15751"/>
      <w:bookmarkStart w:id="1208" w:name="_Toc17924"/>
      <w:bookmarkStart w:id="1209" w:name="_Toc24874"/>
      <w:bookmarkStart w:id="1210" w:name="_Toc30498"/>
      <w:bookmarkStart w:id="1211" w:name="_Toc17491"/>
      <w:bookmarkStart w:id="1212" w:name="_Toc22891"/>
      <w:bookmarkStart w:id="1213" w:name="_Toc27491"/>
      <w:bookmarkStart w:id="1214" w:name="_Toc16821"/>
      <w:bookmarkStart w:id="1215" w:name="_Toc14552"/>
      <w:bookmarkStart w:id="1216" w:name="_Toc29327"/>
      <w:bookmarkStart w:id="1217" w:name="_Toc5422"/>
      <w:bookmarkStart w:id="1218" w:name="_Toc21953"/>
      <w:bookmarkStart w:id="1219" w:name="_Toc26496"/>
      <w:bookmarkStart w:id="1220" w:name="_Toc28390"/>
      <w:bookmarkStart w:id="1221" w:name="_Toc7060"/>
      <w:bookmarkStart w:id="1222" w:name="_Toc17523"/>
      <w:bookmarkStart w:id="1223" w:name="_Toc8879"/>
      <w:bookmarkStart w:id="1224" w:name="_Toc3329"/>
      <w:bookmarkStart w:id="1225" w:name="_Toc23596"/>
      <w:bookmarkStart w:id="1226" w:name="_Toc8938"/>
      <w:bookmarkStart w:id="1227" w:name="_Toc4066"/>
      <w:r>
        <w:rPr>
          <w:rFonts w:hint="eastAsia" w:ascii="仿宋" w:hAnsi="仿宋" w:eastAsia="仿宋" w:cs="仿宋"/>
          <w:highlight w:val="none"/>
        </w:rPr>
        <w:t>3.2终验收一般条件</w:t>
      </w:r>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3.2.1经过预验收而且没有出现新的质量问题，或者满足预验收条款。</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3.2.2货物（或生产线）安装调试完毕，并至少经过了验收要求的负荷试运行。</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3.2.3货物（或生产线）正常运行时，噪声等环境影响因素满足国家（《工作场所物理因素测量 噪声》GBZ/T 189.8-2007. 噪音≤80dB(A)）和当地环保主管部门规定。投标方需提供由第三方检测机构出具的检测报告 ，检测事宜及费用由投标方负责，招标方负责相关配合协调工作。</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3.2.4计量仪器、仪表配套合理，采用中国的法定计量单位，计量准确、灵敏可靠。保证设计指标和仪器说明书的参数的实现。</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3.2.5试运行期间或之后无维修、调整等行为（特殊情况除外）。</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3.2.6货物（或生产线）质量、技术性能等，达到签定的技术协议书和合同规定的终验收标准。</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3.2.7试件：终验收完成前的所有试件</w:t>
      </w:r>
      <w:r>
        <w:rPr>
          <w:rFonts w:hint="eastAsia" w:ascii="仿宋" w:hAnsi="仿宋" w:eastAsia="仿宋" w:cs="仿宋"/>
          <w:highlight w:val="none"/>
          <w:lang w:val="en-US" w:eastAsia="zh-CN"/>
        </w:rPr>
        <w:t>均不允许报废</w:t>
      </w:r>
      <w:r>
        <w:rPr>
          <w:rFonts w:hint="eastAsia" w:ascii="仿宋" w:hAnsi="仿宋" w:eastAsia="仿宋" w:cs="仿宋"/>
          <w:highlight w:val="none"/>
        </w:rPr>
        <w:t>，</w:t>
      </w:r>
      <w:r>
        <w:rPr>
          <w:rFonts w:hint="eastAsia" w:ascii="仿宋" w:hAnsi="仿宋" w:eastAsia="仿宋" w:cs="仿宋"/>
          <w:highlight w:val="none"/>
          <w:lang w:val="en-US" w:eastAsia="zh-CN"/>
        </w:rPr>
        <w:t>产生的所有废品及相关</w:t>
      </w:r>
      <w:r>
        <w:rPr>
          <w:rFonts w:hint="eastAsia" w:ascii="仿宋" w:hAnsi="仿宋" w:eastAsia="仿宋" w:cs="仿宋"/>
          <w:highlight w:val="none"/>
        </w:rPr>
        <w:t>损失费用由中标方承担。</w:t>
      </w:r>
      <w:bookmarkStart w:id="1228" w:name="_Toc1804"/>
      <w:bookmarkStart w:id="1229" w:name="_Toc193"/>
      <w:bookmarkStart w:id="1230" w:name="_Toc25411"/>
    </w:p>
    <w:p>
      <w:pPr>
        <w:snapToGrid w:val="0"/>
        <w:spacing w:line="360" w:lineRule="auto"/>
        <w:ind w:left="482"/>
        <w:outlineLvl w:val="1"/>
        <w:rPr>
          <w:rFonts w:ascii="仿宋" w:hAnsi="仿宋" w:eastAsia="仿宋" w:cs="仿宋"/>
          <w:b/>
          <w:bCs/>
          <w:highlight w:val="none"/>
        </w:rPr>
      </w:pPr>
      <w:bookmarkStart w:id="1231" w:name="_Toc1469"/>
      <w:bookmarkStart w:id="1232" w:name="_Toc26083"/>
      <w:bookmarkStart w:id="1233" w:name="_Toc73112424"/>
      <w:bookmarkStart w:id="1234" w:name="_Toc17223"/>
      <w:bookmarkStart w:id="1235" w:name="_Toc10673"/>
      <w:bookmarkStart w:id="1236" w:name="_Toc11114"/>
      <w:bookmarkStart w:id="1237" w:name="_Toc1761"/>
      <w:bookmarkStart w:id="1238" w:name="_Toc21504"/>
      <w:bookmarkStart w:id="1239" w:name="_Toc21291"/>
      <w:bookmarkStart w:id="1240" w:name="_Toc22500"/>
      <w:bookmarkStart w:id="1241" w:name="_Toc6573"/>
      <w:bookmarkStart w:id="1242" w:name="_Toc9027"/>
      <w:bookmarkStart w:id="1243" w:name="_Toc1885"/>
      <w:bookmarkStart w:id="1244" w:name="_Toc17549"/>
      <w:bookmarkStart w:id="1245" w:name="_Toc1961"/>
      <w:bookmarkStart w:id="1246" w:name="_Toc7243"/>
      <w:bookmarkStart w:id="1247" w:name="_Toc20983"/>
      <w:bookmarkStart w:id="1248" w:name="_Toc32661"/>
      <w:r>
        <w:rPr>
          <w:rFonts w:hint="eastAsia" w:ascii="仿宋" w:hAnsi="仿宋" w:eastAsia="仿宋" w:cs="仿宋"/>
          <w:b/>
          <w:bCs/>
          <w:highlight w:val="none"/>
        </w:rPr>
        <w:t>4终验收基本要求</w:t>
      </w:r>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4.1货物（或生产线）允许情况下，一般先连续空运转</w:t>
      </w:r>
      <w:r>
        <w:rPr>
          <w:rFonts w:hint="eastAsia" w:ascii="仿宋" w:hAnsi="仿宋" w:eastAsia="仿宋" w:cs="仿宋"/>
          <w:highlight w:val="none"/>
          <w:u w:val="single"/>
          <w:shd w:val="pct10" w:color="auto" w:fill="FFFFFF"/>
        </w:rPr>
        <w:t>8</w:t>
      </w:r>
      <w:r>
        <w:rPr>
          <w:rFonts w:hint="eastAsia" w:ascii="仿宋" w:hAnsi="仿宋" w:eastAsia="仿宋" w:cs="仿宋"/>
          <w:highlight w:val="none"/>
        </w:rPr>
        <w:t>小时，然后再进行负荷运行。</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4.2负荷运行时，货物（或生产线）应连续运行</w:t>
      </w:r>
      <w:r>
        <w:rPr>
          <w:rFonts w:hint="eastAsia" w:ascii="仿宋" w:hAnsi="仿宋" w:eastAsia="仿宋" w:cs="仿宋"/>
          <w:highlight w:val="none"/>
          <w:u w:val="single"/>
        </w:rPr>
        <w:t xml:space="preserve"> </w:t>
      </w:r>
      <w:r>
        <w:rPr>
          <w:rFonts w:hint="eastAsia" w:ascii="仿宋" w:hAnsi="仿宋" w:eastAsia="仿宋" w:cs="仿宋"/>
          <w:highlight w:val="none"/>
          <w:u w:val="single"/>
          <w:shd w:val="pct10" w:color="auto" w:fill="FFFFFF"/>
        </w:rPr>
        <w:t xml:space="preserve">5 </w:t>
      </w:r>
      <w:r>
        <w:rPr>
          <w:rFonts w:hint="eastAsia" w:ascii="仿宋" w:hAnsi="仿宋" w:eastAsia="仿宋" w:cs="仿宋"/>
          <w:highlight w:val="none"/>
        </w:rPr>
        <w:t>天，每天连续</w:t>
      </w:r>
      <w:r>
        <w:rPr>
          <w:rFonts w:hint="eastAsia" w:ascii="仿宋" w:hAnsi="仿宋" w:eastAsia="仿宋" w:cs="仿宋"/>
          <w:highlight w:val="none"/>
          <w:u w:val="single"/>
        </w:rPr>
        <w:t xml:space="preserve"> </w:t>
      </w:r>
      <w:r>
        <w:rPr>
          <w:rFonts w:hint="eastAsia" w:ascii="仿宋" w:hAnsi="仿宋" w:eastAsia="仿宋" w:cs="仿宋"/>
          <w:highlight w:val="none"/>
          <w:u w:val="single"/>
          <w:shd w:val="pct10" w:color="auto" w:fill="FFFFFF"/>
        </w:rPr>
        <w:t xml:space="preserve">8 </w:t>
      </w:r>
      <w:r>
        <w:rPr>
          <w:rFonts w:hint="eastAsia" w:ascii="仿宋" w:hAnsi="仿宋" w:eastAsia="仿宋" w:cs="仿宋"/>
          <w:highlight w:val="none"/>
        </w:rPr>
        <w:t>小时，除用户方面因素外，必须达到以下要求：</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4.2.1在整个验收过程中没有维修、更换零部件或元件行为；</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4.2.2所有出现的调整，每次调整时间均不超过</w:t>
      </w:r>
      <w:r>
        <w:rPr>
          <w:rFonts w:hint="eastAsia" w:ascii="仿宋" w:hAnsi="仿宋" w:eastAsia="仿宋" w:cs="仿宋"/>
          <w:highlight w:val="none"/>
          <w:u w:val="single"/>
          <w:shd w:val="pct10" w:color="auto" w:fill="FFFFFF"/>
        </w:rPr>
        <w:t>120</w:t>
      </w:r>
      <w:r>
        <w:rPr>
          <w:rFonts w:hint="eastAsia" w:ascii="仿宋" w:hAnsi="仿宋" w:eastAsia="仿宋" w:cs="仿宋"/>
          <w:highlight w:val="none"/>
        </w:rPr>
        <w:t>分钟；</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4.2.3所有调整时间的总和不超过总运行时间的</w:t>
      </w:r>
      <w:r>
        <w:rPr>
          <w:rFonts w:hint="eastAsia" w:ascii="仿宋" w:hAnsi="仿宋" w:eastAsia="仿宋" w:cs="仿宋"/>
          <w:highlight w:val="none"/>
          <w:u w:val="single"/>
          <w:shd w:val="pct10" w:color="auto" w:fill="FFFFFF"/>
        </w:rPr>
        <w:t>10</w:t>
      </w:r>
      <w:r>
        <w:rPr>
          <w:rFonts w:hint="eastAsia" w:ascii="仿宋" w:hAnsi="仿宋" w:eastAsia="仿宋" w:cs="仿宋"/>
          <w:highlight w:val="none"/>
        </w:rPr>
        <w:t>%；</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4.2.4累计负载运行实际性能（或生产率）达到合同规定；</w:t>
      </w:r>
    </w:p>
    <w:p>
      <w:pPr>
        <w:adjustRightInd w:val="0"/>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4.2.5终验收原则上要求一次完成。若一次验收不成功，最多允许两次；</w:t>
      </w:r>
    </w:p>
    <w:p>
      <w:pPr>
        <w:pStyle w:val="26"/>
        <w:snapToGrid w:val="0"/>
        <w:spacing w:line="360" w:lineRule="auto"/>
        <w:ind w:firstLine="420" w:firstLineChars="200"/>
        <w:rPr>
          <w:rFonts w:hint="eastAsia" w:ascii="仿宋" w:hAnsi="仿宋" w:eastAsia="宋体" w:cs="仿宋"/>
          <w:highlight w:val="none"/>
          <w:lang w:val="en-US" w:eastAsia="zh-CN"/>
        </w:rPr>
      </w:pPr>
      <w:r>
        <w:rPr>
          <w:rFonts w:hint="eastAsia" w:ascii="仿宋" w:hAnsi="仿宋" w:eastAsia="仿宋" w:cs="仿宋"/>
          <w:highlight w:val="none"/>
          <w:lang w:val="en-US" w:eastAsia="zh-CN"/>
        </w:rPr>
        <w:t>4.2.6 润滑脂加注精度满足±5%，注脂量</w:t>
      </w:r>
      <w:r>
        <w:rPr>
          <w:rFonts w:hint="eastAsia" w:ascii="仿宋" w:hAnsi="仿宋" w:eastAsia="仿宋"/>
          <w:highlight w:val="none"/>
        </w:rPr>
        <w:t>CMK≥1.67</w:t>
      </w:r>
      <w:r>
        <w:rPr>
          <w:rFonts w:hint="eastAsia"/>
          <w:highlight w:val="none"/>
          <w:lang w:eastAsia="zh-CN"/>
        </w:rPr>
        <w:t>；</w:t>
      </w:r>
    </w:p>
    <w:p>
      <w:pPr>
        <w:adjustRightInd w:val="0"/>
        <w:snapToGrid w:val="0"/>
        <w:spacing w:line="360" w:lineRule="auto"/>
        <w:ind w:firstLine="420" w:firstLineChars="200"/>
        <w:rPr>
          <w:rFonts w:hint="default" w:eastAsia="仿宋"/>
          <w:highlight w:val="none"/>
          <w:lang w:val="en-US" w:eastAsia="zh-CN"/>
        </w:rPr>
      </w:pPr>
      <w:r>
        <w:rPr>
          <w:rFonts w:hint="eastAsia" w:ascii="仿宋" w:hAnsi="仿宋" w:eastAsia="仿宋" w:cs="仿宋"/>
          <w:highlight w:val="none"/>
        </w:rPr>
        <w:t>4.2.</w:t>
      </w:r>
      <w:r>
        <w:rPr>
          <w:rFonts w:hint="eastAsia" w:ascii="仿宋" w:hAnsi="仿宋" w:eastAsia="仿宋" w:cs="仿宋"/>
          <w:highlight w:val="none"/>
          <w:lang w:val="en-US" w:eastAsia="zh-CN"/>
        </w:rPr>
        <w:t>7</w:t>
      </w:r>
      <w:r>
        <w:rPr>
          <w:rFonts w:hint="eastAsia" w:ascii="仿宋" w:hAnsi="仿宋" w:eastAsia="仿宋" w:cs="仿宋"/>
          <w:highlight w:val="none"/>
        </w:rPr>
        <w:t>终验收通过后签署终验收报告（终验收报告以买方提供的签署完毕并盖章的《新增设备安装竣工验收转资单》为准），并移交、核对全部供货范围内物品。</w:t>
      </w:r>
      <w:bookmarkStart w:id="1249" w:name="_Toc133783975"/>
    </w:p>
    <w:p>
      <w:pPr>
        <w:adjustRightInd w:val="0"/>
        <w:snapToGrid w:val="0"/>
        <w:spacing w:before="163" w:beforeLines="50" w:after="163" w:afterLines="50" w:line="360" w:lineRule="auto"/>
        <w:jc w:val="center"/>
        <w:outlineLvl w:val="0"/>
        <w:rPr>
          <w:rFonts w:ascii="仿宋" w:hAnsi="仿宋" w:eastAsia="仿宋" w:cs="仿宋"/>
          <w:b/>
          <w:bCs/>
          <w:highlight w:val="none"/>
        </w:rPr>
      </w:pPr>
      <w:bookmarkStart w:id="1250" w:name="_Toc17110"/>
      <w:bookmarkStart w:id="1251" w:name="_Toc1705"/>
      <w:bookmarkStart w:id="1252" w:name="_Toc73112425"/>
      <w:bookmarkStart w:id="1253" w:name="_Toc663"/>
      <w:bookmarkStart w:id="1254" w:name="_Toc18146"/>
      <w:bookmarkStart w:id="1255" w:name="_Toc8435"/>
      <w:bookmarkStart w:id="1256" w:name="_Toc29322"/>
      <w:bookmarkStart w:id="1257" w:name="_Toc26248"/>
      <w:bookmarkStart w:id="1258" w:name="_Toc24925"/>
      <w:bookmarkStart w:id="1259" w:name="_Toc27525"/>
      <w:bookmarkStart w:id="1260" w:name="_Toc19911"/>
      <w:bookmarkStart w:id="1261" w:name="_Toc27346"/>
      <w:bookmarkStart w:id="1262" w:name="_Toc1228"/>
      <w:bookmarkStart w:id="1263" w:name="_Toc30125"/>
      <w:bookmarkStart w:id="1264" w:name="_Toc4953"/>
      <w:bookmarkStart w:id="1265" w:name="_Toc28136"/>
      <w:bookmarkStart w:id="1266" w:name="_Toc30187"/>
      <w:bookmarkStart w:id="1267" w:name="_Toc30219"/>
      <w:bookmarkStart w:id="1268" w:name="_Toc15914"/>
      <w:bookmarkStart w:id="1269" w:name="_Toc8015"/>
      <w:bookmarkStart w:id="1270" w:name="_Toc1683"/>
      <w:bookmarkStart w:id="1271" w:name="_Toc32074"/>
      <w:bookmarkStart w:id="1272" w:name="_Toc1195"/>
      <w:bookmarkStart w:id="1273" w:name="_Toc12636"/>
      <w:bookmarkStart w:id="1274" w:name="_Toc7458"/>
      <w:bookmarkStart w:id="1275" w:name="_Toc22488"/>
      <w:bookmarkStart w:id="1276" w:name="_Toc23268"/>
      <w:bookmarkStart w:id="1277" w:name="_Toc23397"/>
      <w:bookmarkStart w:id="1278" w:name="_Toc2612"/>
      <w:bookmarkStart w:id="1279" w:name="_Toc25348"/>
      <w:bookmarkStart w:id="1280" w:name="_Toc28594"/>
      <w:bookmarkStart w:id="1281" w:name="_Toc22179"/>
      <w:bookmarkStart w:id="1282" w:name="_Toc2249"/>
      <w:bookmarkStart w:id="1283" w:name="_Toc10830"/>
      <w:bookmarkStart w:id="1284" w:name="_Toc23616"/>
      <w:bookmarkStart w:id="1285" w:name="_Toc14133"/>
      <w:bookmarkStart w:id="1286" w:name="_Toc2957"/>
      <w:bookmarkStart w:id="1287" w:name="_Toc25401"/>
      <w:bookmarkStart w:id="1288" w:name="_Toc18510"/>
      <w:bookmarkStart w:id="1289" w:name="_Toc20836"/>
      <w:bookmarkStart w:id="1290" w:name="_Toc15351"/>
      <w:bookmarkStart w:id="1291" w:name="_Toc1673"/>
      <w:bookmarkStart w:id="1292" w:name="_Toc14217"/>
      <w:r>
        <w:rPr>
          <w:rFonts w:hint="eastAsia" w:ascii="仿宋" w:hAnsi="仿宋" w:eastAsia="仿宋" w:cs="仿宋"/>
          <w:b/>
          <w:bCs/>
          <w:highlight w:val="none"/>
        </w:rPr>
        <w:t>第六章投标技术文件一般要求</w:t>
      </w:r>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1投标方应认真阅读招标文件和本技术标书，并按要求编写投标技术文件。</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2投标技术文件至少应对投标货物（或生产线）的“技术偏离”、“商务偏离”作出有无说明；若有，应予以详细填写和说明。</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3投标技术文件至少应对投标货物（或生产线）的功能用途、技术性能、质量标准、技术参数等作出详细说明。</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4投标技术文件至少应根据投标货物（或生产线）的关键设备、总成、零部件或系统作出优越性说明。</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5投标技术文件至少应根据投标货物（或生产线）的配置，按照备品备件、易损件和专用耗材明细表要求以及投标货物（或生产线）主要配置一览表要求（见下表），认真全面填写。</w:t>
      </w:r>
    </w:p>
    <w:p>
      <w:pPr>
        <w:adjustRightInd w:val="0"/>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投标货物（或生产线）配置一览表单位：元</w:t>
      </w:r>
    </w:p>
    <w:tbl>
      <w:tblPr>
        <w:tblStyle w:val="42"/>
        <w:tblpPr w:leftFromText="180" w:rightFromText="180" w:vertAnchor="text" w:tblpXSpec="center" w:tblpY="1"/>
        <w:tblOverlap w:val="never"/>
        <w:tblW w:w="8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1940"/>
        <w:gridCol w:w="697"/>
        <w:gridCol w:w="697"/>
        <w:gridCol w:w="697"/>
        <w:gridCol w:w="697"/>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pPr>
              <w:adjustRightInd w:val="0"/>
              <w:snapToGrid w:val="0"/>
              <w:spacing w:line="360" w:lineRule="auto"/>
              <w:jc w:val="center"/>
              <w:rPr>
                <w:rFonts w:ascii="仿宋" w:hAnsi="仿宋" w:eastAsia="仿宋" w:cs="仿宋"/>
                <w:highlight w:val="none"/>
              </w:rPr>
            </w:pPr>
            <w:r>
              <w:rPr>
                <w:rFonts w:hint="eastAsia" w:ascii="仿宋" w:hAnsi="仿宋" w:eastAsia="仿宋" w:cs="仿宋"/>
                <w:highlight w:val="none"/>
              </w:rPr>
              <w:t>名称</w:t>
            </w:r>
          </w:p>
        </w:tc>
        <w:tc>
          <w:tcPr>
            <w:tcW w:w="1940" w:type="dxa"/>
          </w:tcPr>
          <w:p>
            <w:pPr>
              <w:adjustRightInd w:val="0"/>
              <w:snapToGrid w:val="0"/>
              <w:spacing w:line="360" w:lineRule="auto"/>
              <w:jc w:val="center"/>
              <w:rPr>
                <w:rFonts w:ascii="仿宋" w:hAnsi="仿宋" w:eastAsia="仿宋" w:cs="仿宋"/>
                <w:highlight w:val="none"/>
              </w:rPr>
            </w:pPr>
            <w:r>
              <w:rPr>
                <w:rFonts w:hint="eastAsia" w:ascii="仿宋" w:hAnsi="仿宋" w:eastAsia="仿宋" w:cs="仿宋"/>
                <w:highlight w:val="none"/>
              </w:rPr>
              <w:t>型号规格</w:t>
            </w:r>
          </w:p>
        </w:tc>
        <w:tc>
          <w:tcPr>
            <w:tcW w:w="697" w:type="dxa"/>
          </w:tcPr>
          <w:p>
            <w:pPr>
              <w:adjustRightInd w:val="0"/>
              <w:snapToGrid w:val="0"/>
              <w:spacing w:line="360" w:lineRule="auto"/>
              <w:jc w:val="center"/>
              <w:rPr>
                <w:rFonts w:ascii="仿宋" w:hAnsi="仿宋" w:eastAsia="仿宋" w:cs="仿宋"/>
                <w:highlight w:val="none"/>
              </w:rPr>
            </w:pPr>
            <w:r>
              <w:rPr>
                <w:rFonts w:hint="eastAsia" w:ascii="仿宋" w:hAnsi="仿宋" w:eastAsia="仿宋" w:cs="仿宋"/>
                <w:highlight w:val="none"/>
              </w:rPr>
              <w:t>单位</w:t>
            </w:r>
          </w:p>
        </w:tc>
        <w:tc>
          <w:tcPr>
            <w:tcW w:w="697" w:type="dxa"/>
          </w:tcPr>
          <w:p>
            <w:pPr>
              <w:adjustRightInd w:val="0"/>
              <w:snapToGrid w:val="0"/>
              <w:spacing w:line="360" w:lineRule="auto"/>
              <w:jc w:val="center"/>
              <w:rPr>
                <w:rFonts w:ascii="仿宋" w:hAnsi="仿宋" w:eastAsia="仿宋" w:cs="仿宋"/>
                <w:highlight w:val="none"/>
              </w:rPr>
            </w:pPr>
            <w:r>
              <w:rPr>
                <w:rFonts w:hint="eastAsia" w:ascii="仿宋" w:hAnsi="仿宋" w:eastAsia="仿宋" w:cs="仿宋"/>
                <w:highlight w:val="none"/>
              </w:rPr>
              <w:t>数量</w:t>
            </w:r>
          </w:p>
        </w:tc>
        <w:tc>
          <w:tcPr>
            <w:tcW w:w="697" w:type="dxa"/>
          </w:tcPr>
          <w:p>
            <w:pPr>
              <w:adjustRightInd w:val="0"/>
              <w:snapToGrid w:val="0"/>
              <w:spacing w:line="360" w:lineRule="auto"/>
              <w:jc w:val="center"/>
              <w:rPr>
                <w:rFonts w:ascii="仿宋" w:hAnsi="仿宋" w:eastAsia="仿宋" w:cs="仿宋"/>
                <w:highlight w:val="none"/>
              </w:rPr>
            </w:pPr>
            <w:r>
              <w:rPr>
                <w:rFonts w:hint="eastAsia" w:ascii="仿宋" w:hAnsi="仿宋" w:eastAsia="仿宋" w:cs="仿宋"/>
                <w:highlight w:val="none"/>
              </w:rPr>
              <w:t>单价</w:t>
            </w:r>
          </w:p>
        </w:tc>
        <w:tc>
          <w:tcPr>
            <w:tcW w:w="697" w:type="dxa"/>
          </w:tcPr>
          <w:p>
            <w:pPr>
              <w:adjustRightInd w:val="0"/>
              <w:snapToGrid w:val="0"/>
              <w:spacing w:line="360" w:lineRule="auto"/>
              <w:jc w:val="center"/>
              <w:rPr>
                <w:rFonts w:ascii="仿宋" w:hAnsi="仿宋" w:eastAsia="仿宋" w:cs="仿宋"/>
                <w:highlight w:val="none"/>
              </w:rPr>
            </w:pPr>
            <w:r>
              <w:rPr>
                <w:rFonts w:hint="eastAsia" w:ascii="仿宋" w:hAnsi="仿宋" w:eastAsia="仿宋" w:cs="仿宋"/>
                <w:highlight w:val="none"/>
              </w:rPr>
              <w:t>总价</w:t>
            </w:r>
          </w:p>
        </w:tc>
        <w:tc>
          <w:tcPr>
            <w:tcW w:w="1665" w:type="dxa"/>
          </w:tcPr>
          <w:p>
            <w:pPr>
              <w:adjustRightInd w:val="0"/>
              <w:snapToGrid w:val="0"/>
              <w:spacing w:line="360" w:lineRule="auto"/>
              <w:jc w:val="center"/>
              <w:rPr>
                <w:rFonts w:ascii="仿宋" w:hAnsi="仿宋" w:eastAsia="仿宋" w:cs="仿宋"/>
                <w:highlight w:val="none"/>
              </w:rPr>
            </w:pPr>
            <w:r>
              <w:rPr>
                <w:rFonts w:hint="eastAsia" w:ascii="仿宋" w:hAnsi="仿宋" w:eastAsia="仿宋" w:cs="仿宋"/>
                <w:highlight w:val="none"/>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pPr>
              <w:adjustRightInd w:val="0"/>
              <w:snapToGrid w:val="0"/>
              <w:spacing w:line="360" w:lineRule="auto"/>
              <w:rPr>
                <w:rFonts w:ascii="仿宋" w:hAnsi="仿宋" w:eastAsia="仿宋" w:cs="仿宋"/>
                <w:highlight w:val="none"/>
              </w:rPr>
            </w:pPr>
          </w:p>
        </w:tc>
        <w:tc>
          <w:tcPr>
            <w:tcW w:w="1940" w:type="dxa"/>
          </w:tcPr>
          <w:p>
            <w:pPr>
              <w:adjustRightInd w:val="0"/>
              <w:snapToGrid w:val="0"/>
              <w:spacing w:line="360" w:lineRule="auto"/>
              <w:rPr>
                <w:rFonts w:ascii="仿宋" w:hAnsi="仿宋" w:eastAsia="仿宋" w:cs="仿宋"/>
                <w:highlight w:val="none"/>
              </w:rPr>
            </w:pPr>
          </w:p>
        </w:tc>
        <w:tc>
          <w:tcPr>
            <w:tcW w:w="697" w:type="dxa"/>
          </w:tcPr>
          <w:p>
            <w:pPr>
              <w:adjustRightInd w:val="0"/>
              <w:snapToGrid w:val="0"/>
              <w:spacing w:line="360" w:lineRule="auto"/>
              <w:rPr>
                <w:rFonts w:ascii="仿宋" w:hAnsi="仿宋" w:eastAsia="仿宋" w:cs="仿宋"/>
                <w:highlight w:val="none"/>
              </w:rPr>
            </w:pPr>
          </w:p>
        </w:tc>
        <w:tc>
          <w:tcPr>
            <w:tcW w:w="697" w:type="dxa"/>
          </w:tcPr>
          <w:p>
            <w:pPr>
              <w:adjustRightInd w:val="0"/>
              <w:snapToGrid w:val="0"/>
              <w:spacing w:line="360" w:lineRule="auto"/>
              <w:rPr>
                <w:rFonts w:ascii="仿宋" w:hAnsi="仿宋" w:eastAsia="仿宋" w:cs="仿宋"/>
                <w:highlight w:val="none"/>
              </w:rPr>
            </w:pPr>
          </w:p>
        </w:tc>
        <w:tc>
          <w:tcPr>
            <w:tcW w:w="697" w:type="dxa"/>
          </w:tcPr>
          <w:p>
            <w:pPr>
              <w:adjustRightInd w:val="0"/>
              <w:snapToGrid w:val="0"/>
              <w:spacing w:line="360" w:lineRule="auto"/>
              <w:rPr>
                <w:rFonts w:ascii="仿宋" w:hAnsi="仿宋" w:eastAsia="仿宋" w:cs="仿宋"/>
                <w:highlight w:val="none"/>
              </w:rPr>
            </w:pPr>
          </w:p>
        </w:tc>
        <w:tc>
          <w:tcPr>
            <w:tcW w:w="697" w:type="dxa"/>
          </w:tcPr>
          <w:p>
            <w:pPr>
              <w:adjustRightInd w:val="0"/>
              <w:snapToGrid w:val="0"/>
              <w:spacing w:line="360" w:lineRule="auto"/>
              <w:rPr>
                <w:rFonts w:ascii="仿宋" w:hAnsi="仿宋" w:eastAsia="仿宋" w:cs="仿宋"/>
                <w:highlight w:val="none"/>
              </w:rPr>
            </w:pPr>
          </w:p>
        </w:tc>
        <w:tc>
          <w:tcPr>
            <w:tcW w:w="1665" w:type="dxa"/>
          </w:tcPr>
          <w:p>
            <w:pPr>
              <w:adjustRightInd w:val="0"/>
              <w:snapToGrid w:val="0"/>
              <w:spacing w:line="360" w:lineRule="auto"/>
              <w:rPr>
                <w:rFonts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pPr>
              <w:adjustRightInd w:val="0"/>
              <w:snapToGrid w:val="0"/>
              <w:spacing w:line="360" w:lineRule="auto"/>
              <w:rPr>
                <w:rFonts w:ascii="仿宋" w:hAnsi="仿宋" w:eastAsia="仿宋" w:cs="仿宋"/>
                <w:highlight w:val="none"/>
              </w:rPr>
            </w:pPr>
          </w:p>
        </w:tc>
        <w:tc>
          <w:tcPr>
            <w:tcW w:w="1940" w:type="dxa"/>
          </w:tcPr>
          <w:p>
            <w:pPr>
              <w:adjustRightInd w:val="0"/>
              <w:snapToGrid w:val="0"/>
              <w:spacing w:line="360" w:lineRule="auto"/>
              <w:rPr>
                <w:rFonts w:ascii="仿宋" w:hAnsi="仿宋" w:eastAsia="仿宋" w:cs="仿宋"/>
                <w:highlight w:val="none"/>
              </w:rPr>
            </w:pPr>
          </w:p>
        </w:tc>
        <w:tc>
          <w:tcPr>
            <w:tcW w:w="697" w:type="dxa"/>
          </w:tcPr>
          <w:p>
            <w:pPr>
              <w:adjustRightInd w:val="0"/>
              <w:snapToGrid w:val="0"/>
              <w:spacing w:line="360" w:lineRule="auto"/>
              <w:rPr>
                <w:rFonts w:ascii="仿宋" w:hAnsi="仿宋" w:eastAsia="仿宋" w:cs="仿宋"/>
                <w:highlight w:val="none"/>
              </w:rPr>
            </w:pPr>
          </w:p>
        </w:tc>
        <w:tc>
          <w:tcPr>
            <w:tcW w:w="697" w:type="dxa"/>
          </w:tcPr>
          <w:p>
            <w:pPr>
              <w:adjustRightInd w:val="0"/>
              <w:snapToGrid w:val="0"/>
              <w:spacing w:line="360" w:lineRule="auto"/>
              <w:rPr>
                <w:rFonts w:ascii="仿宋" w:hAnsi="仿宋" w:eastAsia="仿宋" w:cs="仿宋"/>
                <w:highlight w:val="none"/>
              </w:rPr>
            </w:pPr>
          </w:p>
        </w:tc>
        <w:tc>
          <w:tcPr>
            <w:tcW w:w="697" w:type="dxa"/>
          </w:tcPr>
          <w:p>
            <w:pPr>
              <w:adjustRightInd w:val="0"/>
              <w:snapToGrid w:val="0"/>
              <w:spacing w:line="360" w:lineRule="auto"/>
              <w:rPr>
                <w:rFonts w:ascii="仿宋" w:hAnsi="仿宋" w:eastAsia="仿宋" w:cs="仿宋"/>
                <w:highlight w:val="none"/>
              </w:rPr>
            </w:pPr>
          </w:p>
        </w:tc>
        <w:tc>
          <w:tcPr>
            <w:tcW w:w="697" w:type="dxa"/>
          </w:tcPr>
          <w:p>
            <w:pPr>
              <w:adjustRightInd w:val="0"/>
              <w:snapToGrid w:val="0"/>
              <w:spacing w:line="360" w:lineRule="auto"/>
              <w:rPr>
                <w:rFonts w:ascii="仿宋" w:hAnsi="仿宋" w:eastAsia="仿宋" w:cs="仿宋"/>
                <w:highlight w:val="none"/>
              </w:rPr>
            </w:pPr>
          </w:p>
        </w:tc>
        <w:tc>
          <w:tcPr>
            <w:tcW w:w="1665" w:type="dxa"/>
          </w:tcPr>
          <w:p>
            <w:pPr>
              <w:adjustRightInd w:val="0"/>
              <w:snapToGrid w:val="0"/>
              <w:spacing w:line="360" w:lineRule="auto"/>
              <w:rPr>
                <w:rFonts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pPr>
              <w:adjustRightInd w:val="0"/>
              <w:snapToGrid w:val="0"/>
              <w:spacing w:line="360" w:lineRule="auto"/>
              <w:rPr>
                <w:rFonts w:ascii="仿宋" w:hAnsi="仿宋" w:eastAsia="仿宋" w:cs="仿宋"/>
                <w:highlight w:val="none"/>
              </w:rPr>
            </w:pPr>
          </w:p>
        </w:tc>
        <w:tc>
          <w:tcPr>
            <w:tcW w:w="1940" w:type="dxa"/>
          </w:tcPr>
          <w:p>
            <w:pPr>
              <w:adjustRightInd w:val="0"/>
              <w:snapToGrid w:val="0"/>
              <w:spacing w:line="360" w:lineRule="auto"/>
              <w:rPr>
                <w:rFonts w:ascii="仿宋" w:hAnsi="仿宋" w:eastAsia="仿宋" w:cs="仿宋"/>
                <w:highlight w:val="none"/>
              </w:rPr>
            </w:pPr>
          </w:p>
        </w:tc>
        <w:tc>
          <w:tcPr>
            <w:tcW w:w="697" w:type="dxa"/>
          </w:tcPr>
          <w:p>
            <w:pPr>
              <w:adjustRightInd w:val="0"/>
              <w:snapToGrid w:val="0"/>
              <w:spacing w:line="360" w:lineRule="auto"/>
              <w:rPr>
                <w:rFonts w:ascii="仿宋" w:hAnsi="仿宋" w:eastAsia="仿宋" w:cs="仿宋"/>
                <w:highlight w:val="none"/>
              </w:rPr>
            </w:pPr>
          </w:p>
        </w:tc>
        <w:tc>
          <w:tcPr>
            <w:tcW w:w="697" w:type="dxa"/>
          </w:tcPr>
          <w:p>
            <w:pPr>
              <w:adjustRightInd w:val="0"/>
              <w:snapToGrid w:val="0"/>
              <w:spacing w:line="360" w:lineRule="auto"/>
              <w:rPr>
                <w:rFonts w:ascii="仿宋" w:hAnsi="仿宋" w:eastAsia="仿宋" w:cs="仿宋"/>
                <w:highlight w:val="none"/>
              </w:rPr>
            </w:pPr>
          </w:p>
        </w:tc>
        <w:tc>
          <w:tcPr>
            <w:tcW w:w="697" w:type="dxa"/>
          </w:tcPr>
          <w:p>
            <w:pPr>
              <w:adjustRightInd w:val="0"/>
              <w:snapToGrid w:val="0"/>
              <w:spacing w:line="360" w:lineRule="auto"/>
              <w:rPr>
                <w:rFonts w:ascii="仿宋" w:hAnsi="仿宋" w:eastAsia="仿宋" w:cs="仿宋"/>
                <w:highlight w:val="none"/>
              </w:rPr>
            </w:pPr>
          </w:p>
        </w:tc>
        <w:tc>
          <w:tcPr>
            <w:tcW w:w="697" w:type="dxa"/>
          </w:tcPr>
          <w:p>
            <w:pPr>
              <w:adjustRightInd w:val="0"/>
              <w:snapToGrid w:val="0"/>
              <w:spacing w:line="360" w:lineRule="auto"/>
              <w:rPr>
                <w:rFonts w:ascii="仿宋" w:hAnsi="仿宋" w:eastAsia="仿宋" w:cs="仿宋"/>
                <w:highlight w:val="none"/>
              </w:rPr>
            </w:pPr>
          </w:p>
        </w:tc>
        <w:tc>
          <w:tcPr>
            <w:tcW w:w="1665" w:type="dxa"/>
          </w:tcPr>
          <w:p>
            <w:pPr>
              <w:adjustRightInd w:val="0"/>
              <w:snapToGrid w:val="0"/>
              <w:spacing w:line="360" w:lineRule="auto"/>
              <w:rPr>
                <w:rFonts w:ascii="仿宋" w:hAnsi="仿宋" w:eastAsia="仿宋" w:cs="仿宋"/>
                <w:highlight w:val="none"/>
              </w:rPr>
            </w:pPr>
          </w:p>
        </w:tc>
      </w:tr>
    </w:tbl>
    <w:p>
      <w:pPr>
        <w:pStyle w:val="30"/>
        <w:rPr>
          <w:highlight w:val="none"/>
        </w:rPr>
      </w:pP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备注：本表作为投标方编制投标技术文件的一般格式。表中应当尽可能将配置列全、列细，这将有助于投标方胜出。</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6投标技术文件至少应对招标文件和本技术标书所提出的要求，将投标方认为难以满足的条款和要求，予以明确和详细的说明或澄清。</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7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8供货范围内的物品或服务，应当尽可能详细且分类填入配置表，其费用应当计入投标总报价之内。如果出现不一致的报价，将有可能导致废标。</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9除招标文件明确的验收标准或内容之外，投标方应当在投标文件中提供预验收（必要时）和终验收的标准以及规程，在合同签定之前，经投标方和招标方双方洽谈确认并签署，以作为验收标准执行。</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10带 ★ 号条款为否定项条款。</w:t>
      </w:r>
      <w:bookmarkStart w:id="1293" w:name="_Toc133783976"/>
    </w:p>
    <w:p>
      <w:pPr>
        <w:adjustRightInd w:val="0"/>
        <w:snapToGrid w:val="0"/>
        <w:spacing w:before="163" w:beforeLines="50" w:after="163" w:afterLines="50" w:line="360" w:lineRule="auto"/>
        <w:jc w:val="center"/>
        <w:outlineLvl w:val="0"/>
        <w:rPr>
          <w:rFonts w:ascii="仿宋" w:hAnsi="仿宋" w:eastAsia="仿宋" w:cs="仿宋"/>
          <w:b/>
          <w:bCs/>
          <w:highlight w:val="none"/>
        </w:rPr>
      </w:pPr>
      <w:bookmarkStart w:id="1294" w:name="_Toc11416"/>
      <w:bookmarkStart w:id="1295" w:name="_Toc23538"/>
      <w:bookmarkStart w:id="1296" w:name="_Toc2783"/>
      <w:bookmarkStart w:id="1297" w:name="_Toc13350"/>
      <w:bookmarkStart w:id="1298" w:name="_Toc11155"/>
      <w:bookmarkStart w:id="1299" w:name="_Toc15645"/>
      <w:bookmarkStart w:id="1300" w:name="_Toc32403"/>
      <w:bookmarkStart w:id="1301" w:name="_Toc24401"/>
      <w:bookmarkStart w:id="1302" w:name="_Toc2341"/>
      <w:bookmarkStart w:id="1303" w:name="_Toc10484"/>
      <w:bookmarkStart w:id="1304" w:name="_Toc7423"/>
      <w:bookmarkStart w:id="1305" w:name="_Toc2177"/>
      <w:bookmarkStart w:id="1306" w:name="_Toc73112426"/>
      <w:bookmarkStart w:id="1307" w:name="_Toc3744"/>
      <w:bookmarkStart w:id="1308" w:name="_Toc10081"/>
      <w:bookmarkStart w:id="1309" w:name="_Toc9954"/>
      <w:bookmarkStart w:id="1310" w:name="_Toc16301"/>
      <w:bookmarkStart w:id="1311" w:name="_Toc29655"/>
      <w:bookmarkStart w:id="1312" w:name="_Toc26559"/>
      <w:bookmarkStart w:id="1313" w:name="_Toc19821"/>
      <w:bookmarkStart w:id="1314" w:name="_Toc25823"/>
      <w:bookmarkStart w:id="1315" w:name="_Toc22743"/>
      <w:bookmarkStart w:id="1316" w:name="_Toc919"/>
      <w:bookmarkStart w:id="1317" w:name="_Toc671"/>
      <w:bookmarkStart w:id="1318" w:name="_Toc31830"/>
      <w:bookmarkStart w:id="1319" w:name="_Toc29369"/>
      <w:bookmarkStart w:id="1320" w:name="_Toc7541"/>
      <w:bookmarkStart w:id="1321" w:name="_Toc1126"/>
      <w:bookmarkStart w:id="1322" w:name="_Toc3256"/>
      <w:bookmarkStart w:id="1323" w:name="_Toc5380"/>
      <w:bookmarkStart w:id="1324" w:name="_Toc17045"/>
      <w:bookmarkStart w:id="1325" w:name="_Toc19444"/>
      <w:bookmarkStart w:id="1326" w:name="_Toc4563"/>
      <w:bookmarkStart w:id="1327" w:name="_Toc17174"/>
      <w:bookmarkStart w:id="1328" w:name="_Toc623"/>
      <w:bookmarkStart w:id="1329" w:name="_Toc2151"/>
      <w:bookmarkStart w:id="1330" w:name="_Toc5153"/>
      <w:bookmarkStart w:id="1331" w:name="_Toc19119"/>
      <w:bookmarkStart w:id="1332" w:name="_Toc15684"/>
      <w:bookmarkStart w:id="1333" w:name="_Toc147"/>
      <w:bookmarkStart w:id="1334" w:name="_Toc26481"/>
      <w:bookmarkStart w:id="1335" w:name="_Toc17463"/>
      <w:bookmarkStart w:id="1336" w:name="_Toc13666"/>
      <w:r>
        <w:rPr>
          <w:rFonts w:hint="eastAsia" w:ascii="仿宋" w:hAnsi="仿宋" w:eastAsia="仿宋" w:cs="仿宋"/>
          <w:b/>
          <w:bCs/>
          <w:highlight w:val="none"/>
        </w:rPr>
        <w:t>第七章其它要求</w:t>
      </w:r>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p>
    <w:p>
      <w:pPr>
        <w:snapToGrid w:val="0"/>
        <w:spacing w:line="360" w:lineRule="auto"/>
        <w:ind w:left="480"/>
        <w:outlineLvl w:val="1"/>
        <w:rPr>
          <w:rFonts w:ascii="仿宋" w:hAnsi="仿宋" w:eastAsia="仿宋" w:cs="仿宋"/>
          <w:b/>
          <w:bCs/>
          <w:highlight w:val="none"/>
        </w:rPr>
      </w:pPr>
      <w:bookmarkStart w:id="1337" w:name="_Toc16614"/>
      <w:bookmarkStart w:id="1338" w:name="_Toc2497"/>
      <w:bookmarkStart w:id="1339" w:name="_Toc15205"/>
      <w:bookmarkStart w:id="1340" w:name="_Toc24669"/>
      <w:bookmarkStart w:id="1341" w:name="_Toc14684"/>
      <w:bookmarkStart w:id="1342" w:name="_Toc15256"/>
      <w:bookmarkStart w:id="1343" w:name="_Toc20262"/>
      <w:bookmarkStart w:id="1344" w:name="_Toc13820"/>
      <w:bookmarkStart w:id="1345" w:name="_Toc24680"/>
      <w:bookmarkStart w:id="1346" w:name="_Toc24782"/>
      <w:bookmarkStart w:id="1347" w:name="_Toc32544"/>
      <w:bookmarkStart w:id="1348" w:name="_Toc11901"/>
      <w:bookmarkStart w:id="1349" w:name="_Toc26831"/>
      <w:bookmarkStart w:id="1350" w:name="_Toc4997"/>
      <w:bookmarkStart w:id="1351" w:name="_Toc12542"/>
      <w:bookmarkStart w:id="1352" w:name="_Toc14484"/>
      <w:bookmarkStart w:id="1353" w:name="_Toc5514"/>
      <w:bookmarkStart w:id="1354" w:name="_Toc12406"/>
      <w:bookmarkStart w:id="1355" w:name="_Toc24181"/>
      <w:bookmarkStart w:id="1356" w:name="_Toc17702"/>
      <w:bookmarkStart w:id="1357" w:name="_Toc21465"/>
      <w:bookmarkStart w:id="1358" w:name="_Toc31105"/>
      <w:bookmarkStart w:id="1359" w:name="_Toc32012"/>
      <w:bookmarkStart w:id="1360" w:name="_Toc17727"/>
      <w:bookmarkStart w:id="1361" w:name="_Toc17435"/>
      <w:bookmarkStart w:id="1362" w:name="_Toc17357"/>
      <w:bookmarkStart w:id="1363" w:name="_Toc27273"/>
      <w:bookmarkStart w:id="1364" w:name="_Toc16829"/>
      <w:bookmarkStart w:id="1365" w:name="_Toc73112427"/>
      <w:bookmarkStart w:id="1366" w:name="_Toc18469"/>
      <w:bookmarkStart w:id="1367" w:name="_Toc29679"/>
      <w:bookmarkStart w:id="1368" w:name="_Toc29015"/>
      <w:bookmarkStart w:id="1369" w:name="_Toc25903"/>
      <w:bookmarkStart w:id="1370" w:name="_Toc32470"/>
      <w:bookmarkStart w:id="1371" w:name="_Toc30535"/>
      <w:bookmarkStart w:id="1372" w:name="_Toc11058"/>
      <w:bookmarkStart w:id="1373" w:name="_Toc15541"/>
      <w:bookmarkStart w:id="1374" w:name="_Toc28364"/>
      <w:bookmarkStart w:id="1375" w:name="_Toc22430"/>
      <w:bookmarkStart w:id="1376" w:name="_Toc32525"/>
      <w:bookmarkStart w:id="1377" w:name="_Toc16802"/>
      <w:bookmarkStart w:id="1378" w:name="_Toc22010"/>
      <w:r>
        <w:rPr>
          <w:rFonts w:hint="eastAsia" w:ascii="仿宋" w:hAnsi="仿宋" w:eastAsia="仿宋" w:cs="仿宋"/>
          <w:b/>
          <w:bCs/>
          <w:highlight w:val="none"/>
        </w:rPr>
        <w:t>1特殊要求</w:t>
      </w:r>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p>
    <w:p>
      <w:pPr>
        <w:pStyle w:val="26"/>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为保证本技术标书所列采购货物（或生产线）的质量以及先进性、可靠性、经济性和实用性，要求投标方在投标文件中，至少应具备以下资格证明文件或资料：</w:t>
      </w:r>
    </w:p>
    <w:p>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1.1投标方应是通过有关资格认证的单位，因此应附有有效期内的资格认证证书，如：ISO9001、VDA6.1、QS9000等。</w:t>
      </w:r>
    </w:p>
    <w:p>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1.2国产设备应附有采购货物（或设备）涉及的由“中国质量认证中心”颁发的《中国国家强制性产品认证证书》（CCC证书）。</w:t>
      </w:r>
    </w:p>
    <w:p>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1.3必须附有与本采购货物（或生产线）相同或相似技术规格、型号的而且已经正常使用或通过验收的近三年以上的货物（或生产线）的市场销售业绩清单，清单中应具备：买方单位名称、销售货物（或生产线）的规格型号、数量、（交货）时间、联系人和联系电话（非移动通信号码）等条目内容；投标方应当保证其业绩的真实性，否则将影响投标或中标资格。</w:t>
      </w:r>
    </w:p>
    <w:p>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1.4应附有其它与投标单位、采购货物（或生产线）有关的荣誉证书或资料。</w:t>
      </w:r>
    </w:p>
    <w:p>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1.5应附有中国相关国家部委颁发的有效期之内所必需的《生产许可证》。</w:t>
      </w:r>
    </w:p>
    <w:p>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1.6应附有必要的采购货物（或设备）的相关检验、试验报告，如：《型式试验的检验报告》、《产品鉴定证书》、《新技术成果证书》等。</w:t>
      </w:r>
    </w:p>
    <w:p>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1.7投标方必须附有采购货物（或设备）涉及国家规定必须进行的检验、试验报告等。</w:t>
      </w:r>
    </w:p>
    <w:p>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1.8可附有投标方认为能够证明其所供设备的质量水平、技术水平、安全性水平、节能性水平、环保性水平等相关的其它证明文件或资料、报告等，如电气开关柜等电气设备的内部故障电弧效应试验报告、噪声较大设备的噪声检验报告等。</w:t>
      </w:r>
    </w:p>
    <w:p>
      <w:pPr>
        <w:snapToGrid w:val="0"/>
        <w:spacing w:line="360" w:lineRule="auto"/>
        <w:ind w:left="480"/>
        <w:outlineLvl w:val="1"/>
        <w:rPr>
          <w:rFonts w:ascii="仿宋" w:hAnsi="仿宋" w:eastAsia="仿宋" w:cs="仿宋"/>
          <w:b/>
          <w:bCs/>
          <w:highlight w:val="none"/>
        </w:rPr>
      </w:pPr>
      <w:bookmarkStart w:id="1379" w:name="_Toc1823"/>
      <w:bookmarkStart w:id="1380" w:name="_Toc4278"/>
      <w:bookmarkStart w:id="1381" w:name="_Toc16457"/>
      <w:bookmarkStart w:id="1382" w:name="_Toc3821"/>
      <w:bookmarkStart w:id="1383" w:name="_Toc18745"/>
      <w:bookmarkStart w:id="1384" w:name="_Toc28380"/>
      <w:bookmarkStart w:id="1385" w:name="_Toc5504"/>
      <w:bookmarkStart w:id="1386" w:name="_Toc13497"/>
      <w:bookmarkStart w:id="1387" w:name="_Toc4243"/>
      <w:bookmarkStart w:id="1388" w:name="_Toc73112429"/>
      <w:bookmarkStart w:id="1389" w:name="_Toc25498"/>
      <w:bookmarkStart w:id="1390" w:name="_Toc13528"/>
      <w:bookmarkStart w:id="1391" w:name="_Toc20830"/>
      <w:bookmarkStart w:id="1392" w:name="_Toc335"/>
      <w:bookmarkStart w:id="1393" w:name="_Toc28718"/>
      <w:bookmarkStart w:id="1394" w:name="_Toc22893"/>
      <w:bookmarkStart w:id="1395" w:name="_Toc27164"/>
      <w:bookmarkStart w:id="1396" w:name="_Toc8864"/>
      <w:bookmarkStart w:id="1397" w:name="_Toc14052"/>
      <w:bookmarkStart w:id="1398" w:name="_Toc25028"/>
      <w:bookmarkStart w:id="1399" w:name="_Toc29233"/>
      <w:bookmarkStart w:id="1400" w:name="_Toc24482"/>
      <w:bookmarkStart w:id="1401" w:name="_Toc28700"/>
      <w:bookmarkStart w:id="1402" w:name="_Toc29954"/>
      <w:bookmarkStart w:id="1403" w:name="_Toc18674"/>
      <w:bookmarkStart w:id="1404" w:name="_Toc3323"/>
      <w:bookmarkStart w:id="1405" w:name="_Toc11255"/>
      <w:bookmarkStart w:id="1406" w:name="_Toc20370"/>
      <w:bookmarkStart w:id="1407" w:name="_Toc11707"/>
      <w:bookmarkStart w:id="1408" w:name="_Toc19315"/>
      <w:bookmarkStart w:id="1409" w:name="_Toc21942"/>
      <w:bookmarkStart w:id="1410" w:name="_Toc22763"/>
      <w:bookmarkStart w:id="1411" w:name="_Toc26307"/>
      <w:bookmarkStart w:id="1412" w:name="_Toc26626"/>
      <w:bookmarkStart w:id="1413" w:name="_Toc28267"/>
      <w:bookmarkStart w:id="1414" w:name="_Toc14956"/>
      <w:bookmarkStart w:id="1415" w:name="_Toc18370"/>
      <w:bookmarkStart w:id="1416" w:name="_Toc28559"/>
      <w:bookmarkStart w:id="1417" w:name="_Toc26724"/>
      <w:bookmarkStart w:id="1418" w:name="_Toc3658"/>
      <w:bookmarkStart w:id="1419" w:name="_Toc24176"/>
      <w:bookmarkStart w:id="1420" w:name="_Toc27894"/>
      <w:r>
        <w:rPr>
          <w:rFonts w:hint="eastAsia" w:ascii="仿宋" w:hAnsi="仿宋" w:eastAsia="仿宋" w:cs="仿宋"/>
          <w:b/>
          <w:bCs/>
          <w:highlight w:val="none"/>
        </w:rPr>
        <w:t>2说明</w:t>
      </w:r>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p>
    <w:p>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2.1投标方可以根据自身的技术、经验等优势以及对招标文件和本技术标书的理解，写明对招标方所采购货物（或生产线）的优化方案或建议意见。投标方的这些努力，招标方表示感谢，并将有助于投标方优先胜出。</w:t>
      </w:r>
    </w:p>
    <w:p>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2.2即使有建议意见或建议方案，仍应依据招标文件和本技术标书要求，编写符合要求的投标文件。建议方案或建议意见，应以单独篇章或文件，予以说明。</w:t>
      </w:r>
    </w:p>
    <w:p>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2.3请投标方仔细阅读“采购货物概况”章节内说明，针对允许分投分中的货物（或生产线），招标方有权利选择其中优秀设备或服务，作为投标方合同供货范围中的指定选用设备或服务（替代投标方分投而未中标部分）。</w:t>
      </w:r>
    </w:p>
    <w:p>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2.4招标文件、投标文件、答疑文件、技术交流文件、技术协议书等，在招标过程全部为有效文件，如有差异，以对招标方或买方最有利的条款为准。</w:t>
      </w:r>
    </w:p>
    <w:p>
      <w:pPr>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2.5本技术标书在“预验收和终验收”章节所列的招标方在合同签署后将成为买方，中标的投标方将成为卖方；为避免歧异，本技术标书在“预验收和终验收”之外的其它章节，均将潜在的卖方称为投标方、将买方称为招标方。</w:t>
      </w:r>
    </w:p>
    <w:tbl>
      <w:tblPr>
        <w:tblStyle w:val="43"/>
        <w:tblpPr w:leftFromText="180" w:rightFromText="180" w:vertAnchor="text" w:horzAnchor="page" w:tblpX="1791" w:tblpY="435"/>
        <w:tblOverlap w:val="never"/>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1"/>
        <w:gridCol w:w="1421"/>
        <w:gridCol w:w="1421"/>
        <w:gridCol w:w="1421"/>
        <w:gridCol w:w="1422"/>
        <w:gridCol w:w="1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28" w:type="dxa"/>
            <w:gridSpan w:val="6"/>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仿宋" w:hAnsi="仿宋" w:eastAsia="仿宋" w:cs="仿宋"/>
                <w:highlight w:val="none"/>
              </w:rPr>
            </w:pPr>
            <w:r>
              <w:rPr>
                <w:rFonts w:hint="eastAsia" w:ascii="仿宋" w:hAnsi="仿宋" w:eastAsia="仿宋" w:cs="仿宋"/>
                <w:highlight w:val="none"/>
              </w:rPr>
              <w:t>会签栏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1"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仿宋" w:hAnsi="仿宋" w:eastAsia="仿宋" w:cs="仿宋"/>
                <w:highlight w:val="none"/>
              </w:rPr>
            </w:pPr>
            <w:r>
              <w:rPr>
                <w:rFonts w:hint="eastAsia" w:ascii="仿宋" w:hAnsi="仿宋" w:eastAsia="仿宋" w:cs="仿宋"/>
                <w:highlight w:val="none"/>
              </w:rPr>
              <w:t>单位</w:t>
            </w:r>
          </w:p>
        </w:tc>
        <w:tc>
          <w:tcPr>
            <w:tcW w:w="1421"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仿宋" w:hAnsi="仿宋" w:eastAsia="仿宋" w:cs="仿宋"/>
                <w:highlight w:val="none"/>
              </w:rPr>
            </w:pPr>
            <w:r>
              <w:rPr>
                <w:rFonts w:hint="eastAsia" w:ascii="仿宋" w:hAnsi="仿宋" w:eastAsia="仿宋" w:cs="仿宋"/>
                <w:highlight w:val="none"/>
              </w:rPr>
              <w:t>签字</w:t>
            </w:r>
          </w:p>
        </w:tc>
        <w:tc>
          <w:tcPr>
            <w:tcW w:w="1421"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仿宋" w:hAnsi="仿宋" w:eastAsia="仿宋" w:cs="仿宋"/>
                <w:highlight w:val="none"/>
              </w:rPr>
            </w:pPr>
            <w:r>
              <w:rPr>
                <w:rFonts w:hint="eastAsia" w:ascii="仿宋" w:hAnsi="仿宋" w:eastAsia="仿宋" w:cs="仿宋"/>
                <w:highlight w:val="none"/>
              </w:rPr>
              <w:t>日期</w:t>
            </w:r>
          </w:p>
        </w:tc>
        <w:tc>
          <w:tcPr>
            <w:tcW w:w="1421"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仿宋" w:hAnsi="仿宋" w:eastAsia="仿宋" w:cs="仿宋"/>
                <w:highlight w:val="none"/>
              </w:rPr>
            </w:pPr>
            <w:r>
              <w:rPr>
                <w:rFonts w:hint="eastAsia" w:ascii="仿宋" w:hAnsi="仿宋" w:eastAsia="仿宋" w:cs="仿宋"/>
                <w:highlight w:val="none"/>
              </w:rPr>
              <w:t>单位</w:t>
            </w:r>
          </w:p>
        </w:tc>
        <w:tc>
          <w:tcPr>
            <w:tcW w:w="14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仿宋" w:hAnsi="仿宋" w:eastAsia="仿宋" w:cs="仿宋"/>
                <w:highlight w:val="none"/>
              </w:rPr>
            </w:pPr>
            <w:r>
              <w:rPr>
                <w:rFonts w:hint="eastAsia" w:ascii="仿宋" w:hAnsi="仿宋" w:eastAsia="仿宋" w:cs="仿宋"/>
                <w:highlight w:val="none"/>
              </w:rPr>
              <w:t>签字</w:t>
            </w:r>
          </w:p>
        </w:tc>
        <w:tc>
          <w:tcPr>
            <w:tcW w:w="14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仿宋" w:hAnsi="仿宋" w:eastAsia="仿宋" w:cs="仿宋"/>
                <w:highlight w:val="none"/>
              </w:rPr>
            </w:pPr>
            <w:r>
              <w:rPr>
                <w:rFonts w:hint="eastAsia" w:ascii="仿宋" w:hAnsi="仿宋" w:eastAsia="仿宋" w:cs="仿宋"/>
                <w:highlight w:val="none"/>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1"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ascii="仿宋" w:hAnsi="仿宋" w:eastAsia="仿宋" w:cs="仿宋"/>
                <w:highlight w:val="none"/>
              </w:rPr>
            </w:pPr>
            <w:r>
              <w:rPr>
                <w:rFonts w:hint="eastAsia" w:ascii="仿宋" w:hAnsi="仿宋" w:eastAsia="仿宋" w:cs="仿宋"/>
                <w:highlight w:val="none"/>
              </w:rPr>
              <w:t>使用单位</w:t>
            </w:r>
          </w:p>
        </w:tc>
        <w:tc>
          <w:tcPr>
            <w:tcW w:w="1421"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ascii="仿宋" w:hAnsi="仿宋" w:eastAsia="仿宋" w:cs="仿宋"/>
                <w:highlight w:val="none"/>
              </w:rPr>
            </w:pPr>
          </w:p>
        </w:tc>
        <w:tc>
          <w:tcPr>
            <w:tcW w:w="1421"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ascii="仿宋" w:hAnsi="仿宋" w:eastAsia="仿宋" w:cs="仿宋"/>
                <w:highlight w:val="none"/>
              </w:rPr>
            </w:pPr>
          </w:p>
        </w:tc>
        <w:tc>
          <w:tcPr>
            <w:tcW w:w="1421"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highlight w:val="none"/>
              </w:rPr>
            </w:pPr>
            <w:r>
              <w:rPr>
                <w:rFonts w:hint="eastAsia" w:ascii="仿宋" w:hAnsi="仿宋" w:eastAsia="仿宋" w:cs="仿宋"/>
                <w:highlight w:val="none"/>
              </w:rPr>
              <w:t>安</w:t>
            </w:r>
            <w:r>
              <w:rPr>
                <w:rFonts w:hint="eastAsia" w:ascii="仿宋" w:hAnsi="仿宋" w:eastAsia="仿宋" w:cs="仿宋"/>
                <w:highlight w:val="none"/>
                <w:lang w:val="en-US" w:eastAsia="zh-CN"/>
              </w:rPr>
              <w:t>全</w:t>
            </w:r>
            <w:r>
              <w:rPr>
                <w:rFonts w:hint="eastAsia" w:ascii="仿宋" w:hAnsi="仿宋" w:eastAsia="仿宋" w:cs="仿宋"/>
                <w:highlight w:val="none"/>
              </w:rPr>
              <w:t>环保部</w:t>
            </w:r>
          </w:p>
        </w:tc>
        <w:tc>
          <w:tcPr>
            <w:tcW w:w="14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ascii="仿宋" w:hAnsi="仿宋" w:eastAsia="仿宋" w:cs="仿宋"/>
                <w:highlight w:val="none"/>
              </w:rPr>
            </w:pPr>
          </w:p>
        </w:tc>
        <w:tc>
          <w:tcPr>
            <w:tcW w:w="14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1"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ascii="仿宋" w:hAnsi="仿宋" w:eastAsia="仿宋" w:cs="仿宋"/>
                <w:highlight w:val="none"/>
              </w:rPr>
            </w:pPr>
            <w:r>
              <w:rPr>
                <w:rFonts w:hint="eastAsia" w:ascii="仿宋" w:hAnsi="仿宋" w:eastAsia="仿宋" w:cs="仿宋"/>
                <w:highlight w:val="none"/>
              </w:rPr>
              <w:t>制造部</w:t>
            </w:r>
          </w:p>
        </w:tc>
        <w:tc>
          <w:tcPr>
            <w:tcW w:w="1421"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ascii="仿宋" w:hAnsi="仿宋" w:eastAsia="仿宋" w:cs="仿宋"/>
                <w:highlight w:val="none"/>
              </w:rPr>
            </w:pPr>
          </w:p>
        </w:tc>
        <w:tc>
          <w:tcPr>
            <w:tcW w:w="1421"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ascii="仿宋" w:hAnsi="仿宋" w:eastAsia="仿宋" w:cs="仿宋"/>
                <w:highlight w:val="none"/>
              </w:rPr>
            </w:pPr>
          </w:p>
        </w:tc>
        <w:tc>
          <w:tcPr>
            <w:tcW w:w="1421"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highlight w:val="none"/>
              </w:rPr>
            </w:pPr>
            <w:r>
              <w:rPr>
                <w:rFonts w:hint="eastAsia" w:ascii="仿宋" w:hAnsi="仿宋" w:eastAsia="仿宋" w:cs="仿宋"/>
                <w:highlight w:val="none"/>
              </w:rPr>
              <w:t>质量部</w:t>
            </w:r>
          </w:p>
        </w:tc>
        <w:tc>
          <w:tcPr>
            <w:tcW w:w="14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ascii="仿宋" w:hAnsi="仿宋" w:eastAsia="仿宋" w:cs="仿宋"/>
                <w:highlight w:val="none"/>
              </w:rPr>
            </w:pPr>
          </w:p>
        </w:tc>
        <w:tc>
          <w:tcPr>
            <w:tcW w:w="14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1"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ascii="仿宋" w:hAnsi="仿宋" w:eastAsia="仿宋" w:cs="仿宋"/>
                <w:highlight w:val="none"/>
              </w:rPr>
            </w:pPr>
            <w:r>
              <w:rPr>
                <w:rFonts w:hint="eastAsia" w:ascii="仿宋" w:hAnsi="仿宋" w:eastAsia="仿宋" w:cs="仿宋"/>
                <w:highlight w:val="none"/>
              </w:rPr>
              <w:t>工艺工程部</w:t>
            </w:r>
          </w:p>
        </w:tc>
        <w:tc>
          <w:tcPr>
            <w:tcW w:w="1421"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ascii="仿宋" w:hAnsi="仿宋" w:eastAsia="仿宋" w:cs="仿宋"/>
                <w:highlight w:val="none"/>
              </w:rPr>
            </w:pPr>
          </w:p>
        </w:tc>
        <w:tc>
          <w:tcPr>
            <w:tcW w:w="1421"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ascii="仿宋" w:hAnsi="仿宋" w:eastAsia="仿宋" w:cs="仿宋"/>
                <w:highlight w:val="none"/>
              </w:rPr>
            </w:pPr>
          </w:p>
        </w:tc>
        <w:tc>
          <w:tcPr>
            <w:tcW w:w="1421"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ascii="仿宋" w:hAnsi="仿宋" w:eastAsia="仿宋" w:cs="仿宋"/>
                <w:highlight w:val="none"/>
              </w:rPr>
            </w:pPr>
          </w:p>
        </w:tc>
        <w:tc>
          <w:tcPr>
            <w:tcW w:w="14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ascii="仿宋" w:hAnsi="仿宋" w:eastAsia="仿宋" w:cs="仿宋"/>
                <w:highlight w:val="none"/>
              </w:rPr>
            </w:pPr>
          </w:p>
        </w:tc>
        <w:tc>
          <w:tcPr>
            <w:tcW w:w="14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ascii="仿宋" w:hAnsi="仿宋" w:eastAsia="仿宋" w:cs="仿宋"/>
                <w:highlight w:val="none"/>
              </w:rPr>
            </w:pPr>
          </w:p>
        </w:tc>
      </w:tr>
    </w:tbl>
    <w:p>
      <w:pPr>
        <w:pStyle w:val="18"/>
        <w:rPr>
          <w:highlight w:val="none"/>
        </w:rPr>
      </w:pPr>
    </w:p>
    <w:p>
      <w:pPr>
        <w:snapToGrid w:val="0"/>
        <w:spacing w:line="360" w:lineRule="auto"/>
        <w:rPr>
          <w:rFonts w:ascii="仿宋" w:hAnsi="仿宋" w:eastAsia="仿宋" w:cs="仿宋"/>
          <w:highlight w:val="none"/>
        </w:rPr>
      </w:pPr>
    </w:p>
    <w:p>
      <w:pPr>
        <w:pStyle w:val="18"/>
        <w:rPr>
          <w:rFonts w:hint="eastAsia"/>
        </w:rPr>
        <w:sectPr>
          <w:pgSz w:w="11907" w:h="16840"/>
          <w:pgMar w:top="1304" w:right="1418" w:bottom="1304" w:left="1418" w:header="724" w:footer="851" w:gutter="0"/>
          <w:cols w:space="720" w:num="1"/>
          <w:docGrid w:linePitch="290" w:charSpace="-3931"/>
        </w:sectPr>
      </w:pPr>
    </w:p>
    <w:p>
      <w:pPr>
        <w:pStyle w:val="19"/>
        <w:rPr>
          <w:rFonts w:hint="eastAsia"/>
        </w:rPr>
      </w:pPr>
    </w:p>
    <w:p/>
    <w:p>
      <w:pPr>
        <w:pStyle w:val="23"/>
      </w:pPr>
    </w:p>
    <w:p>
      <w:pPr>
        <w:spacing w:line="360" w:lineRule="auto"/>
        <w:jc w:val="center"/>
        <w:outlineLvl w:val="0"/>
        <w:rPr>
          <w:rFonts w:ascii="宋体" w:hAnsi="Calibri" w:eastAsia="宋体" w:cs="Times New Roman"/>
          <w:b/>
          <w:sz w:val="36"/>
          <w:szCs w:val="36"/>
        </w:rPr>
      </w:pPr>
      <w:bookmarkStart w:id="1421"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421"/>
    </w:p>
    <w:p>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hint="eastAsia" w:ascii="宋体" w:hAnsi="宋体"/>
          <w:sz w:val="20"/>
          <w:szCs w:val="20"/>
        </w:rPr>
      </w:pPr>
    </w:p>
    <w:p>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906" w:firstLineChars="678"/>
        <w:jc w:val="left"/>
        <w:rPr>
          <w:rFonts w:hint="eastAsia" w:ascii="宋体" w:hAnsi="宋体" w:eastAsia="宋体" w:cs="Times New Roman"/>
          <w:b/>
          <w:sz w:val="28"/>
          <w:szCs w:val="36"/>
        </w:rPr>
      </w:pPr>
    </w:p>
    <w:p>
      <w:pPr>
        <w:rPr>
          <w:rFonts w:ascii="Calibri" w:hAnsi="Calibri" w:eastAsia="宋体" w:cs="Times New Roman"/>
          <w:szCs w:val="21"/>
        </w:rPr>
      </w:pPr>
    </w:p>
    <w:p>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pPr>
        <w:spacing w:line="360" w:lineRule="auto"/>
        <w:rPr>
          <w:rFonts w:hint="eastAsia" w:ascii="宋体" w:hAnsi="宋体" w:cs="宋体"/>
          <w:bCs/>
          <w:sz w:val="22"/>
        </w:rPr>
        <w:sectPr>
          <w:pgSz w:w="11907" w:h="16840"/>
          <w:pgMar w:top="1304" w:right="1418" w:bottom="1304" w:left="1418" w:header="724" w:footer="851" w:gutter="0"/>
          <w:cols w:space="720" w:num="1"/>
          <w:docGrid w:linePitch="290" w:charSpace="-3931"/>
        </w:sectPr>
      </w:pPr>
    </w:p>
    <w:p>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hint="eastAsia" w:ascii="仿宋_GB2312" w:hAnsi="宋体" w:eastAsia="仿宋_GB2312" w:cs="宋体"/>
          <w:b/>
          <w:bCs/>
          <w:sz w:val="24"/>
          <w:szCs w:val="24"/>
          <w:u w:val="single"/>
        </w:rPr>
      </w:pPr>
    </w:p>
    <w:p>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20" w:firstLineChars="0"/>
        <w:rPr>
          <w:rFonts w:hint="eastAsia" w:ascii="仿宋_GB2312" w:hAnsi="宋体" w:eastAsia="仿宋_GB2312" w:cs="宋体"/>
          <w:b/>
          <w:sz w:val="24"/>
          <w:szCs w:val="24"/>
          <w:lang w:eastAsia="zh-CN"/>
        </w:rPr>
      </w:pPr>
      <w:r>
        <w:rPr>
          <w:rFonts w:hint="eastAsia" w:ascii="仿宋_GB2312" w:hAnsi="宋体" w:eastAsia="仿宋_GB2312" w:cs="宋体"/>
          <w:b/>
          <w:sz w:val="24"/>
          <w:szCs w:val="24"/>
        </w:rPr>
        <w:t>招标人有权指定招标人的关联单位作为合同签订人，与中标人签署相关合同，且具体权利义务以中标人与招标人的关联公司最终签署的合同为准</w:t>
      </w:r>
      <w:r>
        <w:rPr>
          <w:rFonts w:hint="eastAsia" w:ascii="仿宋_GB2312" w:hAnsi="宋体" w:eastAsia="仿宋_GB2312" w:cs="宋体"/>
          <w:b/>
          <w:sz w:val="24"/>
          <w:szCs w:val="24"/>
          <w:lang w:eastAsia="zh-CN"/>
        </w:rPr>
        <w:t>。</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pPr>
        <w:rPr>
          <w:rFonts w:ascii="Calibri" w:hAnsi="Calibri" w:eastAsia="宋体" w:cs="Times New Roman"/>
          <w:sz w:val="24"/>
          <w:szCs w:val="24"/>
        </w:rPr>
      </w:pPr>
      <w:r>
        <w:rPr>
          <w:rFonts w:hint="eastAsia" w:ascii="Calibri" w:hAnsi="Calibri" w:eastAsia="宋体" w:cs="Times New Roman"/>
          <w:sz w:val="24"/>
          <w:szCs w:val="24"/>
        </w:rPr>
        <w:br w:type="page"/>
      </w:r>
    </w:p>
    <w:p>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pPr>
        <w:rPr>
          <w:rFonts w:hint="eastAsia"/>
        </w:rPr>
      </w:pP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32"/>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r>
    </w:tbl>
    <w:p>
      <w:pPr>
        <w:tabs>
          <w:tab w:val="right" w:leader="dot" w:pos="9061"/>
        </w:tabs>
        <w:rPr>
          <w:rFonts w:hint="eastAsia" w:asciiTheme="minorEastAsia" w:hAnsiTheme="minorEastAsia" w:cstheme="minorEastAsia"/>
          <w:sz w:val="20"/>
        </w:rPr>
      </w:pPr>
    </w:p>
    <w:p>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pPr>
        <w:rPr>
          <w:rFonts w:hint="eastAsia" w:asciiTheme="minorEastAsia" w:hAnsiTheme="minorEastAsia" w:cstheme="minorEastAsia"/>
          <w:sz w:val="20"/>
          <w:szCs w:val="20"/>
        </w:rPr>
      </w:pPr>
    </w:p>
    <w:p>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pPr>
        <w:ind w:right="360"/>
        <w:rPr>
          <w:rFonts w:hint="eastAsia" w:asciiTheme="minorEastAsia" w:hAnsiTheme="minorEastAsia" w:cstheme="minorEastAsia"/>
          <w:sz w:val="20"/>
          <w:szCs w:val="20"/>
        </w:rPr>
        <w:sectPr>
          <w:headerReference r:id="rId13" w:type="default"/>
          <w:footerReference r:id="rId14"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422" w:name="_Toc15851"/>
      <w:bookmarkStart w:id="1423" w:name="_Toc20872"/>
      <w:bookmarkStart w:id="1424" w:name="_Toc8509"/>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422"/>
      <w:bookmarkEnd w:id="1423"/>
      <w:bookmarkEnd w:id="1424"/>
    </w:p>
    <w:p>
      <w:pPr>
        <w:keepNext/>
        <w:keepLines/>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3"/>
        <w:rPr>
          <w:rFonts w:ascii="Times New Roman" w:hAnsi="Times New Roman" w:eastAsia="宋体" w:cs="Times New Roman"/>
          <w:b/>
          <w:bCs/>
          <w:color w:val="000000"/>
          <w:sz w:val="24"/>
          <w:szCs w:val="24"/>
        </w:rPr>
        <w:sectPr>
          <w:footerReference r:id="rId16" w:type="first"/>
          <w:footerReference r:id="rId15"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3"/>
        <w:rPr>
          <w:rFonts w:ascii="黑体" w:hAnsi="Calibri" w:eastAsia="黑体" w:cs="Times New Roman"/>
          <w:color w:val="000000"/>
          <w:sz w:val="24"/>
          <w:szCs w:val="24"/>
        </w:rPr>
      </w:pPr>
    </w:p>
    <w:p>
      <w:pPr>
        <w:pStyle w:val="23"/>
        <w:rPr>
          <w:rFonts w:ascii="黑体" w:hAnsi="Calibri" w:eastAsia="黑体" w:cs="Times New Roman"/>
          <w:color w:val="000000"/>
          <w:sz w:val="24"/>
          <w:szCs w:val="24"/>
        </w:rPr>
      </w:pPr>
    </w:p>
    <w:p>
      <w:pPr>
        <w:pStyle w:val="23"/>
        <w:rPr>
          <w:rFonts w:ascii="黑体" w:hAnsi="Calibri" w:eastAsia="黑体" w:cs="Times New Roman"/>
          <w:color w:val="000000"/>
          <w:sz w:val="24"/>
          <w:szCs w:val="24"/>
        </w:rPr>
      </w:pPr>
    </w:p>
    <w:p>
      <w:pPr>
        <w:pStyle w:val="23"/>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2"/>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3"/>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4"/>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6"/>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6"/>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6"/>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6"/>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6"/>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6"/>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6"/>
              <w:spacing w:before="111"/>
              <w:ind w:left="509"/>
              <w:rPr>
                <w:rFonts w:hint="eastAsia"/>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6"/>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6"/>
              <w:spacing w:before="114"/>
              <w:ind w:left="720"/>
              <w:rPr>
                <w:rFonts w:hint="eastAsia"/>
              </w:rPr>
            </w:pPr>
            <w:r>
              <w:t xml:space="preserve">品牌区分 </w:t>
            </w:r>
          </w:p>
        </w:tc>
        <w:tc>
          <w:tcPr>
            <w:tcW w:w="7500" w:type="dxa"/>
            <w:gridSpan w:val="6"/>
          </w:tcPr>
          <w:p>
            <w:pPr>
              <w:pStyle w:val="136"/>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6"/>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6"/>
              <w:spacing w:before="15"/>
              <w:ind w:left="279"/>
              <w:rPr>
                <w:rFonts w:hint="eastAsia"/>
              </w:rPr>
            </w:pPr>
            <w:r>
              <w:rPr>
                <w:spacing w:val="-2"/>
              </w:rPr>
              <w:t>质量</w:t>
            </w:r>
            <w:r>
              <w:t xml:space="preserve"> </w:t>
            </w:r>
          </w:p>
          <w:p>
            <w:pPr>
              <w:pStyle w:val="136"/>
              <w:spacing w:before="30" w:line="277" w:lineRule="exact"/>
              <w:ind w:left="279"/>
              <w:rPr>
                <w:rFonts w:hint="eastAsia"/>
              </w:rPr>
            </w:pPr>
            <w:r>
              <w:rPr>
                <w:rFonts w:hint="eastAsia"/>
              </w:rPr>
              <w:t>体系</w:t>
            </w:r>
          </w:p>
        </w:tc>
        <w:tc>
          <w:tcPr>
            <w:tcW w:w="2820" w:type="dxa"/>
            <w:gridSpan w:val="2"/>
          </w:tcPr>
          <w:p>
            <w:pPr>
              <w:pStyle w:val="136"/>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6"/>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3"/>
        <w:rPr>
          <w:rFonts w:ascii="Times New Roman" w:hAnsi="Times New Roman" w:eastAsia="宋体" w:cs="Times New Roman"/>
          <w:b/>
          <w:bCs/>
          <w:color w:val="000000"/>
          <w:sz w:val="24"/>
          <w:szCs w:val="24"/>
        </w:rPr>
      </w:pP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8" w:type="first"/>
          <w:footerReference r:id="rId17"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2"/>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vAlign w:val="center"/>
          </w:tcPr>
          <w:p>
            <w:pPr>
              <w:keepNext w:val="0"/>
              <w:keepLines w:val="0"/>
              <w:widowControl/>
              <w:suppressLineNumbers w:val="0"/>
              <w:jc w:val="left"/>
              <w:textAlignment w:val="center"/>
              <w:rPr>
                <w:rFonts w:ascii="Times New Roman" w:hAnsi="Times New Roman" w:eastAsia="宋体" w:cs="Times New Roman"/>
                <w:b/>
                <w:sz w:val="24"/>
                <w:szCs w:val="20"/>
              </w:rPr>
            </w:pPr>
            <w:r>
              <w:rPr>
                <w:rFonts w:hint="eastAsia" w:ascii="宋体" w:hAnsi="宋体" w:eastAsia="宋体" w:cs="宋体"/>
                <w:b/>
                <w:bCs/>
                <w:i w:val="0"/>
                <w:iCs w:val="0"/>
                <w:color w:val="000000"/>
                <w:kern w:val="0"/>
                <w:sz w:val="24"/>
                <w:szCs w:val="24"/>
                <w:u w:val="none"/>
                <w:lang w:val="en-US" w:eastAsia="zh-CN" w:bidi="ar"/>
              </w:rPr>
              <w:t>一</w:t>
            </w:r>
          </w:p>
        </w:tc>
        <w:tc>
          <w:tcPr>
            <w:tcW w:w="3190" w:type="dxa"/>
            <w:vAlign w:val="center"/>
          </w:tcPr>
          <w:p>
            <w:pPr>
              <w:keepNext w:val="0"/>
              <w:keepLines w:val="0"/>
              <w:widowControl/>
              <w:suppressLineNumbers w:val="0"/>
              <w:jc w:val="left"/>
              <w:textAlignment w:val="center"/>
              <w:rPr>
                <w:rFonts w:ascii="Times New Roman" w:hAnsi="Times New Roman" w:eastAsia="宋体" w:cs="Times New Roman"/>
                <w:b/>
                <w:sz w:val="24"/>
                <w:szCs w:val="20"/>
              </w:rPr>
            </w:pPr>
            <w:r>
              <w:rPr>
                <w:rFonts w:hint="eastAsia" w:ascii="宋体" w:hAnsi="宋体" w:eastAsia="宋体" w:cs="宋体"/>
                <w:b/>
                <w:bCs/>
                <w:i w:val="0"/>
                <w:iCs w:val="0"/>
                <w:color w:val="000000"/>
                <w:kern w:val="0"/>
                <w:sz w:val="24"/>
                <w:szCs w:val="24"/>
                <w:u w:val="none"/>
                <w:lang w:val="en-US" w:eastAsia="zh-CN" w:bidi="ar"/>
              </w:rPr>
              <w:t>润滑脂定量加注系统</w:t>
            </w: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keepNext w:val="0"/>
              <w:keepLines w:val="0"/>
              <w:widowControl/>
              <w:suppressLineNumbers w:val="0"/>
              <w:jc w:val="left"/>
              <w:textAlignment w:val="center"/>
              <w:rPr>
                <w:rFonts w:ascii="Times New Roman" w:hAnsi="Times New Roman" w:eastAsia="宋体" w:cs="Times New Roman"/>
                <w:b/>
                <w:sz w:val="24"/>
                <w:szCs w:val="20"/>
              </w:rPr>
            </w:pPr>
            <w:r>
              <w:rPr>
                <w:rFonts w:hint="eastAsia" w:ascii="宋体" w:hAnsi="宋体" w:eastAsia="宋体" w:cs="宋体"/>
                <w:b/>
                <w:bCs/>
                <w:i w:val="0"/>
                <w:iCs w:val="0"/>
                <w:color w:val="000000"/>
                <w:kern w:val="0"/>
                <w:sz w:val="24"/>
                <w:szCs w:val="24"/>
                <w:u w:val="none"/>
                <w:lang w:val="en-US" w:eastAsia="zh-CN" w:bidi="ar"/>
              </w:rPr>
              <w:t>二</w:t>
            </w:r>
          </w:p>
        </w:tc>
        <w:tc>
          <w:tcPr>
            <w:tcW w:w="3190" w:type="dxa"/>
            <w:vAlign w:val="center"/>
          </w:tcPr>
          <w:p>
            <w:pPr>
              <w:keepNext w:val="0"/>
              <w:keepLines w:val="0"/>
              <w:widowControl/>
              <w:suppressLineNumbers w:val="0"/>
              <w:jc w:val="left"/>
              <w:textAlignment w:val="center"/>
              <w:rPr>
                <w:rFonts w:ascii="Times New Roman" w:hAnsi="Times New Roman" w:eastAsia="宋体" w:cs="Times New Roman"/>
                <w:b/>
                <w:sz w:val="24"/>
                <w:szCs w:val="20"/>
              </w:rPr>
            </w:pPr>
            <w:r>
              <w:rPr>
                <w:rFonts w:hint="eastAsia" w:ascii="宋体" w:hAnsi="宋体" w:eastAsia="宋体" w:cs="宋体"/>
                <w:b/>
                <w:bCs/>
                <w:i w:val="0"/>
                <w:iCs w:val="0"/>
                <w:color w:val="000000"/>
                <w:kern w:val="0"/>
                <w:sz w:val="24"/>
                <w:szCs w:val="24"/>
                <w:u w:val="none"/>
                <w:lang w:val="en-US" w:eastAsia="zh-CN" w:bidi="ar"/>
              </w:rPr>
              <w:t>前桥轮毂轴承外环加注工装</w:t>
            </w: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keepNext w:val="0"/>
              <w:keepLines w:val="0"/>
              <w:widowControl/>
              <w:suppressLineNumbers w:val="0"/>
              <w:jc w:val="left"/>
              <w:textAlignment w:val="center"/>
              <w:rPr>
                <w:rFonts w:ascii="Times New Roman" w:hAnsi="Times New Roman" w:eastAsia="宋体" w:cs="Times New Roman"/>
                <w:b/>
                <w:sz w:val="24"/>
                <w:szCs w:val="20"/>
              </w:rPr>
            </w:pPr>
            <w:r>
              <w:rPr>
                <w:rFonts w:hint="eastAsia" w:ascii="宋体" w:hAnsi="宋体" w:eastAsia="宋体" w:cs="宋体"/>
                <w:b/>
                <w:bCs/>
                <w:i w:val="0"/>
                <w:iCs w:val="0"/>
                <w:color w:val="000000"/>
                <w:kern w:val="0"/>
                <w:sz w:val="24"/>
                <w:szCs w:val="24"/>
                <w:u w:val="none"/>
                <w:lang w:val="en-US" w:eastAsia="zh-CN" w:bidi="ar"/>
              </w:rPr>
              <w:t>三</w:t>
            </w:r>
          </w:p>
        </w:tc>
        <w:tc>
          <w:tcPr>
            <w:tcW w:w="3190" w:type="dxa"/>
            <w:vAlign w:val="center"/>
          </w:tcPr>
          <w:p>
            <w:pPr>
              <w:keepNext w:val="0"/>
              <w:keepLines w:val="0"/>
              <w:widowControl/>
              <w:suppressLineNumbers w:val="0"/>
              <w:jc w:val="left"/>
              <w:textAlignment w:val="center"/>
              <w:rPr>
                <w:rFonts w:ascii="Times New Roman" w:hAnsi="Times New Roman" w:eastAsia="宋体" w:cs="Times New Roman"/>
                <w:b/>
                <w:sz w:val="24"/>
                <w:szCs w:val="20"/>
              </w:rPr>
            </w:pPr>
            <w:r>
              <w:rPr>
                <w:rFonts w:hint="eastAsia" w:ascii="宋体" w:hAnsi="宋体" w:eastAsia="宋体" w:cs="宋体"/>
                <w:b/>
                <w:bCs/>
                <w:i w:val="0"/>
                <w:iCs w:val="0"/>
                <w:color w:val="000000"/>
                <w:kern w:val="0"/>
                <w:sz w:val="24"/>
                <w:szCs w:val="24"/>
                <w:u w:val="none"/>
                <w:lang w:val="en-US" w:eastAsia="zh-CN" w:bidi="ar"/>
              </w:rPr>
              <w:t>驱动桥轮毂内腔+内轴承加注工装</w:t>
            </w: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keepNext w:val="0"/>
              <w:keepLines w:val="0"/>
              <w:widowControl/>
              <w:suppressLineNumbers w:val="0"/>
              <w:jc w:val="left"/>
              <w:textAlignment w:val="center"/>
              <w:rPr>
                <w:rFonts w:ascii="Times New Roman" w:hAnsi="Times New Roman" w:eastAsia="宋体" w:cs="Times New Roman"/>
                <w:b/>
                <w:sz w:val="24"/>
                <w:szCs w:val="20"/>
              </w:rPr>
            </w:pPr>
            <w:r>
              <w:rPr>
                <w:rFonts w:hint="eastAsia" w:ascii="宋体" w:hAnsi="宋体" w:eastAsia="宋体" w:cs="宋体"/>
                <w:b/>
                <w:bCs/>
                <w:i w:val="0"/>
                <w:iCs w:val="0"/>
                <w:color w:val="000000"/>
                <w:kern w:val="0"/>
                <w:sz w:val="24"/>
                <w:szCs w:val="24"/>
                <w:u w:val="none"/>
                <w:lang w:val="en-US" w:eastAsia="zh-CN" w:bidi="ar"/>
              </w:rPr>
              <w:t>四</w:t>
            </w:r>
          </w:p>
        </w:tc>
        <w:tc>
          <w:tcPr>
            <w:tcW w:w="3190" w:type="dxa"/>
            <w:vAlign w:val="center"/>
          </w:tcPr>
          <w:p>
            <w:pPr>
              <w:keepNext w:val="0"/>
              <w:keepLines w:val="0"/>
              <w:widowControl/>
              <w:suppressLineNumbers w:val="0"/>
              <w:jc w:val="left"/>
              <w:textAlignment w:val="center"/>
              <w:rPr>
                <w:rFonts w:ascii="Times New Roman" w:hAnsi="Times New Roman" w:eastAsia="宋体" w:cs="Times New Roman"/>
                <w:b/>
                <w:sz w:val="24"/>
                <w:szCs w:val="20"/>
              </w:rPr>
            </w:pPr>
            <w:r>
              <w:rPr>
                <w:rFonts w:hint="eastAsia" w:ascii="宋体" w:hAnsi="宋体" w:eastAsia="宋体" w:cs="宋体"/>
                <w:b/>
                <w:bCs/>
                <w:i w:val="0"/>
                <w:iCs w:val="0"/>
                <w:color w:val="000000"/>
                <w:kern w:val="0"/>
                <w:sz w:val="24"/>
                <w:szCs w:val="24"/>
                <w:u w:val="none"/>
                <w:lang w:val="en-US" w:eastAsia="zh-CN" w:bidi="ar"/>
              </w:rPr>
              <w:t>轮毂轴承内环加注工装</w:t>
            </w: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keepNext w:val="0"/>
              <w:keepLines w:val="0"/>
              <w:widowControl/>
              <w:suppressLineNumbers w:val="0"/>
              <w:jc w:val="left"/>
              <w:textAlignment w:val="center"/>
              <w:rPr>
                <w:rFonts w:ascii="Times New Roman" w:hAnsi="Times New Roman" w:eastAsia="宋体" w:cs="Times New Roman"/>
                <w:b/>
                <w:sz w:val="24"/>
                <w:szCs w:val="20"/>
              </w:rPr>
            </w:pPr>
            <w:r>
              <w:rPr>
                <w:rFonts w:hint="eastAsia" w:ascii="宋体" w:hAnsi="宋体" w:eastAsia="宋体" w:cs="宋体"/>
                <w:b/>
                <w:bCs/>
                <w:i w:val="0"/>
                <w:iCs w:val="0"/>
                <w:color w:val="000000"/>
                <w:kern w:val="0"/>
                <w:sz w:val="24"/>
                <w:szCs w:val="24"/>
                <w:u w:val="none"/>
                <w:lang w:val="en-US" w:eastAsia="zh-CN" w:bidi="ar"/>
              </w:rPr>
              <w:t>五</w:t>
            </w:r>
          </w:p>
        </w:tc>
        <w:tc>
          <w:tcPr>
            <w:tcW w:w="3190" w:type="dxa"/>
            <w:vAlign w:val="center"/>
          </w:tcPr>
          <w:p>
            <w:pPr>
              <w:keepNext w:val="0"/>
              <w:keepLines w:val="0"/>
              <w:widowControl/>
              <w:suppressLineNumbers w:val="0"/>
              <w:jc w:val="left"/>
              <w:textAlignment w:val="center"/>
              <w:rPr>
                <w:rFonts w:ascii="Times New Roman" w:hAnsi="Times New Roman" w:eastAsia="宋体" w:cs="Times New Roman"/>
                <w:b/>
                <w:sz w:val="24"/>
                <w:szCs w:val="20"/>
              </w:rPr>
            </w:pPr>
            <w:r>
              <w:rPr>
                <w:rFonts w:hint="eastAsia" w:ascii="宋体" w:hAnsi="宋体" w:eastAsia="宋体" w:cs="宋体"/>
                <w:b/>
                <w:bCs/>
                <w:i w:val="0"/>
                <w:iCs w:val="0"/>
                <w:color w:val="000000"/>
                <w:kern w:val="0"/>
                <w:sz w:val="24"/>
                <w:szCs w:val="24"/>
                <w:u w:val="none"/>
                <w:lang w:val="en-US" w:eastAsia="zh-CN" w:bidi="ar"/>
              </w:rPr>
              <w:t>手动加注枪</w:t>
            </w: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keepNext w:val="0"/>
              <w:keepLines w:val="0"/>
              <w:widowControl/>
              <w:suppressLineNumbers w:val="0"/>
              <w:jc w:val="left"/>
              <w:textAlignment w:val="center"/>
              <w:rPr>
                <w:rFonts w:ascii="Times New Roman" w:hAnsi="Times New Roman" w:eastAsia="宋体" w:cs="Times New Roman"/>
                <w:b/>
                <w:sz w:val="24"/>
                <w:szCs w:val="20"/>
              </w:rPr>
            </w:pPr>
            <w:r>
              <w:rPr>
                <w:rFonts w:hint="eastAsia" w:ascii="宋体" w:hAnsi="宋体" w:eastAsia="宋体" w:cs="宋体"/>
                <w:b/>
                <w:bCs/>
                <w:i w:val="0"/>
                <w:iCs w:val="0"/>
                <w:color w:val="000000"/>
                <w:kern w:val="0"/>
                <w:sz w:val="24"/>
                <w:szCs w:val="24"/>
                <w:u w:val="none"/>
                <w:lang w:val="en-US" w:eastAsia="zh-CN" w:bidi="ar"/>
              </w:rPr>
              <w:t>六</w:t>
            </w:r>
          </w:p>
        </w:tc>
        <w:tc>
          <w:tcPr>
            <w:tcW w:w="3190" w:type="dxa"/>
            <w:vAlign w:val="center"/>
          </w:tcPr>
          <w:p>
            <w:pPr>
              <w:keepNext w:val="0"/>
              <w:keepLines w:val="0"/>
              <w:widowControl/>
              <w:suppressLineNumbers w:val="0"/>
              <w:jc w:val="left"/>
              <w:textAlignment w:val="center"/>
              <w:rPr>
                <w:rFonts w:ascii="Times New Roman" w:hAnsi="Times New Roman" w:eastAsia="宋体" w:cs="Times New Roman"/>
                <w:b/>
                <w:sz w:val="24"/>
                <w:szCs w:val="20"/>
              </w:rPr>
            </w:pPr>
            <w:r>
              <w:rPr>
                <w:rFonts w:hint="eastAsia" w:ascii="宋体" w:hAnsi="宋体" w:eastAsia="宋体" w:cs="宋体"/>
                <w:b/>
                <w:bCs/>
                <w:i w:val="0"/>
                <w:iCs w:val="0"/>
                <w:color w:val="000000"/>
                <w:kern w:val="0"/>
                <w:sz w:val="24"/>
                <w:szCs w:val="24"/>
                <w:u w:val="none"/>
                <w:lang w:val="en-US" w:eastAsia="zh-CN" w:bidi="ar"/>
              </w:rPr>
              <w:t>主减加注系统</w:t>
            </w: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keepNext w:val="0"/>
              <w:keepLines w:val="0"/>
              <w:widowControl/>
              <w:suppressLineNumbers w:val="0"/>
              <w:jc w:val="left"/>
              <w:textAlignment w:val="center"/>
              <w:rPr>
                <w:rFonts w:ascii="Times New Roman" w:hAnsi="Times New Roman" w:eastAsia="宋体" w:cs="Times New Roman"/>
                <w:b/>
                <w:sz w:val="24"/>
                <w:szCs w:val="20"/>
              </w:rPr>
            </w:pPr>
            <w:r>
              <w:rPr>
                <w:rFonts w:hint="eastAsia" w:ascii="宋体" w:hAnsi="宋体" w:eastAsia="宋体" w:cs="宋体"/>
                <w:b/>
                <w:bCs/>
                <w:i w:val="0"/>
                <w:iCs w:val="0"/>
                <w:color w:val="000000"/>
                <w:kern w:val="0"/>
                <w:sz w:val="24"/>
                <w:szCs w:val="24"/>
                <w:u w:val="none"/>
                <w:lang w:val="en-US" w:eastAsia="zh-CN" w:bidi="ar"/>
              </w:rPr>
              <w:t>七</w:t>
            </w:r>
          </w:p>
        </w:tc>
        <w:tc>
          <w:tcPr>
            <w:tcW w:w="3190" w:type="dxa"/>
            <w:vAlign w:val="center"/>
          </w:tcPr>
          <w:p>
            <w:pPr>
              <w:keepNext w:val="0"/>
              <w:keepLines w:val="0"/>
              <w:widowControl/>
              <w:suppressLineNumbers w:val="0"/>
              <w:jc w:val="left"/>
              <w:textAlignment w:val="center"/>
              <w:rPr>
                <w:rFonts w:ascii="Times New Roman" w:hAnsi="Times New Roman" w:eastAsia="宋体" w:cs="Times New Roman"/>
                <w:b/>
                <w:sz w:val="24"/>
                <w:szCs w:val="20"/>
              </w:rPr>
            </w:pPr>
            <w:r>
              <w:rPr>
                <w:rFonts w:hint="eastAsia" w:ascii="宋体" w:hAnsi="宋体" w:eastAsia="宋体" w:cs="宋体"/>
                <w:b/>
                <w:bCs/>
                <w:i w:val="0"/>
                <w:iCs w:val="0"/>
                <w:color w:val="000000"/>
                <w:kern w:val="0"/>
                <w:sz w:val="24"/>
                <w:szCs w:val="24"/>
                <w:u w:val="none"/>
                <w:lang w:val="en-US" w:eastAsia="zh-CN" w:bidi="ar"/>
              </w:rPr>
              <w:t>电控系统</w:t>
            </w: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八</w:t>
            </w:r>
          </w:p>
        </w:tc>
        <w:tc>
          <w:tcPr>
            <w:tcW w:w="319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轴承加热装置</w:t>
            </w: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bl>
    <w:p>
      <w:pPr>
        <w:spacing w:line="660" w:lineRule="exact"/>
        <w:rPr>
          <w:rFonts w:hint="eastAsia" w:ascii="宋体" w:hAnsi="宋体" w:eastAsia="宋体" w:cs="Times New Roman"/>
          <w:sz w:val="24"/>
          <w:szCs w:val="20"/>
        </w:rPr>
      </w:pPr>
    </w:p>
    <w:p>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480" w:firstLineChars="200"/>
        <w:rPr>
          <w:rFonts w:hint="eastAsia" w:ascii="宋体" w:hAnsi="宋体" w:eastAsia="宋体" w:cs="宋体"/>
          <w:spacing w:val="-6"/>
          <w:szCs w:val="21"/>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4"/>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500"/>
        <w:gridCol w:w="3150"/>
        <w:gridCol w:w="630"/>
        <w:gridCol w:w="645"/>
        <w:gridCol w:w="1320"/>
        <w:gridCol w:w="9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3150" w:type="dxa"/>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315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pPr>
              <w:keepNext w:val="0"/>
              <w:keepLines w:val="0"/>
              <w:widowControl/>
              <w:suppressLineNumbers w:val="0"/>
              <w:jc w:val="left"/>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i w:val="0"/>
                <w:iCs w:val="0"/>
                <w:color w:val="000000"/>
                <w:kern w:val="0"/>
                <w:sz w:val="24"/>
                <w:szCs w:val="24"/>
                <w:u w:val="none"/>
                <w:lang w:val="en-US" w:eastAsia="zh-CN" w:bidi="ar"/>
              </w:rPr>
              <w:t>一</w:t>
            </w:r>
          </w:p>
        </w:tc>
        <w:tc>
          <w:tcPr>
            <w:tcW w:w="1500" w:type="dxa"/>
            <w:vAlign w:val="center"/>
          </w:tcPr>
          <w:p>
            <w:pPr>
              <w:keepNext w:val="0"/>
              <w:keepLines w:val="0"/>
              <w:widowControl/>
              <w:suppressLineNumbers w:val="0"/>
              <w:jc w:val="left"/>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i w:val="0"/>
                <w:iCs w:val="0"/>
                <w:color w:val="000000"/>
                <w:kern w:val="0"/>
                <w:sz w:val="24"/>
                <w:szCs w:val="24"/>
                <w:u w:val="none"/>
                <w:lang w:val="en-US" w:eastAsia="zh-CN" w:bidi="ar"/>
              </w:rPr>
              <w:t>润滑脂定量加注系统</w:t>
            </w:r>
          </w:p>
        </w:tc>
        <w:tc>
          <w:tcPr>
            <w:tcW w:w="315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pPr>
              <w:keepNext w:val="0"/>
              <w:keepLines w:val="0"/>
              <w:widowControl/>
              <w:suppressLineNumbers w:val="0"/>
              <w:jc w:val="left"/>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i w:val="0"/>
                <w:iCs w:val="0"/>
                <w:color w:val="000000"/>
                <w:kern w:val="0"/>
                <w:sz w:val="24"/>
                <w:szCs w:val="24"/>
                <w:u w:val="none"/>
                <w:lang w:val="en-US" w:eastAsia="zh-CN" w:bidi="ar"/>
              </w:rPr>
              <w:t>二</w:t>
            </w:r>
          </w:p>
        </w:tc>
        <w:tc>
          <w:tcPr>
            <w:tcW w:w="1500" w:type="dxa"/>
            <w:vAlign w:val="center"/>
          </w:tcPr>
          <w:p>
            <w:pPr>
              <w:keepNext w:val="0"/>
              <w:keepLines w:val="0"/>
              <w:widowControl/>
              <w:suppressLineNumbers w:val="0"/>
              <w:jc w:val="left"/>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i w:val="0"/>
                <w:iCs w:val="0"/>
                <w:color w:val="000000"/>
                <w:kern w:val="0"/>
                <w:sz w:val="24"/>
                <w:szCs w:val="24"/>
                <w:u w:val="none"/>
                <w:lang w:val="en-US" w:eastAsia="zh-CN" w:bidi="ar"/>
              </w:rPr>
              <w:t>前桥轮毂轴承外环加注工装</w:t>
            </w:r>
          </w:p>
        </w:tc>
        <w:tc>
          <w:tcPr>
            <w:tcW w:w="315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pPr>
              <w:keepNext w:val="0"/>
              <w:keepLines w:val="0"/>
              <w:widowControl/>
              <w:suppressLineNumbers w:val="0"/>
              <w:jc w:val="left"/>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i w:val="0"/>
                <w:iCs w:val="0"/>
                <w:color w:val="000000"/>
                <w:kern w:val="0"/>
                <w:sz w:val="24"/>
                <w:szCs w:val="24"/>
                <w:u w:val="none"/>
                <w:lang w:val="en-US" w:eastAsia="zh-CN" w:bidi="ar"/>
              </w:rPr>
              <w:t>三</w:t>
            </w:r>
          </w:p>
        </w:tc>
        <w:tc>
          <w:tcPr>
            <w:tcW w:w="1500" w:type="dxa"/>
            <w:vAlign w:val="center"/>
          </w:tcPr>
          <w:p>
            <w:pPr>
              <w:keepNext w:val="0"/>
              <w:keepLines w:val="0"/>
              <w:widowControl/>
              <w:suppressLineNumbers w:val="0"/>
              <w:jc w:val="left"/>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i w:val="0"/>
                <w:iCs w:val="0"/>
                <w:color w:val="000000"/>
                <w:kern w:val="0"/>
                <w:sz w:val="24"/>
                <w:szCs w:val="24"/>
                <w:u w:val="none"/>
                <w:lang w:val="en-US" w:eastAsia="zh-CN" w:bidi="ar"/>
              </w:rPr>
              <w:t>驱动桥轮毂内腔+内轴承加注工装</w:t>
            </w:r>
          </w:p>
        </w:tc>
        <w:tc>
          <w:tcPr>
            <w:tcW w:w="315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pPr>
              <w:keepNext w:val="0"/>
              <w:keepLines w:val="0"/>
              <w:widowControl/>
              <w:suppressLineNumbers w:val="0"/>
              <w:jc w:val="left"/>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i w:val="0"/>
                <w:iCs w:val="0"/>
                <w:color w:val="000000"/>
                <w:kern w:val="0"/>
                <w:sz w:val="24"/>
                <w:szCs w:val="24"/>
                <w:u w:val="none"/>
                <w:lang w:val="en-US" w:eastAsia="zh-CN" w:bidi="ar"/>
              </w:rPr>
              <w:t>四</w:t>
            </w:r>
          </w:p>
        </w:tc>
        <w:tc>
          <w:tcPr>
            <w:tcW w:w="1500" w:type="dxa"/>
            <w:vAlign w:val="center"/>
          </w:tcPr>
          <w:p>
            <w:pPr>
              <w:keepNext w:val="0"/>
              <w:keepLines w:val="0"/>
              <w:widowControl/>
              <w:suppressLineNumbers w:val="0"/>
              <w:jc w:val="left"/>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i w:val="0"/>
                <w:iCs w:val="0"/>
                <w:color w:val="000000"/>
                <w:kern w:val="0"/>
                <w:sz w:val="24"/>
                <w:szCs w:val="24"/>
                <w:u w:val="none"/>
                <w:lang w:val="en-US" w:eastAsia="zh-CN" w:bidi="ar"/>
              </w:rPr>
              <w:t>轮毂轴承内环加注工装</w:t>
            </w:r>
          </w:p>
        </w:tc>
        <w:tc>
          <w:tcPr>
            <w:tcW w:w="315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pPr>
              <w:keepNext w:val="0"/>
              <w:keepLines w:val="0"/>
              <w:widowControl/>
              <w:suppressLineNumbers w:val="0"/>
              <w:jc w:val="left"/>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i w:val="0"/>
                <w:iCs w:val="0"/>
                <w:color w:val="000000"/>
                <w:kern w:val="0"/>
                <w:sz w:val="24"/>
                <w:szCs w:val="24"/>
                <w:u w:val="none"/>
                <w:lang w:val="en-US" w:eastAsia="zh-CN" w:bidi="ar"/>
              </w:rPr>
              <w:t>五</w:t>
            </w:r>
          </w:p>
        </w:tc>
        <w:tc>
          <w:tcPr>
            <w:tcW w:w="1500" w:type="dxa"/>
            <w:vAlign w:val="center"/>
          </w:tcPr>
          <w:p>
            <w:pPr>
              <w:keepNext w:val="0"/>
              <w:keepLines w:val="0"/>
              <w:widowControl/>
              <w:suppressLineNumbers w:val="0"/>
              <w:jc w:val="left"/>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i w:val="0"/>
                <w:iCs w:val="0"/>
                <w:color w:val="000000"/>
                <w:kern w:val="0"/>
                <w:sz w:val="24"/>
                <w:szCs w:val="24"/>
                <w:u w:val="none"/>
                <w:lang w:val="en-US" w:eastAsia="zh-CN" w:bidi="ar"/>
              </w:rPr>
              <w:t>手动加注枪</w:t>
            </w:r>
          </w:p>
        </w:tc>
        <w:tc>
          <w:tcPr>
            <w:tcW w:w="315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pPr>
              <w:keepNext w:val="0"/>
              <w:keepLines w:val="0"/>
              <w:widowControl/>
              <w:suppressLineNumbers w:val="0"/>
              <w:jc w:val="left"/>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i w:val="0"/>
                <w:iCs w:val="0"/>
                <w:color w:val="000000"/>
                <w:kern w:val="0"/>
                <w:sz w:val="24"/>
                <w:szCs w:val="24"/>
                <w:u w:val="none"/>
                <w:lang w:val="en-US" w:eastAsia="zh-CN" w:bidi="ar"/>
              </w:rPr>
              <w:t>六</w:t>
            </w:r>
          </w:p>
        </w:tc>
        <w:tc>
          <w:tcPr>
            <w:tcW w:w="1500" w:type="dxa"/>
            <w:vAlign w:val="center"/>
          </w:tcPr>
          <w:p>
            <w:pPr>
              <w:keepNext w:val="0"/>
              <w:keepLines w:val="0"/>
              <w:widowControl/>
              <w:suppressLineNumbers w:val="0"/>
              <w:jc w:val="left"/>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i w:val="0"/>
                <w:iCs w:val="0"/>
                <w:color w:val="000000"/>
                <w:kern w:val="0"/>
                <w:sz w:val="24"/>
                <w:szCs w:val="24"/>
                <w:u w:val="none"/>
                <w:lang w:val="en-US" w:eastAsia="zh-CN" w:bidi="ar"/>
              </w:rPr>
              <w:t>主减加注系统</w:t>
            </w:r>
          </w:p>
        </w:tc>
        <w:tc>
          <w:tcPr>
            <w:tcW w:w="315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pPr>
              <w:keepNext w:val="0"/>
              <w:keepLines w:val="0"/>
              <w:widowControl/>
              <w:suppressLineNumbers w:val="0"/>
              <w:jc w:val="left"/>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i w:val="0"/>
                <w:iCs w:val="0"/>
                <w:color w:val="000000"/>
                <w:kern w:val="0"/>
                <w:sz w:val="24"/>
                <w:szCs w:val="24"/>
                <w:u w:val="none"/>
                <w:lang w:val="en-US" w:eastAsia="zh-CN" w:bidi="ar"/>
              </w:rPr>
              <w:t>七</w:t>
            </w:r>
          </w:p>
        </w:tc>
        <w:tc>
          <w:tcPr>
            <w:tcW w:w="1500" w:type="dxa"/>
            <w:vAlign w:val="center"/>
          </w:tcPr>
          <w:p>
            <w:pPr>
              <w:keepNext w:val="0"/>
              <w:keepLines w:val="0"/>
              <w:widowControl/>
              <w:suppressLineNumbers w:val="0"/>
              <w:jc w:val="left"/>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i w:val="0"/>
                <w:iCs w:val="0"/>
                <w:color w:val="000000"/>
                <w:kern w:val="0"/>
                <w:sz w:val="24"/>
                <w:szCs w:val="24"/>
                <w:u w:val="none"/>
                <w:lang w:val="en-US" w:eastAsia="zh-CN" w:bidi="ar"/>
              </w:rPr>
              <w:t>电控系统</w:t>
            </w:r>
          </w:p>
        </w:tc>
        <w:tc>
          <w:tcPr>
            <w:tcW w:w="315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pPr>
              <w:keepNext w:val="0"/>
              <w:keepLines w:val="0"/>
              <w:widowControl/>
              <w:suppressLineNumbers w:val="0"/>
              <w:jc w:val="left"/>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i w:val="0"/>
                <w:iCs w:val="0"/>
                <w:color w:val="000000"/>
                <w:kern w:val="0"/>
                <w:sz w:val="24"/>
                <w:szCs w:val="24"/>
                <w:u w:val="none"/>
                <w:lang w:val="en-US" w:eastAsia="zh-CN" w:bidi="ar"/>
              </w:rPr>
              <w:t>八</w:t>
            </w:r>
          </w:p>
        </w:tc>
        <w:tc>
          <w:tcPr>
            <w:tcW w:w="1500" w:type="dxa"/>
            <w:vAlign w:val="center"/>
          </w:tcPr>
          <w:p>
            <w:pPr>
              <w:keepNext w:val="0"/>
              <w:keepLines w:val="0"/>
              <w:widowControl/>
              <w:suppressLineNumbers w:val="0"/>
              <w:jc w:val="left"/>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i w:val="0"/>
                <w:iCs w:val="0"/>
                <w:color w:val="000000"/>
                <w:kern w:val="0"/>
                <w:sz w:val="24"/>
                <w:szCs w:val="24"/>
                <w:u w:val="none"/>
                <w:lang w:val="en-US" w:eastAsia="zh-CN" w:bidi="ar"/>
              </w:rPr>
              <w:t>轴承加热装置</w:t>
            </w:r>
          </w:p>
        </w:tc>
        <w:tc>
          <w:tcPr>
            <w:tcW w:w="315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315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6" w:type="dxa"/>
          </w:tcPr>
          <w:p>
            <w:pPr>
              <w:spacing w:before="79"/>
              <w:ind w:left="249"/>
              <w:rPr>
                <w:rFonts w:hint="eastAsia" w:ascii="宋体" w:hAnsi="宋体" w:eastAsia="宋体" w:cs="宋体"/>
                <w:szCs w:val="21"/>
              </w:rPr>
            </w:pPr>
            <w:r>
              <w:rPr>
                <w:rFonts w:ascii="宋体" w:hAnsi="宋体" w:eastAsia="宋体" w:cs="宋体"/>
                <w:position w:val="1"/>
                <w:szCs w:val="21"/>
              </w:rPr>
              <w:t>…</w:t>
            </w:r>
          </w:p>
        </w:tc>
        <w:tc>
          <w:tcPr>
            <w:tcW w:w="1500" w:type="dxa"/>
          </w:tcPr>
          <w:p>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3150" w:type="dxa"/>
          </w:tcPr>
          <w:p>
            <w:pPr>
              <w:rPr>
                <w:rFonts w:hint="eastAsia" w:ascii="Arial"/>
              </w:rPr>
            </w:pPr>
          </w:p>
        </w:tc>
        <w:tc>
          <w:tcPr>
            <w:tcW w:w="630" w:type="dxa"/>
          </w:tcPr>
          <w:p>
            <w:pPr>
              <w:adjustRightInd w:val="0"/>
              <w:snapToGrid w:val="0"/>
              <w:spacing w:before="156" w:beforeLines="50" w:after="156" w:afterLines="50"/>
              <w:jc w:val="center"/>
              <w:rPr>
                <w:rFonts w:hint="eastAsia" w:ascii="宋体" w:hAnsi="宋体" w:cs="宋体"/>
                <w:szCs w:val="21"/>
              </w:rPr>
            </w:pPr>
          </w:p>
        </w:tc>
        <w:tc>
          <w:tcPr>
            <w:tcW w:w="645" w:type="dxa"/>
          </w:tcPr>
          <w:p>
            <w:pPr>
              <w:rPr>
                <w:rFonts w:hint="eastAsia" w:ascii="Arial"/>
              </w:rPr>
            </w:pPr>
          </w:p>
        </w:tc>
        <w:tc>
          <w:tcPr>
            <w:tcW w:w="1320" w:type="dxa"/>
            <w:tcBorders>
              <w:right w:val="single" w:color="000000" w:sz="4" w:space="0"/>
            </w:tcBorders>
          </w:tcPr>
          <w:p>
            <w:pPr>
              <w:rPr>
                <w:rFonts w:hint="eastAsia" w:ascii="Arial"/>
              </w:rPr>
            </w:pPr>
          </w:p>
        </w:tc>
        <w:tc>
          <w:tcPr>
            <w:tcW w:w="915"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hint="eastAsia" w:ascii="宋体" w:hAnsi="宋体" w:eastAsia="宋体" w:cs="宋体"/>
          <w:spacing w:val="-6"/>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2"/>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2"/>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不含税价：</w:t>
            </w:r>
          </w:p>
          <w:p>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23"/>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3"/>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5"/>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4"/>
        <w:tblW w:w="500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43"/>
        <w:gridCol w:w="1657"/>
        <w:gridCol w:w="2420"/>
        <w:gridCol w:w="891"/>
        <w:gridCol w:w="793"/>
        <w:gridCol w:w="2028"/>
        <w:gridCol w:w="1624"/>
        <w:gridCol w:w="2969"/>
        <w:gridCol w:w="6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7" w:type="pct"/>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2"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8"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3"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77" w:type="pct"/>
            <w:tcBorders>
              <w:righ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0" w:type="pct"/>
            <w:tcBorders>
              <w:lef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1" w:type="pct"/>
          </w:tcPr>
          <w:p>
            <w:pPr>
              <w:spacing w:before="99" w:line="183" w:lineRule="auto"/>
              <w:ind w:firstLine="420" w:firstLineChars="200"/>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7"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92"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r>
              <w:rPr>
                <w:rFonts w:hint="eastAsia" w:ascii="宋体" w:hAnsi="宋体" w:eastAsia="宋体" w:cs="宋体"/>
                <w:b/>
                <w:bCs/>
                <w:color w:val="000000"/>
                <w:kern w:val="0"/>
                <w:sz w:val="18"/>
                <w:szCs w:val="18"/>
                <w:lang w:bidi="ar"/>
              </w:rPr>
              <w:t>（吨位-跨度-高度）</w:t>
            </w:r>
          </w:p>
        </w:tc>
        <w:tc>
          <w:tcPr>
            <w:tcW w:w="318"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83"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2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77" w:type="pct"/>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0" w:type="pct"/>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1"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7" w:type="pct"/>
            <w:vAlign w:val="center"/>
          </w:tcPr>
          <w:p>
            <w:pPr>
              <w:pStyle w:val="131"/>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1657" w:type="dxa"/>
            <w:vAlign w:val="center"/>
          </w:tcPr>
          <w:p>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b/>
                <w:bCs/>
                <w:i w:val="0"/>
                <w:iCs w:val="0"/>
                <w:color w:val="000000"/>
                <w:kern w:val="0"/>
                <w:sz w:val="24"/>
                <w:szCs w:val="24"/>
                <w:u w:val="none"/>
                <w:lang w:val="en-US" w:eastAsia="zh-CN" w:bidi="ar"/>
              </w:rPr>
              <w:t>润滑脂定量加注系统</w:t>
            </w: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cs="宋体"/>
                <w:sz w:val="24"/>
                <w:szCs w:val="24"/>
              </w:rPr>
            </w:pPr>
          </w:p>
        </w:tc>
        <w:tc>
          <w:tcPr>
            <w:tcW w:w="283" w:type="pct"/>
            <w:vAlign w:val="center"/>
          </w:tcPr>
          <w:p>
            <w:pPr>
              <w:widowControl/>
              <w:jc w:val="center"/>
              <w:textAlignment w:val="center"/>
              <w:rPr>
                <w:rFonts w:hint="eastAsia" w:ascii="宋体" w:hAnsi="宋体" w:eastAsia="宋体" w:cs="宋体"/>
                <w:sz w:val="24"/>
                <w:szCs w:val="24"/>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337" w:type="pct"/>
            <w:vAlign w:val="center"/>
          </w:tcPr>
          <w:p>
            <w:pPr>
              <w:pStyle w:val="131"/>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2</w:t>
            </w:r>
          </w:p>
        </w:tc>
        <w:tc>
          <w:tcPr>
            <w:tcW w:w="1657" w:type="dxa"/>
            <w:vAlign w:val="center"/>
          </w:tcPr>
          <w:p>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b/>
                <w:bCs/>
                <w:i w:val="0"/>
                <w:iCs w:val="0"/>
                <w:color w:val="000000"/>
                <w:kern w:val="0"/>
                <w:sz w:val="24"/>
                <w:szCs w:val="24"/>
                <w:u w:val="none"/>
                <w:lang w:val="en-US" w:eastAsia="zh-CN" w:bidi="ar"/>
              </w:rPr>
              <w:t>前桥轮毂轴承外环加注工装</w:t>
            </w: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337" w:type="pct"/>
            <w:vAlign w:val="center"/>
          </w:tcPr>
          <w:p>
            <w:pPr>
              <w:pStyle w:val="131"/>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3</w:t>
            </w:r>
          </w:p>
        </w:tc>
        <w:tc>
          <w:tcPr>
            <w:tcW w:w="1657" w:type="dxa"/>
            <w:vAlign w:val="center"/>
          </w:tcPr>
          <w:p>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b/>
                <w:bCs/>
                <w:i w:val="0"/>
                <w:iCs w:val="0"/>
                <w:color w:val="000000"/>
                <w:kern w:val="0"/>
                <w:sz w:val="24"/>
                <w:szCs w:val="24"/>
                <w:u w:val="none"/>
                <w:lang w:val="en-US" w:eastAsia="zh-CN" w:bidi="ar"/>
              </w:rPr>
              <w:t>驱动桥轮毂内腔+内轴承加注工装</w:t>
            </w: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337" w:type="pct"/>
            <w:vAlign w:val="center"/>
          </w:tcPr>
          <w:p>
            <w:pPr>
              <w:pStyle w:val="131"/>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4</w:t>
            </w:r>
          </w:p>
        </w:tc>
        <w:tc>
          <w:tcPr>
            <w:tcW w:w="1657" w:type="dxa"/>
            <w:vAlign w:val="center"/>
          </w:tcPr>
          <w:p>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b/>
                <w:bCs/>
                <w:i w:val="0"/>
                <w:iCs w:val="0"/>
                <w:color w:val="000000"/>
                <w:kern w:val="0"/>
                <w:sz w:val="24"/>
                <w:szCs w:val="24"/>
                <w:u w:val="none"/>
                <w:lang w:val="en-US" w:eastAsia="zh-CN" w:bidi="ar"/>
              </w:rPr>
              <w:t>轮毂轴承内环加注工装</w:t>
            </w: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337" w:type="pct"/>
            <w:vAlign w:val="center"/>
          </w:tcPr>
          <w:p>
            <w:pPr>
              <w:pStyle w:val="131"/>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5</w:t>
            </w:r>
          </w:p>
        </w:tc>
        <w:tc>
          <w:tcPr>
            <w:tcW w:w="1657" w:type="dxa"/>
            <w:vAlign w:val="center"/>
          </w:tcPr>
          <w:p>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b/>
                <w:bCs/>
                <w:i w:val="0"/>
                <w:iCs w:val="0"/>
                <w:color w:val="000000"/>
                <w:kern w:val="0"/>
                <w:sz w:val="24"/>
                <w:szCs w:val="24"/>
                <w:u w:val="none"/>
                <w:lang w:val="en-US" w:eastAsia="zh-CN" w:bidi="ar"/>
              </w:rPr>
              <w:t>手动加注枪</w:t>
            </w: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7" w:type="pct"/>
            <w:vAlign w:val="center"/>
          </w:tcPr>
          <w:p>
            <w:pPr>
              <w:pStyle w:val="131"/>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6</w:t>
            </w:r>
          </w:p>
        </w:tc>
        <w:tc>
          <w:tcPr>
            <w:tcW w:w="1657" w:type="dxa"/>
            <w:vAlign w:val="center"/>
          </w:tcPr>
          <w:p>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b/>
                <w:bCs/>
                <w:i w:val="0"/>
                <w:iCs w:val="0"/>
                <w:color w:val="000000"/>
                <w:kern w:val="0"/>
                <w:sz w:val="24"/>
                <w:szCs w:val="24"/>
                <w:u w:val="none"/>
                <w:lang w:val="en-US" w:eastAsia="zh-CN" w:bidi="ar"/>
              </w:rPr>
              <w:t>主减加注系统</w:t>
            </w: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4" w:hRule="atLeast"/>
        </w:trPr>
        <w:tc>
          <w:tcPr>
            <w:tcW w:w="337" w:type="pct"/>
          </w:tcPr>
          <w:p>
            <w:pPr>
              <w:pStyle w:val="131"/>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1657" w:type="dxa"/>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b/>
                <w:bCs/>
                <w:i w:val="0"/>
                <w:iCs w:val="0"/>
                <w:color w:val="000000"/>
                <w:kern w:val="0"/>
                <w:sz w:val="24"/>
                <w:szCs w:val="24"/>
                <w:u w:val="none"/>
                <w:lang w:val="en-US" w:eastAsia="zh-CN" w:bidi="ar"/>
              </w:rPr>
              <w:t>电控系统</w:t>
            </w: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337" w:type="pct"/>
          </w:tcPr>
          <w:p>
            <w:pPr>
              <w:pStyle w:val="131"/>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1657" w:type="dxa"/>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b/>
                <w:bCs/>
                <w:i w:val="0"/>
                <w:iCs w:val="0"/>
                <w:color w:val="000000"/>
                <w:kern w:val="0"/>
                <w:sz w:val="24"/>
                <w:szCs w:val="24"/>
                <w:u w:val="none"/>
                <w:lang w:val="en-US" w:eastAsia="zh-CN" w:bidi="ar"/>
              </w:rPr>
              <w:t>轴承加热装置</w:t>
            </w: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9" w:hRule="atLeast"/>
        </w:trPr>
        <w:tc>
          <w:tcPr>
            <w:tcW w:w="337" w:type="pct"/>
          </w:tcPr>
          <w:p>
            <w:pPr>
              <w:pStyle w:val="131"/>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9</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1"/>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10</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1"/>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11</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1"/>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12</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7" w:type="pct"/>
          </w:tcPr>
          <w:p>
            <w:pPr>
              <w:pStyle w:val="131"/>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13</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698" w:type="pct"/>
            <w:gridSpan w:val="7"/>
            <w:vAlign w:val="center"/>
          </w:tcPr>
          <w:p>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060" w:type="pct"/>
            <w:tcBorders>
              <w:left w:val="single" w:color="000000" w:sz="4" w:space="0"/>
            </w:tcBorders>
            <w:vAlign w:val="center"/>
          </w:tcPr>
          <w:p>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41" w:type="pct"/>
          </w:tcPr>
          <w:p>
            <w:pPr>
              <w:rPr>
                <w:rFonts w:hint="eastAsia" w:ascii="Arial"/>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pPr>
        <w:pStyle w:val="30"/>
        <w:rPr>
          <w:rFonts w:hint="eastAsia"/>
        </w:rPr>
        <w:sectPr>
          <w:footerReference r:id="rId25" w:type="default"/>
          <w:pgSz w:w="16841" w:h="11907" w:orient="landscape"/>
          <w:pgMar w:top="400" w:right="1387" w:bottom="1168" w:left="1473" w:header="0" w:footer="990" w:gutter="0"/>
          <w:cols w:equalWidth="0" w:num="1">
            <w:col w:w="13980"/>
          </w:cols>
        </w:sectPr>
      </w:pPr>
      <w:r>
        <w:rPr>
          <w:rFonts w:hint="eastAsia"/>
        </w:rPr>
        <w:t xml:space="preserve"> </w:t>
      </w: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4"/>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6" w:type="default"/>
          <w:pgSz w:w="16841" w:h="11907"/>
          <w:pgMar w:top="400" w:right="1699" w:bottom="1184" w:left="1481" w:header="0" w:footer="1022" w:gutter="0"/>
          <w:cols w:space="720" w:num="1"/>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34"/>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23"/>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27" w:type="default"/>
          <w:pgSz w:w="16841" w:h="11907"/>
          <w:pgMar w:top="400" w:right="1699" w:bottom="1184" w:left="1481" w:header="0" w:footer="1022" w:gutter="0"/>
          <w:cols w:space="720" w:num="1"/>
        </w:sectPr>
      </w:pPr>
    </w:p>
    <w:p>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4"/>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pPr>
              <w:spacing w:before="102" w:line="183" w:lineRule="auto"/>
              <w:ind w:left="515"/>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pPr>
              <w:spacing w:before="207" w:line="219" w:lineRule="auto"/>
              <w:ind w:left="3416"/>
              <w:rPr>
                <w:rFonts w:hint="eastAsia" w:ascii="宋体" w:hAnsi="宋体" w:eastAsia="宋体" w:cs="宋体"/>
                <w:spacing w:val="-6"/>
                <w:szCs w:val="21"/>
              </w:rPr>
            </w:pPr>
          </w:p>
        </w:tc>
        <w:tc>
          <w:tcPr>
            <w:tcW w:w="4867"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hint="eastAsia" w:ascii="宋体" w:hAnsi="宋体" w:eastAsia="宋体" w:cs="宋体"/>
          <w:spacing w:val="-2"/>
          <w:sz w:val="24"/>
          <w:szCs w:val="24"/>
        </w:rPr>
        <w:sectPr>
          <w:footerReference r:id="rId28" w:type="default"/>
          <w:pgSz w:w="16841" w:h="11907"/>
          <w:pgMar w:top="400" w:right="1500" w:bottom="1184" w:left="1480" w:header="0" w:footer="1022" w:gutter="0"/>
          <w:cols w:space="720" w:num="1"/>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34"/>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eastAsia" w:ascii="Arial"/>
              </w:rPr>
            </w:pPr>
          </w:p>
          <w:p>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3"/>
      </w:pPr>
    </w:p>
    <w:p>
      <w:pPr>
        <w:pStyle w:val="23"/>
      </w:pPr>
    </w:p>
    <w:p>
      <w:pPr>
        <w:spacing w:before="140" w:line="220" w:lineRule="auto"/>
        <w:ind w:left="2" w:firstLine="464" w:firstLineChars="200"/>
        <w:rPr>
          <w:rFonts w:hint="eastAsia" w:ascii="宋体" w:hAnsi="宋体" w:eastAsia="宋体" w:cs="宋体"/>
          <w:spacing w:val="-2"/>
          <w:szCs w:val="21"/>
        </w:rPr>
        <w:sectPr>
          <w:footerReference r:id="rId29"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2"/>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4"/>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eastAsia="宋体"/>
          <w:sz w:val="24"/>
          <w:szCs w:val="24"/>
        </w:rPr>
        <w:sectPr>
          <w:footerReference r:id="rId30"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3"/>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2"/>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3"/>
      </w:pPr>
    </w:p>
    <w:p>
      <w:pPr>
        <w:jc w:val="right"/>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rPr>
      </w:pPr>
      <w:r>
        <w:br w:type="page"/>
      </w:r>
    </w:p>
    <w:p>
      <w:pPr>
        <w:pStyle w:val="30"/>
        <w:rPr>
          <w:rFonts w:hint="eastAsia"/>
        </w:rPr>
        <w:sectPr>
          <w:headerReference r:id="rId32" w:type="first"/>
          <w:footerReference r:id="rId34" w:type="first"/>
          <w:headerReference r:id="rId31" w:type="default"/>
          <w:footerReference r:id="rId33" w:type="default"/>
          <w:pgSz w:w="11906" w:h="16838"/>
          <w:pgMar w:top="1588" w:right="1418" w:bottom="1134" w:left="1418" w:header="851" w:footer="992" w:gutter="0"/>
          <w:cols w:space="720" w:num="1"/>
          <w:titlePg/>
          <w:docGrid w:type="lines" w:linePitch="312" w:charSpace="0"/>
        </w:sectPr>
      </w:pPr>
    </w:p>
    <w:p>
      <w:pPr>
        <w:outlineLvl w:val="2"/>
        <w:rPr>
          <w:rFonts w:hint="eastAsia"/>
          <w:highlight w:val="yellow"/>
        </w:rPr>
      </w:pPr>
      <w:r>
        <w:rPr>
          <w:rFonts w:hint="eastAsia" w:ascii="Times New Roman" w:hAnsi="Times New Roman" w:eastAsia="宋体" w:cs="Times New Roman"/>
          <w:b/>
          <w:bCs/>
          <w:color w:val="000000"/>
          <w:sz w:val="24"/>
          <w:szCs w:val="24"/>
          <w:highlight w:val="yellow"/>
        </w:rPr>
        <w:t>附件14技术标评分标准</w:t>
      </w:r>
    </w:p>
    <w:p>
      <w:pPr>
        <w:jc w:val="right"/>
        <w:rPr>
          <w:rFonts w:hint="eastAsia" w:asciiTheme="minorEastAsia" w:hAnsiTheme="minorEastAsia" w:cstheme="minorEastAsia"/>
          <w:sz w:val="20"/>
          <w:szCs w:val="20"/>
        </w:rPr>
      </w:pPr>
    </w:p>
    <w:tbl>
      <w:tblPr>
        <w:tblStyle w:val="42"/>
        <w:tblpPr w:leftFromText="180" w:rightFromText="180" w:vertAnchor="text" w:horzAnchor="page" w:tblpX="1436" w:tblpY="303"/>
        <w:tblOverlap w:val="never"/>
        <w:tblW w:w="98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3225"/>
        <w:gridCol w:w="775"/>
        <w:gridCol w:w="5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1"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360" w:lineRule="auto"/>
              <w:ind w:right="-6"/>
              <w:jc w:val="center"/>
              <w:rPr>
                <w:rFonts w:hint="eastAsia" w:ascii="宋体" w:hAnsi="宋体" w:eastAsiaTheme="minorEastAsia"/>
                <w:b/>
                <w:sz w:val="18"/>
                <w:szCs w:val="18"/>
                <w:lang w:val="en-US" w:eastAsia="zh-CN"/>
              </w:rPr>
            </w:pPr>
            <w:r>
              <w:rPr>
                <w:rFonts w:hint="eastAsia" w:ascii="宋体" w:hAnsi="宋体"/>
                <w:b/>
                <w:sz w:val="18"/>
                <w:szCs w:val="18"/>
                <w:lang w:val="en-US" w:eastAsia="zh-CN"/>
              </w:rPr>
              <w:t>一</w:t>
            </w:r>
          </w:p>
        </w:tc>
        <w:tc>
          <w:tcPr>
            <w:tcW w:w="9000"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ind w:right="-6"/>
              <w:jc w:val="center"/>
              <w:rPr>
                <w:rFonts w:hint="eastAsia" w:ascii="宋体" w:hAnsi="宋体" w:eastAsiaTheme="minorEastAsia"/>
                <w:b/>
                <w:sz w:val="18"/>
                <w:szCs w:val="18"/>
                <w:lang w:val="en-US" w:eastAsia="zh-CN"/>
              </w:rPr>
            </w:pPr>
            <w:r>
              <w:rPr>
                <w:rFonts w:hint="eastAsia" w:ascii="宋体" w:hAnsi="宋体" w:eastAsia="宋体" w:cs="宋体"/>
                <w:b/>
                <w:sz w:val="28"/>
                <w:szCs w:val="28"/>
                <w:lang w:val="en-US" w:eastAsia="zh-CN"/>
              </w:rPr>
              <w:t>技术标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360" w:lineRule="auto"/>
              <w:ind w:right="-6"/>
              <w:jc w:val="center"/>
              <w:rPr>
                <w:rFonts w:ascii="宋体" w:hAnsi="Times New Roman" w:eastAsia="宋体"/>
                <w:b/>
                <w:sz w:val="18"/>
                <w:szCs w:val="18"/>
              </w:rPr>
            </w:pPr>
            <w:r>
              <w:rPr>
                <w:rFonts w:hint="eastAsia" w:ascii="宋体" w:hAnsi="宋体"/>
                <w:b/>
                <w:sz w:val="18"/>
                <w:szCs w:val="18"/>
              </w:rPr>
              <w:t>序号</w:t>
            </w:r>
          </w:p>
        </w:tc>
        <w:tc>
          <w:tcPr>
            <w:tcW w:w="3225" w:type="dxa"/>
            <w:tcBorders>
              <w:top w:val="single" w:color="auto" w:sz="4" w:space="0"/>
              <w:left w:val="single" w:color="auto" w:sz="4" w:space="0"/>
              <w:bottom w:val="single" w:color="auto" w:sz="4" w:space="0"/>
              <w:right w:val="single" w:color="auto" w:sz="4" w:space="0"/>
            </w:tcBorders>
            <w:vAlign w:val="center"/>
          </w:tcPr>
          <w:p>
            <w:pPr>
              <w:spacing w:line="360" w:lineRule="auto"/>
              <w:ind w:right="-6"/>
              <w:jc w:val="center"/>
              <w:rPr>
                <w:rFonts w:ascii="宋体" w:hAnsi="Times New Roman" w:eastAsia="宋体"/>
                <w:b/>
                <w:sz w:val="18"/>
                <w:szCs w:val="18"/>
              </w:rPr>
            </w:pPr>
            <w:r>
              <w:rPr>
                <w:rFonts w:hint="eastAsia" w:ascii="宋体" w:hAnsi="宋体"/>
                <w:b/>
                <w:sz w:val="18"/>
                <w:szCs w:val="18"/>
              </w:rPr>
              <w:t>内   容</w:t>
            </w:r>
          </w:p>
        </w:tc>
        <w:tc>
          <w:tcPr>
            <w:tcW w:w="775" w:type="dxa"/>
            <w:tcBorders>
              <w:top w:val="single" w:color="auto" w:sz="4" w:space="0"/>
              <w:left w:val="single" w:color="auto" w:sz="4" w:space="0"/>
              <w:bottom w:val="single" w:color="auto" w:sz="4" w:space="0"/>
              <w:right w:val="single" w:color="auto" w:sz="4" w:space="0"/>
            </w:tcBorders>
            <w:vAlign w:val="center"/>
          </w:tcPr>
          <w:p>
            <w:pPr>
              <w:spacing w:line="360" w:lineRule="auto"/>
              <w:ind w:right="-6"/>
              <w:jc w:val="center"/>
              <w:rPr>
                <w:rFonts w:ascii="宋体" w:hAnsi="Times New Roman" w:eastAsia="宋体"/>
                <w:b/>
                <w:sz w:val="18"/>
                <w:szCs w:val="18"/>
              </w:rPr>
            </w:pPr>
            <w:r>
              <w:rPr>
                <w:rFonts w:hint="eastAsia" w:ascii="宋体" w:hAnsi="宋体"/>
                <w:b/>
                <w:sz w:val="18"/>
                <w:szCs w:val="18"/>
              </w:rPr>
              <w:t>标准分</w:t>
            </w:r>
          </w:p>
        </w:tc>
        <w:tc>
          <w:tcPr>
            <w:tcW w:w="5000" w:type="dxa"/>
            <w:tcBorders>
              <w:top w:val="single" w:color="auto" w:sz="4" w:space="0"/>
              <w:left w:val="single" w:color="auto" w:sz="4" w:space="0"/>
              <w:bottom w:val="single" w:color="auto" w:sz="4" w:space="0"/>
              <w:right w:val="single" w:color="auto" w:sz="4" w:space="0"/>
            </w:tcBorders>
            <w:vAlign w:val="center"/>
          </w:tcPr>
          <w:p>
            <w:pPr>
              <w:spacing w:line="360" w:lineRule="auto"/>
              <w:ind w:right="-6"/>
              <w:jc w:val="center"/>
              <w:rPr>
                <w:rFonts w:ascii="宋体" w:hAnsi="Times New Roman" w:eastAsia="宋体"/>
                <w:b/>
                <w:sz w:val="18"/>
                <w:szCs w:val="18"/>
              </w:rPr>
            </w:pPr>
            <w:r>
              <w:rPr>
                <w:rFonts w:hint="eastAsia" w:ascii="宋体" w:hAnsi="宋体"/>
                <w:b/>
                <w:sz w:val="18"/>
                <w:szCs w:val="18"/>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eastAsia="宋体"/>
                <w:szCs w:val="21"/>
              </w:rPr>
            </w:pPr>
            <w:r>
              <w:rPr>
                <w:rFonts w:hint="eastAsia" w:ascii="宋体" w:hAnsi="宋体"/>
              </w:rPr>
              <w:t>1</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宋体" w:hAnsi="Times New Roman" w:eastAsiaTheme="minorEastAsia"/>
                <w:szCs w:val="21"/>
                <w:lang w:eastAsia="zh-CN"/>
              </w:rPr>
            </w:pPr>
            <w:r>
              <w:rPr>
                <w:rFonts w:hint="eastAsia" w:ascii="宋体" w:hAnsi="宋体"/>
                <w:bCs/>
              </w:rPr>
              <w:t>投标人资质</w:t>
            </w:r>
            <w:r>
              <w:rPr>
                <w:rFonts w:hint="eastAsia" w:ascii="宋体" w:hAnsi="宋体"/>
                <w:bCs/>
                <w:lang w:eastAsia="zh-CN"/>
              </w:rPr>
              <w:t>，</w:t>
            </w:r>
            <w:r>
              <w:rPr>
                <w:rFonts w:hint="eastAsia" w:ascii="宋体" w:hAnsi="宋体"/>
                <w:bCs/>
              </w:rPr>
              <w:t>具备有效营业执照且经营范围涵盖相关设备销售</w:t>
            </w:r>
            <w:r>
              <w:rPr>
                <w:rFonts w:hint="eastAsia" w:ascii="宋体" w:hAnsi="宋体"/>
                <w:bCs/>
                <w:lang w:eastAsia="zh-CN"/>
              </w:rPr>
              <w:t>，拥有设备生产或代理授权证明。</w:t>
            </w:r>
          </w:p>
        </w:tc>
        <w:tc>
          <w:tcPr>
            <w:tcW w:w="77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default" w:ascii="宋体" w:hAnsi="宋体" w:eastAsia="宋体"/>
                <w:szCs w:val="21"/>
                <w:lang w:val="en-US" w:eastAsia="zh-CN"/>
              </w:rPr>
            </w:pPr>
            <w:r>
              <w:rPr>
                <w:rFonts w:hint="eastAsia" w:ascii="宋体" w:hAnsi="宋体" w:eastAsia="宋体"/>
                <w:lang w:val="en-US" w:eastAsia="zh-CN"/>
              </w:rPr>
              <w:t>10</w:t>
            </w:r>
          </w:p>
        </w:tc>
        <w:tc>
          <w:tcPr>
            <w:tcW w:w="5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default" w:ascii="宋体" w:hAnsi="宋体" w:eastAsiaTheme="minorEastAsia"/>
                <w:bCs/>
                <w:szCs w:val="21"/>
                <w:lang w:val="en-US" w:eastAsia="zh-CN"/>
              </w:rPr>
            </w:pPr>
            <w:r>
              <w:rPr>
                <w:rFonts w:hint="eastAsia" w:ascii="宋体" w:hAnsi="宋体"/>
                <w:bCs/>
              </w:rPr>
              <w:t>投标人资质</w:t>
            </w:r>
            <w:r>
              <w:rPr>
                <w:rFonts w:hint="eastAsia" w:ascii="宋体" w:hAnsi="宋体"/>
                <w:bCs/>
                <w:lang w:eastAsia="zh-CN"/>
              </w:rPr>
              <w:t>，</w:t>
            </w:r>
            <w:r>
              <w:rPr>
                <w:rFonts w:hint="eastAsia" w:ascii="宋体" w:hAnsi="宋体"/>
                <w:bCs/>
              </w:rPr>
              <w:t>具备有效营业执照且经营范围涵盖相关设备销售</w:t>
            </w:r>
            <w:r>
              <w:rPr>
                <w:rFonts w:hint="eastAsia" w:ascii="宋体" w:hAnsi="宋体"/>
                <w:bCs/>
                <w:lang w:eastAsia="zh-CN"/>
              </w:rPr>
              <w:t>，拥有设备生产或代理授权证明。</w:t>
            </w:r>
            <w:r>
              <w:rPr>
                <w:rFonts w:hint="eastAsia" w:ascii="宋体" w:hAnsi="宋体"/>
                <w:bCs/>
              </w:rPr>
              <w:t>视情况得0-</w:t>
            </w:r>
            <w:r>
              <w:rPr>
                <w:rFonts w:hint="eastAsia" w:ascii="宋体" w:hAnsi="宋体"/>
                <w:bCs/>
                <w:lang w:val="en-US" w:eastAsia="zh-CN"/>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eastAsia="宋体"/>
                <w:szCs w:val="21"/>
              </w:rPr>
            </w:pPr>
            <w:r>
              <w:rPr>
                <w:rFonts w:hint="eastAsia" w:ascii="宋体" w:hAnsi="宋体"/>
              </w:rPr>
              <w:t>2</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default" w:ascii="宋体" w:hAnsi="Times New Roman" w:eastAsiaTheme="minorEastAsia"/>
                <w:bCs/>
                <w:szCs w:val="21"/>
                <w:lang w:val="en-US" w:eastAsia="zh-CN"/>
              </w:rPr>
            </w:pPr>
            <w:r>
              <w:rPr>
                <w:rFonts w:hint="eastAsia" w:ascii="宋体" w:hAnsi="宋体"/>
                <w:bCs/>
              </w:rPr>
              <w:t>产品方案技术先进、各系统完善、性能可靠，设备主要核心部件，具备自身技术优势</w:t>
            </w:r>
          </w:p>
        </w:tc>
        <w:tc>
          <w:tcPr>
            <w:tcW w:w="77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default" w:ascii="宋体" w:hAnsi="宋体" w:eastAsia="宋体"/>
                <w:szCs w:val="21"/>
                <w:lang w:val="en-US" w:eastAsia="zh-CN"/>
              </w:rPr>
            </w:pPr>
            <w:r>
              <w:rPr>
                <w:rFonts w:hint="eastAsia" w:ascii="宋体" w:hAnsi="宋体" w:eastAsia="宋体"/>
                <w:lang w:val="en-US" w:eastAsia="zh-CN"/>
              </w:rPr>
              <w:t>50</w:t>
            </w:r>
          </w:p>
        </w:tc>
        <w:tc>
          <w:tcPr>
            <w:tcW w:w="5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default" w:ascii="宋体" w:hAnsi="宋体" w:eastAsiaTheme="minorEastAsia"/>
                <w:bCs/>
                <w:szCs w:val="21"/>
                <w:lang w:val="en-US" w:eastAsia="zh-CN"/>
              </w:rPr>
            </w:pPr>
            <w:r>
              <w:rPr>
                <w:rFonts w:hint="eastAsia" w:ascii="宋体" w:hAnsi="宋体"/>
                <w:bCs/>
              </w:rPr>
              <w:t>产品方案技术先进、各系统完善、性能可靠，设备主要核心部件，具备自身技术优势，节能环保</w:t>
            </w:r>
            <w:r>
              <w:rPr>
                <w:rFonts w:hint="eastAsia" w:ascii="宋体" w:hAnsi="宋体"/>
                <w:bCs/>
                <w:lang w:eastAsia="zh-CN"/>
              </w:rPr>
              <w:t>；</w:t>
            </w:r>
            <w:r>
              <w:rPr>
                <w:rFonts w:hint="eastAsia" w:ascii="宋体" w:hAnsi="宋体"/>
                <w:bCs/>
                <w:lang w:val="en-US" w:eastAsia="zh-CN"/>
              </w:rPr>
              <w:t>注脂泵流量、压力合理，注脂节拍、注脂量误差符合要求，注脂工装简便、实用，避免出现润滑脂污染现场，</w:t>
            </w:r>
            <w:r>
              <w:rPr>
                <w:rFonts w:hint="eastAsia" w:ascii="宋体" w:hAnsi="宋体"/>
                <w:bCs/>
              </w:rPr>
              <w:t>视情况得0-</w:t>
            </w:r>
            <w:r>
              <w:rPr>
                <w:rFonts w:hint="eastAsia" w:ascii="宋体" w:hAnsi="宋体"/>
                <w:bCs/>
                <w:lang w:val="en-US" w:eastAsia="zh-CN"/>
              </w:rPr>
              <w:t>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5"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eastAsia="宋体"/>
                <w:szCs w:val="21"/>
              </w:rPr>
            </w:pPr>
            <w:r>
              <w:rPr>
                <w:rFonts w:hint="eastAsia" w:ascii="宋体" w:hAnsi="宋体"/>
              </w:rPr>
              <w:t>3</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Times New Roman" w:eastAsia="宋体"/>
                <w:bCs/>
                <w:szCs w:val="21"/>
              </w:rPr>
            </w:pPr>
            <w:r>
              <w:rPr>
                <w:rFonts w:hint="eastAsia" w:ascii="宋体" w:hAnsi="宋体"/>
                <w:bCs/>
              </w:rPr>
              <w:t>产品维保</w:t>
            </w:r>
          </w:p>
        </w:tc>
        <w:tc>
          <w:tcPr>
            <w:tcW w:w="77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default" w:ascii="宋体" w:hAnsi="宋体" w:eastAsia="宋体"/>
                <w:szCs w:val="21"/>
                <w:lang w:val="en-US" w:eastAsia="zh-CN"/>
              </w:rPr>
            </w:pPr>
            <w:r>
              <w:rPr>
                <w:rFonts w:hint="eastAsia" w:ascii="宋体" w:hAnsi="宋体" w:eastAsia="宋体"/>
                <w:lang w:val="en-US" w:eastAsia="zh-CN"/>
              </w:rPr>
              <w:t>10</w:t>
            </w:r>
          </w:p>
        </w:tc>
        <w:tc>
          <w:tcPr>
            <w:tcW w:w="5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eastAsia="宋体"/>
                <w:bCs/>
                <w:szCs w:val="21"/>
              </w:rPr>
            </w:pPr>
            <w:r>
              <w:rPr>
                <w:rFonts w:hint="eastAsia" w:ascii="宋体" w:hAnsi="宋体"/>
                <w:bCs/>
              </w:rPr>
              <w:t>易于维修、操作方便，产品附件配置齐全，质量可靠，设备在使用期内的维护费用，视情况得0-5</w:t>
            </w:r>
            <w:r>
              <w:rPr>
                <w:rFonts w:hint="eastAsia" w:ascii="宋体" w:hAnsi="宋体"/>
                <w:bCs/>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宋体"/>
                <w:szCs w:val="21"/>
                <w:lang w:eastAsia="zh-CN"/>
              </w:rPr>
            </w:pPr>
            <w:r>
              <w:rPr>
                <w:rFonts w:hint="eastAsia" w:ascii="宋体" w:hAnsi="宋体" w:eastAsia="宋体"/>
                <w:lang w:val="en-US" w:eastAsia="zh-CN"/>
              </w:rPr>
              <w:t>4</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Times New Roman" w:eastAsia="宋体"/>
                <w:szCs w:val="21"/>
              </w:rPr>
            </w:pPr>
            <w:r>
              <w:rPr>
                <w:rFonts w:hint="eastAsia" w:ascii="宋体" w:hAnsi="宋体"/>
              </w:rPr>
              <w:t>计划控制</w:t>
            </w:r>
          </w:p>
        </w:tc>
        <w:tc>
          <w:tcPr>
            <w:tcW w:w="77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eastAsia="宋体"/>
                <w:szCs w:val="21"/>
              </w:rPr>
            </w:pPr>
            <w:r>
              <w:rPr>
                <w:rFonts w:hint="eastAsia" w:ascii="宋体" w:hAnsi="宋体"/>
                <w:bCs/>
              </w:rPr>
              <w:t>5</w:t>
            </w:r>
          </w:p>
        </w:tc>
        <w:tc>
          <w:tcPr>
            <w:tcW w:w="5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Times New Roman" w:eastAsia="宋体"/>
                <w:bCs/>
                <w:szCs w:val="21"/>
              </w:rPr>
            </w:pPr>
            <w:r>
              <w:rPr>
                <w:rFonts w:hint="eastAsia" w:ascii="宋体" w:hAnsi="宋体"/>
                <w:bCs/>
              </w:rPr>
              <w:t>有详细可行的行动计划能保证项目进度，有风险管理。综合评审，自主赋分。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宋体"/>
                <w:szCs w:val="21"/>
                <w:lang w:eastAsia="zh-CN"/>
              </w:rPr>
            </w:pPr>
            <w:r>
              <w:rPr>
                <w:rFonts w:hint="eastAsia" w:ascii="宋体" w:hAnsi="宋体" w:eastAsia="宋体"/>
                <w:lang w:val="en-US" w:eastAsia="zh-CN"/>
              </w:rPr>
              <w:t>5</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Times New Roman" w:eastAsia="宋体"/>
                <w:szCs w:val="21"/>
              </w:rPr>
            </w:pPr>
            <w:r>
              <w:rPr>
                <w:rFonts w:hint="eastAsia" w:ascii="宋体" w:hAnsi="宋体"/>
              </w:rPr>
              <w:t>业绩</w:t>
            </w:r>
          </w:p>
        </w:tc>
        <w:tc>
          <w:tcPr>
            <w:tcW w:w="77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eastAsia="宋体"/>
                <w:szCs w:val="21"/>
              </w:rPr>
            </w:pPr>
            <w:r>
              <w:rPr>
                <w:rFonts w:hint="eastAsia" w:ascii="宋体" w:hAnsi="宋体"/>
              </w:rPr>
              <w:t>5</w:t>
            </w:r>
          </w:p>
        </w:tc>
        <w:tc>
          <w:tcPr>
            <w:tcW w:w="5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Times New Roman" w:eastAsia="宋体"/>
                <w:bCs/>
                <w:szCs w:val="21"/>
              </w:rPr>
            </w:pPr>
            <w:r>
              <w:rPr>
                <w:rFonts w:hint="eastAsia" w:ascii="宋体" w:hAnsi="宋体"/>
                <w:bCs/>
              </w:rPr>
              <w:t>最近连续三年有国内外知名</w:t>
            </w:r>
            <w:r>
              <w:rPr>
                <w:rFonts w:hint="eastAsia" w:ascii="宋体" w:hAnsi="宋体"/>
                <w:bCs/>
                <w:lang w:val="en-US" w:eastAsia="zh-CN"/>
              </w:rPr>
              <w:t>厂家同类设备的</w:t>
            </w:r>
            <w:r>
              <w:rPr>
                <w:rFonts w:hint="eastAsia" w:ascii="宋体" w:hAnsi="宋体"/>
                <w:bCs/>
              </w:rPr>
              <w:t>供货经历或其他大型供货经历</w:t>
            </w:r>
            <w:r>
              <w:rPr>
                <w:rFonts w:hint="eastAsia" w:ascii="宋体" w:hAnsi="宋体"/>
                <w:bCs/>
                <w:lang w:eastAsia="zh-CN"/>
              </w:rPr>
              <w:t>、</w:t>
            </w:r>
            <w:r>
              <w:rPr>
                <w:rFonts w:hint="eastAsia" w:ascii="宋体" w:hAnsi="宋体"/>
                <w:bCs/>
                <w:lang w:val="en-US" w:eastAsia="zh-CN"/>
              </w:rPr>
              <w:t>安装施工经验，并提供从调试完毕后截至目前实际正常运行时间证明，</w:t>
            </w:r>
            <w:r>
              <w:rPr>
                <w:rFonts w:hint="eastAsia" w:ascii="宋体" w:hAnsi="宋体"/>
                <w:bCs/>
              </w:rPr>
              <w:t>提供3份以上投标同类产品开发合同证明材料，得5分；提供3份得4分；提供2份得3分；提供1份证明材料的，得2分；无证明材料的，不得分。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宋体"/>
                <w:szCs w:val="21"/>
                <w:lang w:eastAsia="zh-CN"/>
              </w:rPr>
            </w:pPr>
            <w:r>
              <w:rPr>
                <w:rFonts w:hint="eastAsia" w:ascii="宋体" w:hAnsi="宋体" w:eastAsia="宋体"/>
                <w:lang w:val="en-US" w:eastAsia="zh-CN"/>
              </w:rPr>
              <w:t>6</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eastAsia="宋体"/>
                <w:szCs w:val="21"/>
              </w:rPr>
            </w:pPr>
            <w:r>
              <w:rPr>
                <w:rFonts w:hint="eastAsia" w:ascii="宋体" w:hAnsi="宋体"/>
              </w:rPr>
              <w:t>质量保证</w:t>
            </w:r>
          </w:p>
        </w:tc>
        <w:tc>
          <w:tcPr>
            <w:tcW w:w="77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eastAsia="宋体"/>
                <w:szCs w:val="21"/>
              </w:rPr>
            </w:pPr>
            <w:r>
              <w:rPr>
                <w:rFonts w:hint="eastAsia" w:ascii="宋体" w:hAnsi="宋体"/>
              </w:rPr>
              <w:t>5</w:t>
            </w:r>
          </w:p>
        </w:tc>
        <w:tc>
          <w:tcPr>
            <w:tcW w:w="5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Times New Roman" w:eastAsia="宋体"/>
                <w:bCs/>
                <w:szCs w:val="21"/>
              </w:rPr>
            </w:pPr>
            <w:r>
              <w:rPr>
                <w:rFonts w:hint="eastAsia" w:ascii="宋体" w:hAnsi="宋体"/>
                <w:bCs/>
              </w:rPr>
              <w:t>具有良好的质量管理体系和完备的检测体系，保证设备造质量符合要求（提供相应证明材料）。根据提供的资料综合评审，自主赋分。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default" w:ascii="宋体" w:hAnsi="宋体" w:eastAsia="宋体"/>
                <w:lang w:val="en-US" w:eastAsia="zh-CN"/>
              </w:rPr>
            </w:pPr>
            <w:r>
              <w:rPr>
                <w:rFonts w:hint="eastAsia" w:ascii="宋体" w:hAnsi="宋体" w:eastAsia="宋体"/>
                <w:lang w:val="en-US" w:eastAsia="zh-CN"/>
              </w:rPr>
              <w:t>7</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宋体" w:hAnsi="宋体" w:eastAsiaTheme="minorEastAsia"/>
                <w:lang w:val="en-US" w:eastAsia="zh-CN"/>
              </w:rPr>
            </w:pPr>
            <w:r>
              <w:rPr>
                <w:rFonts w:hint="eastAsia"/>
                <w:szCs w:val="21"/>
                <w:highlight w:val="none"/>
                <w:lang w:val="en-US" w:eastAsia="zh-CN"/>
              </w:rPr>
              <w:t>技术偏离</w:t>
            </w:r>
          </w:p>
        </w:tc>
        <w:tc>
          <w:tcPr>
            <w:tcW w:w="77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Theme="minorEastAsia"/>
                <w:lang w:val="en-US" w:eastAsia="zh-CN"/>
              </w:rPr>
            </w:pPr>
            <w:r>
              <w:rPr>
                <w:rFonts w:hint="eastAsia" w:ascii="宋体" w:hAnsi="宋体"/>
                <w:lang w:val="en-US" w:eastAsia="zh-CN"/>
              </w:rPr>
              <w:t>5</w:t>
            </w:r>
          </w:p>
        </w:tc>
        <w:tc>
          <w:tcPr>
            <w:tcW w:w="5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szCs w:val="21"/>
                <w:lang w:val="en-US" w:eastAsia="zh-CN"/>
              </w:rPr>
            </w:pPr>
            <w:r>
              <w:rPr>
                <w:rFonts w:hint="eastAsia"/>
                <w:szCs w:val="21"/>
                <w:lang w:val="en-US" w:eastAsia="zh-CN"/>
              </w:rPr>
              <w:t>技术方案优于招标要求的视情况加1-5分；</w:t>
            </w:r>
          </w:p>
          <w:p>
            <w:pPr>
              <w:spacing w:line="420" w:lineRule="exact"/>
              <w:rPr>
                <w:rFonts w:hint="eastAsia" w:ascii="宋体" w:hAnsi="宋体"/>
                <w:bCs/>
              </w:rPr>
            </w:pPr>
            <w:r>
              <w:rPr>
                <w:rFonts w:hint="eastAsia"/>
                <w:szCs w:val="21"/>
                <w:lang w:val="en-US" w:eastAsia="zh-CN"/>
              </w:rPr>
              <w:t>不满足招标要求的视情况减1-5分。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0"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宋体"/>
                <w:szCs w:val="21"/>
                <w:lang w:eastAsia="zh-CN"/>
              </w:rPr>
            </w:pPr>
            <w:r>
              <w:rPr>
                <w:rFonts w:hint="eastAsia" w:ascii="宋体" w:hAnsi="宋体" w:eastAsia="宋体"/>
                <w:lang w:val="en-US" w:eastAsia="zh-CN"/>
              </w:rPr>
              <w:t>8</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default" w:ascii="宋体" w:hAnsi="宋体" w:eastAsia="宋体"/>
                <w:szCs w:val="21"/>
                <w:lang w:val="en-US" w:eastAsia="zh-CN"/>
              </w:rPr>
            </w:pPr>
            <w:r>
              <w:rPr>
                <w:rFonts w:hint="eastAsia" w:ascii="宋体" w:hAnsi="宋体" w:eastAsia="宋体"/>
                <w:lang w:val="en-US" w:eastAsia="zh-CN"/>
              </w:rPr>
              <w:t>项目交期</w:t>
            </w:r>
          </w:p>
        </w:tc>
        <w:tc>
          <w:tcPr>
            <w:tcW w:w="77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default" w:ascii="宋体" w:hAnsi="宋体" w:eastAsia="宋体"/>
                <w:szCs w:val="21"/>
                <w:lang w:val="en-US" w:eastAsia="zh-CN"/>
              </w:rPr>
            </w:pPr>
            <w:r>
              <w:rPr>
                <w:rFonts w:hint="eastAsia" w:ascii="宋体" w:hAnsi="宋体" w:eastAsia="宋体"/>
                <w:lang w:val="en-US" w:eastAsia="zh-CN"/>
              </w:rPr>
              <w:t>10</w:t>
            </w:r>
          </w:p>
        </w:tc>
        <w:tc>
          <w:tcPr>
            <w:tcW w:w="5000" w:type="dxa"/>
            <w:tcBorders>
              <w:top w:val="single" w:color="auto" w:sz="4" w:space="0"/>
              <w:left w:val="single" w:color="auto" w:sz="4" w:space="0"/>
              <w:bottom w:val="single" w:color="auto" w:sz="4" w:space="0"/>
              <w:right w:val="single" w:color="auto" w:sz="4" w:space="0"/>
            </w:tcBorders>
            <w:vAlign w:val="center"/>
          </w:tcPr>
          <w:p>
            <w:pPr>
              <w:tabs>
                <w:tab w:val="left" w:pos="7854"/>
              </w:tabs>
              <w:rPr>
                <w:rFonts w:hint="default" w:ascii="宋体" w:hAnsi="Times New Roman" w:eastAsiaTheme="minorEastAsia"/>
                <w:bCs/>
                <w:szCs w:val="21"/>
                <w:lang w:val="en-US" w:eastAsia="zh-CN"/>
              </w:rPr>
            </w:pPr>
            <w:r>
              <w:rPr>
                <w:rFonts w:hint="eastAsia"/>
                <w:szCs w:val="21"/>
              </w:rPr>
              <w:t>可以提前完成项目交货，视情况得</w:t>
            </w:r>
            <w:r>
              <w:rPr>
                <w:szCs w:val="21"/>
              </w:rPr>
              <w:t>0-</w:t>
            </w:r>
            <w:r>
              <w:rPr>
                <w:rFonts w:hint="eastAsia"/>
                <w:szCs w:val="21"/>
                <w:lang w:val="en-US" w:eastAsia="zh-CN"/>
              </w:rPr>
              <w:t>10分。</w:t>
            </w:r>
          </w:p>
        </w:tc>
      </w:tr>
    </w:tbl>
    <w:p>
      <w:pPr>
        <w:rPr>
          <w:rFonts w:hint="eastAsia" w:ascii="宋体" w:hAnsi="宋体" w:eastAsia="宋体" w:cs="宋体"/>
          <w:sz w:val="18"/>
          <w:szCs w:val="18"/>
        </w:rPr>
      </w:pPr>
      <w:r>
        <w:rPr>
          <w:rFonts w:hint="eastAsia" w:ascii="宋体" w:hAnsi="宋体" w:eastAsia="宋体" w:cs="宋体"/>
          <w:sz w:val="18"/>
          <w:szCs w:val="18"/>
        </w:rPr>
        <w:br w:type="page"/>
      </w:r>
    </w:p>
    <w:p>
      <w:pPr>
        <w:pStyle w:val="18"/>
        <w:rPr>
          <w:rFonts w:hint="eastAsia"/>
        </w:rPr>
      </w:pPr>
    </w:p>
    <w:tbl>
      <w:tblPr>
        <w:tblStyle w:val="42"/>
        <w:tblW w:w="9825" w:type="dxa"/>
        <w:tblInd w:w="-3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Theme="minorEastAsia"/>
                <w:lang w:val="en-US" w:eastAsia="zh-CN"/>
              </w:rPr>
            </w:pPr>
            <w:r>
              <w:rPr>
                <w:rFonts w:hint="eastAsia" w:ascii="宋体" w:hAnsi="宋体" w:eastAsia="宋体" w:cs="宋体"/>
                <w:b/>
                <w:sz w:val="28"/>
                <w:szCs w:val="28"/>
                <w:lang w:val="en-US" w:eastAsia="zh-CN"/>
              </w:rPr>
              <w:t>二</w:t>
            </w:r>
          </w:p>
        </w:tc>
        <w:tc>
          <w:tcPr>
            <w:tcW w:w="9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宋体" w:hAnsi="宋体" w:eastAsiaTheme="minorEastAsia"/>
                <w:bCs/>
                <w:lang w:val="en-US" w:eastAsia="zh-CN"/>
              </w:rPr>
            </w:pPr>
            <w:r>
              <w:rPr>
                <w:rFonts w:hint="eastAsia" w:ascii="宋体" w:hAnsi="宋体" w:eastAsia="宋体" w:cs="宋体"/>
                <w:b/>
                <w:sz w:val="28"/>
                <w:szCs w:val="28"/>
                <w:lang w:val="en-US" w:eastAsia="zh-CN"/>
              </w:rPr>
              <w:t>商务标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trPr>
        <w:tc>
          <w:tcPr>
            <w:tcW w:w="982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1、评标基准价为所有合理有效的最终投标报价的最低价。</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w:t>
            </w:r>
            <w:r>
              <w:rPr>
                <w:rFonts w:hint="eastAsia" w:ascii="宋体" w:hAnsi="宋体" w:eastAsia="宋体" w:cs="Times New Roman"/>
                <w:bCs/>
                <w:sz w:val="24"/>
                <w:szCs w:val="24"/>
                <w:lang w:val="en-US" w:eastAsia="zh-CN"/>
              </w:rPr>
              <w:t>100</w:t>
            </w:r>
            <w:r>
              <w:rPr>
                <w:rFonts w:hint="eastAsia" w:ascii="宋体" w:hAnsi="宋体" w:eastAsia="宋体" w:cs="Times New Roman"/>
                <w:bCs/>
                <w:sz w:val="24"/>
                <w:szCs w:val="24"/>
              </w:rPr>
              <w:t>分；其他投标人的价格得分按下列公式计算：投标价格得分=</w:t>
            </w:r>
            <w:r>
              <w:rPr>
                <w:rFonts w:hint="eastAsia" w:ascii="宋体" w:hAnsi="宋体" w:eastAsia="宋体" w:cs="Times New Roman"/>
                <w:bCs/>
                <w:sz w:val="24"/>
                <w:szCs w:val="24"/>
                <w:lang w:val="en-US" w:eastAsia="zh-CN"/>
              </w:rPr>
              <w:t>100</w:t>
            </w:r>
            <w:r>
              <w:rPr>
                <w:rFonts w:hint="eastAsia" w:ascii="宋体" w:hAnsi="宋体" w:eastAsia="宋体" w:cs="Times New Roman"/>
                <w:bCs/>
                <w:sz w:val="24"/>
                <w:szCs w:val="24"/>
              </w:rPr>
              <w:t>×（评标基准价/投标报价）。</w:t>
            </w:r>
          </w:p>
          <w:p>
            <w:pPr>
              <w:spacing w:line="420" w:lineRule="exact"/>
              <w:rPr>
                <w:rFonts w:hint="eastAsia"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Theme="minorEastAsia"/>
                <w:lang w:val="en-US" w:eastAsia="zh-CN"/>
              </w:rPr>
            </w:pPr>
            <w:r>
              <w:rPr>
                <w:rFonts w:hint="eastAsia" w:ascii="宋体" w:hAnsi="宋体" w:eastAsia="宋体" w:cs="宋体"/>
                <w:b/>
                <w:sz w:val="28"/>
                <w:szCs w:val="28"/>
                <w:lang w:val="en-US" w:eastAsia="zh-CN"/>
              </w:rPr>
              <w:t>三</w:t>
            </w:r>
          </w:p>
        </w:tc>
        <w:tc>
          <w:tcPr>
            <w:tcW w:w="9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宋体" w:hAnsi="宋体"/>
                <w:bCs/>
                <w:lang w:val="en-US" w:eastAsia="zh-CN"/>
              </w:rPr>
            </w:pPr>
            <w:r>
              <w:rPr>
                <w:rFonts w:hint="eastAsia" w:ascii="宋体" w:hAnsi="宋体" w:eastAsia="宋体" w:cs="宋体"/>
                <w:b/>
                <w:sz w:val="28"/>
                <w:szCs w:val="28"/>
                <w:lang w:val="en-US" w:eastAsia="zh-CN"/>
              </w:rPr>
              <w:t>综合得分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trPr>
        <w:tc>
          <w:tcPr>
            <w:tcW w:w="9825" w:type="dxa"/>
            <w:gridSpan w:val="2"/>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宋体" w:hAnsi="宋体"/>
                <w:bCs/>
              </w:rPr>
            </w:pPr>
            <w:r>
              <w:rPr>
                <w:rFonts w:hint="eastAsia" w:ascii="宋体" w:hAnsi="Times New Roman" w:eastAsia="宋体" w:cs="Times New Roman"/>
                <w:b/>
                <w:bCs w:val="0"/>
                <w:sz w:val="24"/>
                <w:szCs w:val="24"/>
                <w:lang w:val="en-US" w:eastAsia="zh-CN"/>
              </w:rPr>
              <w:t>综合得分=技术分×30%＋商务标得分×70%</w:t>
            </w:r>
          </w:p>
        </w:tc>
      </w:tr>
    </w:tbl>
    <w:p/>
    <w:p>
      <w:pPr>
        <w:pStyle w:val="18"/>
        <w:rPr>
          <w:rFonts w:hint="eastAsia"/>
        </w:rPr>
      </w:pPr>
    </w:p>
    <w:p>
      <w:pPr>
        <w:rPr>
          <w:rFonts w:hint="eastAsia"/>
        </w:rPr>
        <w:sectPr>
          <w:pgSz w:w="16838" w:h="11906" w:orient="landscape"/>
          <w:pgMar w:top="720" w:right="720" w:bottom="720" w:left="720" w:header="851" w:footer="992" w:gutter="0"/>
          <w:cols w:space="720" w:num="1"/>
          <w:titlePg/>
          <w:docGrid w:type="lines" w:linePitch="312" w:charSpace="0"/>
        </w:sectPr>
      </w:pPr>
    </w:p>
    <w:p>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pPr>
        <w:pStyle w:val="23"/>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61"/>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62"/>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63"/>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64"/>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pStyle w:val="23"/>
      </w:pPr>
    </w:p>
    <w:p>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65"/>
                    <a:stretch>
                      <a:fillRect/>
                    </a:stretch>
                  </pic:blipFill>
                  <pic:spPr>
                    <a:xfrm>
                      <a:off x="0" y="0"/>
                      <a:ext cx="5760085" cy="2810122"/>
                    </a:xfrm>
                    <a:prstGeom prst="rect">
                      <a:avLst/>
                    </a:prstGeom>
                  </pic:spPr>
                </pic:pic>
              </a:graphicData>
            </a:graphic>
          </wp:inline>
        </w:drawing>
      </w:r>
    </w:p>
    <w:p>
      <w:pPr>
        <w:pStyle w:val="23"/>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66"/>
                    <a:stretch>
                      <a:fillRect/>
                    </a:stretch>
                  </pic:blipFill>
                  <pic:spPr>
                    <a:xfrm>
                      <a:off x="0" y="0"/>
                      <a:ext cx="5760085" cy="2820042"/>
                    </a:xfrm>
                    <a:prstGeom prst="rect">
                      <a:avLst/>
                    </a:prstGeom>
                  </pic:spPr>
                </pic:pic>
              </a:graphicData>
            </a:graphic>
          </wp:inline>
        </w:drawing>
      </w:r>
    </w:p>
    <w:p>
      <w:pPr>
        <w:pStyle w:val="23"/>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3"/>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pPr>
        <w:pStyle w:val="23"/>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Style w:val="50"/>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0"/>
          <w:rFonts w:hint="eastAsia" w:ascii="宋体" w:hAnsi="宋体" w:eastAsia="宋体" w:cs="宋体"/>
          <w:sz w:val="24"/>
          <w:szCs w:val="24"/>
        </w:rPr>
        <w:t>http://ecaitong.sinotruk.com:8012/</w:t>
      </w:r>
      <w:r>
        <w:rPr>
          <w:rStyle w:val="50"/>
          <w:rFonts w:hint="eastAsia" w:ascii="宋体" w:hAnsi="宋体" w:eastAsia="宋体" w:cs="宋体"/>
          <w:sz w:val="24"/>
          <w:szCs w:val="24"/>
        </w:rPr>
        <w:fldChar w:fldCharType="end"/>
      </w:r>
      <w:r>
        <w:rPr>
          <w:rStyle w:val="50"/>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67"/>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68"/>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69"/>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pPr>
        <w:pStyle w:val="23"/>
      </w:pPr>
    </w:p>
    <w:p>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70"/>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71"/>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72"/>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73"/>
                    <a:stretch>
                      <a:fillRect/>
                    </a:stretch>
                  </pic:blipFill>
                  <pic:spPr>
                    <a:xfrm>
                      <a:off x="0" y="0"/>
                      <a:ext cx="5760085" cy="1956600"/>
                    </a:xfrm>
                    <a:prstGeom prst="rect">
                      <a:avLst/>
                    </a:prstGeom>
                  </pic:spPr>
                </pic:pic>
              </a:graphicData>
            </a:graphic>
          </wp:inline>
        </w:drawing>
      </w:r>
    </w:p>
    <w:p>
      <w:pPr>
        <w:pStyle w:val="23"/>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pPr>
        <w:pStyle w:val="23"/>
        <w:outlineLvl w:val="2"/>
      </w:pPr>
      <w:r>
        <w:drawing>
          <wp:inline distT="0" distB="0" distL="114300" distR="114300">
            <wp:extent cx="5749290" cy="2501265"/>
            <wp:effectExtent l="0" t="0" r="381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4"/>
                    <a:stretch>
                      <a:fillRect/>
                    </a:stretch>
                  </pic:blipFill>
                  <pic:spPr>
                    <a:xfrm>
                      <a:off x="0" y="0"/>
                      <a:ext cx="5749290" cy="2501265"/>
                    </a:xfrm>
                    <a:prstGeom prst="rect">
                      <a:avLst/>
                    </a:prstGeom>
                    <a:noFill/>
                    <a:ln>
                      <a:noFill/>
                    </a:ln>
                  </pic:spPr>
                </pic:pic>
              </a:graphicData>
            </a:graphic>
          </wp:inline>
        </w:drawing>
      </w:r>
    </w:p>
    <w:p>
      <w:pPr>
        <w:pStyle w:val="23"/>
        <w:outlineLvl w:val="2"/>
      </w:pPr>
      <w:r>
        <w:drawing>
          <wp:inline distT="0" distB="0" distL="114300" distR="114300">
            <wp:extent cx="5746750" cy="33032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5"/>
                    <a:stretch>
                      <a:fillRect/>
                    </a:stretch>
                  </pic:blipFill>
                  <pic:spPr>
                    <a:xfrm>
                      <a:off x="0" y="0"/>
                      <a:ext cx="5746750" cy="3303270"/>
                    </a:xfrm>
                    <a:prstGeom prst="rect">
                      <a:avLst/>
                    </a:prstGeom>
                    <a:noFill/>
                    <a:ln>
                      <a:noFill/>
                    </a:ln>
                  </pic:spPr>
                </pic:pic>
              </a:graphicData>
            </a:graphic>
          </wp:inline>
        </w:drawing>
      </w:r>
    </w:p>
    <w:p>
      <w:pPr>
        <w:pStyle w:val="23"/>
        <w:outlineLvl w:val="2"/>
        <w:rPr>
          <w:rFonts w:hint="default"/>
          <w:lang w:val="en-US" w:eastAsia="zh-CN"/>
        </w:rPr>
      </w:pPr>
      <w:r>
        <w:drawing>
          <wp:inline distT="0" distB="0" distL="114300" distR="114300">
            <wp:extent cx="5742940" cy="2099310"/>
            <wp:effectExtent l="0" t="0" r="1016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6"/>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7"/>
                    <a:stretch>
                      <a:fillRect/>
                    </a:stretch>
                  </pic:blipFill>
                  <pic:spPr>
                    <a:xfrm>
                      <a:off x="0" y="0"/>
                      <a:ext cx="5742940" cy="2925445"/>
                    </a:xfrm>
                    <a:prstGeom prst="rect">
                      <a:avLst/>
                    </a:prstGeom>
                    <a:noFill/>
                    <a:ln>
                      <a:noFill/>
                    </a:ln>
                  </pic:spPr>
                </pic:pic>
              </a:graphicData>
            </a:graphic>
          </wp:inline>
        </w:drawing>
      </w:r>
    </w:p>
    <w:p/>
    <w:p>
      <w:pPr>
        <w:rPr>
          <w:rFonts w:hint="eastAsia"/>
        </w:rPr>
      </w:pPr>
    </w:p>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sectPr>
      <w:headerReference r:id="rId36" w:type="first"/>
      <w:footerReference r:id="rId38" w:type="first"/>
      <w:headerReference r:id="rId35" w:type="default"/>
      <w:footerReference r:id="rId37"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auto"/>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方正小标宋简体">
    <w:altName w:val="黑体"/>
    <w:panose1 w:val="02000000000000000000"/>
    <w:charset w:val="86"/>
    <w:family w:val="auto"/>
    <w:pitch w:val="default"/>
    <w:sig w:usb0="00000000" w:usb1="00000000"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Microsoft Sans Serif">
    <w:panose1 w:val="020B0604020202020204"/>
    <w:charset w:val="00"/>
    <w:family w:val="auto"/>
    <w:pitch w:val="default"/>
    <w:sig w:usb0="E5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PingFangSC-Semibold">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eastAsia"/>
      </w:rPr>
    </w:pPr>
  </w:p>
  <w:p>
    <w:pPr>
      <w:pStyle w:val="28"/>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pPr>
      <w:pStyle w:val="28"/>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12" w:space="9"/>
      </w:pBdr>
      <w:jc w:val="both"/>
    </w:pPr>
    <w:r>
      <w:drawing>
        <wp:inline distT="0" distB="0" distL="114300" distR="114300">
          <wp:extent cx="1428750" cy="342900"/>
          <wp:effectExtent l="0" t="0" r="635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r>
      <w:rPr>
        <w:rFonts w:hint="eastAsia" w:ascii="黑体" w:eastAsia="黑体" w:cs="黑体"/>
        <w:sz w:val="24"/>
        <w:szCs w:val="24"/>
      </w:rPr>
      <w:t>成套货物</w:t>
    </w:r>
    <w:r>
      <w:rPr>
        <w:rFonts w:ascii="黑体" w:eastAsia="黑体" w:cs="黑体"/>
        <w:sz w:val="24"/>
        <w:szCs w:val="24"/>
      </w:rPr>
      <w:t>/</w:t>
    </w:r>
    <w:r>
      <w:rPr>
        <w:rFonts w:hint="eastAsia" w:ascii="黑体" w:eastAsia="黑体" w:cs="黑体"/>
        <w:sz w:val="24"/>
        <w:szCs w:val="24"/>
      </w:rPr>
      <w:t>生产线招标文件技术标书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rPr>
    </w:pPr>
  </w:p>
  <w:p>
    <w:pPr>
      <w:pStyle w:val="29"/>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rPr>
    </w:pPr>
  </w:p>
  <w:p>
    <w:pPr>
      <w:pStyle w:val="29"/>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46FCA9"/>
    <w:multiLevelType w:val="singleLevel"/>
    <w:tmpl w:val="D146FCA9"/>
    <w:lvl w:ilvl="0" w:tentative="0">
      <w:start w:val="4"/>
      <w:numFmt w:val="chineseCounting"/>
      <w:suff w:val="space"/>
      <w:lvlText w:val="第%1部分"/>
      <w:lvlJc w:val="left"/>
      <w:rPr>
        <w:rFonts w:hint="eastAsia"/>
      </w:rPr>
    </w:lvl>
  </w:abstractNum>
  <w:abstractNum w:abstractNumId="1">
    <w:nsid w:val="DD4B035C"/>
    <w:multiLevelType w:val="singleLevel"/>
    <w:tmpl w:val="DD4B035C"/>
    <w:lvl w:ilvl="0" w:tentative="0">
      <w:start w:val="1"/>
      <w:numFmt w:val="decimal"/>
      <w:suff w:val="nothing"/>
      <w:lvlText w:val="（%1）"/>
      <w:lvlJc w:val="left"/>
    </w:lvl>
  </w:abstractNum>
  <w:abstractNum w:abstractNumId="2">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646260FA"/>
    <w:multiLevelType w:val="multilevel"/>
    <w:tmpl w:val="646260FA"/>
    <w:lvl w:ilvl="0" w:tentative="0">
      <w:start w:val="1"/>
      <w:numFmt w:val="decimal"/>
      <w:pStyle w:val="141"/>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E8C6948"/>
    <w:multiLevelType w:val="singleLevel"/>
    <w:tmpl w:val="6E8C6948"/>
    <w:lvl w:ilvl="0" w:tentative="0">
      <w:start w:val="1"/>
      <w:numFmt w:val="chineseCounting"/>
      <w:suff w:val="space"/>
      <w:lvlText w:val="第%1部分"/>
      <w:lvlJc w:val="left"/>
      <w:rPr>
        <w:rFonts w:hint="eastAsia"/>
      </w:rPr>
    </w:lvl>
  </w:abstractNum>
  <w:abstractNum w:abstractNumId="6">
    <w:nsid w:val="78DE79D5"/>
    <w:multiLevelType w:val="singleLevel"/>
    <w:tmpl w:val="78DE79D5"/>
    <w:lvl w:ilvl="0" w:tentative="0">
      <w:start w:val="2"/>
      <w:numFmt w:val="decimal"/>
      <w:suff w:val="nothing"/>
      <w:lvlText w:val="（%1）"/>
      <w:lvlJc w:val="left"/>
    </w:lvl>
  </w:abstractNum>
  <w:abstractNum w:abstractNumId="7">
    <w:nsid w:val="7A612DE2"/>
    <w:multiLevelType w:val="singleLevel"/>
    <w:tmpl w:val="7A612DE2"/>
    <w:lvl w:ilvl="0" w:tentative="0">
      <w:start w:val="2"/>
      <w:numFmt w:val="decimal"/>
      <w:lvlText w:val="%1."/>
      <w:lvlJc w:val="left"/>
      <w:pPr>
        <w:tabs>
          <w:tab w:val="left" w:pos="312"/>
        </w:tabs>
      </w:pPr>
    </w:lvl>
  </w:abstractNum>
  <w:num w:numId="1">
    <w:abstractNumId w:val="4"/>
  </w:num>
  <w:num w:numId="2">
    <w:abstractNumId w:val="5"/>
  </w:num>
  <w:num w:numId="3">
    <w:abstractNumId w:val="7"/>
  </w:num>
  <w:num w:numId="4">
    <w:abstractNumId w:val="2"/>
  </w:num>
  <w:num w:numId="5">
    <w:abstractNumId w:val="3"/>
  </w:num>
  <w:num w:numId="6">
    <w:abstractNumId w:val="0"/>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5534D"/>
    <w:rsid w:val="00761851"/>
    <w:rsid w:val="0077033B"/>
    <w:rsid w:val="007800DC"/>
    <w:rsid w:val="00780420"/>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646D7"/>
    <w:rsid w:val="011B0B5F"/>
    <w:rsid w:val="012F0AC2"/>
    <w:rsid w:val="0133784E"/>
    <w:rsid w:val="014832F2"/>
    <w:rsid w:val="014D51C1"/>
    <w:rsid w:val="01714809"/>
    <w:rsid w:val="01AE5B4F"/>
    <w:rsid w:val="01C52478"/>
    <w:rsid w:val="01CE0603"/>
    <w:rsid w:val="01D1140E"/>
    <w:rsid w:val="02184C85"/>
    <w:rsid w:val="02451546"/>
    <w:rsid w:val="02524699"/>
    <w:rsid w:val="027408EE"/>
    <w:rsid w:val="02963F39"/>
    <w:rsid w:val="02B66382"/>
    <w:rsid w:val="02BA7274"/>
    <w:rsid w:val="03247961"/>
    <w:rsid w:val="03251978"/>
    <w:rsid w:val="0325718A"/>
    <w:rsid w:val="033A780B"/>
    <w:rsid w:val="03BB27D2"/>
    <w:rsid w:val="042921B6"/>
    <w:rsid w:val="0430492A"/>
    <w:rsid w:val="043432A1"/>
    <w:rsid w:val="0442138C"/>
    <w:rsid w:val="0488407F"/>
    <w:rsid w:val="04AD02B8"/>
    <w:rsid w:val="04B75DD4"/>
    <w:rsid w:val="04BE2E08"/>
    <w:rsid w:val="04DF17D4"/>
    <w:rsid w:val="04E80A94"/>
    <w:rsid w:val="053B565E"/>
    <w:rsid w:val="05412745"/>
    <w:rsid w:val="05491761"/>
    <w:rsid w:val="05575651"/>
    <w:rsid w:val="05A351AD"/>
    <w:rsid w:val="05C234EE"/>
    <w:rsid w:val="05D95918"/>
    <w:rsid w:val="05DD4F28"/>
    <w:rsid w:val="05F9748A"/>
    <w:rsid w:val="06032214"/>
    <w:rsid w:val="06160D68"/>
    <w:rsid w:val="06266F78"/>
    <w:rsid w:val="06382EFE"/>
    <w:rsid w:val="063E7B7A"/>
    <w:rsid w:val="0640283F"/>
    <w:rsid w:val="06582413"/>
    <w:rsid w:val="066D19F4"/>
    <w:rsid w:val="067E33B8"/>
    <w:rsid w:val="069C2954"/>
    <w:rsid w:val="06A01095"/>
    <w:rsid w:val="06C47DA6"/>
    <w:rsid w:val="06E82FCB"/>
    <w:rsid w:val="06F34B95"/>
    <w:rsid w:val="074C2D70"/>
    <w:rsid w:val="07571DAC"/>
    <w:rsid w:val="078A0D17"/>
    <w:rsid w:val="07AB6BDF"/>
    <w:rsid w:val="07D25D65"/>
    <w:rsid w:val="08000695"/>
    <w:rsid w:val="08332819"/>
    <w:rsid w:val="083B072C"/>
    <w:rsid w:val="084C21AB"/>
    <w:rsid w:val="085B3B1D"/>
    <w:rsid w:val="086271E8"/>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6C1855"/>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727688"/>
    <w:rsid w:val="0C7C1F66"/>
    <w:rsid w:val="0C91607A"/>
    <w:rsid w:val="0CAC3BFF"/>
    <w:rsid w:val="0CC05B7D"/>
    <w:rsid w:val="0CD10F40"/>
    <w:rsid w:val="0D0C2B7B"/>
    <w:rsid w:val="0D49693B"/>
    <w:rsid w:val="0D542EEE"/>
    <w:rsid w:val="0D9308F8"/>
    <w:rsid w:val="0DDA6377"/>
    <w:rsid w:val="0E1A1D85"/>
    <w:rsid w:val="0E1E25B6"/>
    <w:rsid w:val="0E2322C1"/>
    <w:rsid w:val="0E2350DD"/>
    <w:rsid w:val="0E750568"/>
    <w:rsid w:val="0E870499"/>
    <w:rsid w:val="0E9C5A70"/>
    <w:rsid w:val="0EA24D8E"/>
    <w:rsid w:val="0EB25028"/>
    <w:rsid w:val="0EB81390"/>
    <w:rsid w:val="0EB93A32"/>
    <w:rsid w:val="0ECE5049"/>
    <w:rsid w:val="0EFB5FED"/>
    <w:rsid w:val="0F2D7A80"/>
    <w:rsid w:val="0F4277E5"/>
    <w:rsid w:val="0F4A548B"/>
    <w:rsid w:val="0F6273CA"/>
    <w:rsid w:val="0F7279A6"/>
    <w:rsid w:val="0F9500FF"/>
    <w:rsid w:val="0FA75561"/>
    <w:rsid w:val="0FB83603"/>
    <w:rsid w:val="0FCA77F1"/>
    <w:rsid w:val="0FCD5DCC"/>
    <w:rsid w:val="0FED152D"/>
    <w:rsid w:val="0FEF02B3"/>
    <w:rsid w:val="10270545"/>
    <w:rsid w:val="102E461D"/>
    <w:rsid w:val="103819AC"/>
    <w:rsid w:val="104B7348"/>
    <w:rsid w:val="106E6B14"/>
    <w:rsid w:val="108A1D4B"/>
    <w:rsid w:val="10A10111"/>
    <w:rsid w:val="10AA31D3"/>
    <w:rsid w:val="10BE093E"/>
    <w:rsid w:val="10EC27C5"/>
    <w:rsid w:val="110F6D60"/>
    <w:rsid w:val="111B0FE9"/>
    <w:rsid w:val="115F67A8"/>
    <w:rsid w:val="1168209E"/>
    <w:rsid w:val="119A7465"/>
    <w:rsid w:val="11C07DA5"/>
    <w:rsid w:val="123B6FD5"/>
    <w:rsid w:val="12413D84"/>
    <w:rsid w:val="12491386"/>
    <w:rsid w:val="127B2E60"/>
    <w:rsid w:val="12DF667C"/>
    <w:rsid w:val="12E55336"/>
    <w:rsid w:val="12E60579"/>
    <w:rsid w:val="130A724C"/>
    <w:rsid w:val="130B4CCD"/>
    <w:rsid w:val="13371015"/>
    <w:rsid w:val="13695B36"/>
    <w:rsid w:val="136C088B"/>
    <w:rsid w:val="1372609F"/>
    <w:rsid w:val="13920429"/>
    <w:rsid w:val="13A82806"/>
    <w:rsid w:val="13B860EB"/>
    <w:rsid w:val="13CC3B21"/>
    <w:rsid w:val="14092DB2"/>
    <w:rsid w:val="143E3DC5"/>
    <w:rsid w:val="145A6A37"/>
    <w:rsid w:val="1467440F"/>
    <w:rsid w:val="14D7277E"/>
    <w:rsid w:val="14E21050"/>
    <w:rsid w:val="14F5646A"/>
    <w:rsid w:val="14F73019"/>
    <w:rsid w:val="15044722"/>
    <w:rsid w:val="15080C95"/>
    <w:rsid w:val="152B7F51"/>
    <w:rsid w:val="15433A9B"/>
    <w:rsid w:val="157F78DA"/>
    <w:rsid w:val="15AD1F11"/>
    <w:rsid w:val="15BB0D33"/>
    <w:rsid w:val="15D13671"/>
    <w:rsid w:val="15F81DA1"/>
    <w:rsid w:val="15FC2F04"/>
    <w:rsid w:val="16181FAC"/>
    <w:rsid w:val="165B00BA"/>
    <w:rsid w:val="168756A0"/>
    <w:rsid w:val="16936806"/>
    <w:rsid w:val="1697741D"/>
    <w:rsid w:val="16A45A46"/>
    <w:rsid w:val="16B24402"/>
    <w:rsid w:val="16E22D25"/>
    <w:rsid w:val="16F5303A"/>
    <w:rsid w:val="16F94849"/>
    <w:rsid w:val="17045E51"/>
    <w:rsid w:val="172011D4"/>
    <w:rsid w:val="17252C3B"/>
    <w:rsid w:val="173D3649"/>
    <w:rsid w:val="173F0A2E"/>
    <w:rsid w:val="175A07E0"/>
    <w:rsid w:val="17770BC2"/>
    <w:rsid w:val="17860E2F"/>
    <w:rsid w:val="17A119AA"/>
    <w:rsid w:val="17AF1095"/>
    <w:rsid w:val="1813218C"/>
    <w:rsid w:val="181E57CF"/>
    <w:rsid w:val="18454A08"/>
    <w:rsid w:val="18586F2B"/>
    <w:rsid w:val="18656713"/>
    <w:rsid w:val="188C65D3"/>
    <w:rsid w:val="18A70482"/>
    <w:rsid w:val="18CA3EB9"/>
    <w:rsid w:val="18E815ED"/>
    <w:rsid w:val="192F3CC4"/>
    <w:rsid w:val="192F795A"/>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C6157"/>
    <w:rsid w:val="1B515E62"/>
    <w:rsid w:val="1B587618"/>
    <w:rsid w:val="1B5F19C7"/>
    <w:rsid w:val="1B5F1C25"/>
    <w:rsid w:val="1BEF4851"/>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83924"/>
    <w:rsid w:val="1DED1842"/>
    <w:rsid w:val="1E001284"/>
    <w:rsid w:val="1E20535F"/>
    <w:rsid w:val="1E43150B"/>
    <w:rsid w:val="1E575188"/>
    <w:rsid w:val="1E8C2E63"/>
    <w:rsid w:val="1E9E304B"/>
    <w:rsid w:val="1EA93E80"/>
    <w:rsid w:val="1ED33FB6"/>
    <w:rsid w:val="1EE81332"/>
    <w:rsid w:val="1EED2D98"/>
    <w:rsid w:val="1F32415A"/>
    <w:rsid w:val="1F3A560A"/>
    <w:rsid w:val="1F466CDC"/>
    <w:rsid w:val="1F5A4199"/>
    <w:rsid w:val="1F7E2174"/>
    <w:rsid w:val="1F8964CB"/>
    <w:rsid w:val="1FBC5EF2"/>
    <w:rsid w:val="1FC32513"/>
    <w:rsid w:val="1FE258CB"/>
    <w:rsid w:val="200D253F"/>
    <w:rsid w:val="20107567"/>
    <w:rsid w:val="202A27D1"/>
    <w:rsid w:val="20631369"/>
    <w:rsid w:val="208717DB"/>
    <w:rsid w:val="20AB56C6"/>
    <w:rsid w:val="20D52D39"/>
    <w:rsid w:val="20F2001C"/>
    <w:rsid w:val="212C13E3"/>
    <w:rsid w:val="21545FA4"/>
    <w:rsid w:val="2176507C"/>
    <w:rsid w:val="219E32F8"/>
    <w:rsid w:val="21BA10C4"/>
    <w:rsid w:val="21BE35AF"/>
    <w:rsid w:val="21C03D73"/>
    <w:rsid w:val="21C11174"/>
    <w:rsid w:val="22244B28"/>
    <w:rsid w:val="22467FD4"/>
    <w:rsid w:val="22732EE3"/>
    <w:rsid w:val="22784511"/>
    <w:rsid w:val="22837731"/>
    <w:rsid w:val="229451FD"/>
    <w:rsid w:val="22A12DB6"/>
    <w:rsid w:val="22AA3280"/>
    <w:rsid w:val="22C97F89"/>
    <w:rsid w:val="23195423"/>
    <w:rsid w:val="23252EAE"/>
    <w:rsid w:val="23400B66"/>
    <w:rsid w:val="23510E00"/>
    <w:rsid w:val="236356D1"/>
    <w:rsid w:val="23A91C83"/>
    <w:rsid w:val="23C94380"/>
    <w:rsid w:val="23C962E8"/>
    <w:rsid w:val="23F628B3"/>
    <w:rsid w:val="241779D8"/>
    <w:rsid w:val="241F0332"/>
    <w:rsid w:val="24373239"/>
    <w:rsid w:val="243954FA"/>
    <w:rsid w:val="244E64C3"/>
    <w:rsid w:val="246818DB"/>
    <w:rsid w:val="246E4D46"/>
    <w:rsid w:val="247E4FED"/>
    <w:rsid w:val="248E7864"/>
    <w:rsid w:val="249B7324"/>
    <w:rsid w:val="24B30BE8"/>
    <w:rsid w:val="24C6643F"/>
    <w:rsid w:val="24E31A74"/>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A2E85"/>
    <w:rsid w:val="267E2DFB"/>
    <w:rsid w:val="267F0FB7"/>
    <w:rsid w:val="26AA1A7C"/>
    <w:rsid w:val="26AF2D79"/>
    <w:rsid w:val="26B34B91"/>
    <w:rsid w:val="26DD6B95"/>
    <w:rsid w:val="270701F0"/>
    <w:rsid w:val="270D0281"/>
    <w:rsid w:val="270D66E8"/>
    <w:rsid w:val="27514612"/>
    <w:rsid w:val="276E6155"/>
    <w:rsid w:val="278B0DAB"/>
    <w:rsid w:val="279C6B0E"/>
    <w:rsid w:val="27A64735"/>
    <w:rsid w:val="27CC4DF2"/>
    <w:rsid w:val="27E22DFD"/>
    <w:rsid w:val="27E523B1"/>
    <w:rsid w:val="27E77285"/>
    <w:rsid w:val="280D4D70"/>
    <w:rsid w:val="281864F2"/>
    <w:rsid w:val="28287CEE"/>
    <w:rsid w:val="284F273B"/>
    <w:rsid w:val="285C301A"/>
    <w:rsid w:val="286903EF"/>
    <w:rsid w:val="287F5DD3"/>
    <w:rsid w:val="288047CB"/>
    <w:rsid w:val="289E62FA"/>
    <w:rsid w:val="28AB671E"/>
    <w:rsid w:val="28BA30C3"/>
    <w:rsid w:val="28D72A57"/>
    <w:rsid w:val="291E2CA6"/>
    <w:rsid w:val="29331862"/>
    <w:rsid w:val="29514925"/>
    <w:rsid w:val="298E421D"/>
    <w:rsid w:val="299E147F"/>
    <w:rsid w:val="29C32A87"/>
    <w:rsid w:val="29CF070E"/>
    <w:rsid w:val="29CF26DC"/>
    <w:rsid w:val="2A1C5DA0"/>
    <w:rsid w:val="2A200D39"/>
    <w:rsid w:val="2A507EFF"/>
    <w:rsid w:val="2A9248E5"/>
    <w:rsid w:val="2A931BAD"/>
    <w:rsid w:val="2ACB3B45"/>
    <w:rsid w:val="2ADC05A4"/>
    <w:rsid w:val="2B0C4888"/>
    <w:rsid w:val="2B6F0D7F"/>
    <w:rsid w:val="2B797443"/>
    <w:rsid w:val="2B8716BD"/>
    <w:rsid w:val="2B8B76FF"/>
    <w:rsid w:val="2B906D86"/>
    <w:rsid w:val="2BAF763B"/>
    <w:rsid w:val="2BD5034F"/>
    <w:rsid w:val="2C0B6845"/>
    <w:rsid w:val="2C164021"/>
    <w:rsid w:val="2C4E3791"/>
    <w:rsid w:val="2C8A2821"/>
    <w:rsid w:val="2CC04EFA"/>
    <w:rsid w:val="2CF750C7"/>
    <w:rsid w:val="2D025012"/>
    <w:rsid w:val="2D120D4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E45F3B"/>
    <w:rsid w:val="2FF40AC8"/>
    <w:rsid w:val="303A20E7"/>
    <w:rsid w:val="304C4B41"/>
    <w:rsid w:val="307776D1"/>
    <w:rsid w:val="30862574"/>
    <w:rsid w:val="30A7194D"/>
    <w:rsid w:val="30A77875"/>
    <w:rsid w:val="30B631E1"/>
    <w:rsid w:val="311933AA"/>
    <w:rsid w:val="31611C9E"/>
    <w:rsid w:val="317550C0"/>
    <w:rsid w:val="317D15BB"/>
    <w:rsid w:val="31934D3E"/>
    <w:rsid w:val="31D07E6C"/>
    <w:rsid w:val="31D574D0"/>
    <w:rsid w:val="31DD1A92"/>
    <w:rsid w:val="31F67A05"/>
    <w:rsid w:val="323F65DA"/>
    <w:rsid w:val="32412074"/>
    <w:rsid w:val="32422082"/>
    <w:rsid w:val="325B63D6"/>
    <w:rsid w:val="325E3EE7"/>
    <w:rsid w:val="32A0644D"/>
    <w:rsid w:val="32B77AC3"/>
    <w:rsid w:val="32D0705C"/>
    <w:rsid w:val="32DD7D02"/>
    <w:rsid w:val="32DE0199"/>
    <w:rsid w:val="33334E8E"/>
    <w:rsid w:val="335B2774"/>
    <w:rsid w:val="3364565D"/>
    <w:rsid w:val="337E5276"/>
    <w:rsid w:val="33A4642E"/>
    <w:rsid w:val="33A877AB"/>
    <w:rsid w:val="33B02259"/>
    <w:rsid w:val="33C44FD3"/>
    <w:rsid w:val="33D37851"/>
    <w:rsid w:val="33D4039C"/>
    <w:rsid w:val="33D47E05"/>
    <w:rsid w:val="340017FF"/>
    <w:rsid w:val="3413677D"/>
    <w:rsid w:val="342B544B"/>
    <w:rsid w:val="342C7624"/>
    <w:rsid w:val="343839A4"/>
    <w:rsid w:val="343E2DC2"/>
    <w:rsid w:val="345871EF"/>
    <w:rsid w:val="345E036E"/>
    <w:rsid w:val="349138EA"/>
    <w:rsid w:val="349D0BDD"/>
    <w:rsid w:val="34DE1E4F"/>
    <w:rsid w:val="34F07DB1"/>
    <w:rsid w:val="350420D4"/>
    <w:rsid w:val="351224A5"/>
    <w:rsid w:val="3515641A"/>
    <w:rsid w:val="352B6E83"/>
    <w:rsid w:val="353046F2"/>
    <w:rsid w:val="354D2044"/>
    <w:rsid w:val="356157C6"/>
    <w:rsid w:val="35831650"/>
    <w:rsid w:val="358D07D1"/>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7050B22"/>
    <w:rsid w:val="37085B1F"/>
    <w:rsid w:val="37180F25"/>
    <w:rsid w:val="372E04CB"/>
    <w:rsid w:val="3762046C"/>
    <w:rsid w:val="376A7E9C"/>
    <w:rsid w:val="376B5C1E"/>
    <w:rsid w:val="37742729"/>
    <w:rsid w:val="3790083E"/>
    <w:rsid w:val="37A46E75"/>
    <w:rsid w:val="37A92DDE"/>
    <w:rsid w:val="37C77814"/>
    <w:rsid w:val="382C7B34"/>
    <w:rsid w:val="38662298"/>
    <w:rsid w:val="38715CEA"/>
    <w:rsid w:val="388A3751"/>
    <w:rsid w:val="38CE513F"/>
    <w:rsid w:val="38D65199"/>
    <w:rsid w:val="38E070F2"/>
    <w:rsid w:val="39034314"/>
    <w:rsid w:val="390B0AC4"/>
    <w:rsid w:val="390D33AB"/>
    <w:rsid w:val="3916419B"/>
    <w:rsid w:val="391E6D06"/>
    <w:rsid w:val="393A3C1D"/>
    <w:rsid w:val="3965541C"/>
    <w:rsid w:val="39673821"/>
    <w:rsid w:val="39825EE7"/>
    <w:rsid w:val="399C2315"/>
    <w:rsid w:val="39A3641C"/>
    <w:rsid w:val="39A93BA9"/>
    <w:rsid w:val="39BF24C9"/>
    <w:rsid w:val="39CE5179"/>
    <w:rsid w:val="3A074847"/>
    <w:rsid w:val="3A3B3117"/>
    <w:rsid w:val="3AA10261"/>
    <w:rsid w:val="3AA90FE6"/>
    <w:rsid w:val="3AA9318F"/>
    <w:rsid w:val="3AB62DA0"/>
    <w:rsid w:val="3AC61BD3"/>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C1178"/>
    <w:rsid w:val="3C91192E"/>
    <w:rsid w:val="3CAA596A"/>
    <w:rsid w:val="3CB1587B"/>
    <w:rsid w:val="3CB735F2"/>
    <w:rsid w:val="3CBE0C38"/>
    <w:rsid w:val="3CC372BE"/>
    <w:rsid w:val="3CED621B"/>
    <w:rsid w:val="3D0A123D"/>
    <w:rsid w:val="3D0C5F6A"/>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77860"/>
    <w:rsid w:val="42125648"/>
    <w:rsid w:val="421E4A73"/>
    <w:rsid w:val="42217CAC"/>
    <w:rsid w:val="424A4B98"/>
    <w:rsid w:val="42581D3A"/>
    <w:rsid w:val="4262787F"/>
    <w:rsid w:val="42643391"/>
    <w:rsid w:val="426E2C81"/>
    <w:rsid w:val="42D011BC"/>
    <w:rsid w:val="42FE0080"/>
    <w:rsid w:val="430F4676"/>
    <w:rsid w:val="43315D2E"/>
    <w:rsid w:val="43824A1C"/>
    <w:rsid w:val="4390486D"/>
    <w:rsid w:val="4399333D"/>
    <w:rsid w:val="43B2241F"/>
    <w:rsid w:val="43B70D36"/>
    <w:rsid w:val="43C3013B"/>
    <w:rsid w:val="43CE64CC"/>
    <w:rsid w:val="43D110E1"/>
    <w:rsid w:val="43E873C9"/>
    <w:rsid w:val="44181DC4"/>
    <w:rsid w:val="44250817"/>
    <w:rsid w:val="4429652B"/>
    <w:rsid w:val="44905B1F"/>
    <w:rsid w:val="44C71DFF"/>
    <w:rsid w:val="45007767"/>
    <w:rsid w:val="450734F3"/>
    <w:rsid w:val="4523357B"/>
    <w:rsid w:val="45316885"/>
    <w:rsid w:val="453B3049"/>
    <w:rsid w:val="453F0643"/>
    <w:rsid w:val="45682DFA"/>
    <w:rsid w:val="458C735B"/>
    <w:rsid w:val="459455AC"/>
    <w:rsid w:val="45A95EE9"/>
    <w:rsid w:val="45D35790"/>
    <w:rsid w:val="45FB0F21"/>
    <w:rsid w:val="460C59D7"/>
    <w:rsid w:val="4615106E"/>
    <w:rsid w:val="46167166"/>
    <w:rsid w:val="461A2194"/>
    <w:rsid w:val="4622247F"/>
    <w:rsid w:val="462E6C42"/>
    <w:rsid w:val="464473C4"/>
    <w:rsid w:val="465E515F"/>
    <w:rsid w:val="46901553"/>
    <w:rsid w:val="469B1BC5"/>
    <w:rsid w:val="469E62EA"/>
    <w:rsid w:val="46C1577B"/>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3E44C3"/>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2F60E9"/>
    <w:rsid w:val="4B3E6D0C"/>
    <w:rsid w:val="4B8F44A9"/>
    <w:rsid w:val="4B9A1456"/>
    <w:rsid w:val="4BA32C82"/>
    <w:rsid w:val="4BAD1567"/>
    <w:rsid w:val="4BBD4EE7"/>
    <w:rsid w:val="4BD73978"/>
    <w:rsid w:val="4BE70627"/>
    <w:rsid w:val="4C0A5AE1"/>
    <w:rsid w:val="4C130AB8"/>
    <w:rsid w:val="4C391ADB"/>
    <w:rsid w:val="4C5A284D"/>
    <w:rsid w:val="4C63431C"/>
    <w:rsid w:val="4CB571EA"/>
    <w:rsid w:val="4CB96B43"/>
    <w:rsid w:val="4CC75FCC"/>
    <w:rsid w:val="4CD63947"/>
    <w:rsid w:val="4CF3344B"/>
    <w:rsid w:val="4CFC49F4"/>
    <w:rsid w:val="4D073D73"/>
    <w:rsid w:val="4D1E27BA"/>
    <w:rsid w:val="4D23574A"/>
    <w:rsid w:val="4D3B12BD"/>
    <w:rsid w:val="4D4C4DB0"/>
    <w:rsid w:val="4D6238ED"/>
    <w:rsid w:val="4D6B06B3"/>
    <w:rsid w:val="4D7322D5"/>
    <w:rsid w:val="4D865EF5"/>
    <w:rsid w:val="4DD7034C"/>
    <w:rsid w:val="4DE312CB"/>
    <w:rsid w:val="4DF5318E"/>
    <w:rsid w:val="4E1F4862"/>
    <w:rsid w:val="4E2B0F4A"/>
    <w:rsid w:val="4E2E4393"/>
    <w:rsid w:val="4E34765B"/>
    <w:rsid w:val="4E535EF2"/>
    <w:rsid w:val="4E56234E"/>
    <w:rsid w:val="4E7F7C36"/>
    <w:rsid w:val="4EF11A75"/>
    <w:rsid w:val="4F08773C"/>
    <w:rsid w:val="4F31409F"/>
    <w:rsid w:val="4F4437CC"/>
    <w:rsid w:val="4F5C0D3C"/>
    <w:rsid w:val="4F5E670E"/>
    <w:rsid w:val="4F830A4B"/>
    <w:rsid w:val="4F846A83"/>
    <w:rsid w:val="4F9F566B"/>
    <w:rsid w:val="4FE52410"/>
    <w:rsid w:val="50070E2C"/>
    <w:rsid w:val="500E01E6"/>
    <w:rsid w:val="502F619C"/>
    <w:rsid w:val="504B57F2"/>
    <w:rsid w:val="505C5D66"/>
    <w:rsid w:val="50631D77"/>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D004E8"/>
    <w:rsid w:val="542631B6"/>
    <w:rsid w:val="545F0C78"/>
    <w:rsid w:val="54647343"/>
    <w:rsid w:val="54A61722"/>
    <w:rsid w:val="54B31FAF"/>
    <w:rsid w:val="54FB4092"/>
    <w:rsid w:val="5520610B"/>
    <w:rsid w:val="5524472E"/>
    <w:rsid w:val="55326D63"/>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72F3F4E"/>
    <w:rsid w:val="57442EFB"/>
    <w:rsid w:val="574436DA"/>
    <w:rsid w:val="577A3463"/>
    <w:rsid w:val="57DB3DF1"/>
    <w:rsid w:val="57F967AD"/>
    <w:rsid w:val="58052975"/>
    <w:rsid w:val="582D112D"/>
    <w:rsid w:val="583152CE"/>
    <w:rsid w:val="58802BB4"/>
    <w:rsid w:val="58AF0BB8"/>
    <w:rsid w:val="58D802CE"/>
    <w:rsid w:val="58E30CDD"/>
    <w:rsid w:val="58E525CA"/>
    <w:rsid w:val="59351174"/>
    <w:rsid w:val="593B5DDE"/>
    <w:rsid w:val="593D045A"/>
    <w:rsid w:val="59473F47"/>
    <w:rsid w:val="5960739E"/>
    <w:rsid w:val="59896D0A"/>
    <w:rsid w:val="59B72684"/>
    <w:rsid w:val="59CC6E29"/>
    <w:rsid w:val="59CE7D0B"/>
    <w:rsid w:val="59CF110D"/>
    <w:rsid w:val="59F66B3A"/>
    <w:rsid w:val="5A0532BF"/>
    <w:rsid w:val="5A3B615E"/>
    <w:rsid w:val="5A6E4EEC"/>
    <w:rsid w:val="5A9579AE"/>
    <w:rsid w:val="5AC468CD"/>
    <w:rsid w:val="5ACB1A0A"/>
    <w:rsid w:val="5ACB3B4E"/>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CEE76A1"/>
    <w:rsid w:val="5D0C57B5"/>
    <w:rsid w:val="5D153EC6"/>
    <w:rsid w:val="5D8D085B"/>
    <w:rsid w:val="5D9539D7"/>
    <w:rsid w:val="5DBF6C59"/>
    <w:rsid w:val="5E1D6F56"/>
    <w:rsid w:val="5E4333EB"/>
    <w:rsid w:val="5E52187F"/>
    <w:rsid w:val="5E6A13CD"/>
    <w:rsid w:val="5E705D15"/>
    <w:rsid w:val="5E92274E"/>
    <w:rsid w:val="5E93326C"/>
    <w:rsid w:val="5E9F1A7A"/>
    <w:rsid w:val="5EAB19DE"/>
    <w:rsid w:val="5ECD3218"/>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5F5624"/>
    <w:rsid w:val="61720EED"/>
    <w:rsid w:val="61BE4076"/>
    <w:rsid w:val="61C70B52"/>
    <w:rsid w:val="61D215CF"/>
    <w:rsid w:val="622A5268"/>
    <w:rsid w:val="622C5484"/>
    <w:rsid w:val="623C3E38"/>
    <w:rsid w:val="624049E0"/>
    <w:rsid w:val="625C563D"/>
    <w:rsid w:val="626A1704"/>
    <w:rsid w:val="628C1BC6"/>
    <w:rsid w:val="62AD7E76"/>
    <w:rsid w:val="62B362C8"/>
    <w:rsid w:val="62B97A94"/>
    <w:rsid w:val="62C1330E"/>
    <w:rsid w:val="62FD5F86"/>
    <w:rsid w:val="62FD6475"/>
    <w:rsid w:val="630C5A29"/>
    <w:rsid w:val="630D3DF3"/>
    <w:rsid w:val="6342085E"/>
    <w:rsid w:val="636F415C"/>
    <w:rsid w:val="63754A1B"/>
    <w:rsid w:val="63852ED6"/>
    <w:rsid w:val="63F40F8B"/>
    <w:rsid w:val="640F4C9F"/>
    <w:rsid w:val="64372D3D"/>
    <w:rsid w:val="64785A9C"/>
    <w:rsid w:val="64917820"/>
    <w:rsid w:val="64AA1CC5"/>
    <w:rsid w:val="651C646F"/>
    <w:rsid w:val="651D5BE5"/>
    <w:rsid w:val="65204E75"/>
    <w:rsid w:val="656B2909"/>
    <w:rsid w:val="65A3045D"/>
    <w:rsid w:val="65AD2015"/>
    <w:rsid w:val="65B31A18"/>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2D33DD"/>
    <w:rsid w:val="683C7AA3"/>
    <w:rsid w:val="68817BAC"/>
    <w:rsid w:val="68852F89"/>
    <w:rsid w:val="689A5E59"/>
    <w:rsid w:val="68BF65E6"/>
    <w:rsid w:val="68CC4C87"/>
    <w:rsid w:val="68EE72DF"/>
    <w:rsid w:val="692E2EB0"/>
    <w:rsid w:val="69485FEA"/>
    <w:rsid w:val="694C7BCA"/>
    <w:rsid w:val="69677DC0"/>
    <w:rsid w:val="69937EC7"/>
    <w:rsid w:val="69D64558"/>
    <w:rsid w:val="69E23E3D"/>
    <w:rsid w:val="6A042548"/>
    <w:rsid w:val="6A304492"/>
    <w:rsid w:val="6A471EFD"/>
    <w:rsid w:val="6A5B587F"/>
    <w:rsid w:val="6A90616B"/>
    <w:rsid w:val="6AA64288"/>
    <w:rsid w:val="6AB57116"/>
    <w:rsid w:val="6AE73176"/>
    <w:rsid w:val="6B0A525B"/>
    <w:rsid w:val="6B17424A"/>
    <w:rsid w:val="6B2218FA"/>
    <w:rsid w:val="6B691672"/>
    <w:rsid w:val="6B755FDA"/>
    <w:rsid w:val="6B7D64E9"/>
    <w:rsid w:val="6BB640C5"/>
    <w:rsid w:val="6BCF0C2E"/>
    <w:rsid w:val="6BD06892"/>
    <w:rsid w:val="6BE526B4"/>
    <w:rsid w:val="6BE97F42"/>
    <w:rsid w:val="6C3A0859"/>
    <w:rsid w:val="6C416AD8"/>
    <w:rsid w:val="6C5E6A51"/>
    <w:rsid w:val="6C6513C3"/>
    <w:rsid w:val="6C744268"/>
    <w:rsid w:val="6C8407E5"/>
    <w:rsid w:val="6CC60283"/>
    <w:rsid w:val="6CCD388D"/>
    <w:rsid w:val="6CD62D03"/>
    <w:rsid w:val="6CD97FB6"/>
    <w:rsid w:val="6CDA233C"/>
    <w:rsid w:val="6D170809"/>
    <w:rsid w:val="6D1737F3"/>
    <w:rsid w:val="6D4B22B8"/>
    <w:rsid w:val="6D663E0B"/>
    <w:rsid w:val="6D930013"/>
    <w:rsid w:val="6DA828B1"/>
    <w:rsid w:val="6E1374F8"/>
    <w:rsid w:val="6E1A1656"/>
    <w:rsid w:val="6E1C6A73"/>
    <w:rsid w:val="6E231DD6"/>
    <w:rsid w:val="6E337CDC"/>
    <w:rsid w:val="6E404513"/>
    <w:rsid w:val="6E5A5288"/>
    <w:rsid w:val="6E614EA5"/>
    <w:rsid w:val="6E6F0172"/>
    <w:rsid w:val="6E76199A"/>
    <w:rsid w:val="6EA12B0F"/>
    <w:rsid w:val="6EE013EE"/>
    <w:rsid w:val="6EE079F1"/>
    <w:rsid w:val="6EE42C42"/>
    <w:rsid w:val="6F1B5C73"/>
    <w:rsid w:val="6F211A55"/>
    <w:rsid w:val="6F3C13B8"/>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154F5B"/>
    <w:rsid w:val="732D4B5D"/>
    <w:rsid w:val="73393C88"/>
    <w:rsid w:val="734E3933"/>
    <w:rsid w:val="7362513F"/>
    <w:rsid w:val="7372081D"/>
    <w:rsid w:val="73740A39"/>
    <w:rsid w:val="73771D49"/>
    <w:rsid w:val="737F240C"/>
    <w:rsid w:val="739049CF"/>
    <w:rsid w:val="73A1354E"/>
    <w:rsid w:val="73A91864"/>
    <w:rsid w:val="73AE2AAC"/>
    <w:rsid w:val="73BA5FD6"/>
    <w:rsid w:val="73CD0FA0"/>
    <w:rsid w:val="73E544F1"/>
    <w:rsid w:val="742A10F7"/>
    <w:rsid w:val="743558AD"/>
    <w:rsid w:val="74466A1C"/>
    <w:rsid w:val="74A11E7D"/>
    <w:rsid w:val="74AC62F7"/>
    <w:rsid w:val="74B25745"/>
    <w:rsid w:val="74B46F86"/>
    <w:rsid w:val="74F97739"/>
    <w:rsid w:val="74FB18F9"/>
    <w:rsid w:val="75590B0A"/>
    <w:rsid w:val="7582279F"/>
    <w:rsid w:val="75843EB5"/>
    <w:rsid w:val="759F4605"/>
    <w:rsid w:val="75AB44BA"/>
    <w:rsid w:val="75BB71AF"/>
    <w:rsid w:val="75D05731"/>
    <w:rsid w:val="75F01962"/>
    <w:rsid w:val="760E19DF"/>
    <w:rsid w:val="7615653D"/>
    <w:rsid w:val="761B75CE"/>
    <w:rsid w:val="762116DB"/>
    <w:rsid w:val="76517CAC"/>
    <w:rsid w:val="76676A53"/>
    <w:rsid w:val="76741165"/>
    <w:rsid w:val="768153C1"/>
    <w:rsid w:val="769E78D2"/>
    <w:rsid w:val="76B620A1"/>
    <w:rsid w:val="76CF67D0"/>
    <w:rsid w:val="76F20814"/>
    <w:rsid w:val="77001F24"/>
    <w:rsid w:val="770D5E61"/>
    <w:rsid w:val="771B2BF8"/>
    <w:rsid w:val="77214B01"/>
    <w:rsid w:val="77462524"/>
    <w:rsid w:val="7754544E"/>
    <w:rsid w:val="775D7201"/>
    <w:rsid w:val="77673D84"/>
    <w:rsid w:val="7778770E"/>
    <w:rsid w:val="779A7EBA"/>
    <w:rsid w:val="77A21064"/>
    <w:rsid w:val="77A90F64"/>
    <w:rsid w:val="77BA4E88"/>
    <w:rsid w:val="77E34EB2"/>
    <w:rsid w:val="78027672"/>
    <w:rsid w:val="781564B8"/>
    <w:rsid w:val="78224ACF"/>
    <w:rsid w:val="78654DF4"/>
    <w:rsid w:val="788A2AAC"/>
    <w:rsid w:val="78936F61"/>
    <w:rsid w:val="78CD6DCC"/>
    <w:rsid w:val="78D07CAF"/>
    <w:rsid w:val="78DE12D7"/>
    <w:rsid w:val="78FC2038"/>
    <w:rsid w:val="78FC33D7"/>
    <w:rsid w:val="79183D69"/>
    <w:rsid w:val="79210683"/>
    <w:rsid w:val="79951709"/>
    <w:rsid w:val="799C3465"/>
    <w:rsid w:val="79B14EC4"/>
    <w:rsid w:val="79BE1ECC"/>
    <w:rsid w:val="79C066C2"/>
    <w:rsid w:val="79CE69C9"/>
    <w:rsid w:val="7A024BBA"/>
    <w:rsid w:val="7A2A6B4A"/>
    <w:rsid w:val="7A66105B"/>
    <w:rsid w:val="7A681070"/>
    <w:rsid w:val="7A71506F"/>
    <w:rsid w:val="7A7E1B39"/>
    <w:rsid w:val="7A860C7C"/>
    <w:rsid w:val="7A9265A2"/>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0E5A5A"/>
    <w:rsid w:val="7D25523C"/>
    <w:rsid w:val="7D434BA5"/>
    <w:rsid w:val="7D5E1216"/>
    <w:rsid w:val="7D660BE8"/>
    <w:rsid w:val="7DA553F4"/>
    <w:rsid w:val="7DB23041"/>
    <w:rsid w:val="7E003759"/>
    <w:rsid w:val="7E200E4E"/>
    <w:rsid w:val="7E514E49"/>
    <w:rsid w:val="7E5632B4"/>
    <w:rsid w:val="7E5F5463"/>
    <w:rsid w:val="7E5F7809"/>
    <w:rsid w:val="7E66156B"/>
    <w:rsid w:val="7E812A19"/>
    <w:rsid w:val="7EAF2C64"/>
    <w:rsid w:val="7EB22415"/>
    <w:rsid w:val="7EB904A9"/>
    <w:rsid w:val="7ECE5D75"/>
    <w:rsid w:val="7ED56C53"/>
    <w:rsid w:val="7EEA1BAF"/>
    <w:rsid w:val="7EF32454"/>
    <w:rsid w:val="7F051474"/>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2"/>
    <w:qFormat/>
    <w:uiPriority w:val="9"/>
    <w:pPr>
      <w:keepNext/>
      <w:keepLines/>
      <w:jc w:val="center"/>
      <w:outlineLvl w:val="0"/>
    </w:pPr>
    <w:rPr>
      <w:b/>
      <w:bCs/>
      <w:kern w:val="44"/>
      <w:sz w:val="36"/>
      <w:szCs w:val="44"/>
    </w:rPr>
  </w:style>
  <w:style w:type="paragraph" w:styleId="4">
    <w:name w:val="heading 2"/>
    <w:basedOn w:val="1"/>
    <w:next w:val="1"/>
    <w:link w:val="53"/>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4"/>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link w:val="164"/>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link w:val="150"/>
    <w:unhideWhenUsed/>
    <w:qFormat/>
    <w:uiPriority w:val="9"/>
    <w:pPr>
      <w:keepNext/>
      <w:keepLines/>
      <w:spacing w:before="240" w:after="64" w:line="317" w:lineRule="auto"/>
      <w:outlineLvl w:val="5"/>
    </w:pPr>
    <w:rPr>
      <w:rFonts w:ascii="Arial" w:hAnsi="Arial" w:eastAsia="黑体"/>
      <w:b/>
      <w:sz w:val="24"/>
    </w:rPr>
  </w:style>
  <w:style w:type="paragraph" w:styleId="9">
    <w:name w:val="heading 7"/>
    <w:basedOn w:val="1"/>
    <w:next w:val="1"/>
    <w:link w:val="151"/>
    <w:unhideWhenUsed/>
    <w:qFormat/>
    <w:uiPriority w:val="9"/>
    <w:pPr>
      <w:keepNext/>
      <w:keepLines/>
      <w:spacing w:before="240" w:after="64" w:line="317" w:lineRule="auto"/>
      <w:outlineLvl w:val="6"/>
    </w:pPr>
    <w:rPr>
      <w:b/>
      <w:sz w:val="24"/>
    </w:rPr>
  </w:style>
  <w:style w:type="paragraph" w:styleId="10">
    <w:name w:val="heading 9"/>
    <w:basedOn w:val="1"/>
    <w:next w:val="1"/>
    <w:link w:val="152"/>
    <w:semiHidden/>
    <w:unhideWhenUsed/>
    <w:qFormat/>
    <w:uiPriority w:val="9"/>
    <w:pPr>
      <w:keepNext/>
      <w:keepLines/>
      <w:spacing w:before="240" w:after="64" w:line="317" w:lineRule="auto"/>
      <w:outlineLvl w:val="8"/>
    </w:pPr>
    <w:rPr>
      <w:rFonts w:ascii="Arial" w:hAnsi="Arial" w:eastAsia="黑体"/>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2">
    <w:name w:val="Fließtext"/>
    <w:basedOn w:val="1"/>
    <w:qFormat/>
    <w:uiPriority w:val="99"/>
    <w:pPr>
      <w:widowControl/>
      <w:ind w:left="1134"/>
      <w:jc w:val="left"/>
    </w:pPr>
    <w:rPr>
      <w:rFonts w:ascii="Arial" w:hAnsi="Arial"/>
      <w:kern w:val="0"/>
      <w:szCs w:val="20"/>
      <w:lang w:val="de-DE" w:eastAsia="de-DE"/>
    </w:rPr>
  </w:style>
  <w:style w:type="paragraph" w:styleId="11">
    <w:name w:val="toc 7"/>
    <w:basedOn w:val="1"/>
    <w:next w:val="1"/>
    <w:qFormat/>
    <w:uiPriority w:val="39"/>
    <w:pPr>
      <w:ind w:left="1440"/>
      <w:jc w:val="left"/>
    </w:pPr>
    <w:rPr>
      <w:rFonts w:ascii="Calibri" w:hAnsi="Calibri" w:eastAsia="宋体" w:cs="Times New Roman"/>
      <w:sz w:val="18"/>
      <w:szCs w:val="18"/>
    </w:rPr>
  </w:style>
  <w:style w:type="paragraph" w:styleId="12">
    <w:name w:val="Normal Indent"/>
    <w:basedOn w:val="1"/>
    <w:next w:val="1"/>
    <w:qFormat/>
    <w:uiPriority w:val="0"/>
    <w:pPr>
      <w:ind w:firstLine="420"/>
    </w:pPr>
    <w:rPr>
      <w:rFonts w:ascii="Times New Roman" w:hAnsi="Times New Roman"/>
      <w:kern w:val="0"/>
      <w:sz w:val="20"/>
      <w:szCs w:val="20"/>
    </w:rPr>
  </w:style>
  <w:style w:type="paragraph" w:styleId="13">
    <w:name w:val="caption"/>
    <w:basedOn w:val="1"/>
    <w:next w:val="1"/>
    <w:qFormat/>
    <w:uiPriority w:val="35"/>
    <w:pPr>
      <w:spacing w:before="152" w:after="160"/>
    </w:pPr>
    <w:rPr>
      <w:rFonts w:ascii="Arial" w:hAnsi="Arial" w:eastAsia="黑体" w:cs="Arial"/>
      <w:sz w:val="20"/>
      <w:szCs w:val="20"/>
    </w:rPr>
  </w:style>
  <w:style w:type="paragraph" w:styleId="14">
    <w:name w:val="Document Map"/>
    <w:basedOn w:val="1"/>
    <w:link w:val="75"/>
    <w:qFormat/>
    <w:uiPriority w:val="0"/>
    <w:pPr>
      <w:shd w:val="clear" w:color="auto" w:fill="000080"/>
    </w:pPr>
    <w:rPr>
      <w:sz w:val="24"/>
    </w:rPr>
  </w:style>
  <w:style w:type="paragraph" w:styleId="15">
    <w:name w:val="toa heading"/>
    <w:basedOn w:val="1"/>
    <w:next w:val="1"/>
    <w:qFormat/>
    <w:uiPriority w:val="99"/>
    <w:pPr>
      <w:spacing w:before="120"/>
    </w:pPr>
    <w:rPr>
      <w:rFonts w:ascii="Arial" w:hAnsi="Arial" w:eastAsia="宋体" w:cs="Arial"/>
      <w:sz w:val="24"/>
      <w:szCs w:val="24"/>
    </w:rPr>
  </w:style>
  <w:style w:type="paragraph" w:styleId="16">
    <w:name w:val="annotation text"/>
    <w:basedOn w:val="1"/>
    <w:link w:val="66"/>
    <w:qFormat/>
    <w:uiPriority w:val="0"/>
    <w:pPr>
      <w:jc w:val="left"/>
    </w:pPr>
  </w:style>
  <w:style w:type="paragraph" w:styleId="17">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8">
    <w:name w:val="Body Text"/>
    <w:basedOn w:val="1"/>
    <w:next w:val="19"/>
    <w:link w:val="87"/>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9">
    <w:name w:val="Body Text Indent"/>
    <w:basedOn w:val="1"/>
    <w:link w:val="84"/>
    <w:qFormat/>
    <w:uiPriority w:val="99"/>
    <w:pPr>
      <w:spacing w:after="120"/>
      <w:ind w:left="420" w:leftChars="200"/>
    </w:pPr>
    <w:rPr>
      <w:rFonts w:ascii="Calibri" w:hAnsi="Calibri" w:eastAsia="宋体" w:cs="Times New Roman"/>
      <w:szCs w:val="20"/>
    </w:rPr>
  </w:style>
  <w:style w:type="paragraph" w:styleId="20">
    <w:name w:val="index 4"/>
    <w:basedOn w:val="1"/>
    <w:next w:val="1"/>
    <w:qFormat/>
    <w:uiPriority w:val="0"/>
    <w:pPr>
      <w:ind w:left="600" w:leftChars="600"/>
    </w:pPr>
  </w:style>
  <w:style w:type="paragraph" w:styleId="21">
    <w:name w:val="toc 5"/>
    <w:basedOn w:val="1"/>
    <w:next w:val="1"/>
    <w:qFormat/>
    <w:uiPriority w:val="39"/>
    <w:pPr>
      <w:ind w:left="960"/>
      <w:jc w:val="left"/>
    </w:pPr>
    <w:rPr>
      <w:rFonts w:ascii="Calibri" w:hAnsi="Calibri" w:eastAsia="宋体" w:cs="Times New Roman"/>
      <w:sz w:val="18"/>
      <w:szCs w:val="18"/>
    </w:rPr>
  </w:style>
  <w:style w:type="paragraph" w:styleId="22">
    <w:name w:val="toc 3"/>
    <w:basedOn w:val="1"/>
    <w:next w:val="1"/>
    <w:qFormat/>
    <w:uiPriority w:val="39"/>
    <w:pPr>
      <w:ind w:left="480"/>
      <w:jc w:val="left"/>
    </w:pPr>
    <w:rPr>
      <w:rFonts w:ascii="Calibri" w:hAnsi="Calibri" w:eastAsia="宋体" w:cs="Times New Roman"/>
      <w:i/>
      <w:iCs/>
      <w:sz w:val="20"/>
      <w:szCs w:val="20"/>
    </w:rPr>
  </w:style>
  <w:style w:type="paragraph" w:styleId="23">
    <w:name w:val="Plain Text"/>
    <w:basedOn w:val="1"/>
    <w:link w:val="77"/>
    <w:qFormat/>
    <w:uiPriority w:val="0"/>
    <w:rPr>
      <w:rFonts w:ascii="宋体" w:hAnsi="Courier New"/>
    </w:rPr>
  </w:style>
  <w:style w:type="paragraph" w:styleId="24">
    <w:name w:val="toc 8"/>
    <w:basedOn w:val="1"/>
    <w:next w:val="1"/>
    <w:qFormat/>
    <w:uiPriority w:val="39"/>
    <w:pPr>
      <w:ind w:left="1680"/>
      <w:jc w:val="left"/>
    </w:pPr>
    <w:rPr>
      <w:rFonts w:ascii="Calibri" w:hAnsi="Calibri" w:eastAsia="宋体" w:cs="Times New Roman"/>
      <w:sz w:val="18"/>
      <w:szCs w:val="18"/>
    </w:rPr>
  </w:style>
  <w:style w:type="paragraph" w:styleId="25">
    <w:name w:val="Date"/>
    <w:basedOn w:val="1"/>
    <w:next w:val="1"/>
    <w:link w:val="68"/>
    <w:qFormat/>
    <w:uiPriority w:val="0"/>
    <w:pPr>
      <w:ind w:left="100" w:leftChars="2500"/>
    </w:pPr>
    <w:rPr>
      <w:sz w:val="24"/>
    </w:rPr>
  </w:style>
  <w:style w:type="paragraph" w:styleId="26">
    <w:name w:val="Body Text Indent 2"/>
    <w:basedOn w:val="1"/>
    <w:link w:val="56"/>
    <w:qFormat/>
    <w:uiPriority w:val="0"/>
    <w:pPr>
      <w:spacing w:after="120" w:line="480" w:lineRule="auto"/>
      <w:ind w:left="420" w:leftChars="200"/>
    </w:pPr>
  </w:style>
  <w:style w:type="paragraph" w:styleId="27">
    <w:name w:val="Balloon Text"/>
    <w:basedOn w:val="1"/>
    <w:link w:val="72"/>
    <w:qFormat/>
    <w:uiPriority w:val="0"/>
    <w:rPr>
      <w:sz w:val="18"/>
    </w:rPr>
  </w:style>
  <w:style w:type="paragraph" w:styleId="28">
    <w:name w:val="footer"/>
    <w:basedOn w:val="1"/>
    <w:link w:val="78"/>
    <w:qFormat/>
    <w:uiPriority w:val="99"/>
    <w:pPr>
      <w:tabs>
        <w:tab w:val="center" w:pos="4153"/>
        <w:tab w:val="right" w:pos="8306"/>
      </w:tabs>
      <w:snapToGrid w:val="0"/>
      <w:jc w:val="left"/>
    </w:pPr>
    <w:rPr>
      <w:sz w:val="18"/>
    </w:rPr>
  </w:style>
  <w:style w:type="paragraph" w:styleId="29">
    <w:name w:val="header"/>
    <w:basedOn w:val="1"/>
    <w:link w:val="64"/>
    <w:qFormat/>
    <w:uiPriority w:val="0"/>
    <w:pPr>
      <w:pBdr>
        <w:bottom w:val="single" w:color="auto" w:sz="6" w:space="1"/>
      </w:pBdr>
      <w:tabs>
        <w:tab w:val="center" w:pos="4153"/>
        <w:tab w:val="right" w:pos="8306"/>
      </w:tabs>
      <w:snapToGrid w:val="0"/>
      <w:jc w:val="center"/>
    </w:pPr>
    <w:rPr>
      <w:sz w:val="18"/>
    </w:rPr>
  </w:style>
  <w:style w:type="paragraph" w:styleId="30">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1">
    <w:name w:val="toc 4"/>
    <w:basedOn w:val="1"/>
    <w:next w:val="1"/>
    <w:qFormat/>
    <w:uiPriority w:val="39"/>
    <w:pPr>
      <w:ind w:left="720"/>
      <w:jc w:val="left"/>
    </w:pPr>
    <w:rPr>
      <w:rFonts w:ascii="Calibri" w:hAnsi="Calibri" w:eastAsia="宋体" w:cs="Times New Roman"/>
      <w:sz w:val="18"/>
      <w:szCs w:val="18"/>
    </w:rPr>
  </w:style>
  <w:style w:type="paragraph" w:styleId="32">
    <w:name w:val="List"/>
    <w:basedOn w:val="1"/>
    <w:qFormat/>
    <w:uiPriority w:val="99"/>
    <w:pPr>
      <w:ind w:left="420" w:hanging="420"/>
    </w:pPr>
    <w:rPr>
      <w:rFonts w:ascii="Times New Roman" w:hAnsi="Times New Roman" w:eastAsia="宋体" w:cs="Times New Roman"/>
      <w:szCs w:val="20"/>
    </w:rPr>
  </w:style>
  <w:style w:type="paragraph" w:styleId="33">
    <w:name w:val="toc 6"/>
    <w:basedOn w:val="1"/>
    <w:next w:val="1"/>
    <w:qFormat/>
    <w:uiPriority w:val="39"/>
    <w:pPr>
      <w:ind w:left="1200"/>
      <w:jc w:val="left"/>
    </w:pPr>
    <w:rPr>
      <w:rFonts w:ascii="Calibri" w:hAnsi="Calibri" w:eastAsia="宋体" w:cs="Times New Roman"/>
      <w:sz w:val="18"/>
      <w:szCs w:val="18"/>
    </w:rPr>
  </w:style>
  <w:style w:type="paragraph" w:styleId="34">
    <w:name w:val="Body Text Indent 3"/>
    <w:basedOn w:val="1"/>
    <w:link w:val="58"/>
    <w:qFormat/>
    <w:uiPriority w:val="0"/>
    <w:pPr>
      <w:spacing w:after="120"/>
      <w:ind w:left="420" w:leftChars="200"/>
    </w:pPr>
    <w:rPr>
      <w:sz w:val="16"/>
    </w:rPr>
  </w:style>
  <w:style w:type="paragraph" w:styleId="35">
    <w:name w:val="toc 2"/>
    <w:basedOn w:val="1"/>
    <w:next w:val="1"/>
    <w:unhideWhenUsed/>
    <w:qFormat/>
    <w:uiPriority w:val="39"/>
    <w:pPr>
      <w:ind w:left="420" w:leftChars="200"/>
    </w:pPr>
    <w:rPr>
      <w:rFonts w:ascii="Calibri" w:hAnsi="Calibri" w:eastAsia="宋体" w:cs="Times New Roman"/>
      <w:szCs w:val="20"/>
    </w:rPr>
  </w:style>
  <w:style w:type="paragraph" w:styleId="36">
    <w:name w:val="toc 9"/>
    <w:basedOn w:val="1"/>
    <w:next w:val="1"/>
    <w:qFormat/>
    <w:uiPriority w:val="39"/>
    <w:pPr>
      <w:ind w:left="1920"/>
      <w:jc w:val="left"/>
    </w:pPr>
    <w:rPr>
      <w:rFonts w:ascii="Calibri" w:hAnsi="Calibri" w:eastAsia="宋体" w:cs="Times New Roman"/>
      <w:sz w:val="18"/>
      <w:szCs w:val="18"/>
    </w:rPr>
  </w:style>
  <w:style w:type="paragraph" w:styleId="37">
    <w:name w:val="Normal (Web)"/>
    <w:basedOn w:val="1"/>
    <w:qFormat/>
    <w:uiPriority w:val="99"/>
    <w:rPr>
      <w:rFonts w:ascii="Calibri" w:hAnsi="Calibri" w:eastAsia="宋体" w:cs="Times New Roman"/>
      <w:sz w:val="24"/>
      <w:szCs w:val="20"/>
    </w:rPr>
  </w:style>
  <w:style w:type="paragraph" w:styleId="38">
    <w:name w:val="index 1"/>
    <w:basedOn w:val="1"/>
    <w:next w:val="1"/>
    <w:qFormat/>
    <w:uiPriority w:val="99"/>
    <w:rPr>
      <w:rFonts w:ascii="Calibri" w:hAnsi="Calibri" w:eastAsia="宋体" w:cs="Times New Roman"/>
      <w:sz w:val="24"/>
      <w:szCs w:val="24"/>
    </w:rPr>
  </w:style>
  <w:style w:type="paragraph" w:styleId="39">
    <w:name w:val="Title"/>
    <w:basedOn w:val="1"/>
    <w:next w:val="1"/>
    <w:link w:val="67"/>
    <w:qFormat/>
    <w:uiPriority w:val="0"/>
    <w:pPr>
      <w:spacing w:before="160" w:after="40" w:line="240" w:lineRule="atLeast"/>
      <w:ind w:left="425" w:hanging="425"/>
      <w:jc w:val="center"/>
      <w:outlineLvl w:val="0"/>
    </w:pPr>
    <w:rPr>
      <w:rFonts w:ascii="Arial" w:hAnsi="Arial"/>
      <w:b/>
      <w:sz w:val="32"/>
    </w:rPr>
  </w:style>
  <w:style w:type="paragraph" w:styleId="40">
    <w:name w:val="annotation subject"/>
    <w:basedOn w:val="16"/>
    <w:next w:val="16"/>
    <w:link w:val="57"/>
    <w:qFormat/>
    <w:uiPriority w:val="0"/>
    <w:rPr>
      <w:b/>
    </w:rPr>
  </w:style>
  <w:style w:type="paragraph" w:styleId="41">
    <w:name w:val="Body Text First Indent 2"/>
    <w:basedOn w:val="19"/>
    <w:semiHidden/>
    <w:qFormat/>
    <w:uiPriority w:val="99"/>
    <w:pPr>
      <w:spacing w:line="276" w:lineRule="auto"/>
      <w:ind w:firstLine="420" w:firstLineChars="200"/>
      <w:jc w:val="left"/>
    </w:pPr>
  </w:style>
  <w:style w:type="table" w:styleId="43">
    <w:name w:val="Table Grid"/>
    <w:basedOn w:val="4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qFormat/>
    <w:uiPriority w:val="22"/>
    <w:rPr>
      <w:b/>
    </w:rPr>
  </w:style>
  <w:style w:type="character" w:styleId="46">
    <w:name w:val="page number"/>
    <w:basedOn w:val="44"/>
    <w:qFormat/>
    <w:uiPriority w:val="99"/>
    <w:rPr>
      <w:rFonts w:cs="Times New Roman"/>
    </w:rPr>
  </w:style>
  <w:style w:type="character" w:styleId="47">
    <w:name w:val="FollowedHyperlink"/>
    <w:basedOn w:val="44"/>
    <w:qFormat/>
    <w:uiPriority w:val="99"/>
    <w:rPr>
      <w:color w:val="800080"/>
      <w:u w:val="single"/>
    </w:rPr>
  </w:style>
  <w:style w:type="character" w:styleId="48">
    <w:name w:val="Emphasis"/>
    <w:qFormat/>
    <w:uiPriority w:val="99"/>
    <w:rPr>
      <w:rFonts w:cs="Times New Roman"/>
      <w:color w:val="auto"/>
    </w:rPr>
  </w:style>
  <w:style w:type="character" w:styleId="49">
    <w:name w:val="HTML Acronym"/>
    <w:basedOn w:val="44"/>
    <w:qFormat/>
    <w:uiPriority w:val="99"/>
  </w:style>
  <w:style w:type="character" w:styleId="50">
    <w:name w:val="Hyperlink"/>
    <w:basedOn w:val="44"/>
    <w:qFormat/>
    <w:uiPriority w:val="99"/>
    <w:rPr>
      <w:color w:val="1F4F88"/>
      <w:u w:val="none"/>
    </w:rPr>
  </w:style>
  <w:style w:type="character" w:styleId="51">
    <w:name w:val="annotation reference"/>
    <w:basedOn w:val="44"/>
    <w:qFormat/>
    <w:uiPriority w:val="99"/>
    <w:rPr>
      <w:sz w:val="21"/>
    </w:rPr>
  </w:style>
  <w:style w:type="character" w:customStyle="1" w:styleId="52">
    <w:name w:val="标题 1 字符"/>
    <w:basedOn w:val="44"/>
    <w:link w:val="3"/>
    <w:qFormat/>
    <w:uiPriority w:val="9"/>
    <w:rPr>
      <w:rFonts w:ascii="Calibri" w:hAnsi="Calibri" w:eastAsia="宋体" w:cs="Times New Roman"/>
      <w:b/>
      <w:bCs/>
      <w:kern w:val="44"/>
      <w:sz w:val="36"/>
      <w:szCs w:val="44"/>
    </w:rPr>
  </w:style>
  <w:style w:type="character" w:customStyle="1" w:styleId="53">
    <w:name w:val="标题 2 字符"/>
    <w:basedOn w:val="44"/>
    <w:link w:val="4"/>
    <w:qFormat/>
    <w:uiPriority w:val="9"/>
    <w:rPr>
      <w:rFonts w:ascii="Arial" w:hAnsi="Arial" w:eastAsia="宋体" w:cs="Times New Roman"/>
      <w:b/>
      <w:bCs/>
      <w:sz w:val="24"/>
      <w:szCs w:val="32"/>
    </w:rPr>
  </w:style>
  <w:style w:type="character" w:customStyle="1" w:styleId="54">
    <w:name w:val="标题 3 字符"/>
    <w:basedOn w:val="44"/>
    <w:link w:val="5"/>
    <w:semiHidden/>
    <w:qFormat/>
    <w:uiPriority w:val="9"/>
    <w:rPr>
      <w:rFonts w:ascii="Calibri" w:hAnsi="Calibri" w:eastAsia="宋体" w:cs="Times New Roman"/>
      <w:b/>
      <w:bCs/>
      <w:sz w:val="32"/>
      <w:szCs w:val="32"/>
    </w:rPr>
  </w:style>
  <w:style w:type="character" w:customStyle="1" w:styleId="55">
    <w:name w:val="Char Char3"/>
    <w:qFormat/>
    <w:uiPriority w:val="0"/>
    <w:rPr>
      <w:rFonts w:ascii="宋体" w:hAnsi="Courier New" w:eastAsia="宋体"/>
      <w:kern w:val="2"/>
      <w:sz w:val="21"/>
      <w:lang w:val="en-US" w:eastAsia="zh-CN"/>
    </w:rPr>
  </w:style>
  <w:style w:type="character" w:customStyle="1" w:styleId="56">
    <w:name w:val="正文文本缩进 2 字符"/>
    <w:link w:val="26"/>
    <w:qFormat/>
    <w:locked/>
    <w:uiPriority w:val="0"/>
  </w:style>
  <w:style w:type="character" w:customStyle="1" w:styleId="57">
    <w:name w:val="批注主题 字符"/>
    <w:link w:val="40"/>
    <w:qFormat/>
    <w:locked/>
    <w:uiPriority w:val="0"/>
    <w:rPr>
      <w:b/>
    </w:rPr>
  </w:style>
  <w:style w:type="character" w:customStyle="1" w:styleId="58">
    <w:name w:val="正文文本缩进 3 字符"/>
    <w:link w:val="34"/>
    <w:qFormat/>
    <w:locked/>
    <w:uiPriority w:val="0"/>
    <w:rPr>
      <w:sz w:val="16"/>
    </w:rPr>
  </w:style>
  <w:style w:type="character" w:customStyle="1" w:styleId="59">
    <w:name w:val="纯文本 Char"/>
    <w:qFormat/>
    <w:uiPriority w:val="0"/>
    <w:rPr>
      <w:rFonts w:ascii="宋体" w:hAnsi="Courier New" w:eastAsia="宋体"/>
      <w:kern w:val="2"/>
      <w:sz w:val="21"/>
      <w:lang w:val="en-US" w:eastAsia="zh-CN"/>
    </w:rPr>
  </w:style>
  <w:style w:type="character" w:customStyle="1" w:styleId="60">
    <w:name w:val="Char Char2"/>
    <w:qFormat/>
    <w:uiPriority w:val="0"/>
    <w:rPr>
      <w:rFonts w:ascii="宋体" w:hAnsi="Courier New"/>
      <w:kern w:val="2"/>
      <w:sz w:val="21"/>
    </w:rPr>
  </w:style>
  <w:style w:type="character" w:customStyle="1" w:styleId="61">
    <w:name w:val="列出段落 字符"/>
    <w:link w:val="62"/>
    <w:qFormat/>
    <w:locked/>
    <w:uiPriority w:val="34"/>
    <w:rPr>
      <w:sz w:val="22"/>
    </w:rPr>
  </w:style>
  <w:style w:type="paragraph" w:customStyle="1" w:styleId="62">
    <w:name w:val="列出段落1"/>
    <w:basedOn w:val="1"/>
    <w:link w:val="61"/>
    <w:qFormat/>
    <w:uiPriority w:val="34"/>
    <w:pPr>
      <w:ind w:firstLine="420" w:firstLineChars="200"/>
    </w:pPr>
    <w:rPr>
      <w:sz w:val="22"/>
    </w:rPr>
  </w:style>
  <w:style w:type="character" w:customStyle="1" w:styleId="63">
    <w:name w:val="apple-converted-space"/>
    <w:basedOn w:val="44"/>
    <w:qFormat/>
    <w:uiPriority w:val="0"/>
    <w:rPr>
      <w:rFonts w:cs="Times New Roman"/>
    </w:rPr>
  </w:style>
  <w:style w:type="character" w:customStyle="1" w:styleId="64">
    <w:name w:val="页眉 字符"/>
    <w:link w:val="29"/>
    <w:qFormat/>
    <w:locked/>
    <w:uiPriority w:val="0"/>
    <w:rPr>
      <w:sz w:val="18"/>
    </w:rPr>
  </w:style>
  <w:style w:type="character" w:customStyle="1" w:styleId="65">
    <w:name w:val="BODY TEXT Char"/>
    <w:qFormat/>
    <w:locked/>
    <w:uiPriority w:val="0"/>
    <w:rPr>
      <w:rFonts w:eastAsia="新宋体"/>
      <w:kern w:val="2"/>
      <w:sz w:val="21"/>
    </w:rPr>
  </w:style>
  <w:style w:type="character" w:customStyle="1" w:styleId="66">
    <w:name w:val="批注文字 字符"/>
    <w:link w:val="16"/>
    <w:qFormat/>
    <w:locked/>
    <w:uiPriority w:val="0"/>
  </w:style>
  <w:style w:type="character" w:customStyle="1" w:styleId="67">
    <w:name w:val="标题 字符"/>
    <w:link w:val="39"/>
    <w:qFormat/>
    <w:locked/>
    <w:uiPriority w:val="0"/>
    <w:rPr>
      <w:rFonts w:ascii="Arial" w:hAnsi="Arial"/>
      <w:b/>
      <w:sz w:val="32"/>
    </w:rPr>
  </w:style>
  <w:style w:type="character" w:customStyle="1" w:styleId="68">
    <w:name w:val="日期 字符"/>
    <w:link w:val="25"/>
    <w:qFormat/>
    <w:locked/>
    <w:uiPriority w:val="0"/>
    <w:rPr>
      <w:sz w:val="24"/>
    </w:rPr>
  </w:style>
  <w:style w:type="character" w:customStyle="1" w:styleId="69">
    <w:name w:val="ATXT_Bullets Zchn"/>
    <w:link w:val="70"/>
    <w:qFormat/>
    <w:locked/>
    <w:uiPriority w:val="99"/>
    <w:rPr>
      <w:rFonts w:ascii="Arial" w:hAnsi="Arial"/>
      <w:lang w:val="de-AT" w:eastAsia="zh-CN"/>
    </w:rPr>
  </w:style>
  <w:style w:type="paragraph" w:customStyle="1" w:styleId="70">
    <w:name w:val="ATXT_Bullets"/>
    <w:link w:val="69"/>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1">
    <w:name w:val="Char Char5"/>
    <w:qFormat/>
    <w:uiPriority w:val="0"/>
    <w:rPr>
      <w:rFonts w:ascii="宋体" w:hAnsi="Courier New" w:eastAsia="宋体"/>
      <w:kern w:val="2"/>
      <w:sz w:val="21"/>
      <w:lang w:val="en-US" w:eastAsia="zh-CN"/>
    </w:rPr>
  </w:style>
  <w:style w:type="character" w:customStyle="1" w:styleId="72">
    <w:name w:val="批注框文本 字符"/>
    <w:link w:val="27"/>
    <w:qFormat/>
    <w:locked/>
    <w:uiPriority w:val="0"/>
    <w:rPr>
      <w:sz w:val="18"/>
    </w:rPr>
  </w:style>
  <w:style w:type="character" w:customStyle="1" w:styleId="73">
    <w:name w:val="批注文字 Char"/>
    <w:qFormat/>
    <w:uiPriority w:val="0"/>
    <w:rPr>
      <w:kern w:val="2"/>
    </w:rPr>
  </w:style>
  <w:style w:type="character" w:customStyle="1" w:styleId="74">
    <w:name w:val="批注主题 Char"/>
    <w:qFormat/>
    <w:uiPriority w:val="0"/>
    <w:rPr>
      <w:b/>
      <w:kern w:val="2"/>
    </w:rPr>
  </w:style>
  <w:style w:type="character" w:customStyle="1" w:styleId="75">
    <w:name w:val="文档结构图 字符"/>
    <w:link w:val="14"/>
    <w:qFormat/>
    <w:locked/>
    <w:uiPriority w:val="0"/>
    <w:rPr>
      <w:sz w:val="24"/>
      <w:shd w:val="clear" w:color="auto" w:fill="000080"/>
    </w:rPr>
  </w:style>
  <w:style w:type="character" w:customStyle="1" w:styleId="76">
    <w:name w:val="HTML Markup"/>
    <w:qFormat/>
    <w:uiPriority w:val="0"/>
    <w:rPr>
      <w:vanish/>
      <w:color w:val="FF0000"/>
    </w:rPr>
  </w:style>
  <w:style w:type="character" w:customStyle="1" w:styleId="77">
    <w:name w:val="纯文本 字符"/>
    <w:link w:val="23"/>
    <w:qFormat/>
    <w:locked/>
    <w:uiPriority w:val="0"/>
    <w:rPr>
      <w:rFonts w:ascii="宋体" w:hAnsi="Courier New"/>
    </w:rPr>
  </w:style>
  <w:style w:type="character" w:customStyle="1" w:styleId="78">
    <w:name w:val="页脚 字符"/>
    <w:link w:val="28"/>
    <w:qFormat/>
    <w:locked/>
    <w:uiPriority w:val="99"/>
    <w:rPr>
      <w:sz w:val="18"/>
    </w:rPr>
  </w:style>
  <w:style w:type="character" w:customStyle="1" w:styleId="79">
    <w:name w:val="Default Char"/>
    <w:link w:val="80"/>
    <w:qFormat/>
    <w:locked/>
    <w:uiPriority w:val="0"/>
    <w:rPr>
      <w:rFonts w:ascii="仿宋_GB2312" w:eastAsia="仿宋_GB2312"/>
      <w:color w:val="000000"/>
      <w:sz w:val="24"/>
    </w:rPr>
  </w:style>
  <w:style w:type="paragraph" w:customStyle="1" w:styleId="80">
    <w:name w:val="Default"/>
    <w:link w:val="79"/>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1">
    <w:name w:val="页脚 Char"/>
    <w:qFormat/>
    <w:locked/>
    <w:uiPriority w:val="99"/>
    <w:rPr>
      <w:sz w:val="18"/>
    </w:rPr>
  </w:style>
  <w:style w:type="character" w:customStyle="1" w:styleId="82">
    <w:name w:val="批注文字 字符1"/>
    <w:basedOn w:val="44"/>
    <w:semiHidden/>
    <w:qFormat/>
    <w:uiPriority w:val="99"/>
  </w:style>
  <w:style w:type="character" w:customStyle="1" w:styleId="83">
    <w:name w:val="批注文字 字符11"/>
    <w:basedOn w:val="44"/>
    <w:qFormat/>
    <w:uiPriority w:val="0"/>
    <w:rPr>
      <w:rFonts w:cs="Times New Roman"/>
      <w:kern w:val="2"/>
      <w:sz w:val="21"/>
    </w:rPr>
  </w:style>
  <w:style w:type="character" w:customStyle="1" w:styleId="84">
    <w:name w:val="正文文本缩进 字符"/>
    <w:basedOn w:val="44"/>
    <w:link w:val="19"/>
    <w:qFormat/>
    <w:uiPriority w:val="99"/>
    <w:rPr>
      <w:rFonts w:ascii="Calibri" w:hAnsi="Calibri" w:eastAsia="宋体" w:cs="Times New Roman"/>
      <w:szCs w:val="20"/>
    </w:rPr>
  </w:style>
  <w:style w:type="character" w:customStyle="1" w:styleId="85">
    <w:name w:val="文档结构图 字符1"/>
    <w:basedOn w:val="44"/>
    <w:semiHidden/>
    <w:qFormat/>
    <w:uiPriority w:val="99"/>
    <w:rPr>
      <w:rFonts w:ascii="Microsoft YaHei UI" w:eastAsia="Microsoft YaHei UI"/>
      <w:sz w:val="18"/>
      <w:szCs w:val="18"/>
    </w:rPr>
  </w:style>
  <w:style w:type="character" w:customStyle="1" w:styleId="86">
    <w:name w:val="文档结构图 字符11"/>
    <w:basedOn w:val="44"/>
    <w:semiHidden/>
    <w:qFormat/>
    <w:uiPriority w:val="99"/>
    <w:rPr>
      <w:rFonts w:ascii="Microsoft YaHei UI" w:eastAsia="Microsoft YaHei UI" w:cs="Times New Roman"/>
      <w:kern w:val="2"/>
      <w:sz w:val="18"/>
      <w:szCs w:val="18"/>
    </w:rPr>
  </w:style>
  <w:style w:type="character" w:customStyle="1" w:styleId="87">
    <w:name w:val="正文文本 字符"/>
    <w:basedOn w:val="44"/>
    <w:link w:val="18"/>
    <w:qFormat/>
    <w:uiPriority w:val="99"/>
    <w:rPr>
      <w:rFonts w:ascii="Calibri" w:hAnsi="Calibri" w:eastAsia="新宋体" w:cs="Times New Roman"/>
      <w:szCs w:val="21"/>
    </w:rPr>
  </w:style>
  <w:style w:type="character" w:customStyle="1" w:styleId="88">
    <w:name w:val="纯文本 字符1"/>
    <w:basedOn w:val="44"/>
    <w:semiHidden/>
    <w:qFormat/>
    <w:uiPriority w:val="99"/>
    <w:rPr>
      <w:rFonts w:hAnsi="Courier New" w:cs="Courier New" w:asciiTheme="minorEastAsia"/>
    </w:rPr>
  </w:style>
  <w:style w:type="character" w:customStyle="1" w:styleId="89">
    <w:name w:val="纯文本 字符11"/>
    <w:basedOn w:val="44"/>
    <w:qFormat/>
    <w:uiPriority w:val="0"/>
    <w:rPr>
      <w:rFonts w:hAnsi="Courier New" w:cs="Courier New" w:asciiTheme="minorEastAsia" w:eastAsiaTheme="minorEastAsia"/>
      <w:kern w:val="2"/>
      <w:sz w:val="21"/>
    </w:rPr>
  </w:style>
  <w:style w:type="character" w:customStyle="1" w:styleId="90">
    <w:name w:val="页眉 字符1"/>
    <w:basedOn w:val="44"/>
    <w:semiHidden/>
    <w:qFormat/>
    <w:uiPriority w:val="99"/>
    <w:rPr>
      <w:sz w:val="18"/>
      <w:szCs w:val="18"/>
    </w:rPr>
  </w:style>
  <w:style w:type="character" w:customStyle="1" w:styleId="91">
    <w:name w:val="页眉 字符11"/>
    <w:basedOn w:val="44"/>
    <w:semiHidden/>
    <w:qFormat/>
    <w:uiPriority w:val="99"/>
    <w:rPr>
      <w:rFonts w:cs="Times New Roman"/>
      <w:kern w:val="2"/>
      <w:sz w:val="18"/>
      <w:szCs w:val="18"/>
    </w:rPr>
  </w:style>
  <w:style w:type="character" w:customStyle="1" w:styleId="92">
    <w:name w:val="批注框文本 字符1"/>
    <w:basedOn w:val="44"/>
    <w:semiHidden/>
    <w:qFormat/>
    <w:uiPriority w:val="99"/>
    <w:rPr>
      <w:sz w:val="18"/>
      <w:szCs w:val="18"/>
    </w:rPr>
  </w:style>
  <w:style w:type="character" w:customStyle="1" w:styleId="93">
    <w:name w:val="批注框文本 字符11"/>
    <w:basedOn w:val="44"/>
    <w:semiHidden/>
    <w:qFormat/>
    <w:uiPriority w:val="99"/>
    <w:rPr>
      <w:rFonts w:cs="Times New Roman"/>
      <w:kern w:val="2"/>
      <w:sz w:val="18"/>
      <w:szCs w:val="18"/>
    </w:rPr>
  </w:style>
  <w:style w:type="character" w:customStyle="1" w:styleId="94">
    <w:name w:val="日期 字符1"/>
    <w:basedOn w:val="44"/>
    <w:semiHidden/>
    <w:qFormat/>
    <w:uiPriority w:val="99"/>
  </w:style>
  <w:style w:type="character" w:customStyle="1" w:styleId="95">
    <w:name w:val="日期 字符11"/>
    <w:basedOn w:val="44"/>
    <w:semiHidden/>
    <w:qFormat/>
    <w:uiPriority w:val="99"/>
    <w:rPr>
      <w:rFonts w:cs="Times New Roman"/>
      <w:kern w:val="2"/>
      <w:sz w:val="21"/>
    </w:rPr>
  </w:style>
  <w:style w:type="character" w:customStyle="1" w:styleId="96">
    <w:name w:val="页脚 字符1"/>
    <w:basedOn w:val="44"/>
    <w:semiHidden/>
    <w:qFormat/>
    <w:uiPriority w:val="99"/>
    <w:rPr>
      <w:sz w:val="18"/>
      <w:szCs w:val="18"/>
    </w:rPr>
  </w:style>
  <w:style w:type="character" w:customStyle="1" w:styleId="97">
    <w:name w:val="页脚 字符11"/>
    <w:basedOn w:val="44"/>
    <w:semiHidden/>
    <w:qFormat/>
    <w:uiPriority w:val="99"/>
    <w:rPr>
      <w:rFonts w:cs="Times New Roman"/>
      <w:kern w:val="2"/>
      <w:sz w:val="18"/>
      <w:szCs w:val="18"/>
    </w:rPr>
  </w:style>
  <w:style w:type="character" w:customStyle="1" w:styleId="98">
    <w:name w:val="正文文本缩进 2 字符1"/>
    <w:basedOn w:val="44"/>
    <w:semiHidden/>
    <w:qFormat/>
    <w:uiPriority w:val="99"/>
  </w:style>
  <w:style w:type="character" w:customStyle="1" w:styleId="99">
    <w:name w:val="正文文本缩进 2 字符11"/>
    <w:basedOn w:val="44"/>
    <w:semiHidden/>
    <w:qFormat/>
    <w:uiPriority w:val="99"/>
    <w:rPr>
      <w:rFonts w:cs="Times New Roman"/>
      <w:kern w:val="2"/>
      <w:sz w:val="21"/>
    </w:rPr>
  </w:style>
  <w:style w:type="character" w:customStyle="1" w:styleId="100">
    <w:name w:val="正文文本缩进 3 字符1"/>
    <w:basedOn w:val="44"/>
    <w:semiHidden/>
    <w:qFormat/>
    <w:uiPriority w:val="99"/>
    <w:rPr>
      <w:sz w:val="16"/>
      <w:szCs w:val="16"/>
    </w:rPr>
  </w:style>
  <w:style w:type="character" w:customStyle="1" w:styleId="101">
    <w:name w:val="正文文本缩进 3 字符11"/>
    <w:basedOn w:val="44"/>
    <w:semiHidden/>
    <w:qFormat/>
    <w:uiPriority w:val="99"/>
    <w:rPr>
      <w:rFonts w:cs="Times New Roman"/>
      <w:kern w:val="2"/>
      <w:sz w:val="16"/>
      <w:szCs w:val="16"/>
    </w:rPr>
  </w:style>
  <w:style w:type="character" w:customStyle="1" w:styleId="102">
    <w:name w:val="批注主题 字符1"/>
    <w:basedOn w:val="82"/>
    <w:semiHidden/>
    <w:qFormat/>
    <w:uiPriority w:val="99"/>
    <w:rPr>
      <w:b/>
      <w:bCs/>
    </w:rPr>
  </w:style>
  <w:style w:type="character" w:customStyle="1" w:styleId="103">
    <w:name w:val="批注主题 字符11"/>
    <w:basedOn w:val="83"/>
    <w:semiHidden/>
    <w:qFormat/>
    <w:uiPriority w:val="99"/>
    <w:rPr>
      <w:rFonts w:cs="Times New Roman"/>
      <w:b/>
      <w:bCs/>
      <w:kern w:val="2"/>
      <w:sz w:val="21"/>
    </w:rPr>
  </w:style>
  <w:style w:type="character" w:customStyle="1" w:styleId="104">
    <w:name w:val="标题 字符1"/>
    <w:basedOn w:val="44"/>
    <w:qFormat/>
    <w:uiPriority w:val="10"/>
    <w:rPr>
      <w:rFonts w:asciiTheme="majorHAnsi" w:hAnsiTheme="majorHAnsi" w:eastAsiaTheme="majorEastAsia" w:cstheme="majorBidi"/>
      <w:b/>
      <w:bCs/>
      <w:sz w:val="32"/>
      <w:szCs w:val="32"/>
    </w:rPr>
  </w:style>
  <w:style w:type="character" w:customStyle="1" w:styleId="105">
    <w:name w:val="标题 字符11"/>
    <w:basedOn w:val="44"/>
    <w:qFormat/>
    <w:uiPriority w:val="10"/>
    <w:rPr>
      <w:rFonts w:cs="Times New Roman" w:asciiTheme="majorHAnsi" w:hAnsiTheme="majorHAnsi" w:eastAsiaTheme="majorEastAsia"/>
      <w:b/>
      <w:bCs/>
      <w:kern w:val="2"/>
      <w:sz w:val="32"/>
      <w:szCs w:val="32"/>
    </w:rPr>
  </w:style>
  <w:style w:type="paragraph" w:customStyle="1" w:styleId="106">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7">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8">
    <w:name w:val="二级列表 Char"/>
    <w:basedOn w:val="1"/>
    <w:qFormat/>
    <w:uiPriority w:val="0"/>
    <w:rPr>
      <w:rFonts w:ascii="Calibri" w:hAnsi="Calibri" w:eastAsia="宋体" w:cs="Times New Roman"/>
      <w:szCs w:val="20"/>
    </w:rPr>
  </w:style>
  <w:style w:type="paragraph" w:customStyle="1" w:styleId="109">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1">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3">
    <w:name w:val="Char Char Char Char Char Char Char"/>
    <w:basedOn w:val="1"/>
    <w:qFormat/>
    <w:uiPriority w:val="0"/>
    <w:rPr>
      <w:rFonts w:ascii="Verdana" w:hAnsi="Verdana" w:eastAsia="宋体" w:cs="Times New Roman"/>
      <w:kern w:val="0"/>
      <w:sz w:val="20"/>
      <w:szCs w:val="20"/>
      <w:lang w:eastAsia="en-US"/>
    </w:rPr>
  </w:style>
  <w:style w:type="paragraph" w:customStyle="1" w:styleId="114">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5">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6">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7">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8">
    <w:name w:val="标书正文格式"/>
    <w:basedOn w:val="23"/>
    <w:link w:val="120"/>
    <w:qFormat/>
    <w:uiPriority w:val="0"/>
    <w:pPr>
      <w:spacing w:line="360" w:lineRule="auto"/>
      <w:ind w:firstLine="200" w:firstLineChars="200"/>
    </w:pPr>
    <w:rPr>
      <w:rFonts w:hAnsi="宋体"/>
      <w:color w:val="000000"/>
      <w:sz w:val="24"/>
      <w:szCs w:val="24"/>
    </w:rPr>
  </w:style>
  <w:style w:type="paragraph" w:customStyle="1" w:styleId="119">
    <w:name w:val="标书二级标题"/>
    <w:basedOn w:val="4"/>
    <w:link w:val="122"/>
    <w:qFormat/>
    <w:uiPriority w:val="0"/>
    <w:pPr>
      <w:spacing w:line="240" w:lineRule="auto"/>
      <w:jc w:val="left"/>
    </w:pPr>
    <w:rPr>
      <w:rFonts w:ascii="宋体" w:hAnsi="宋体" w:eastAsia="黑体"/>
      <w:b w:val="0"/>
      <w:sz w:val="28"/>
      <w:szCs w:val="30"/>
    </w:rPr>
  </w:style>
  <w:style w:type="character" w:customStyle="1" w:styleId="120">
    <w:name w:val="标书正文格式 字符"/>
    <w:link w:val="118"/>
    <w:qFormat/>
    <w:locked/>
    <w:uiPriority w:val="0"/>
    <w:rPr>
      <w:rFonts w:ascii="宋体" w:hAnsi="宋体"/>
      <w:color w:val="000000"/>
      <w:sz w:val="24"/>
      <w:szCs w:val="24"/>
    </w:rPr>
  </w:style>
  <w:style w:type="paragraph" w:customStyle="1" w:styleId="121">
    <w:name w:val="标书表格"/>
    <w:basedOn w:val="1"/>
    <w:link w:val="123"/>
    <w:qFormat/>
    <w:uiPriority w:val="0"/>
    <w:pPr>
      <w:jc w:val="center"/>
    </w:pPr>
    <w:rPr>
      <w:rFonts w:ascii="Times New Roman" w:hAnsi="Times New Roman" w:eastAsia="宋体" w:cs="Times New Roman"/>
      <w:b/>
      <w:szCs w:val="20"/>
    </w:rPr>
  </w:style>
  <w:style w:type="character" w:customStyle="1" w:styleId="122">
    <w:name w:val="标书二级标题 字符"/>
    <w:link w:val="119"/>
    <w:qFormat/>
    <w:locked/>
    <w:uiPriority w:val="0"/>
    <w:rPr>
      <w:rFonts w:ascii="宋体" w:hAnsi="宋体" w:eastAsia="黑体" w:cs="Times New Roman"/>
      <w:bCs/>
      <w:sz w:val="28"/>
      <w:szCs w:val="30"/>
    </w:rPr>
  </w:style>
  <w:style w:type="character" w:customStyle="1" w:styleId="123">
    <w:name w:val="标书表格 字符"/>
    <w:link w:val="121"/>
    <w:qFormat/>
    <w:locked/>
    <w:uiPriority w:val="0"/>
    <w:rPr>
      <w:rFonts w:ascii="Times New Roman" w:hAnsi="Times New Roman" w:eastAsia="宋体" w:cs="Times New Roman"/>
      <w:b/>
      <w:szCs w:val="20"/>
    </w:rPr>
  </w:style>
  <w:style w:type="paragraph" w:customStyle="1" w:styleId="124">
    <w:name w:val="标书三级标题"/>
    <w:basedOn w:val="5"/>
    <w:next w:val="118"/>
    <w:link w:val="125"/>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5">
    <w:name w:val="标书三级标题 字符"/>
    <w:link w:val="124"/>
    <w:qFormat/>
    <w:locked/>
    <w:uiPriority w:val="0"/>
    <w:rPr>
      <w:rFonts w:ascii="Times New Roman" w:hAnsi="Times New Roman" w:eastAsia="宋体" w:cs="Times New Roman"/>
      <w:b/>
      <w:bCs/>
      <w:color w:val="000000"/>
      <w:sz w:val="24"/>
      <w:szCs w:val="24"/>
    </w:rPr>
  </w:style>
  <w:style w:type="character" w:customStyle="1" w:styleId="126">
    <w:name w:val="标三级标题 字符"/>
    <w:link w:val="127"/>
    <w:qFormat/>
    <w:locked/>
    <w:uiPriority w:val="0"/>
    <w:rPr>
      <w:b/>
      <w:color w:val="000000"/>
      <w:sz w:val="24"/>
    </w:rPr>
  </w:style>
  <w:style w:type="paragraph" w:customStyle="1" w:styleId="127">
    <w:name w:val="标三级标题"/>
    <w:basedOn w:val="124"/>
    <w:link w:val="126"/>
    <w:qFormat/>
    <w:uiPriority w:val="0"/>
    <w:rPr>
      <w:rFonts w:asciiTheme="minorHAnsi" w:hAnsiTheme="minorHAnsi" w:eastAsiaTheme="minorEastAsia" w:cstheme="minorBidi"/>
      <w:bCs w:val="0"/>
      <w:szCs w:val="22"/>
    </w:rPr>
  </w:style>
  <w:style w:type="character" w:customStyle="1" w:styleId="128">
    <w:name w:val="标正文 字符"/>
    <w:link w:val="129"/>
    <w:qFormat/>
    <w:locked/>
    <w:uiPriority w:val="0"/>
    <w:rPr>
      <w:rFonts w:ascii="宋体" w:eastAsia="宋体"/>
      <w:color w:val="000000"/>
      <w:sz w:val="24"/>
    </w:rPr>
  </w:style>
  <w:style w:type="paragraph" w:customStyle="1" w:styleId="129">
    <w:name w:val="标正文"/>
    <w:basedOn w:val="118"/>
    <w:link w:val="128"/>
    <w:qFormat/>
    <w:uiPriority w:val="0"/>
    <w:pPr>
      <w:ind w:firstLine="480"/>
    </w:pPr>
    <w:rPr>
      <w:rFonts w:eastAsia="宋体" w:hAnsiTheme="minorHAnsi"/>
      <w:szCs w:val="22"/>
    </w:rPr>
  </w:style>
  <w:style w:type="paragraph" w:customStyle="1" w:styleId="130">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1">
    <w:name w:val="HR正文表格"/>
    <w:basedOn w:val="1"/>
    <w:qFormat/>
    <w:uiPriority w:val="0"/>
    <w:pPr>
      <w:spacing w:beforeLines="25" w:afterLines="25" w:line="300" w:lineRule="auto"/>
    </w:pPr>
    <w:rPr>
      <w:szCs w:val="24"/>
    </w:rPr>
  </w:style>
  <w:style w:type="paragraph" w:styleId="132">
    <w:name w:val="List Paragraph"/>
    <w:basedOn w:val="1"/>
    <w:qFormat/>
    <w:uiPriority w:val="99"/>
    <w:pPr>
      <w:ind w:firstLine="420" w:firstLineChars="200"/>
    </w:pPr>
  </w:style>
  <w:style w:type="paragraph" w:customStyle="1" w:styleId="133">
    <w:name w:val="WPSOffice手动目录 1"/>
    <w:qFormat/>
    <w:uiPriority w:val="0"/>
    <w:rPr>
      <w:rFonts w:ascii="Times New Roman" w:hAnsi="Times New Roman" w:eastAsia="宋体" w:cs="Times New Roman"/>
      <w:lang w:val="en-US" w:eastAsia="zh-CN" w:bidi="ar-SA"/>
    </w:rPr>
  </w:style>
  <w:style w:type="table" w:customStyle="1" w:styleId="134">
    <w:name w:val="Table Normal"/>
    <w:semiHidden/>
    <w:unhideWhenUsed/>
    <w:qFormat/>
    <w:uiPriority w:val="0"/>
    <w:tblPr>
      <w:tblCellMar>
        <w:top w:w="0" w:type="dxa"/>
        <w:left w:w="0" w:type="dxa"/>
        <w:bottom w:w="0" w:type="dxa"/>
        <w:right w:w="0" w:type="dxa"/>
      </w:tblCellMar>
    </w:tblPr>
  </w:style>
  <w:style w:type="character" w:customStyle="1" w:styleId="135">
    <w:name w:val="NormalCharacter"/>
    <w:qFormat/>
    <w:uiPriority w:val="0"/>
  </w:style>
  <w:style w:type="paragraph" w:customStyle="1" w:styleId="136">
    <w:name w:val="Table Paragraph"/>
    <w:basedOn w:val="1"/>
    <w:qFormat/>
    <w:uiPriority w:val="1"/>
    <w:rPr>
      <w:rFonts w:ascii="宋体" w:hAnsi="宋体" w:eastAsia="宋体" w:cs="宋体"/>
    </w:rPr>
  </w:style>
  <w:style w:type="paragraph" w:customStyle="1" w:styleId="137">
    <w:name w:val="标书一级标题"/>
    <w:basedOn w:val="3"/>
    <w:qFormat/>
    <w:uiPriority w:val="0"/>
    <w:rPr>
      <w:rFonts w:eastAsia="黑体"/>
      <w:b w:val="0"/>
      <w:color w:val="000000"/>
      <w:sz w:val="30"/>
      <w:szCs w:val="24"/>
    </w:rPr>
  </w:style>
  <w:style w:type="paragraph" w:customStyle="1" w:styleId="138">
    <w:name w:val="首行缩进"/>
    <w:basedOn w:val="1"/>
    <w:qFormat/>
    <w:uiPriority w:val="0"/>
    <w:pPr>
      <w:ind w:firstLine="480" w:firstLineChars="200"/>
    </w:pPr>
    <w:rPr>
      <w:lang w:val="zh-CN"/>
    </w:rPr>
  </w:style>
  <w:style w:type="paragraph" w:customStyle="1" w:styleId="139">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40">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1">
    <w:name w:val="正文表标题"/>
    <w:next w:val="140"/>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2">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3">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4">
    <w:name w:val="font01"/>
    <w:basedOn w:val="44"/>
    <w:qFormat/>
    <w:uiPriority w:val="0"/>
    <w:rPr>
      <w:rFonts w:hint="eastAsia" w:ascii="宋体" w:hAnsi="宋体" w:eastAsia="宋体" w:cs="宋体"/>
      <w:color w:val="000000"/>
      <w:sz w:val="20"/>
      <w:szCs w:val="20"/>
      <w:u w:val="none"/>
    </w:rPr>
  </w:style>
  <w:style w:type="character" w:customStyle="1" w:styleId="145">
    <w:name w:val="font101"/>
    <w:basedOn w:val="44"/>
    <w:qFormat/>
    <w:uiPriority w:val="0"/>
    <w:rPr>
      <w:rFonts w:hint="eastAsia" w:ascii="宋体" w:hAnsi="宋体" w:eastAsia="宋体" w:cs="宋体"/>
      <w:color w:val="FF0000"/>
      <w:sz w:val="20"/>
      <w:szCs w:val="20"/>
      <w:u w:val="none"/>
    </w:rPr>
  </w:style>
  <w:style w:type="paragraph" w:customStyle="1" w:styleId="146">
    <w:name w:val="一级条标题"/>
    <w:next w:val="140"/>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7">
    <w:name w:val="font41"/>
    <w:basedOn w:val="44"/>
    <w:qFormat/>
    <w:uiPriority w:val="0"/>
    <w:rPr>
      <w:rFonts w:hint="eastAsia" w:ascii="宋体" w:hAnsi="宋体" w:eastAsia="宋体" w:cs="宋体"/>
      <w:color w:val="000000"/>
      <w:sz w:val="21"/>
      <w:szCs w:val="21"/>
      <w:u w:val="none"/>
    </w:rPr>
  </w:style>
  <w:style w:type="paragraph" w:customStyle="1" w:styleId="148">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9">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50">
    <w:name w:val="标题 6 字符"/>
    <w:basedOn w:val="44"/>
    <w:link w:val="8"/>
    <w:qFormat/>
    <w:uiPriority w:val="9"/>
    <w:rPr>
      <w:rFonts w:ascii="Arial" w:hAnsi="Arial" w:eastAsia="黑体" w:cstheme="minorBidi"/>
      <w:b/>
      <w:kern w:val="2"/>
      <w:sz w:val="24"/>
      <w:szCs w:val="22"/>
    </w:rPr>
  </w:style>
  <w:style w:type="character" w:customStyle="1" w:styleId="151">
    <w:name w:val="标题 7 字符"/>
    <w:basedOn w:val="44"/>
    <w:link w:val="9"/>
    <w:qFormat/>
    <w:uiPriority w:val="9"/>
    <w:rPr>
      <w:rFonts w:asciiTheme="minorHAnsi" w:hAnsiTheme="minorHAnsi" w:eastAsiaTheme="minorEastAsia" w:cstheme="minorBidi"/>
      <w:b/>
      <w:kern w:val="2"/>
      <w:sz w:val="24"/>
      <w:szCs w:val="22"/>
    </w:rPr>
  </w:style>
  <w:style w:type="character" w:customStyle="1" w:styleId="152">
    <w:name w:val="标题 9 字符"/>
    <w:basedOn w:val="44"/>
    <w:link w:val="10"/>
    <w:semiHidden/>
    <w:qFormat/>
    <w:uiPriority w:val="9"/>
    <w:rPr>
      <w:rFonts w:ascii="Arial" w:hAnsi="Arial" w:eastAsia="黑体" w:cstheme="minorBidi"/>
      <w:kern w:val="2"/>
      <w:sz w:val="21"/>
      <w:szCs w:val="22"/>
    </w:rPr>
  </w:style>
  <w:style w:type="paragraph" w:customStyle="1" w:styleId="153">
    <w:name w:val="_Style 4"/>
    <w:basedOn w:val="3"/>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4">
    <w:name w:val="TOC 标题2"/>
    <w:basedOn w:val="3"/>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5">
    <w:name w:val="标题 3 字符2"/>
    <w:qFormat/>
    <w:uiPriority w:val="0"/>
    <w:rPr>
      <w:b/>
      <w:kern w:val="2"/>
      <w:sz w:val="24"/>
    </w:rPr>
  </w:style>
  <w:style w:type="character" w:customStyle="1" w:styleId="156">
    <w:name w:val="标题 4 字符2"/>
    <w:qFormat/>
    <w:uiPriority w:val="0"/>
    <w:rPr>
      <w:b/>
      <w:bCs/>
      <w:kern w:val="2"/>
      <w:sz w:val="24"/>
      <w:szCs w:val="28"/>
    </w:rPr>
  </w:style>
  <w:style w:type="table" w:customStyle="1" w:styleId="157">
    <w:name w:val="Rohde &amp; Schwarz - Standard Table"/>
    <w:basedOn w:val="42"/>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8">
    <w:name w:val="List Paragraph1"/>
    <w:basedOn w:val="1"/>
    <w:qFormat/>
    <w:uiPriority w:val="0"/>
    <w:pPr>
      <w:ind w:firstLine="420" w:firstLineChars="200"/>
    </w:pPr>
    <w:rPr>
      <w:rFonts w:ascii="Calibri" w:hAnsi="Calibri"/>
    </w:rPr>
  </w:style>
  <w:style w:type="character" w:customStyle="1" w:styleId="159">
    <w:name w:val="fontstyle01"/>
    <w:qFormat/>
    <w:uiPriority w:val="0"/>
    <w:rPr>
      <w:rFonts w:hint="eastAsia" w:ascii="宋体" w:hAnsi="宋体" w:eastAsia="宋体"/>
      <w:color w:val="000000"/>
      <w:sz w:val="24"/>
      <w:szCs w:val="24"/>
    </w:rPr>
  </w:style>
  <w:style w:type="paragraph" w:styleId="160">
    <w:name w:val="No Spacing"/>
    <w:qFormat/>
    <w:uiPriority w:val="1"/>
    <w:rPr>
      <w:rFonts w:ascii="等线" w:hAnsi="等线" w:eastAsia="等线" w:cs="Times New Roman"/>
      <w:sz w:val="21"/>
      <w:szCs w:val="21"/>
      <w:lang w:val="en-US" w:eastAsia="zh-CN" w:bidi="ar-SA"/>
    </w:rPr>
  </w:style>
  <w:style w:type="character" w:customStyle="1" w:styleId="161">
    <w:name w:val="Classification"/>
    <w:qFormat/>
    <w:uiPriority w:val="99"/>
    <w:rPr>
      <w:rFonts w:ascii="Calibri" w:hAnsi="Calibri" w:eastAsia="宋体" w:cs="Cordia New"/>
      <w:b/>
      <w:bCs/>
      <w:caps/>
      <w:color w:val="000000"/>
      <w:spacing w:val="20"/>
      <w:sz w:val="24"/>
      <w:szCs w:val="24"/>
    </w:rPr>
  </w:style>
  <w:style w:type="paragraph" w:customStyle="1" w:styleId="162">
    <w:name w:val="msolistparagraph"/>
    <w:basedOn w:val="1"/>
    <w:qFormat/>
    <w:uiPriority w:val="0"/>
    <w:pPr>
      <w:widowControl/>
      <w:spacing w:line="300" w:lineRule="auto"/>
      <w:ind w:firstLine="420" w:firstLineChars="200"/>
      <w:jc w:val="left"/>
    </w:pPr>
    <w:rPr>
      <w:kern w:val="0"/>
    </w:rPr>
  </w:style>
  <w:style w:type="paragraph" w:customStyle="1" w:styleId="163">
    <w:name w:val="列出段落2"/>
    <w:basedOn w:val="1"/>
    <w:qFormat/>
    <w:uiPriority w:val="0"/>
    <w:pPr>
      <w:spacing w:line="360" w:lineRule="auto"/>
      <w:ind w:firstLine="420" w:firstLineChars="200"/>
    </w:pPr>
    <w:rPr>
      <w:sz w:val="24"/>
      <w:szCs w:val="24"/>
    </w:rPr>
  </w:style>
  <w:style w:type="character" w:customStyle="1" w:styleId="164">
    <w:name w:val="标题 4 字符"/>
    <w:basedOn w:val="44"/>
    <w:link w:val="6"/>
    <w:qFormat/>
    <w:uiPriority w:val="9"/>
    <w:rPr>
      <w:rFonts w:ascii="Arial" w:hAnsi="Arial" w:eastAsia="黑体" w:cstheme="minorBidi"/>
      <w:b/>
      <w:kern w:val="2"/>
      <w:sz w:val="28"/>
      <w:szCs w:val="22"/>
    </w:rPr>
  </w:style>
  <w:style w:type="character" w:customStyle="1" w:styleId="165">
    <w:name w:val="批注文字 字符2"/>
    <w:basedOn w:val="44"/>
    <w:qFormat/>
    <w:uiPriority w:val="0"/>
    <w:rPr>
      <w:rFonts w:hint="eastAsia" w:ascii="等线" w:hAnsi="等线" w:eastAsia="等线" w:cs="等线"/>
      <w:kern w:val="2"/>
      <w:sz w:val="21"/>
      <w:szCs w:val="22"/>
    </w:rPr>
  </w:style>
  <w:style w:type="paragraph" w:customStyle="1" w:styleId="166">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7">
    <w:name w:val="font21"/>
    <w:basedOn w:val="44"/>
    <w:qFormat/>
    <w:uiPriority w:val="0"/>
    <w:rPr>
      <w:rFonts w:hint="eastAsia" w:ascii="宋体" w:hAnsi="宋体" w:eastAsia="宋体" w:cs="宋体"/>
      <w:color w:val="000000"/>
      <w:sz w:val="18"/>
      <w:szCs w:val="18"/>
      <w:u w:val="none"/>
    </w:rPr>
  </w:style>
  <w:style w:type="character" w:customStyle="1" w:styleId="168">
    <w:name w:val="font31"/>
    <w:basedOn w:val="44"/>
    <w:qFormat/>
    <w:uiPriority w:val="0"/>
    <w:rPr>
      <w:rFonts w:hint="default" w:ascii="Times New Roman" w:hAnsi="Times New Roman" w:cs="Times New Roman"/>
      <w:color w:val="000000"/>
      <w:sz w:val="18"/>
      <w:szCs w:val="18"/>
      <w:u w:val="none"/>
    </w:rPr>
  </w:style>
  <w:style w:type="character" w:customStyle="1" w:styleId="169">
    <w:name w:val="font51"/>
    <w:basedOn w:val="44"/>
    <w:qFormat/>
    <w:uiPriority w:val="0"/>
    <w:rPr>
      <w:rFonts w:hint="eastAsia" w:ascii="宋体" w:hAnsi="宋体" w:eastAsia="宋体" w:cs="宋体"/>
      <w:color w:val="000000"/>
      <w:sz w:val="18"/>
      <w:szCs w:val="18"/>
      <w:u w:val="none"/>
    </w:rPr>
  </w:style>
  <w:style w:type="character" w:customStyle="1" w:styleId="170">
    <w:name w:val="font11"/>
    <w:basedOn w:val="44"/>
    <w:qFormat/>
    <w:uiPriority w:val="0"/>
    <w:rPr>
      <w:rFonts w:hint="eastAsia" w:ascii="宋体" w:hAnsi="宋体" w:eastAsia="宋体" w:cs="宋体"/>
      <w:b/>
      <w:bCs/>
      <w:color w:val="000000"/>
      <w:sz w:val="21"/>
      <w:szCs w:val="21"/>
      <w:u w:val="none"/>
    </w:rPr>
  </w:style>
  <w:style w:type="character" w:customStyle="1" w:styleId="171">
    <w:name w:val="font61"/>
    <w:basedOn w:val="44"/>
    <w:qFormat/>
    <w:uiPriority w:val="0"/>
    <w:rPr>
      <w:rFonts w:hint="eastAsia" w:ascii="宋体" w:hAnsi="宋体" w:eastAsia="宋体" w:cs="宋体"/>
      <w:color w:val="000000"/>
      <w:sz w:val="18"/>
      <w:szCs w:val="18"/>
      <w:u w:val="none"/>
    </w:rPr>
  </w:style>
  <w:style w:type="paragraph" w:customStyle="1" w:styleId="172">
    <w:name w:val="正文内容"/>
    <w:qFormat/>
    <w:uiPriority w:val="0"/>
    <w:pPr>
      <w:widowControl w:val="0"/>
      <w:ind w:firstLine="200" w:firstLineChars="200"/>
      <w:jc w:val="both"/>
    </w:pPr>
    <w:rPr>
      <w:rFonts w:ascii="Times New Roman" w:hAnsi="Times New Roman" w:eastAsia="仿宋_GB2312" w:cs="Times New Roman"/>
      <w:bCs/>
      <w:kern w:val="2"/>
      <w:sz w:val="28"/>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0" Type="http://schemas.openxmlformats.org/officeDocument/2006/relationships/fontTable" Target="fontTable.xml"/><Relationship Id="rId8" Type="http://schemas.openxmlformats.org/officeDocument/2006/relationships/header" Target="header3.xml"/><Relationship Id="rId79" Type="http://schemas.openxmlformats.org/officeDocument/2006/relationships/numbering" Target="numbering.xml"/><Relationship Id="rId78" Type="http://schemas.openxmlformats.org/officeDocument/2006/relationships/customXml" Target="../customXml/item1.xml"/><Relationship Id="rId77" Type="http://schemas.openxmlformats.org/officeDocument/2006/relationships/image" Target="media/image39.png"/><Relationship Id="rId76" Type="http://schemas.openxmlformats.org/officeDocument/2006/relationships/image" Target="media/image38.png"/><Relationship Id="rId75" Type="http://schemas.openxmlformats.org/officeDocument/2006/relationships/image" Target="media/image37.png"/><Relationship Id="rId74" Type="http://schemas.openxmlformats.org/officeDocument/2006/relationships/image" Target="media/image36.png"/><Relationship Id="rId73" Type="http://schemas.openxmlformats.org/officeDocument/2006/relationships/image" Target="media/image35.png"/><Relationship Id="rId72" Type="http://schemas.openxmlformats.org/officeDocument/2006/relationships/image" Target="media/image34.png"/><Relationship Id="rId71" Type="http://schemas.openxmlformats.org/officeDocument/2006/relationships/image" Target="media/image33.png"/><Relationship Id="rId70" Type="http://schemas.openxmlformats.org/officeDocument/2006/relationships/image" Target="media/image32.png"/><Relationship Id="rId7" Type="http://schemas.openxmlformats.org/officeDocument/2006/relationships/footer" Target="footer3.xml"/><Relationship Id="rId69" Type="http://schemas.openxmlformats.org/officeDocument/2006/relationships/image" Target="media/image31.png"/><Relationship Id="rId68" Type="http://schemas.openxmlformats.org/officeDocument/2006/relationships/image" Target="media/image30.png"/><Relationship Id="rId67" Type="http://schemas.openxmlformats.org/officeDocument/2006/relationships/image" Target="media/image29.png"/><Relationship Id="rId66" Type="http://schemas.openxmlformats.org/officeDocument/2006/relationships/image" Target="media/image28.png"/><Relationship Id="rId65" Type="http://schemas.openxmlformats.org/officeDocument/2006/relationships/image" Target="media/image27.png"/><Relationship Id="rId64" Type="http://schemas.openxmlformats.org/officeDocument/2006/relationships/image" Target="media/image26.png"/><Relationship Id="rId63" Type="http://schemas.openxmlformats.org/officeDocument/2006/relationships/image" Target="media/image25.png"/><Relationship Id="rId62" Type="http://schemas.openxmlformats.org/officeDocument/2006/relationships/image" Target="media/image24.png"/><Relationship Id="rId61" Type="http://schemas.openxmlformats.org/officeDocument/2006/relationships/image" Target="media/image23.png"/><Relationship Id="rId60" Type="http://schemas.openxmlformats.org/officeDocument/2006/relationships/image" Target="media/image22.png"/><Relationship Id="rId6" Type="http://schemas.openxmlformats.org/officeDocument/2006/relationships/header" Target="header2.xml"/><Relationship Id="rId59" Type="http://schemas.openxmlformats.org/officeDocument/2006/relationships/image" Target="media/image21.png"/><Relationship Id="rId58" Type="http://schemas.openxmlformats.org/officeDocument/2006/relationships/image" Target="media/image20.png"/><Relationship Id="rId57" Type="http://schemas.openxmlformats.org/officeDocument/2006/relationships/image" Target="media/image19.png"/><Relationship Id="rId56" Type="http://schemas.openxmlformats.org/officeDocument/2006/relationships/image" Target="media/image18.png"/><Relationship Id="rId55" Type="http://schemas.openxmlformats.org/officeDocument/2006/relationships/image" Target="media/image17.png"/><Relationship Id="rId54" Type="http://schemas.openxmlformats.org/officeDocument/2006/relationships/image" Target="media/image16.png"/><Relationship Id="rId53" Type="http://schemas.openxmlformats.org/officeDocument/2006/relationships/image" Target="media/image15.png"/><Relationship Id="rId52" Type="http://schemas.openxmlformats.org/officeDocument/2006/relationships/image" Target="media/image14.png"/><Relationship Id="rId51" Type="http://schemas.openxmlformats.org/officeDocument/2006/relationships/image" Target="media/image13.png"/><Relationship Id="rId50" Type="http://schemas.openxmlformats.org/officeDocument/2006/relationships/image" Target="media/image12.png"/><Relationship Id="rId5" Type="http://schemas.openxmlformats.org/officeDocument/2006/relationships/footer" Target="footer2.xml"/><Relationship Id="rId49" Type="http://schemas.openxmlformats.org/officeDocument/2006/relationships/image" Target="media/image11.png"/><Relationship Id="rId48" Type="http://schemas.openxmlformats.org/officeDocument/2006/relationships/image" Target="media/image10.png"/><Relationship Id="rId47" Type="http://schemas.openxmlformats.org/officeDocument/2006/relationships/image" Target="media/image9.jpeg"/><Relationship Id="rId46" Type="http://schemas.openxmlformats.org/officeDocument/2006/relationships/image" Target="media/image8.png"/><Relationship Id="rId45" Type="http://schemas.openxmlformats.org/officeDocument/2006/relationships/image" Target="media/image7.jpeg"/><Relationship Id="rId44" Type="http://schemas.openxmlformats.org/officeDocument/2006/relationships/image" Target="media/image6.png"/><Relationship Id="rId43" Type="http://schemas.openxmlformats.org/officeDocument/2006/relationships/image" Target="media/image5.png"/><Relationship Id="rId42" Type="http://schemas.openxmlformats.org/officeDocument/2006/relationships/image" Target="media/image4.png"/><Relationship Id="rId41" Type="http://schemas.openxmlformats.org/officeDocument/2006/relationships/image" Target="media/image3.png"/><Relationship Id="rId40" Type="http://schemas.openxmlformats.org/officeDocument/2006/relationships/image" Target="media/image2.png"/><Relationship Id="rId4" Type="http://schemas.openxmlformats.org/officeDocument/2006/relationships/footer" Target="footer1.xml"/><Relationship Id="rId39" Type="http://schemas.openxmlformats.org/officeDocument/2006/relationships/theme" Target="theme/theme1.xml"/><Relationship Id="rId38" Type="http://schemas.openxmlformats.org/officeDocument/2006/relationships/footer" Target="footer27.xml"/><Relationship Id="rId37" Type="http://schemas.openxmlformats.org/officeDocument/2006/relationships/footer" Target="footer26.xml"/><Relationship Id="rId36" Type="http://schemas.openxmlformats.org/officeDocument/2006/relationships/header" Target="header9.xml"/><Relationship Id="rId35" Type="http://schemas.openxmlformats.org/officeDocument/2006/relationships/header" Target="header8.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header" Target="header7.xml"/><Relationship Id="rId31" Type="http://schemas.openxmlformats.org/officeDocument/2006/relationships/header" Target="header6.xml"/><Relationship Id="rId30" Type="http://schemas.openxmlformats.org/officeDocument/2006/relationships/footer" Target="footer23.xml"/><Relationship Id="rId3" Type="http://schemas.openxmlformats.org/officeDocument/2006/relationships/header" Target="head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95</Pages>
  <Words>9726</Words>
  <Characters>10320</Characters>
  <Lines>371</Lines>
  <Paragraphs>104</Paragraphs>
  <TotalTime>47</TotalTime>
  <ScaleCrop>false</ScaleCrop>
  <LinksUpToDate>false</LinksUpToDate>
  <CharactersWithSpaces>10509</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轻途</cp:lastModifiedBy>
  <cp:lastPrinted>2025-03-10T09:40:00Z</cp:lastPrinted>
  <dcterms:modified xsi:type="dcterms:W3CDTF">2025-11-19T05:31:27Z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ED02EB12B8294FE5807EAA5D2C3C24E0</vt:lpwstr>
  </property>
  <property fmtid="{D5CDD505-2E9C-101B-9397-08002B2CF9AE}" pid="4" name="KSOTemplateDocerSaveRecord">
    <vt:lpwstr>eyJoZGlkIjoiZTZkNDE3ZGE4Mjk4YmFlZDAwMWNlODJlYzdjMzk3YmQiLCJ1c2VySWQiOiI4MjIwMDM3MTEifQ==</vt:lpwstr>
  </property>
</Properties>
</file>