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TX四缸机产线改造项目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FSCZB2025110305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人：中国重汽集团济南商用车有限公司轻卡制造公司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TX四缸机产线改造项目招标公告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TX四缸机产线改造项目</w:t>
      </w:r>
    </w:p>
    <w:p w14:paraId="15020D03">
      <w:pPr>
        <w:pStyle w:val="73"/>
      </w:pPr>
      <w:r>
        <w:rPr>
          <w:rFonts w:hint="eastAsia"/>
        </w:rPr>
        <w:t>项目编号：</w:t>
      </w:r>
      <w:r>
        <w:rPr>
          <w:rFonts w:hint="eastAsia"/>
          <w:highlight w:val="yellow"/>
        </w:rPr>
        <w:t xml:space="preserve"> FSCZB2025110305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TX四缸机产线改造项目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26</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潘荣</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电话：13605311225</w:t>
      </w:r>
    </w:p>
    <w:p w14:paraId="75FA0CA6">
      <w:pPr>
        <w:pStyle w:val="72"/>
        <w:numPr>
          <w:ilvl w:val="0"/>
          <w:numId w:val="0"/>
        </w:numPr>
        <w:ind w:leftChars="0" w:firstLine="422" w:firstLineChars="200"/>
        <w:rPr>
          <w:highlight w:val="yellow"/>
        </w:rPr>
      </w:pPr>
      <w:r>
        <w:rPr>
          <w:rFonts w:hint="eastAsia" w:ascii="宋体" w:hAnsi="宋体" w:eastAsia="宋体" w:cs="宋体"/>
          <w:b/>
          <w:bCs/>
          <w:sz w:val="21"/>
          <w:szCs w:val="21"/>
        </w:rPr>
        <w:t>邮箱：panrong@sinotruk.com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p>
    <w:p w14:paraId="27C63D9A">
      <w:pPr>
        <w:pStyle w:val="76"/>
        <w:numPr>
          <w:ilvl w:val="0"/>
          <w:numId w:val="0"/>
        </w:numPr>
        <w:ind w:leftChars="0"/>
      </w:pPr>
      <w:r>
        <w:rPr>
          <w:rFonts w:hint="eastAsia"/>
        </w:rPr>
        <w:t>根据集团公司的要求，济南轻卡制造公司需要生产TX四缸机车型。济南轻卡制造公司的产线无法生产TX四缸机，故需要对现在有的产线进行改造，总计需要改造7处。</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200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51C1E14E">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96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1E2883DA">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开户名：中国重汽集团济南商用车有限公司</w:t>
      </w:r>
      <w:r>
        <w:rPr>
          <w:rFonts w:ascii="宋体" w:hAnsi="宋体" w:eastAsia="宋体" w:cs="宋体"/>
          <w:sz w:val="24"/>
          <w:szCs w:val="24"/>
        </w:rPr>
        <w:br w:type="textWrapping"/>
      </w:r>
      <w:r>
        <w:rPr>
          <w:rFonts w:ascii="宋体" w:hAnsi="宋体" w:eastAsia="宋体" w:cs="宋体"/>
          <w:sz w:val="24"/>
          <w:szCs w:val="24"/>
        </w:rPr>
        <w:t>开户行：中国银行股份有限公司济南分行</w:t>
      </w:r>
      <w:r>
        <w:rPr>
          <w:rFonts w:ascii="宋体" w:hAnsi="宋体" w:eastAsia="宋体" w:cs="宋体"/>
          <w:sz w:val="24"/>
          <w:szCs w:val="24"/>
        </w:rPr>
        <w:br w:type="textWrapping"/>
      </w:r>
      <w:r>
        <w:rPr>
          <w:rFonts w:ascii="宋体" w:hAnsi="宋体" w:eastAsia="宋体" w:cs="宋体"/>
          <w:sz w:val="24"/>
          <w:szCs w:val="24"/>
        </w:rPr>
        <w:t>账 号：23774421984</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30383415">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日9:00:00</w:t>
      </w:r>
    </w:p>
    <w:p w14:paraId="721FE182">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w:t>
      </w:r>
      <w:r>
        <w:rPr>
          <w:rFonts w:hint="default" w:ascii="Arial" w:hAnsi="Arial" w:eastAsia="宋体" w:cs="Arial"/>
          <w:b w:val="0"/>
          <w:bCs w:val="0"/>
          <w:sz w:val="21"/>
          <w:szCs w:val="21"/>
          <w:highlight w:val="none"/>
          <w:lang w:val="en-US" w:eastAsia="zh-CN"/>
        </w:rPr>
        <w:t>×</w:t>
      </w:r>
      <w:r>
        <w:rPr>
          <w:rFonts w:hint="eastAsia" w:ascii="宋体" w:hAnsi="宋体" w:eastAsia="宋体" w:cs="宋体"/>
          <w:b w:val="0"/>
          <w:bCs w:val="0"/>
          <w:sz w:val="21"/>
          <w:szCs w:val="21"/>
          <w:highlight w:val="none"/>
          <w:lang w:val="en-US" w:eastAsia="zh-CN"/>
        </w:rPr>
        <w:t>30%＋商务标得分</w:t>
      </w:r>
    </w:p>
    <w:p w14:paraId="37B7AC8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商务标得分=当前轮次最低价/供方投标价×商务标总分；</w:t>
      </w:r>
    </w:p>
    <w:p w14:paraId="3C8CFD47">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总分100分，技术标占30分，商务标占70分</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3F79A9DB">
      <w:pPr>
        <w:adjustRightInd w:val="0"/>
        <w:snapToGrid w:val="0"/>
        <w:spacing w:line="240" w:lineRule="atLeast"/>
        <w:jc w:val="center"/>
        <w:rPr>
          <w:rFonts w:ascii="仿宋" w:hAnsi="仿宋" w:eastAsia="仿宋" w:cs="仿宋"/>
          <w:spacing w:val="32"/>
          <w:szCs w:val="28"/>
        </w:rPr>
      </w:pPr>
      <w:r>
        <w:rPr>
          <w:rFonts w:hint="eastAsia" w:ascii="仿宋" w:hAnsi="仿宋" w:eastAsia="仿宋" w:cs="仿宋"/>
          <w:spacing w:val="32"/>
          <w:szCs w:val="28"/>
        </w:rPr>
        <w:t>技术标评审表(100分)</w:t>
      </w:r>
    </w:p>
    <w:tbl>
      <w:tblPr>
        <w:tblStyle w:val="30"/>
        <w:tblW w:w="8938" w:type="dxa"/>
        <w:jc w:val="center"/>
        <w:tblLayout w:type="autofit"/>
        <w:tblCellMar>
          <w:top w:w="0" w:type="dxa"/>
          <w:left w:w="108" w:type="dxa"/>
          <w:bottom w:w="0" w:type="dxa"/>
          <w:right w:w="108" w:type="dxa"/>
        </w:tblCellMar>
      </w:tblPr>
      <w:tblGrid>
        <w:gridCol w:w="531"/>
        <w:gridCol w:w="427"/>
        <w:gridCol w:w="1345"/>
        <w:gridCol w:w="681"/>
        <w:gridCol w:w="5954"/>
      </w:tblGrid>
      <w:tr w14:paraId="664AA0E5">
        <w:tblPrEx>
          <w:tblCellMar>
            <w:top w:w="0" w:type="dxa"/>
            <w:left w:w="108" w:type="dxa"/>
            <w:bottom w:w="0" w:type="dxa"/>
            <w:right w:w="108" w:type="dxa"/>
          </w:tblCellMar>
        </w:tblPrEx>
        <w:trPr>
          <w:trHeight w:val="1534" w:hRule="atLeast"/>
          <w:jc w:val="center"/>
        </w:trPr>
        <w:tc>
          <w:tcPr>
            <w:tcW w:w="520" w:type="dxa"/>
            <w:tcBorders>
              <w:top w:val="single" w:color="000000" w:sz="8" w:space="0"/>
              <w:left w:val="single" w:color="000000" w:sz="8" w:space="0"/>
              <w:bottom w:val="single" w:color="000000" w:sz="4" w:space="0"/>
              <w:right w:val="single" w:color="000000" w:sz="4" w:space="0"/>
            </w:tcBorders>
            <w:vAlign w:val="center"/>
          </w:tcPr>
          <w:p w14:paraId="5C6E6FE1">
            <w:pPr>
              <w:widowControl/>
              <w:jc w:val="center"/>
              <w:textAlignment w:val="center"/>
              <w:rPr>
                <w:rFonts w:ascii="宋体" w:hAnsi="宋体" w:eastAsia="宋体" w:cs="宋体"/>
                <w:b/>
                <w:bCs/>
                <w:color w:val="000000"/>
                <w:szCs w:val="21"/>
              </w:rPr>
            </w:pPr>
            <w:r>
              <w:rPr>
                <w:rStyle w:val="115"/>
                <w:rFonts w:hint="default"/>
              </w:rPr>
              <w:t>评价类型</w:t>
            </w:r>
          </w:p>
        </w:tc>
        <w:tc>
          <w:tcPr>
            <w:tcW w:w="418" w:type="dxa"/>
            <w:tcBorders>
              <w:top w:val="single" w:color="000000" w:sz="8" w:space="0"/>
              <w:left w:val="single" w:color="000000" w:sz="4" w:space="0"/>
              <w:bottom w:val="single" w:color="000000" w:sz="4" w:space="0"/>
              <w:right w:val="single" w:color="000000" w:sz="4" w:space="0"/>
            </w:tcBorders>
            <w:vAlign w:val="center"/>
          </w:tcPr>
          <w:p w14:paraId="13C6F2AB">
            <w:pPr>
              <w:widowControl/>
              <w:jc w:val="center"/>
              <w:textAlignment w:val="center"/>
              <w:rPr>
                <w:rFonts w:ascii="宋体" w:hAnsi="宋体" w:eastAsia="宋体" w:cs="宋体"/>
                <w:b/>
                <w:bCs/>
                <w:color w:val="000000"/>
                <w:szCs w:val="21"/>
              </w:rPr>
            </w:pPr>
            <w:r>
              <w:rPr>
                <w:rStyle w:val="115"/>
                <w:rFonts w:hint="default"/>
              </w:rPr>
              <w:t>序号</w:t>
            </w:r>
          </w:p>
        </w:tc>
        <w:tc>
          <w:tcPr>
            <w:tcW w:w="1345" w:type="dxa"/>
            <w:tcBorders>
              <w:top w:val="single" w:color="000000" w:sz="8" w:space="0"/>
              <w:left w:val="single" w:color="000000" w:sz="4" w:space="0"/>
              <w:bottom w:val="single" w:color="000000" w:sz="4" w:space="0"/>
              <w:right w:val="single" w:color="000000" w:sz="4" w:space="0"/>
            </w:tcBorders>
            <w:vAlign w:val="center"/>
          </w:tcPr>
          <w:p w14:paraId="52583B20">
            <w:pPr>
              <w:widowControl/>
              <w:jc w:val="center"/>
              <w:textAlignment w:val="center"/>
              <w:rPr>
                <w:rFonts w:ascii="宋体" w:hAnsi="宋体" w:eastAsia="宋体" w:cs="宋体"/>
                <w:b/>
                <w:bCs/>
                <w:color w:val="000000"/>
                <w:szCs w:val="21"/>
              </w:rPr>
            </w:pPr>
            <w:r>
              <w:rPr>
                <w:rStyle w:val="115"/>
                <w:rFonts w:hint="default"/>
                <w:spacing w:val="39"/>
                <w:kern w:val="0"/>
                <w:fitText w:val="1050" w:id="140904600"/>
              </w:rPr>
              <w:t xml:space="preserve">内   </w:t>
            </w:r>
            <w:r>
              <w:rPr>
                <w:rStyle w:val="115"/>
                <w:rFonts w:hint="default"/>
                <w:spacing w:val="1"/>
                <w:kern w:val="0"/>
                <w:fitText w:val="1050" w:id="140904600"/>
              </w:rPr>
              <w:t>容</w:t>
            </w:r>
          </w:p>
        </w:tc>
        <w:tc>
          <w:tcPr>
            <w:tcW w:w="682" w:type="dxa"/>
            <w:tcBorders>
              <w:top w:val="single" w:color="000000" w:sz="8" w:space="0"/>
              <w:left w:val="single" w:color="000000" w:sz="4" w:space="0"/>
              <w:bottom w:val="single" w:color="000000" w:sz="4" w:space="0"/>
              <w:right w:val="single" w:color="000000" w:sz="4" w:space="0"/>
            </w:tcBorders>
            <w:vAlign w:val="center"/>
          </w:tcPr>
          <w:p w14:paraId="1DE10C86">
            <w:pPr>
              <w:widowControl/>
              <w:jc w:val="center"/>
              <w:textAlignment w:val="center"/>
              <w:rPr>
                <w:rFonts w:ascii="宋体" w:hAnsi="宋体" w:eastAsia="宋体" w:cs="宋体"/>
                <w:b/>
                <w:bCs/>
                <w:color w:val="000000"/>
                <w:szCs w:val="21"/>
              </w:rPr>
            </w:pPr>
            <w:r>
              <w:rPr>
                <w:rStyle w:val="115"/>
                <w:rFonts w:hint="default"/>
              </w:rPr>
              <w:t>标准分</w:t>
            </w:r>
          </w:p>
        </w:tc>
        <w:tc>
          <w:tcPr>
            <w:tcW w:w="5973" w:type="dxa"/>
            <w:tcBorders>
              <w:top w:val="single" w:color="000000" w:sz="8" w:space="0"/>
              <w:left w:val="single" w:color="000000" w:sz="4" w:space="0"/>
              <w:bottom w:val="single" w:color="000000" w:sz="4" w:space="0"/>
              <w:right w:val="single" w:color="000000" w:sz="8" w:space="0"/>
            </w:tcBorders>
            <w:vAlign w:val="center"/>
          </w:tcPr>
          <w:p w14:paraId="5DAA389C">
            <w:pPr>
              <w:widowControl/>
              <w:jc w:val="center"/>
              <w:textAlignment w:val="center"/>
              <w:rPr>
                <w:rFonts w:ascii="宋体" w:hAnsi="宋体" w:eastAsia="宋体" w:cs="宋体"/>
                <w:b/>
                <w:bCs/>
                <w:color w:val="000000"/>
                <w:szCs w:val="21"/>
              </w:rPr>
            </w:pPr>
            <w:r>
              <w:rPr>
                <w:rStyle w:val="115"/>
                <w:rFonts w:hint="default"/>
              </w:rPr>
              <w:t>评分标准</w:t>
            </w:r>
          </w:p>
        </w:tc>
      </w:tr>
      <w:tr w14:paraId="11C7C4A5">
        <w:tblPrEx>
          <w:tblCellMar>
            <w:top w:w="0" w:type="dxa"/>
            <w:left w:w="108" w:type="dxa"/>
            <w:bottom w:w="0" w:type="dxa"/>
            <w:right w:w="108" w:type="dxa"/>
          </w:tblCellMar>
        </w:tblPrEx>
        <w:trPr>
          <w:trHeight w:val="2436" w:hRule="atLeast"/>
          <w:jc w:val="center"/>
        </w:trPr>
        <w:tc>
          <w:tcPr>
            <w:tcW w:w="520" w:type="dxa"/>
            <w:vMerge w:val="restart"/>
            <w:tcBorders>
              <w:top w:val="single" w:color="000000" w:sz="4" w:space="0"/>
              <w:left w:val="single" w:color="000000" w:sz="8" w:space="0"/>
              <w:bottom w:val="single" w:color="000000" w:sz="4" w:space="0"/>
              <w:right w:val="single" w:color="000000" w:sz="4" w:space="0"/>
            </w:tcBorders>
            <w:vAlign w:val="center"/>
          </w:tcPr>
          <w:p w14:paraId="580B64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技术100分</w:t>
            </w:r>
          </w:p>
        </w:tc>
        <w:tc>
          <w:tcPr>
            <w:tcW w:w="418" w:type="dxa"/>
            <w:tcBorders>
              <w:top w:val="single" w:color="000000" w:sz="4" w:space="0"/>
              <w:left w:val="single" w:color="000000" w:sz="4" w:space="0"/>
              <w:bottom w:val="single" w:color="000000" w:sz="4" w:space="0"/>
              <w:right w:val="single" w:color="000000" w:sz="4" w:space="0"/>
            </w:tcBorders>
            <w:vAlign w:val="center"/>
          </w:tcPr>
          <w:p w14:paraId="4818B7B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1</w:t>
            </w:r>
          </w:p>
        </w:tc>
        <w:tc>
          <w:tcPr>
            <w:tcW w:w="1345" w:type="dxa"/>
            <w:tcBorders>
              <w:top w:val="single" w:color="000000" w:sz="4" w:space="0"/>
              <w:left w:val="single" w:color="000000" w:sz="4" w:space="0"/>
              <w:bottom w:val="single" w:color="000000" w:sz="4" w:space="0"/>
              <w:right w:val="single" w:color="000000" w:sz="4" w:space="0"/>
            </w:tcBorders>
            <w:vAlign w:val="center"/>
          </w:tcPr>
          <w:p w14:paraId="774D9716">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技术方案</w:t>
            </w:r>
          </w:p>
        </w:tc>
        <w:tc>
          <w:tcPr>
            <w:tcW w:w="682" w:type="dxa"/>
            <w:tcBorders>
              <w:top w:val="single" w:color="000000" w:sz="4" w:space="0"/>
              <w:left w:val="single" w:color="000000" w:sz="4" w:space="0"/>
              <w:bottom w:val="single" w:color="000000" w:sz="4" w:space="0"/>
              <w:right w:val="single" w:color="000000" w:sz="4" w:space="0"/>
            </w:tcBorders>
            <w:vAlign w:val="center"/>
          </w:tcPr>
          <w:p w14:paraId="76AA27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40</w:t>
            </w:r>
          </w:p>
        </w:tc>
        <w:tc>
          <w:tcPr>
            <w:tcW w:w="5973" w:type="dxa"/>
            <w:tcBorders>
              <w:top w:val="single" w:color="000000" w:sz="4" w:space="0"/>
              <w:left w:val="single" w:color="000000" w:sz="4" w:space="0"/>
              <w:bottom w:val="single" w:color="000000" w:sz="4" w:space="0"/>
              <w:right w:val="single" w:color="000000" w:sz="8" w:space="0"/>
            </w:tcBorders>
            <w:vAlign w:val="center"/>
          </w:tcPr>
          <w:p w14:paraId="78B9FA64">
            <w:pPr>
              <w:pStyle w:val="11"/>
              <w:widowControl/>
              <w:rPr>
                <w:rFonts w:ascii="宋体" w:hAnsi="宋体" w:cs="宋体"/>
                <w:color w:val="000000"/>
              </w:rPr>
            </w:pPr>
            <w:r>
              <w:rPr>
                <w:rFonts w:hint="eastAsia" w:ascii="宋体" w:hAnsi="宋体" w:cs="宋体"/>
                <w:color w:val="000000"/>
              </w:rPr>
              <w:t>所报产品的技术方案先进，装备制造能力、生产设备、加工工艺先进，各系统完善、性能可靠，设备主要核心部件具备自身技术优势，技术参数优于招标文件要求，视情况优得31-40分，良得21-30分，一般得1-20分。</w:t>
            </w:r>
          </w:p>
        </w:tc>
      </w:tr>
      <w:tr w14:paraId="3E7FE21F">
        <w:tblPrEx>
          <w:tblCellMar>
            <w:top w:w="0" w:type="dxa"/>
            <w:left w:w="108" w:type="dxa"/>
            <w:bottom w:w="0" w:type="dxa"/>
            <w:right w:w="108" w:type="dxa"/>
          </w:tblCellMar>
        </w:tblPrEx>
        <w:trPr>
          <w:trHeight w:val="1499" w:hRule="atLeast"/>
          <w:jc w:val="center"/>
        </w:trPr>
        <w:tc>
          <w:tcPr>
            <w:tcW w:w="520" w:type="dxa"/>
            <w:vMerge w:val="continue"/>
            <w:tcBorders>
              <w:top w:val="single" w:color="000000" w:sz="4" w:space="0"/>
              <w:left w:val="single" w:color="000000" w:sz="8" w:space="0"/>
              <w:bottom w:val="single" w:color="000000" w:sz="4" w:space="0"/>
              <w:right w:val="single" w:color="000000" w:sz="4" w:space="0"/>
            </w:tcBorders>
            <w:vAlign w:val="center"/>
          </w:tcPr>
          <w:p w14:paraId="37CF9A3A">
            <w:pPr>
              <w:jc w:val="center"/>
              <w:rPr>
                <w:rFonts w:ascii="宋体" w:hAnsi="宋体" w:eastAsia="宋体" w:cs="宋体"/>
                <w:color w:val="000000"/>
                <w:szCs w:val="21"/>
              </w:rPr>
            </w:pPr>
          </w:p>
        </w:tc>
        <w:tc>
          <w:tcPr>
            <w:tcW w:w="418" w:type="dxa"/>
            <w:tcBorders>
              <w:top w:val="single" w:color="000000" w:sz="4" w:space="0"/>
              <w:left w:val="single" w:color="000000" w:sz="4" w:space="0"/>
              <w:bottom w:val="single" w:color="000000" w:sz="4" w:space="0"/>
              <w:right w:val="single" w:color="000000" w:sz="4" w:space="0"/>
            </w:tcBorders>
            <w:vAlign w:val="center"/>
          </w:tcPr>
          <w:p w14:paraId="325C63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2</w:t>
            </w:r>
          </w:p>
        </w:tc>
        <w:tc>
          <w:tcPr>
            <w:tcW w:w="1345" w:type="dxa"/>
            <w:tcBorders>
              <w:top w:val="single" w:color="000000" w:sz="4" w:space="0"/>
              <w:left w:val="single" w:color="000000" w:sz="4" w:space="0"/>
              <w:bottom w:val="single" w:color="000000" w:sz="4" w:space="0"/>
              <w:right w:val="single" w:color="000000" w:sz="4" w:space="0"/>
            </w:tcBorders>
            <w:vAlign w:val="center"/>
          </w:tcPr>
          <w:p w14:paraId="1D739362">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项目组织及人员</w:t>
            </w:r>
          </w:p>
        </w:tc>
        <w:tc>
          <w:tcPr>
            <w:tcW w:w="682" w:type="dxa"/>
            <w:tcBorders>
              <w:top w:val="single" w:color="000000" w:sz="4" w:space="0"/>
              <w:left w:val="single" w:color="000000" w:sz="4" w:space="0"/>
              <w:bottom w:val="single" w:color="000000" w:sz="4" w:space="0"/>
              <w:right w:val="single" w:color="000000" w:sz="4" w:space="0"/>
            </w:tcBorders>
            <w:vAlign w:val="center"/>
          </w:tcPr>
          <w:p w14:paraId="75E9E7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10</w:t>
            </w:r>
          </w:p>
        </w:tc>
        <w:tc>
          <w:tcPr>
            <w:tcW w:w="5973" w:type="dxa"/>
            <w:tcBorders>
              <w:top w:val="single" w:color="000000" w:sz="4" w:space="0"/>
              <w:left w:val="single" w:color="000000" w:sz="4" w:space="0"/>
              <w:bottom w:val="single" w:color="000000" w:sz="4" w:space="0"/>
              <w:right w:val="single" w:color="000000" w:sz="8" w:space="0"/>
            </w:tcBorders>
            <w:vAlign w:val="center"/>
          </w:tcPr>
          <w:p w14:paraId="295860A2">
            <w:pPr>
              <w:pStyle w:val="11"/>
              <w:widowControl/>
              <w:rPr>
                <w:rFonts w:ascii="宋体" w:hAnsi="宋体" w:cs="宋体"/>
                <w:color w:val="000000"/>
              </w:rPr>
            </w:pPr>
            <w:r>
              <w:rPr>
                <w:rFonts w:hint="eastAsia" w:ascii="宋体" w:hAnsi="宋体" w:cs="宋体"/>
                <w:color w:val="000000"/>
              </w:rPr>
              <w:t>成立专项小组且职责明确，全流程项目人员经验丰富。根据方案进行综合评审，优得8-10分；良得5-7分；一般得1-4分。</w:t>
            </w:r>
          </w:p>
        </w:tc>
      </w:tr>
      <w:tr w14:paraId="05C5AA84">
        <w:tblPrEx>
          <w:tblCellMar>
            <w:top w:w="0" w:type="dxa"/>
            <w:left w:w="108" w:type="dxa"/>
            <w:bottom w:w="0" w:type="dxa"/>
            <w:right w:w="108" w:type="dxa"/>
          </w:tblCellMar>
        </w:tblPrEx>
        <w:trPr>
          <w:trHeight w:val="2232" w:hRule="atLeast"/>
          <w:jc w:val="center"/>
        </w:trPr>
        <w:tc>
          <w:tcPr>
            <w:tcW w:w="520" w:type="dxa"/>
            <w:vMerge w:val="continue"/>
            <w:tcBorders>
              <w:top w:val="single" w:color="000000" w:sz="4" w:space="0"/>
              <w:left w:val="single" w:color="000000" w:sz="8" w:space="0"/>
              <w:bottom w:val="single" w:color="000000" w:sz="4" w:space="0"/>
              <w:right w:val="single" w:color="000000" w:sz="4" w:space="0"/>
            </w:tcBorders>
            <w:vAlign w:val="center"/>
          </w:tcPr>
          <w:p w14:paraId="4B128CBD">
            <w:pPr>
              <w:jc w:val="center"/>
              <w:rPr>
                <w:rFonts w:ascii="宋体" w:hAnsi="宋体" w:eastAsia="宋体" w:cs="宋体"/>
                <w:color w:val="000000"/>
                <w:szCs w:val="21"/>
              </w:rPr>
            </w:pPr>
          </w:p>
        </w:tc>
        <w:tc>
          <w:tcPr>
            <w:tcW w:w="418" w:type="dxa"/>
            <w:tcBorders>
              <w:top w:val="single" w:color="000000" w:sz="4" w:space="0"/>
              <w:left w:val="single" w:color="000000" w:sz="4" w:space="0"/>
              <w:bottom w:val="single" w:color="000000" w:sz="4" w:space="0"/>
              <w:right w:val="single" w:color="000000" w:sz="4" w:space="0"/>
            </w:tcBorders>
            <w:vAlign w:val="center"/>
          </w:tcPr>
          <w:p w14:paraId="21AE01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3</w:t>
            </w:r>
          </w:p>
        </w:tc>
        <w:tc>
          <w:tcPr>
            <w:tcW w:w="1345" w:type="dxa"/>
            <w:tcBorders>
              <w:top w:val="single" w:color="000000" w:sz="4" w:space="0"/>
              <w:left w:val="single" w:color="000000" w:sz="4" w:space="0"/>
              <w:bottom w:val="single" w:color="000000" w:sz="4" w:space="0"/>
              <w:right w:val="single" w:color="000000" w:sz="4" w:space="0"/>
            </w:tcBorders>
            <w:vAlign w:val="center"/>
          </w:tcPr>
          <w:p w14:paraId="2B7AB454">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供货周期</w:t>
            </w:r>
          </w:p>
        </w:tc>
        <w:tc>
          <w:tcPr>
            <w:tcW w:w="682" w:type="dxa"/>
            <w:tcBorders>
              <w:top w:val="single" w:color="000000" w:sz="4" w:space="0"/>
              <w:left w:val="single" w:color="000000" w:sz="4" w:space="0"/>
              <w:bottom w:val="single" w:color="000000" w:sz="4" w:space="0"/>
              <w:right w:val="single" w:color="000000" w:sz="4" w:space="0"/>
            </w:tcBorders>
            <w:vAlign w:val="center"/>
          </w:tcPr>
          <w:p w14:paraId="1D64D7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20</w:t>
            </w:r>
          </w:p>
        </w:tc>
        <w:tc>
          <w:tcPr>
            <w:tcW w:w="5973" w:type="dxa"/>
            <w:tcBorders>
              <w:top w:val="single" w:color="000000" w:sz="4" w:space="0"/>
              <w:left w:val="single" w:color="000000" w:sz="4" w:space="0"/>
              <w:bottom w:val="single" w:color="000000" w:sz="4" w:space="0"/>
              <w:right w:val="single" w:color="000000" w:sz="8" w:space="0"/>
            </w:tcBorders>
            <w:vAlign w:val="center"/>
          </w:tcPr>
          <w:p w14:paraId="40B1F30A">
            <w:pPr>
              <w:pStyle w:val="11"/>
              <w:widowControl/>
              <w:rPr>
                <w:rFonts w:ascii="宋体" w:hAnsi="宋体" w:cs="宋体"/>
                <w:color w:val="000000"/>
              </w:rPr>
            </w:pPr>
            <w:r>
              <w:rPr>
                <w:rFonts w:hint="eastAsia" w:ascii="宋体" w:hAnsi="宋体" w:cs="宋体"/>
                <w:color w:val="000000"/>
              </w:rPr>
              <w:t>响应供货期和现场停工期基本要求，有详细可行的行动计划能保证项目进度，有风险管理措施；加工、制作方案合理、完善、切实可行能确保安全；能满足交货期者视情况得15-20分；剩余投标方得1-14分。</w:t>
            </w:r>
          </w:p>
        </w:tc>
      </w:tr>
      <w:tr w14:paraId="063BAFD7">
        <w:tblPrEx>
          <w:tblCellMar>
            <w:top w:w="0" w:type="dxa"/>
            <w:left w:w="108" w:type="dxa"/>
            <w:bottom w:w="0" w:type="dxa"/>
            <w:right w:w="108" w:type="dxa"/>
          </w:tblCellMar>
        </w:tblPrEx>
        <w:trPr>
          <w:trHeight w:val="1499" w:hRule="atLeast"/>
          <w:jc w:val="center"/>
        </w:trPr>
        <w:tc>
          <w:tcPr>
            <w:tcW w:w="520" w:type="dxa"/>
            <w:vMerge w:val="continue"/>
            <w:tcBorders>
              <w:top w:val="single" w:color="000000" w:sz="4" w:space="0"/>
              <w:left w:val="single" w:color="000000" w:sz="8" w:space="0"/>
              <w:bottom w:val="single" w:color="000000" w:sz="4" w:space="0"/>
              <w:right w:val="single" w:color="000000" w:sz="4" w:space="0"/>
            </w:tcBorders>
            <w:vAlign w:val="center"/>
          </w:tcPr>
          <w:p w14:paraId="0B2B424E">
            <w:pPr>
              <w:jc w:val="center"/>
              <w:rPr>
                <w:rFonts w:ascii="宋体" w:hAnsi="宋体" w:eastAsia="宋体" w:cs="宋体"/>
                <w:color w:val="000000"/>
                <w:szCs w:val="21"/>
              </w:rPr>
            </w:pPr>
          </w:p>
        </w:tc>
        <w:tc>
          <w:tcPr>
            <w:tcW w:w="418" w:type="dxa"/>
            <w:tcBorders>
              <w:top w:val="single" w:color="000000" w:sz="4" w:space="0"/>
              <w:left w:val="single" w:color="000000" w:sz="4" w:space="0"/>
              <w:bottom w:val="single" w:color="000000" w:sz="4" w:space="0"/>
              <w:right w:val="single" w:color="000000" w:sz="4" w:space="0"/>
            </w:tcBorders>
            <w:vAlign w:val="center"/>
          </w:tcPr>
          <w:p w14:paraId="159B4E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4</w:t>
            </w:r>
          </w:p>
        </w:tc>
        <w:tc>
          <w:tcPr>
            <w:tcW w:w="1345" w:type="dxa"/>
            <w:tcBorders>
              <w:top w:val="single" w:color="000000" w:sz="4" w:space="0"/>
              <w:left w:val="single" w:color="000000" w:sz="4" w:space="0"/>
              <w:bottom w:val="single" w:color="000000" w:sz="4" w:space="0"/>
              <w:right w:val="single" w:color="000000" w:sz="4" w:space="0"/>
            </w:tcBorders>
            <w:vAlign w:val="center"/>
          </w:tcPr>
          <w:p w14:paraId="0214E123">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类似业绩</w:t>
            </w:r>
          </w:p>
        </w:tc>
        <w:tc>
          <w:tcPr>
            <w:tcW w:w="682" w:type="dxa"/>
            <w:tcBorders>
              <w:top w:val="single" w:color="000000" w:sz="4" w:space="0"/>
              <w:left w:val="single" w:color="000000" w:sz="4" w:space="0"/>
              <w:bottom w:val="single" w:color="000000" w:sz="4" w:space="0"/>
              <w:right w:val="single" w:color="000000" w:sz="4" w:space="0"/>
            </w:tcBorders>
            <w:vAlign w:val="center"/>
          </w:tcPr>
          <w:p w14:paraId="760DBB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20</w:t>
            </w:r>
          </w:p>
        </w:tc>
        <w:tc>
          <w:tcPr>
            <w:tcW w:w="5973" w:type="dxa"/>
            <w:tcBorders>
              <w:top w:val="single" w:color="000000" w:sz="4" w:space="0"/>
              <w:left w:val="single" w:color="000000" w:sz="4" w:space="0"/>
              <w:bottom w:val="single" w:color="000000" w:sz="4" w:space="0"/>
              <w:right w:val="single" w:color="000000" w:sz="8" w:space="0"/>
            </w:tcBorders>
            <w:vAlign w:val="center"/>
          </w:tcPr>
          <w:p w14:paraId="07EF667E">
            <w:pPr>
              <w:pStyle w:val="11"/>
              <w:widowControl/>
              <w:rPr>
                <w:rFonts w:ascii="宋体" w:hAnsi="宋体" w:cs="宋体"/>
                <w:color w:val="000000"/>
              </w:rPr>
            </w:pPr>
            <w:r>
              <w:rPr>
                <w:rFonts w:hint="eastAsia" w:ascii="宋体" w:hAnsi="宋体" w:cs="宋体"/>
                <w:color w:val="000000"/>
              </w:rPr>
              <w:t>近三年国内或国外知名品牌商用车或乘用车业绩或类似供货经历和经验或其他大型供货经历，提供1份投标同类产品开发合同证明材料，得2分，最高得20分。</w:t>
            </w:r>
          </w:p>
        </w:tc>
      </w:tr>
      <w:tr w14:paraId="52281372">
        <w:tblPrEx>
          <w:tblCellMar>
            <w:top w:w="0" w:type="dxa"/>
            <w:left w:w="108" w:type="dxa"/>
            <w:bottom w:w="0" w:type="dxa"/>
            <w:right w:w="108" w:type="dxa"/>
          </w:tblCellMar>
        </w:tblPrEx>
        <w:trPr>
          <w:trHeight w:val="1534" w:hRule="atLeast"/>
          <w:jc w:val="center"/>
        </w:trPr>
        <w:tc>
          <w:tcPr>
            <w:tcW w:w="520" w:type="dxa"/>
            <w:vMerge w:val="continue"/>
            <w:tcBorders>
              <w:top w:val="single" w:color="000000" w:sz="4" w:space="0"/>
              <w:left w:val="single" w:color="000000" w:sz="8" w:space="0"/>
              <w:bottom w:val="single" w:color="000000" w:sz="4" w:space="0"/>
              <w:right w:val="single" w:color="000000" w:sz="4" w:space="0"/>
            </w:tcBorders>
            <w:vAlign w:val="center"/>
          </w:tcPr>
          <w:p w14:paraId="3AD58A32">
            <w:pPr>
              <w:jc w:val="center"/>
              <w:rPr>
                <w:rFonts w:ascii="宋体" w:hAnsi="宋体" w:eastAsia="宋体" w:cs="宋体"/>
                <w:color w:val="000000"/>
                <w:szCs w:val="21"/>
              </w:rPr>
            </w:pPr>
          </w:p>
        </w:tc>
        <w:tc>
          <w:tcPr>
            <w:tcW w:w="418" w:type="dxa"/>
            <w:tcBorders>
              <w:top w:val="single" w:color="000000" w:sz="4" w:space="0"/>
              <w:left w:val="single" w:color="000000" w:sz="4" w:space="0"/>
              <w:bottom w:val="single" w:color="000000" w:sz="4" w:space="0"/>
              <w:right w:val="single" w:color="000000" w:sz="4" w:space="0"/>
            </w:tcBorders>
            <w:vAlign w:val="center"/>
          </w:tcPr>
          <w:p w14:paraId="2D2377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5</w:t>
            </w:r>
          </w:p>
        </w:tc>
        <w:tc>
          <w:tcPr>
            <w:tcW w:w="1345" w:type="dxa"/>
            <w:tcBorders>
              <w:top w:val="single" w:color="000000" w:sz="4" w:space="0"/>
              <w:left w:val="single" w:color="000000" w:sz="4" w:space="0"/>
              <w:bottom w:val="single" w:color="000000" w:sz="4" w:space="0"/>
              <w:right w:val="single" w:color="000000" w:sz="4" w:space="0"/>
            </w:tcBorders>
            <w:vAlign w:val="center"/>
          </w:tcPr>
          <w:p w14:paraId="44B60DEA">
            <w:pPr>
              <w:pStyle w:val="11"/>
              <w:widowControl/>
              <w:jc w:val="center"/>
              <w:rPr>
                <w:rFonts w:ascii="宋体" w:hAnsi="宋体" w:cs="宋体"/>
                <w:color w:val="000000"/>
              </w:rPr>
            </w:pPr>
            <w:r>
              <w:rPr>
                <w:rFonts w:hint="eastAsia" w:ascii="宋体" w:hAnsi="宋体" w:cs="宋体"/>
                <w:color w:val="000000"/>
              </w:rPr>
              <w:t>质量保障</w:t>
            </w:r>
          </w:p>
        </w:tc>
        <w:tc>
          <w:tcPr>
            <w:tcW w:w="682" w:type="dxa"/>
            <w:tcBorders>
              <w:top w:val="single" w:color="000000" w:sz="4" w:space="0"/>
              <w:left w:val="single" w:color="000000" w:sz="4" w:space="0"/>
              <w:bottom w:val="single" w:color="000000" w:sz="4" w:space="0"/>
              <w:right w:val="single" w:color="000000" w:sz="4" w:space="0"/>
            </w:tcBorders>
            <w:vAlign w:val="center"/>
          </w:tcPr>
          <w:p w14:paraId="1740AB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10</w:t>
            </w:r>
          </w:p>
        </w:tc>
        <w:tc>
          <w:tcPr>
            <w:tcW w:w="5973" w:type="dxa"/>
            <w:tcBorders>
              <w:top w:val="single" w:color="000000" w:sz="4" w:space="0"/>
              <w:left w:val="single" w:color="000000" w:sz="4" w:space="0"/>
              <w:bottom w:val="single" w:color="000000" w:sz="4" w:space="0"/>
              <w:right w:val="single" w:color="000000" w:sz="8" w:space="0"/>
            </w:tcBorders>
            <w:vAlign w:val="center"/>
          </w:tcPr>
          <w:p w14:paraId="2710FF8A">
            <w:pPr>
              <w:pStyle w:val="11"/>
              <w:widowControl/>
              <w:rPr>
                <w:rFonts w:ascii="宋体" w:hAnsi="宋体" w:cs="宋体"/>
                <w:color w:val="000000"/>
              </w:rPr>
            </w:pPr>
            <w:r>
              <w:rPr>
                <w:rFonts w:hint="eastAsia" w:ascii="宋体" w:hAnsi="宋体" w:cs="宋体"/>
                <w:color w:val="000000"/>
              </w:rPr>
              <w:t>具有良好的质量管理体系和完备的检测体系，保证提供的产品质量、性能稳定可靠。根据提供的证明资料进行综合评审，优得10分，良得5-9分，一般得1-4分。</w:t>
            </w:r>
          </w:p>
        </w:tc>
      </w:tr>
    </w:tbl>
    <w:p w14:paraId="6D6EA3C4">
      <w:pPr>
        <w:pStyle w:val="72"/>
        <w:numPr>
          <w:ilvl w:val="0"/>
          <w:numId w:val="0"/>
        </w:numP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技术标分数大于70分，入围商务标。</w:t>
      </w:r>
      <w:bookmarkStart w:id="39" w:name="_GoBack"/>
      <w:bookmarkEnd w:id="39"/>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6"/>
      <w:bookmarkStart w:id="13" w:name="OLE_LINK28"/>
      <w:bookmarkStart w:id="14" w:name="OLE_LINK29"/>
      <w:bookmarkStart w:id="15" w:name="OLE_LINK27"/>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2AC39AF">
      <w:pPr>
        <w:pStyle w:val="62"/>
        <w:keepNext w:val="0"/>
        <w:keepLines w:val="0"/>
        <w:pageBreakBefore w:val="0"/>
        <w:widowControl w:val="0"/>
        <w:numPr>
          <w:ilvl w:val="0"/>
          <w:numId w:val="30"/>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2"/>
        <w:rPr>
          <w:rFonts w:hint="eastAsia"/>
          <w:lang w:val="en-US" w:eastAsia="zh-CN"/>
        </w:rPr>
      </w:pPr>
      <w:r>
        <w:rPr>
          <w:rFonts w:hint="eastAsia"/>
          <w:lang w:val="en-US" w:eastAsia="zh-CN"/>
        </w:rPr>
        <w:t>本次招标最终解释权归中国重汽集团济南商用车有限公司轻卡制造公司。</w:t>
      </w:r>
    </w:p>
    <w:p w14:paraId="66BCACD8">
      <w:pPr>
        <w:pStyle w:val="76"/>
      </w:pPr>
    </w:p>
    <w:p w14:paraId="07A4B493">
      <w:pPr>
        <w:pStyle w:val="71"/>
        <w:jc w:val="both"/>
        <w:rPr>
          <w:rFonts w:hint="eastAsia"/>
        </w:rPr>
      </w:pPr>
      <w:bookmarkStart w:id="17" w:name="_Toc47976607"/>
    </w:p>
    <w:p w14:paraId="243FF35F">
      <w:pPr>
        <w:pStyle w:val="71"/>
        <w:jc w:val="both"/>
        <w:rPr>
          <w:rFonts w:hint="eastAsia"/>
        </w:rPr>
      </w:pPr>
    </w:p>
    <w:p w14:paraId="373779BC">
      <w:pPr>
        <w:rPr>
          <w:rFonts w:hint="eastAsia"/>
        </w:rPr>
      </w:pPr>
      <w:bookmarkStart w:id="18" w:name="_Toc1910"/>
      <w:r>
        <w:rPr>
          <w:rFonts w:hint="eastAsia"/>
        </w:rPr>
        <w:br w:type="page"/>
      </w:r>
    </w:p>
    <w:bookmarkEnd w:id="17"/>
    <w:p w14:paraId="29F97519">
      <w:pPr>
        <w:pStyle w:val="71"/>
        <w:numPr>
          <w:ilvl w:val="0"/>
          <w:numId w:val="31"/>
        </w:numPr>
        <w:jc w:val="center"/>
        <w:rPr>
          <w:rFonts w:hint="eastAsia"/>
          <w:lang w:val="en-US" w:eastAsia="zh-CN"/>
        </w:rPr>
      </w:pPr>
      <w:r>
        <w:rPr>
          <w:rFonts w:hint="eastAsia"/>
          <w:lang w:val="en-US" w:eastAsia="zh-CN"/>
        </w:rPr>
        <w:t>技术标书</w:t>
      </w:r>
      <w:bookmarkEnd w:id="18"/>
    </w:p>
    <w:p w14:paraId="50108698">
      <w:pPr>
        <w:pStyle w:val="71"/>
        <w:numPr>
          <w:ilvl w:val="0"/>
          <w:numId w:val="0"/>
        </w:numPr>
        <w:jc w:val="both"/>
        <w:rPr>
          <w:rFonts w:ascii="仿宋_GB2312" w:hAnsi="宋体" w:eastAsia="仿宋_GB2312"/>
          <w:sz w:val="32"/>
          <w:szCs w:val="32"/>
        </w:rPr>
      </w:pPr>
      <w:r>
        <w:rPr>
          <w:rFonts w:hint="eastAsia" w:ascii="仿宋_GB2312" w:hAnsi="宋体" w:eastAsia="仿宋_GB2312"/>
          <w:sz w:val="32"/>
          <w:szCs w:val="32"/>
        </w:rPr>
        <w:t>一、货物需求概况</w:t>
      </w:r>
    </w:p>
    <w:p w14:paraId="71DA44F5">
      <w:pPr>
        <w:spacing w:line="360" w:lineRule="auto"/>
        <w:ind w:firstLine="482" w:firstLineChars="200"/>
        <w:rPr>
          <w:rFonts w:ascii="宋体" w:hAnsi="宋体"/>
          <w:b/>
          <w:bCs/>
          <w:sz w:val="24"/>
          <w:szCs w:val="24"/>
        </w:rPr>
      </w:pPr>
      <w:bookmarkStart w:id="19" w:name="_Toc159998020"/>
      <w:r>
        <w:rPr>
          <w:rFonts w:hint="eastAsia" w:ascii="宋体" w:hAnsi="宋体"/>
          <w:b/>
          <w:bCs/>
          <w:sz w:val="24"/>
          <w:szCs w:val="24"/>
        </w:rPr>
        <w:t>1.项目概况</w:t>
      </w:r>
    </w:p>
    <w:p w14:paraId="72C81621">
      <w:pPr>
        <w:spacing w:line="360" w:lineRule="auto"/>
        <w:ind w:firstLine="480" w:firstLineChars="200"/>
        <w:rPr>
          <w:rFonts w:ascii="宋体" w:hAnsi="宋体"/>
          <w:sz w:val="24"/>
          <w:szCs w:val="24"/>
        </w:rPr>
      </w:pPr>
      <w:r>
        <w:rPr>
          <w:rFonts w:hint="eastAsia" w:ascii="宋体" w:hAnsi="宋体"/>
          <w:sz w:val="24"/>
          <w:szCs w:val="24"/>
        </w:rPr>
        <w:t>1.1项目名称：</w:t>
      </w:r>
      <w:r>
        <w:rPr>
          <w:rFonts w:ascii="宋体" w:hAnsi="宋体"/>
          <w:sz w:val="24"/>
          <w:szCs w:val="24"/>
        </w:rPr>
        <w:t>TX</w:t>
      </w:r>
      <w:r>
        <w:rPr>
          <w:rFonts w:hint="eastAsia" w:ascii="宋体" w:hAnsi="宋体"/>
          <w:sz w:val="24"/>
          <w:szCs w:val="24"/>
        </w:rPr>
        <w:t>四缸机产线改造项目</w:t>
      </w:r>
    </w:p>
    <w:p w14:paraId="3F6415F4">
      <w:pPr>
        <w:spacing w:line="360" w:lineRule="auto"/>
        <w:ind w:firstLine="480" w:firstLineChars="200"/>
        <w:rPr>
          <w:rFonts w:ascii="宋体" w:hAnsi="宋体"/>
          <w:sz w:val="24"/>
          <w:szCs w:val="24"/>
        </w:rPr>
      </w:pPr>
      <w:r>
        <w:rPr>
          <w:rFonts w:hint="eastAsia" w:ascii="宋体" w:hAnsi="宋体"/>
          <w:sz w:val="24"/>
          <w:szCs w:val="24"/>
        </w:rPr>
        <w:t>1.2建设地点：济南轻卡制造公司</w:t>
      </w:r>
    </w:p>
    <w:p w14:paraId="7E044F98">
      <w:pPr>
        <w:spacing w:line="360" w:lineRule="auto"/>
        <w:ind w:firstLine="480" w:firstLineChars="200"/>
        <w:rPr>
          <w:rFonts w:ascii="宋体" w:hAnsi="宋体"/>
          <w:sz w:val="24"/>
          <w:szCs w:val="24"/>
        </w:rPr>
      </w:pPr>
      <w:r>
        <w:rPr>
          <w:rFonts w:hint="eastAsia" w:ascii="宋体" w:hAnsi="宋体"/>
          <w:sz w:val="24"/>
          <w:szCs w:val="24"/>
        </w:rPr>
        <w:t>1.3使用地点：总装车间</w:t>
      </w:r>
    </w:p>
    <w:p w14:paraId="1DF32327">
      <w:pPr>
        <w:spacing w:line="360" w:lineRule="auto"/>
        <w:ind w:firstLine="480" w:firstLineChars="200"/>
        <w:rPr>
          <w:rFonts w:ascii="宋体" w:hAnsi="宋体"/>
          <w:sz w:val="24"/>
          <w:szCs w:val="24"/>
        </w:rPr>
      </w:pPr>
      <w:r>
        <w:rPr>
          <w:rFonts w:hint="eastAsia" w:ascii="宋体" w:hAnsi="宋体"/>
          <w:sz w:val="24"/>
          <w:szCs w:val="24"/>
        </w:rPr>
        <w:t xml:space="preserve">1.4生产节拍： </w:t>
      </w:r>
      <w:r>
        <w:rPr>
          <w:rFonts w:ascii="宋体" w:hAnsi="宋体"/>
          <w:sz w:val="24"/>
          <w:szCs w:val="24"/>
        </w:rPr>
        <w:t>5</w:t>
      </w:r>
      <w:r>
        <w:rPr>
          <w:rFonts w:hint="eastAsia" w:ascii="宋体" w:hAnsi="宋体"/>
          <w:sz w:val="24"/>
          <w:szCs w:val="24"/>
        </w:rPr>
        <w:t>min</w:t>
      </w:r>
    </w:p>
    <w:p w14:paraId="1C1E5E4F">
      <w:pPr>
        <w:spacing w:line="360" w:lineRule="auto"/>
        <w:ind w:firstLine="480" w:firstLineChars="200"/>
        <w:rPr>
          <w:rFonts w:ascii="宋体" w:hAnsi="宋体"/>
          <w:sz w:val="24"/>
          <w:szCs w:val="24"/>
        </w:rPr>
      </w:pPr>
      <w:r>
        <w:rPr>
          <w:rFonts w:hint="eastAsia" w:ascii="宋体" w:hAnsi="宋体"/>
          <w:sz w:val="24"/>
          <w:szCs w:val="24"/>
        </w:rPr>
        <w:t>1.5工作制度： 单班1</w:t>
      </w:r>
      <w:r>
        <w:rPr>
          <w:rFonts w:ascii="宋体" w:hAnsi="宋体"/>
          <w:sz w:val="24"/>
          <w:szCs w:val="24"/>
        </w:rPr>
        <w:t>0</w:t>
      </w:r>
      <w:r>
        <w:rPr>
          <w:rFonts w:hint="eastAsia" w:ascii="宋体" w:hAnsi="宋体"/>
          <w:sz w:val="24"/>
          <w:szCs w:val="24"/>
        </w:rPr>
        <w:t>小时，年工作日3</w:t>
      </w:r>
      <w:r>
        <w:rPr>
          <w:rFonts w:ascii="宋体" w:hAnsi="宋体"/>
          <w:sz w:val="24"/>
          <w:szCs w:val="24"/>
        </w:rPr>
        <w:t>00</w:t>
      </w:r>
      <w:r>
        <w:rPr>
          <w:rFonts w:hint="eastAsia" w:ascii="宋体" w:hAnsi="宋体"/>
          <w:sz w:val="24"/>
          <w:szCs w:val="24"/>
        </w:rPr>
        <w:t>天。</w:t>
      </w:r>
    </w:p>
    <w:p w14:paraId="6A005DE7">
      <w:pPr>
        <w:numPr>
          <w:ilvl w:val="0"/>
          <w:numId w:val="32"/>
        </w:numPr>
        <w:spacing w:line="360" w:lineRule="auto"/>
        <w:ind w:firstLine="482" w:firstLineChars="200"/>
        <w:rPr>
          <w:rFonts w:ascii="宋体" w:hAnsi="宋体"/>
          <w:b/>
          <w:bCs/>
          <w:sz w:val="24"/>
          <w:szCs w:val="24"/>
        </w:rPr>
      </w:pPr>
      <w:r>
        <w:rPr>
          <w:rFonts w:hint="eastAsia" w:ascii="宋体" w:hAnsi="宋体"/>
          <w:b/>
          <w:bCs/>
          <w:sz w:val="24"/>
          <w:szCs w:val="24"/>
        </w:rPr>
        <w:t>货物需求一览表</w:t>
      </w:r>
    </w:p>
    <w:p w14:paraId="4EB50619">
      <w:pPr>
        <w:pStyle w:val="14"/>
      </w:pPr>
      <w:r>
        <w:rPr>
          <w:rFonts w:hint="eastAsia" w:hAnsi="宋体"/>
          <w:sz w:val="24"/>
          <w:szCs w:val="24"/>
        </w:rPr>
        <w:t xml:space="preserve"> </w:t>
      </w:r>
    </w:p>
    <w:tbl>
      <w:tblPr>
        <w:tblStyle w:val="30"/>
        <w:tblW w:w="10060" w:type="dxa"/>
        <w:jc w:val="center"/>
        <w:tblLayout w:type="autofit"/>
        <w:tblCellMar>
          <w:top w:w="0" w:type="dxa"/>
          <w:left w:w="108" w:type="dxa"/>
          <w:bottom w:w="0" w:type="dxa"/>
          <w:right w:w="108" w:type="dxa"/>
        </w:tblCellMar>
      </w:tblPr>
      <w:tblGrid>
        <w:gridCol w:w="704"/>
        <w:gridCol w:w="2977"/>
        <w:gridCol w:w="1134"/>
        <w:gridCol w:w="709"/>
        <w:gridCol w:w="708"/>
        <w:gridCol w:w="3828"/>
      </w:tblGrid>
      <w:tr w14:paraId="23E78603">
        <w:tblPrEx>
          <w:tblCellMar>
            <w:top w:w="0" w:type="dxa"/>
            <w:left w:w="108" w:type="dxa"/>
            <w:bottom w:w="0" w:type="dxa"/>
            <w:right w:w="108" w:type="dxa"/>
          </w:tblCellMar>
        </w:tblPrEx>
        <w:trPr>
          <w:trHeight w:val="288"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21FD5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2977" w:type="dxa"/>
            <w:tcBorders>
              <w:top w:val="single" w:color="auto" w:sz="4" w:space="0"/>
              <w:left w:val="nil"/>
              <w:bottom w:val="single" w:color="auto" w:sz="4" w:space="0"/>
              <w:right w:val="single" w:color="auto" w:sz="4" w:space="0"/>
            </w:tcBorders>
            <w:shd w:val="clear" w:color="auto" w:fill="auto"/>
            <w:noWrap/>
            <w:vAlign w:val="center"/>
          </w:tcPr>
          <w:p w14:paraId="0A4131C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F8A1623">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规格型号</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5AE515B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708" w:type="dxa"/>
            <w:tcBorders>
              <w:top w:val="single" w:color="auto" w:sz="4" w:space="0"/>
              <w:left w:val="nil"/>
              <w:bottom w:val="single" w:color="auto" w:sz="4" w:space="0"/>
              <w:right w:val="single" w:color="auto" w:sz="4" w:space="0"/>
            </w:tcBorders>
            <w:shd w:val="clear" w:color="auto" w:fill="auto"/>
            <w:noWrap/>
            <w:vAlign w:val="center"/>
          </w:tcPr>
          <w:p w14:paraId="5DEC0B0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3828" w:type="dxa"/>
            <w:tcBorders>
              <w:top w:val="single" w:color="auto" w:sz="4" w:space="0"/>
              <w:left w:val="nil"/>
              <w:bottom w:val="single" w:color="auto" w:sz="4" w:space="0"/>
              <w:right w:val="single" w:color="auto" w:sz="4" w:space="0"/>
            </w:tcBorders>
            <w:shd w:val="clear" w:color="auto" w:fill="auto"/>
            <w:noWrap/>
            <w:vAlign w:val="center"/>
          </w:tcPr>
          <w:p w14:paraId="2FEC0FF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14:paraId="013D634B">
        <w:tblPrEx>
          <w:tblCellMar>
            <w:top w:w="0" w:type="dxa"/>
            <w:left w:w="108" w:type="dxa"/>
            <w:bottom w:w="0" w:type="dxa"/>
            <w:right w:w="108" w:type="dxa"/>
          </w:tblCellMar>
        </w:tblPrEx>
        <w:trPr>
          <w:trHeight w:val="2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5D610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977" w:type="dxa"/>
            <w:tcBorders>
              <w:top w:val="nil"/>
              <w:left w:val="nil"/>
              <w:bottom w:val="single" w:color="auto" w:sz="4" w:space="0"/>
              <w:right w:val="single" w:color="auto" w:sz="4" w:space="0"/>
            </w:tcBorders>
            <w:shd w:val="clear" w:color="auto" w:fill="auto"/>
            <w:noWrap/>
            <w:vAlign w:val="center"/>
          </w:tcPr>
          <w:p w14:paraId="7AA0835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ＴＸ前围助力机械手</w:t>
            </w:r>
          </w:p>
        </w:tc>
        <w:tc>
          <w:tcPr>
            <w:tcW w:w="1134" w:type="dxa"/>
            <w:tcBorders>
              <w:top w:val="nil"/>
              <w:left w:val="nil"/>
              <w:bottom w:val="single" w:color="auto" w:sz="4" w:space="0"/>
              <w:right w:val="single" w:color="auto" w:sz="4" w:space="0"/>
            </w:tcBorders>
            <w:shd w:val="clear" w:color="auto" w:fill="auto"/>
            <w:noWrap/>
            <w:vAlign w:val="center"/>
          </w:tcPr>
          <w:p w14:paraId="6ED0793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234367A0">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5C4C11E1">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noWrap/>
            <w:vAlign w:val="center"/>
          </w:tcPr>
          <w:p w14:paraId="5E7C091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新增（含定位工装、气动系统等）</w:t>
            </w:r>
          </w:p>
        </w:tc>
      </w:tr>
      <w:tr w14:paraId="2E661461">
        <w:tblPrEx>
          <w:tblCellMar>
            <w:top w:w="0" w:type="dxa"/>
            <w:left w:w="108" w:type="dxa"/>
            <w:bottom w:w="0" w:type="dxa"/>
            <w:right w:w="108" w:type="dxa"/>
          </w:tblCellMar>
        </w:tblPrEx>
        <w:trPr>
          <w:trHeight w:val="2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8727C6">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977" w:type="dxa"/>
            <w:tcBorders>
              <w:top w:val="nil"/>
              <w:left w:val="nil"/>
              <w:bottom w:val="single" w:color="auto" w:sz="4" w:space="0"/>
              <w:right w:val="single" w:color="auto" w:sz="4" w:space="0"/>
            </w:tcBorders>
            <w:shd w:val="clear" w:color="auto" w:fill="auto"/>
            <w:noWrap/>
            <w:vAlign w:val="center"/>
          </w:tcPr>
          <w:p w14:paraId="6DA19E0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驾驶室线新增支腿</w:t>
            </w:r>
          </w:p>
        </w:tc>
        <w:tc>
          <w:tcPr>
            <w:tcW w:w="1134" w:type="dxa"/>
            <w:tcBorders>
              <w:top w:val="nil"/>
              <w:left w:val="nil"/>
              <w:bottom w:val="single" w:color="auto" w:sz="4" w:space="0"/>
              <w:right w:val="single" w:color="auto" w:sz="4" w:space="0"/>
            </w:tcBorders>
            <w:shd w:val="clear" w:color="auto" w:fill="auto"/>
            <w:noWrap/>
            <w:vAlign w:val="center"/>
          </w:tcPr>
          <w:p w14:paraId="78B5BF8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5CAF6CE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36CCFC0D">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58</w:t>
            </w:r>
          </w:p>
        </w:tc>
        <w:tc>
          <w:tcPr>
            <w:tcW w:w="3828" w:type="dxa"/>
            <w:tcBorders>
              <w:top w:val="nil"/>
              <w:left w:val="nil"/>
              <w:bottom w:val="single" w:color="auto" w:sz="4" w:space="0"/>
              <w:right w:val="single" w:color="auto" w:sz="4" w:space="0"/>
            </w:tcBorders>
            <w:shd w:val="clear" w:color="auto" w:fill="auto"/>
            <w:noWrap/>
            <w:vAlign w:val="center"/>
          </w:tcPr>
          <w:p w14:paraId="16D24FC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改造或重新制作</w:t>
            </w:r>
          </w:p>
        </w:tc>
      </w:tr>
      <w:tr w14:paraId="04688C17">
        <w:tblPrEx>
          <w:tblCellMar>
            <w:top w:w="0" w:type="dxa"/>
            <w:left w:w="108" w:type="dxa"/>
            <w:bottom w:w="0" w:type="dxa"/>
            <w:right w:w="108" w:type="dxa"/>
          </w:tblCellMar>
        </w:tblPrEx>
        <w:trPr>
          <w:trHeight w:val="2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9CC99B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977" w:type="dxa"/>
            <w:tcBorders>
              <w:top w:val="nil"/>
              <w:left w:val="nil"/>
              <w:bottom w:val="single" w:color="auto" w:sz="4" w:space="0"/>
              <w:right w:val="single" w:color="auto" w:sz="4" w:space="0"/>
            </w:tcBorders>
            <w:shd w:val="clear" w:color="auto" w:fill="auto"/>
            <w:noWrap/>
            <w:vAlign w:val="center"/>
          </w:tcPr>
          <w:p w14:paraId="2A6642C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新增ＴＸ车型顶盖吊具</w:t>
            </w:r>
          </w:p>
        </w:tc>
        <w:tc>
          <w:tcPr>
            <w:tcW w:w="1134" w:type="dxa"/>
            <w:tcBorders>
              <w:top w:val="nil"/>
              <w:left w:val="nil"/>
              <w:bottom w:val="single" w:color="auto" w:sz="4" w:space="0"/>
              <w:right w:val="single" w:color="auto" w:sz="4" w:space="0"/>
            </w:tcBorders>
            <w:shd w:val="clear" w:color="auto" w:fill="auto"/>
            <w:noWrap/>
            <w:vAlign w:val="center"/>
          </w:tcPr>
          <w:p w14:paraId="1054CDEA">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79D49F4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4A0B3D2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noWrap/>
            <w:vAlign w:val="center"/>
          </w:tcPr>
          <w:p w14:paraId="38FAC7C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新增</w:t>
            </w:r>
          </w:p>
        </w:tc>
      </w:tr>
      <w:tr w14:paraId="6585D48C">
        <w:tblPrEx>
          <w:tblCellMar>
            <w:top w:w="0" w:type="dxa"/>
            <w:left w:w="108" w:type="dxa"/>
            <w:bottom w:w="0" w:type="dxa"/>
            <w:right w:w="108" w:type="dxa"/>
          </w:tblCellMar>
        </w:tblPrEx>
        <w:trPr>
          <w:trHeight w:val="2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A247F7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977" w:type="dxa"/>
            <w:tcBorders>
              <w:top w:val="nil"/>
              <w:left w:val="nil"/>
              <w:bottom w:val="single" w:color="auto" w:sz="4" w:space="0"/>
              <w:right w:val="single" w:color="auto" w:sz="4" w:space="0"/>
            </w:tcBorders>
            <w:shd w:val="clear" w:color="auto" w:fill="auto"/>
            <w:noWrap/>
            <w:vAlign w:val="center"/>
          </w:tcPr>
          <w:p w14:paraId="55CD1AF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改造顶盖落装平台</w:t>
            </w:r>
          </w:p>
        </w:tc>
        <w:tc>
          <w:tcPr>
            <w:tcW w:w="1134" w:type="dxa"/>
            <w:tcBorders>
              <w:top w:val="nil"/>
              <w:left w:val="nil"/>
              <w:bottom w:val="single" w:color="auto" w:sz="4" w:space="0"/>
              <w:right w:val="single" w:color="auto" w:sz="4" w:space="0"/>
            </w:tcBorders>
            <w:shd w:val="clear" w:color="auto" w:fill="auto"/>
            <w:noWrap/>
            <w:vAlign w:val="center"/>
          </w:tcPr>
          <w:p w14:paraId="39BC33D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62E5390D">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66932446">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noWrap/>
            <w:vAlign w:val="center"/>
          </w:tcPr>
          <w:p w14:paraId="559DA90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现有基础上改造</w:t>
            </w:r>
          </w:p>
        </w:tc>
      </w:tr>
      <w:tr w14:paraId="320384AE">
        <w:tblPrEx>
          <w:tblCellMar>
            <w:top w:w="0" w:type="dxa"/>
            <w:left w:w="108" w:type="dxa"/>
            <w:bottom w:w="0" w:type="dxa"/>
            <w:right w:w="108" w:type="dxa"/>
          </w:tblCellMar>
        </w:tblPrEx>
        <w:trPr>
          <w:trHeight w:val="288"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8CC38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977" w:type="dxa"/>
            <w:tcBorders>
              <w:top w:val="nil"/>
              <w:left w:val="nil"/>
              <w:bottom w:val="single" w:color="auto" w:sz="4" w:space="0"/>
              <w:right w:val="single" w:color="auto" w:sz="4" w:space="0"/>
            </w:tcBorders>
            <w:shd w:val="clear" w:color="auto" w:fill="auto"/>
            <w:noWrap/>
            <w:vAlign w:val="center"/>
          </w:tcPr>
          <w:p w14:paraId="0997A28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改造车架预装线</w:t>
            </w:r>
          </w:p>
        </w:tc>
        <w:tc>
          <w:tcPr>
            <w:tcW w:w="1134" w:type="dxa"/>
            <w:tcBorders>
              <w:top w:val="nil"/>
              <w:left w:val="nil"/>
              <w:bottom w:val="single" w:color="auto" w:sz="4" w:space="0"/>
              <w:right w:val="single" w:color="auto" w:sz="4" w:space="0"/>
            </w:tcBorders>
            <w:shd w:val="clear" w:color="auto" w:fill="auto"/>
            <w:noWrap/>
            <w:vAlign w:val="center"/>
          </w:tcPr>
          <w:p w14:paraId="6F52CBD6">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58A5CA81">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2BCAC00A">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noWrap/>
            <w:vAlign w:val="center"/>
          </w:tcPr>
          <w:p w14:paraId="0D455B1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延长并调整相关检测控制系统</w:t>
            </w:r>
          </w:p>
        </w:tc>
      </w:tr>
      <w:tr w14:paraId="0FB322EE">
        <w:tblPrEx>
          <w:tblCellMar>
            <w:top w:w="0" w:type="dxa"/>
            <w:left w:w="108" w:type="dxa"/>
            <w:bottom w:w="0" w:type="dxa"/>
            <w:right w:w="108" w:type="dxa"/>
          </w:tblCellMar>
        </w:tblPrEx>
        <w:trPr>
          <w:trHeight w:val="564"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12009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977" w:type="dxa"/>
            <w:tcBorders>
              <w:top w:val="nil"/>
              <w:left w:val="nil"/>
              <w:bottom w:val="single" w:color="auto" w:sz="4" w:space="0"/>
              <w:right w:val="single" w:color="auto" w:sz="4" w:space="0"/>
            </w:tcBorders>
            <w:shd w:val="clear" w:color="auto" w:fill="auto"/>
            <w:noWrap/>
            <w:vAlign w:val="center"/>
          </w:tcPr>
          <w:p w14:paraId="2BF40B6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改造车架ＥＭＳ输送线</w:t>
            </w:r>
          </w:p>
        </w:tc>
        <w:tc>
          <w:tcPr>
            <w:tcW w:w="1134" w:type="dxa"/>
            <w:tcBorders>
              <w:top w:val="nil"/>
              <w:left w:val="nil"/>
              <w:bottom w:val="single" w:color="auto" w:sz="4" w:space="0"/>
              <w:right w:val="single" w:color="auto" w:sz="4" w:space="0"/>
            </w:tcBorders>
            <w:shd w:val="clear" w:color="auto" w:fill="auto"/>
            <w:noWrap/>
            <w:vAlign w:val="center"/>
          </w:tcPr>
          <w:p w14:paraId="1C35228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0928A36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228B20C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vAlign w:val="center"/>
          </w:tcPr>
          <w:p w14:paraId="5A30DD8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更改滑线段口位置、安全网增补、平台加宽、调整完善原程序等</w:t>
            </w:r>
          </w:p>
        </w:tc>
      </w:tr>
      <w:tr w14:paraId="1ABB2DFE">
        <w:tblPrEx>
          <w:tblCellMar>
            <w:top w:w="0" w:type="dxa"/>
            <w:left w:w="108" w:type="dxa"/>
            <w:bottom w:w="0" w:type="dxa"/>
            <w:right w:w="108" w:type="dxa"/>
          </w:tblCellMar>
        </w:tblPrEx>
        <w:trPr>
          <w:trHeight w:val="576" w:hRule="atLeast"/>
          <w:jc w:val="center"/>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58FF32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977" w:type="dxa"/>
            <w:tcBorders>
              <w:top w:val="nil"/>
              <w:left w:val="nil"/>
              <w:bottom w:val="single" w:color="auto" w:sz="4" w:space="0"/>
              <w:right w:val="single" w:color="auto" w:sz="4" w:space="0"/>
            </w:tcBorders>
            <w:shd w:val="clear" w:color="auto" w:fill="auto"/>
            <w:noWrap/>
            <w:vAlign w:val="center"/>
          </w:tcPr>
          <w:p w14:paraId="3909B54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更换车架翻转机</w:t>
            </w:r>
          </w:p>
        </w:tc>
        <w:tc>
          <w:tcPr>
            <w:tcW w:w="1134" w:type="dxa"/>
            <w:tcBorders>
              <w:top w:val="nil"/>
              <w:left w:val="nil"/>
              <w:bottom w:val="single" w:color="auto" w:sz="4" w:space="0"/>
              <w:right w:val="single" w:color="auto" w:sz="4" w:space="0"/>
            </w:tcBorders>
            <w:shd w:val="clear" w:color="auto" w:fill="auto"/>
            <w:noWrap/>
            <w:vAlign w:val="center"/>
          </w:tcPr>
          <w:p w14:paraId="1F4BB41A">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非标定制</w:t>
            </w:r>
          </w:p>
        </w:tc>
        <w:tc>
          <w:tcPr>
            <w:tcW w:w="709" w:type="dxa"/>
            <w:tcBorders>
              <w:top w:val="nil"/>
              <w:left w:val="nil"/>
              <w:bottom w:val="single" w:color="auto" w:sz="4" w:space="0"/>
              <w:right w:val="single" w:color="auto" w:sz="4" w:space="0"/>
            </w:tcBorders>
            <w:shd w:val="clear" w:color="auto" w:fill="auto"/>
            <w:noWrap/>
            <w:vAlign w:val="center"/>
          </w:tcPr>
          <w:p w14:paraId="65D8928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08" w:type="dxa"/>
            <w:tcBorders>
              <w:top w:val="nil"/>
              <w:left w:val="nil"/>
              <w:bottom w:val="single" w:color="auto" w:sz="4" w:space="0"/>
              <w:right w:val="single" w:color="auto" w:sz="4" w:space="0"/>
            </w:tcBorders>
            <w:shd w:val="clear" w:color="auto" w:fill="auto"/>
            <w:noWrap/>
            <w:vAlign w:val="center"/>
          </w:tcPr>
          <w:p w14:paraId="53DAC75A">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828" w:type="dxa"/>
            <w:tcBorders>
              <w:top w:val="nil"/>
              <w:left w:val="nil"/>
              <w:bottom w:val="single" w:color="auto" w:sz="4" w:space="0"/>
              <w:right w:val="single" w:color="auto" w:sz="4" w:space="0"/>
            </w:tcBorders>
            <w:shd w:val="clear" w:color="auto" w:fill="auto"/>
            <w:vAlign w:val="center"/>
          </w:tcPr>
          <w:p w14:paraId="263CCC06">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新增一个主动式翻转机头含皮带等完整部件</w:t>
            </w:r>
          </w:p>
        </w:tc>
      </w:tr>
    </w:tbl>
    <w:p w14:paraId="36048568">
      <w:pPr>
        <w:pStyle w:val="14"/>
      </w:pPr>
    </w:p>
    <w:p w14:paraId="1548C640">
      <w:pPr>
        <w:spacing w:line="360" w:lineRule="auto"/>
        <w:ind w:firstLine="480" w:firstLineChars="200"/>
        <w:rPr>
          <w:rFonts w:ascii="宋体" w:hAnsi="宋体" w:eastAsia="宋体" w:cs="宋体"/>
          <w:sz w:val="24"/>
          <w:szCs w:val="24"/>
        </w:rPr>
      </w:pPr>
      <w:r>
        <w:rPr>
          <w:rFonts w:hint="eastAsia" w:ascii="宋体" w:hAnsi="宋体"/>
          <w:sz w:val="24"/>
          <w:szCs w:val="24"/>
        </w:rPr>
        <w:t>备注：</w:t>
      </w:r>
      <w:r>
        <w:rPr>
          <w:rFonts w:hint="eastAsia" w:ascii="宋体" w:hAnsi="宋体" w:eastAsia="宋体" w:cs="宋体"/>
          <w:sz w:val="24"/>
          <w:szCs w:val="24"/>
        </w:rPr>
        <w:t>本表所列采购货物仅为货物（或生产线）的主要构成部分，应配套供货以及招标方所列其它货物（或设备）和服务，请投标方认真阅读“供货范围”。若有异议，不管是多么微小，都应在投标文件“商务偏离”章节中予以详细说明。本表“供货方式”指：交钥匙方式——包括制造、包装、安装、调试和协助验收以及约定培训等。</w:t>
      </w:r>
    </w:p>
    <w:p w14:paraId="2DEB2D45">
      <w:pPr>
        <w:numPr>
          <w:ilvl w:val="0"/>
          <w:numId w:val="33"/>
        </w:numPr>
        <w:spacing w:line="360" w:lineRule="auto"/>
        <w:ind w:firstLine="480" w:firstLineChars="200"/>
        <w:rPr>
          <w:rFonts w:ascii="宋体" w:hAnsi="宋体" w:eastAsia="宋体" w:cs="宋体"/>
          <w:sz w:val="24"/>
          <w:szCs w:val="24"/>
        </w:rPr>
      </w:pPr>
      <w:bookmarkStart w:id="20" w:name="_Toc44953431"/>
      <w:r>
        <w:rPr>
          <w:rFonts w:hint="eastAsia" w:ascii="宋体" w:hAnsi="宋体" w:eastAsia="宋体" w:cs="宋体"/>
          <w:sz w:val="24"/>
          <w:szCs w:val="24"/>
        </w:rPr>
        <w:t>采购货物特别说明</w:t>
      </w:r>
    </w:p>
    <w:p w14:paraId="60F9BB8A">
      <w:pPr>
        <w:pStyle w:val="62"/>
        <w:numPr>
          <w:ilvl w:val="0"/>
          <w:numId w:val="33"/>
        </w:numPr>
        <w:spacing w:line="360" w:lineRule="auto"/>
        <w:ind w:firstLineChars="0"/>
        <w:rPr>
          <w:rFonts w:ascii="宋体" w:hAnsi="宋体" w:eastAsia="宋体" w:cs="宋体"/>
          <w:sz w:val="24"/>
          <w:szCs w:val="24"/>
        </w:rPr>
      </w:pPr>
      <w:r>
        <w:rPr>
          <w:rFonts w:hint="eastAsia" w:ascii="宋体" w:hAnsi="宋体" w:eastAsia="宋体" w:cs="宋体"/>
          <w:sz w:val="24"/>
          <w:szCs w:val="24"/>
        </w:rPr>
        <w:t>招标方所列货物的名称和规格型号，如为某一供应商所特有，则该名称和规格型号可作参考；但要求投标方所提供的货物必须满足本技术标书实质性要求。</w:t>
      </w:r>
    </w:p>
    <w:p w14:paraId="64AD745B">
      <w:pPr>
        <w:spacing w:line="360" w:lineRule="auto"/>
        <w:ind w:firstLine="480" w:firstLineChars="200"/>
        <w:rPr>
          <w:rFonts w:ascii="宋体" w:hAnsi="宋体"/>
          <w:sz w:val="24"/>
          <w:szCs w:val="24"/>
        </w:rPr>
      </w:pPr>
      <w:r>
        <w:rPr>
          <w:rFonts w:hint="eastAsia" w:ascii="宋体" w:hAnsi="宋体"/>
          <w:sz w:val="24"/>
          <w:szCs w:val="24"/>
        </w:rPr>
        <w:t>2.2交货地点：济南轻卡制造公司</w:t>
      </w:r>
    </w:p>
    <w:p w14:paraId="06044C30">
      <w:pPr>
        <w:spacing w:line="360" w:lineRule="auto"/>
        <w:ind w:firstLine="480" w:firstLineChars="200"/>
        <w:rPr>
          <w:rFonts w:ascii="宋体" w:hAnsi="宋体"/>
          <w:sz w:val="24"/>
          <w:szCs w:val="24"/>
        </w:rPr>
      </w:pPr>
      <w:r>
        <w:rPr>
          <w:rFonts w:hint="eastAsia" w:ascii="宋体" w:hAnsi="宋体"/>
          <w:sz w:val="24"/>
          <w:szCs w:val="24"/>
        </w:rPr>
        <w:t>2.3交货期： 中标后3</w:t>
      </w:r>
      <w:r>
        <w:rPr>
          <w:rFonts w:ascii="宋体" w:hAnsi="宋体"/>
          <w:sz w:val="24"/>
          <w:szCs w:val="24"/>
        </w:rPr>
        <w:t>0</w:t>
      </w:r>
      <w:r>
        <w:rPr>
          <w:rFonts w:hint="eastAsia" w:ascii="宋体" w:hAnsi="宋体"/>
          <w:sz w:val="24"/>
          <w:szCs w:val="24"/>
        </w:rPr>
        <w:t>天</w:t>
      </w:r>
    </w:p>
    <w:p w14:paraId="509D29CA">
      <w:pPr>
        <w:pStyle w:val="2"/>
        <w:tabs>
          <w:tab w:val="left" w:pos="2400"/>
        </w:tabs>
        <w:spacing w:after="156" w:line="360" w:lineRule="auto"/>
        <w:jc w:val="both"/>
        <w:rPr>
          <w:rFonts w:ascii="仿宋_GB2312" w:hAnsi="宋体" w:eastAsia="仿宋_GB2312"/>
          <w:sz w:val="32"/>
          <w:szCs w:val="32"/>
        </w:rPr>
      </w:pPr>
      <w:r>
        <w:rPr>
          <w:rFonts w:hint="eastAsia" w:ascii="仿宋_GB2312" w:hAnsi="宋体" w:eastAsia="仿宋_GB2312"/>
          <w:sz w:val="32"/>
          <w:szCs w:val="32"/>
        </w:rPr>
        <w:t>二、通用要求</w:t>
      </w:r>
      <w:bookmarkEnd w:id="20"/>
    </w:p>
    <w:p w14:paraId="7CF013AD">
      <w:pPr>
        <w:spacing w:line="440" w:lineRule="exact"/>
        <w:rPr>
          <w:rFonts w:ascii="宋体" w:hAnsi="宋体" w:eastAsia="宋体" w:cs="宋体"/>
          <w:b/>
          <w:sz w:val="24"/>
          <w:szCs w:val="24"/>
        </w:rPr>
      </w:pPr>
      <w:r>
        <w:rPr>
          <w:rFonts w:ascii="宋体" w:hAnsi="宋体"/>
          <w:bCs/>
          <w:sz w:val="24"/>
          <w:szCs w:val="24"/>
        </w:rPr>
        <w:t>1</w:t>
      </w:r>
      <w:r>
        <w:rPr>
          <w:rFonts w:hint="eastAsia" w:ascii="宋体" w:hAnsi="宋体" w:eastAsia="宋体" w:cs="宋体"/>
          <w:b/>
          <w:sz w:val="24"/>
          <w:szCs w:val="24"/>
        </w:rPr>
        <w:t>基本要求</w:t>
      </w:r>
    </w:p>
    <w:p w14:paraId="35156CF1">
      <w:pPr>
        <w:pStyle w:val="12"/>
        <w:spacing w:after="0" w:line="440" w:lineRule="exact"/>
        <w:ind w:left="0" w:leftChars="0" w:firstLine="480" w:firstLineChars="200"/>
        <w:rPr>
          <w:rFonts w:ascii="宋体" w:hAnsi="宋体" w:cs="宋体"/>
          <w:sz w:val="24"/>
          <w:szCs w:val="24"/>
        </w:rPr>
      </w:pPr>
      <w:r>
        <w:rPr>
          <w:rFonts w:hint="eastAsia" w:ascii="宋体" w:hAnsi="宋体" w:cs="宋体"/>
          <w:sz w:val="24"/>
          <w:szCs w:val="24"/>
        </w:rPr>
        <w:t>1</w:t>
      </w:r>
      <w:r>
        <w:rPr>
          <w:rFonts w:ascii="宋体" w:hAnsi="宋体" w:cs="宋体"/>
          <w:sz w:val="24"/>
          <w:szCs w:val="24"/>
        </w:rPr>
        <w:t>.1</w:t>
      </w:r>
      <w:r>
        <w:rPr>
          <w:rFonts w:hint="eastAsia" w:ascii="宋体" w:hAnsi="宋体" w:cs="宋体"/>
          <w:sz w:val="24"/>
          <w:szCs w:val="24"/>
        </w:rPr>
        <w:t>、本技术要求，仅对功能、设计、结构、性能、安装和试验检验等方面，提出了最低和一般性的技术要求，并未对一切技术细节作出规定。</w:t>
      </w:r>
    </w:p>
    <w:p w14:paraId="1D4721FB">
      <w:pPr>
        <w:pStyle w:val="12"/>
        <w:spacing w:after="0" w:line="440" w:lineRule="exact"/>
        <w:ind w:left="0" w:leftChars="0"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2、本技术要求所使用的标准、规范等，如与投标方所执行的标准、规范不一致时，应按高于本技术要求所列的标准、规范执行。</w:t>
      </w:r>
    </w:p>
    <w:p w14:paraId="09C93404">
      <w:pPr>
        <w:spacing w:line="44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3、投标方认为所供货物（或生产线）必需由招标方配备、解决或提供的其它要求，如设备基础隔振和减振设施、软化水、洁净气源等，均应在投标文件“技术偏离”中予以充分说明。</w:t>
      </w:r>
    </w:p>
    <w:p w14:paraId="21F4CBCE">
      <w:pPr>
        <w:spacing w:line="44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w:t>
      </w:r>
      <w:r>
        <w:rPr>
          <w:rFonts w:hint="eastAsia" w:ascii="宋体" w:hAnsi="宋体" w:eastAsia="宋体" w:cs="宋体"/>
          <w:b/>
          <w:bCs/>
          <w:sz w:val="24"/>
          <w:szCs w:val="24"/>
        </w:rPr>
        <w:t>解释、说明和要求</w:t>
      </w:r>
      <w:r>
        <w:rPr>
          <w:rFonts w:hint="eastAsia" w:ascii="宋体" w:hAnsi="宋体" w:eastAsia="宋体" w:cs="宋体"/>
          <w:sz w:val="24"/>
          <w:szCs w:val="24"/>
        </w:rPr>
        <w:t>。</w:t>
      </w:r>
    </w:p>
    <w:p w14:paraId="4B21B1D4">
      <w:pPr>
        <w:pStyle w:val="12"/>
        <w:spacing w:after="0" w:line="440" w:lineRule="exact"/>
        <w:ind w:left="0" w:leftChars="0"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5、无论是否有技术偏离，投标方均应在投标文件“技术偏离”中明确作出有无说明。若有异议，不管是多么微小，投标方必须予以明确和详细的说明或澄清。</w:t>
      </w:r>
    </w:p>
    <w:p w14:paraId="247617DD">
      <w:pPr>
        <w:spacing w:line="44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6、为避免投标方优势在招标评审时漏项，质保期超出本技术标书要求的，应当在投标文件“技术偏离”中特别注明。</w:t>
      </w:r>
    </w:p>
    <w:p w14:paraId="7158F5E7">
      <w:pPr>
        <w:spacing w:line="44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7、投标文件中，针对“特别提示”条款所做的回应，将作为投标方能否中标的重要依据之一。</w:t>
      </w:r>
    </w:p>
    <w:p w14:paraId="0B9F232D">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8</w:t>
      </w:r>
      <w:r>
        <w:rPr>
          <w:rFonts w:hint="eastAsia" w:ascii="宋体" w:hAnsi="宋体" w:eastAsia="宋体" w:cs="宋体"/>
          <w:sz w:val="24"/>
          <w:szCs w:val="24"/>
        </w:rPr>
        <w:t>投标方所供的货物（或生产线），必须符合中国最新版的法律、法规和相关标准、规范的要求，符合项目所在地政府有关特殊要求。</w:t>
      </w:r>
    </w:p>
    <w:p w14:paraId="651C389F">
      <w:pPr>
        <w:spacing w:line="440" w:lineRule="exact"/>
        <w:ind w:firstLine="480" w:firstLineChars="200"/>
        <w:rPr>
          <w:rFonts w:ascii="宋体" w:hAnsi="宋体" w:eastAsia="宋体" w:cs="宋体"/>
          <w:sz w:val="24"/>
          <w:szCs w:val="24"/>
        </w:rPr>
      </w:pPr>
      <w:r>
        <w:rPr>
          <w:rFonts w:ascii="宋体" w:hAnsi="宋体" w:eastAsia="宋体" w:cs="宋体"/>
          <w:sz w:val="24"/>
          <w:szCs w:val="24"/>
        </w:rPr>
        <w:t>1.9</w:t>
      </w:r>
      <w:r>
        <w:rPr>
          <w:rFonts w:hint="eastAsia" w:ascii="宋体" w:hAnsi="宋体" w:eastAsia="宋体" w:cs="宋体"/>
          <w:sz w:val="24"/>
          <w:szCs w:val="24"/>
        </w:rPr>
        <w:t>投标方所供货物（或生产线）涉及的专利权技术以及知识产权保护的其它技术等，应保证招标方不因此受到任何侵权指控以及实际损失。</w:t>
      </w:r>
    </w:p>
    <w:p w14:paraId="37BE7543">
      <w:pPr>
        <w:spacing w:line="440" w:lineRule="exact"/>
        <w:ind w:firstLine="480" w:firstLineChars="200"/>
        <w:rPr>
          <w:rFonts w:ascii="宋体" w:hAnsi="宋体" w:eastAsia="宋体" w:cs="宋体"/>
          <w:sz w:val="24"/>
          <w:szCs w:val="24"/>
        </w:rPr>
      </w:pPr>
      <w:r>
        <w:rPr>
          <w:rFonts w:ascii="宋体" w:hAnsi="宋体" w:eastAsia="宋体" w:cs="宋体"/>
          <w:sz w:val="24"/>
          <w:szCs w:val="24"/>
        </w:rPr>
        <w:t>1.10</w:t>
      </w:r>
      <w:r>
        <w:rPr>
          <w:rFonts w:hint="eastAsia" w:ascii="宋体" w:hAnsi="宋体" w:eastAsia="宋体" w:cs="宋体"/>
          <w:sz w:val="24"/>
          <w:szCs w:val="24"/>
        </w:rPr>
        <w:t>投标方应保证所供货物（或生产线）的先进性、可靠性、经济性和实用性，并为全新货物（或设备）。</w:t>
      </w:r>
    </w:p>
    <w:p w14:paraId="790CD6C3">
      <w:pPr>
        <w:spacing w:line="440" w:lineRule="exact"/>
        <w:ind w:firstLine="480" w:firstLineChars="200"/>
        <w:rPr>
          <w:rFonts w:ascii="宋体" w:hAnsi="宋体" w:eastAsia="宋体" w:cs="宋体"/>
          <w:sz w:val="24"/>
          <w:szCs w:val="24"/>
        </w:rPr>
      </w:pPr>
      <w:r>
        <w:rPr>
          <w:rFonts w:ascii="宋体" w:hAnsi="宋体" w:eastAsia="宋体" w:cs="宋体"/>
          <w:sz w:val="24"/>
          <w:szCs w:val="24"/>
        </w:rPr>
        <w:t>1.11</w:t>
      </w:r>
      <w:r>
        <w:rPr>
          <w:rFonts w:hint="eastAsia" w:ascii="宋体" w:hAnsi="宋体" w:eastAsia="宋体" w:cs="宋体"/>
          <w:sz w:val="24"/>
          <w:szCs w:val="24"/>
        </w:rPr>
        <w:t>投标方应满足招标方提出的各项技术要求，必要时应当免费提供技术承诺或担保。</w:t>
      </w:r>
    </w:p>
    <w:p w14:paraId="0BDA024D">
      <w:pPr>
        <w:spacing w:line="440" w:lineRule="exact"/>
        <w:ind w:firstLine="480" w:firstLineChars="200"/>
        <w:rPr>
          <w:rFonts w:ascii="宋体" w:hAnsi="宋体" w:eastAsia="宋体" w:cs="宋体"/>
          <w:sz w:val="24"/>
          <w:szCs w:val="24"/>
        </w:rPr>
      </w:pPr>
      <w:r>
        <w:rPr>
          <w:rFonts w:ascii="宋体" w:hAnsi="宋体" w:eastAsia="宋体" w:cs="宋体"/>
          <w:sz w:val="24"/>
          <w:szCs w:val="24"/>
        </w:rPr>
        <w:t>1.12</w:t>
      </w:r>
      <w:r>
        <w:rPr>
          <w:rFonts w:hint="eastAsia" w:ascii="宋体" w:hAnsi="宋体" w:eastAsia="宋体" w:cs="宋体"/>
          <w:sz w:val="24"/>
          <w:szCs w:val="24"/>
        </w:rPr>
        <w:t>投标方应保证所供货物（或设备）为中国公布的非淘汰货物（或设备），并为中国指定或规定的主管部门认可的环保型和节能型货物（或设备）。</w:t>
      </w:r>
    </w:p>
    <w:p w14:paraId="11386303">
      <w:pPr>
        <w:spacing w:line="440" w:lineRule="exact"/>
        <w:ind w:firstLine="480" w:firstLineChars="200"/>
        <w:rPr>
          <w:rFonts w:ascii="宋体" w:hAnsi="宋体" w:eastAsia="宋体" w:cs="宋体"/>
          <w:sz w:val="24"/>
          <w:szCs w:val="24"/>
        </w:rPr>
      </w:pPr>
      <w:r>
        <w:rPr>
          <w:rFonts w:ascii="宋体" w:hAnsi="宋体" w:eastAsia="宋体" w:cs="宋体"/>
          <w:sz w:val="24"/>
          <w:szCs w:val="24"/>
        </w:rPr>
        <w:t>1.13</w:t>
      </w:r>
      <w:r>
        <w:rPr>
          <w:rFonts w:hint="eastAsia" w:ascii="宋体" w:hAnsi="宋体" w:eastAsia="宋体" w:cs="宋体"/>
          <w:sz w:val="24"/>
          <w:szCs w:val="24"/>
        </w:rPr>
        <w:t>投标方应保证所供货物（或生产线）的完整性和成套性，能保证货物（或生产线）的正常运行、使用。</w:t>
      </w:r>
    </w:p>
    <w:p w14:paraId="7763B861">
      <w:pPr>
        <w:spacing w:line="440" w:lineRule="exact"/>
        <w:ind w:firstLine="480" w:firstLineChars="200"/>
        <w:rPr>
          <w:rFonts w:ascii="宋体" w:hAnsi="宋体" w:eastAsia="宋体" w:cs="宋体"/>
          <w:sz w:val="24"/>
          <w:szCs w:val="24"/>
        </w:rPr>
      </w:pPr>
      <w:r>
        <w:rPr>
          <w:rFonts w:ascii="宋体" w:hAnsi="宋体" w:eastAsia="宋体" w:cs="宋体"/>
          <w:sz w:val="24"/>
          <w:szCs w:val="24"/>
        </w:rPr>
        <w:t>1.14</w:t>
      </w:r>
      <w:r>
        <w:rPr>
          <w:rFonts w:hint="eastAsia" w:ascii="宋体" w:hAnsi="宋体" w:eastAsia="宋体" w:cs="宋体"/>
          <w:sz w:val="24"/>
          <w:szCs w:val="24"/>
        </w:rPr>
        <w:t>投标方应对招标方采购的货物（或生产线）所涉及的技术、产能等信息负有保密义务，招标方拥有追究投标方泄密责任的权利；招标方如有需要，投标方应无条件签署保密协议。</w:t>
      </w:r>
    </w:p>
    <w:p w14:paraId="02FAE9AF">
      <w:pPr>
        <w:spacing w:line="480" w:lineRule="exact"/>
        <w:ind w:firstLine="480" w:firstLineChars="200"/>
        <w:rPr>
          <w:rFonts w:ascii="宋体" w:hAnsi="宋体" w:eastAsia="宋体" w:cs="宋体"/>
          <w:sz w:val="24"/>
          <w:szCs w:val="24"/>
        </w:rPr>
      </w:pPr>
      <w:r>
        <w:rPr>
          <w:rFonts w:ascii="宋体" w:hAnsi="宋体" w:eastAsia="宋体" w:cs="宋体"/>
          <w:sz w:val="24"/>
          <w:szCs w:val="24"/>
        </w:rPr>
        <w:t>1.15</w:t>
      </w:r>
      <w:r>
        <w:rPr>
          <w:rFonts w:hint="eastAsia" w:ascii="宋体" w:hAnsi="宋体" w:eastAsia="宋体" w:cs="宋体"/>
          <w:sz w:val="24"/>
          <w:szCs w:val="24"/>
        </w:rPr>
        <w:t>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14:paraId="324CD847">
      <w:pPr>
        <w:spacing w:line="360" w:lineRule="auto"/>
        <w:ind w:firstLine="480" w:firstLineChars="200"/>
        <w:rPr>
          <w:rFonts w:ascii="宋体" w:hAnsi="宋体" w:eastAsia="宋体" w:cs="宋体"/>
          <w:sz w:val="24"/>
          <w:szCs w:val="24"/>
        </w:rPr>
      </w:pPr>
      <w:r>
        <w:rPr>
          <w:rFonts w:ascii="宋体" w:hAnsi="宋体" w:eastAsia="宋体" w:cs="宋体"/>
          <w:sz w:val="24"/>
          <w:szCs w:val="24"/>
        </w:rPr>
        <w:t>1.16</w:t>
      </w:r>
      <w:r>
        <w:rPr>
          <w:rFonts w:hint="eastAsia" w:ascii="宋体" w:hAnsi="宋体" w:eastAsia="宋体" w:cs="宋体"/>
          <w:sz w:val="24"/>
          <w:szCs w:val="24"/>
        </w:rPr>
        <w:t>投标方应提供有关备品备件的保管资料，如：存放期限、温度、湿度、是否需干燥剂等。</w:t>
      </w:r>
    </w:p>
    <w:p w14:paraId="33AD3587">
      <w:pPr>
        <w:spacing w:line="440" w:lineRule="exact"/>
        <w:rPr>
          <w:rFonts w:ascii="宋体" w:hAnsi="宋体" w:eastAsia="宋体" w:cs="宋体"/>
          <w:b/>
          <w:sz w:val="24"/>
          <w:szCs w:val="24"/>
        </w:rPr>
      </w:pPr>
      <w:r>
        <w:rPr>
          <w:rFonts w:hint="eastAsia" w:ascii="宋体" w:hAnsi="宋体" w:eastAsia="宋体" w:cs="宋体"/>
          <w:b/>
          <w:sz w:val="24"/>
          <w:szCs w:val="24"/>
        </w:rPr>
        <w:t>2、执行标准</w:t>
      </w:r>
    </w:p>
    <w:p w14:paraId="17FFC968">
      <w:pPr>
        <w:spacing w:line="44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3F355B13">
      <w:pPr>
        <w:spacing w:line="44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2、投标方需要执行的标准，应当采用所供货物（或生产线）通过招标方组织的最终验收之日已经开始执行的最新标准。</w:t>
      </w:r>
    </w:p>
    <w:p w14:paraId="0AF9CA55">
      <w:pPr>
        <w:spacing w:line="44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3、采购货物（或生产线）的产品质量、技术标准如在招投标文件中无相应说明，则按中华人民共和国有关部门颁发的最新的国标或专业（部）标准执行及相应的国际标准。</w:t>
      </w:r>
    </w:p>
    <w:p w14:paraId="74EC99BD">
      <w:pPr>
        <w:spacing w:line="44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4、采购货物（或生产线）没有国家或专业（部）标准的，按企业标准执行时，投标方应在合同签署之前，将所涉及的企业标准提供给招标方确认。</w:t>
      </w:r>
    </w:p>
    <w:p w14:paraId="5084D99F">
      <w:pPr>
        <w:spacing w:line="44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5、采购货物（或生产线）如果采用国际标准，其执行标准由投标方提供、招标方确认。</w:t>
      </w:r>
    </w:p>
    <w:p w14:paraId="182E0A05">
      <w:pPr>
        <w:pStyle w:val="14"/>
      </w:pPr>
      <w:r>
        <w:rPr>
          <w:rFonts w:hAnsi="宋体" w:eastAsia="宋体" w:cs="宋体"/>
          <w:sz w:val="24"/>
          <w:szCs w:val="24"/>
        </w:rPr>
        <w:t>2.</w:t>
      </w:r>
      <w:r>
        <w:rPr>
          <w:rFonts w:hint="eastAsia" w:hAnsi="宋体" w:eastAsia="宋体" w:cs="宋体"/>
          <w:sz w:val="24"/>
          <w:szCs w:val="24"/>
        </w:rPr>
        <w:t>6、采购货物（或生产线）所涉及的标准不统一时，原则上按照最严格标准执行。</w:t>
      </w:r>
    </w:p>
    <w:p w14:paraId="2ACE6980">
      <w:pPr>
        <w:spacing w:line="360" w:lineRule="auto"/>
        <w:ind w:firstLine="482" w:firstLineChars="200"/>
        <w:rPr>
          <w:rFonts w:ascii="宋体" w:hAnsi="宋体"/>
          <w:b/>
          <w:bCs/>
          <w:sz w:val="24"/>
          <w:szCs w:val="24"/>
        </w:rPr>
      </w:pPr>
      <w:r>
        <w:rPr>
          <w:rFonts w:ascii="宋体" w:hAnsi="宋体"/>
          <w:b/>
          <w:bCs/>
          <w:sz w:val="24"/>
          <w:szCs w:val="24"/>
        </w:rPr>
        <w:t>3</w:t>
      </w:r>
      <w:r>
        <w:rPr>
          <w:rFonts w:hint="eastAsia" w:ascii="宋体" w:hAnsi="宋体"/>
          <w:b/>
          <w:bCs/>
          <w:sz w:val="24"/>
          <w:szCs w:val="24"/>
        </w:rPr>
        <w:t>、节能</w:t>
      </w:r>
    </w:p>
    <w:p w14:paraId="1F17653C">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.1 优先采购节能产品和环境标志产品。可参照节能机电设备（产品）推荐目录（工信部）、“能效之星”产品目录（工信部）。</w:t>
      </w:r>
    </w:p>
    <w:p w14:paraId="44C722F1">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.2 建议电动机等部件的能效等级不低于国家现行标准二级能效。进口产品的能效不应低于原产国现行能效标准二级能效。如：对应欧洲标准电动机的能效等级不低于IE3。</w:t>
      </w:r>
    </w:p>
    <w:p w14:paraId="143A50AE">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.3 不应采购列入国家高耗能落后机电设备（产品）淘汰目录的产品（工信部）</w:t>
      </w:r>
    </w:p>
    <w:p w14:paraId="2BC42FCA">
      <w:pPr>
        <w:spacing w:line="360" w:lineRule="auto"/>
        <w:ind w:firstLine="482" w:firstLineChars="200"/>
        <w:rPr>
          <w:rFonts w:ascii="宋体" w:hAnsi="宋体"/>
          <w:b/>
          <w:bCs/>
          <w:sz w:val="24"/>
          <w:szCs w:val="24"/>
        </w:rPr>
      </w:pPr>
      <w:r>
        <w:rPr>
          <w:rFonts w:ascii="宋体" w:hAnsi="宋体"/>
          <w:b/>
          <w:bCs/>
          <w:sz w:val="24"/>
          <w:szCs w:val="24"/>
        </w:rPr>
        <w:t>4</w:t>
      </w:r>
      <w:r>
        <w:rPr>
          <w:rFonts w:hint="eastAsia" w:ascii="宋体" w:hAnsi="宋体"/>
          <w:b/>
          <w:bCs/>
          <w:sz w:val="24"/>
          <w:szCs w:val="24"/>
        </w:rPr>
        <w:t>、设备设计使用寿命（年限）</w:t>
      </w:r>
    </w:p>
    <w:p w14:paraId="44E5634E">
      <w:pPr>
        <w:spacing w:line="360" w:lineRule="auto"/>
        <w:ind w:firstLine="480" w:firstLineChars="200"/>
        <w:rPr>
          <w:rFonts w:ascii="宋体" w:hAnsi="宋体"/>
          <w:sz w:val="24"/>
          <w:szCs w:val="24"/>
        </w:rPr>
      </w:pPr>
      <w:r>
        <w:rPr>
          <w:rFonts w:hint="eastAsia" w:ascii="宋体" w:hAnsi="宋体"/>
          <w:sz w:val="24"/>
          <w:szCs w:val="24"/>
        </w:rPr>
        <w:t>设备设计使用寿命不应低于10年。</w:t>
      </w:r>
    </w:p>
    <w:p w14:paraId="6BC34CD3">
      <w:pPr>
        <w:spacing w:line="360" w:lineRule="auto"/>
        <w:ind w:firstLine="482" w:firstLineChars="200"/>
        <w:rPr>
          <w:rFonts w:ascii="宋体" w:hAnsi="宋体"/>
          <w:b/>
          <w:bCs/>
          <w:sz w:val="24"/>
          <w:szCs w:val="24"/>
        </w:rPr>
      </w:pPr>
      <w:r>
        <w:rPr>
          <w:rFonts w:ascii="宋体" w:hAnsi="宋体"/>
          <w:b/>
          <w:bCs/>
          <w:sz w:val="24"/>
          <w:szCs w:val="24"/>
        </w:rPr>
        <w:t>5</w:t>
      </w:r>
      <w:r>
        <w:rPr>
          <w:rFonts w:hint="eastAsia" w:ascii="宋体" w:hAnsi="宋体"/>
          <w:b/>
          <w:bCs/>
          <w:sz w:val="24"/>
          <w:szCs w:val="24"/>
        </w:rPr>
        <w:t>、易维修性</w:t>
      </w:r>
    </w:p>
    <w:p w14:paraId="760796E7">
      <w:pPr>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.1 投标方对设备可维修性进行描述，设备在设计、制造、布局、安装时应充分考虑了后续维修的易维修性、可修复性和维修作业的安全、可操作性。</w:t>
      </w:r>
    </w:p>
    <w:p w14:paraId="681E7E9D">
      <w:pPr>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.2 在正式提交的设备资料中应当包含设备的维修作业文件。</w:t>
      </w:r>
    </w:p>
    <w:p w14:paraId="2BBDB31B">
      <w:pPr>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.3 投标方在投标文件中应说明设备在维保方面的信息，包含但不限于：易损件清单、耗材清单、定期维保项目清单等，上述清单应包含单价。</w:t>
      </w:r>
    </w:p>
    <w:p w14:paraId="38DDC525">
      <w:pPr>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投标方所供设备（或材料），必须符合中国最新版的法律、法规和相关标准、规范的要求，符合项目所在地政府有关特殊要求；</w:t>
      </w:r>
    </w:p>
    <w:p w14:paraId="4FB78DB5">
      <w:pPr>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投标方应对招标方提出的各项技术要求同意进行技术（担保）承诺，并保证招标方不因此受到任何侵权指控和实际损失；</w:t>
      </w:r>
    </w:p>
    <w:p w14:paraId="18A8A659">
      <w:pPr>
        <w:spacing w:line="360" w:lineRule="auto"/>
        <w:ind w:firstLine="480" w:firstLineChars="200"/>
        <w:rPr>
          <w:rFonts w:ascii="宋体" w:hAnsi="宋体"/>
          <w:sz w:val="24"/>
          <w:szCs w:val="24"/>
        </w:rPr>
      </w:pPr>
      <w:r>
        <w:rPr>
          <w:rFonts w:ascii="宋体" w:hAnsi="宋体"/>
          <w:sz w:val="24"/>
          <w:szCs w:val="24"/>
        </w:rPr>
        <w:t>8.</w:t>
      </w:r>
      <w:r>
        <w:rPr>
          <w:rFonts w:hint="eastAsia" w:ascii="宋体" w:hAnsi="宋体"/>
          <w:sz w:val="24"/>
          <w:szCs w:val="24"/>
        </w:rPr>
        <w:t>投标方应保证所供设备（或材料）的先进性、可靠性、经济性和实用性，并为全新设备（或材料）；</w:t>
      </w:r>
    </w:p>
    <w:p w14:paraId="342EC1C3">
      <w:pPr>
        <w:spacing w:line="360" w:lineRule="auto"/>
        <w:ind w:firstLine="480" w:firstLineChars="200"/>
        <w:rPr>
          <w:rFonts w:ascii="宋体" w:hAnsi="宋体"/>
          <w:sz w:val="24"/>
          <w:szCs w:val="24"/>
        </w:rPr>
      </w:pPr>
      <w:r>
        <w:rPr>
          <w:rFonts w:hint="eastAsia" w:ascii="宋体" w:hAnsi="宋体"/>
          <w:sz w:val="24"/>
          <w:szCs w:val="24"/>
        </w:rPr>
        <w:t>9</w:t>
      </w:r>
      <w:r>
        <w:rPr>
          <w:rFonts w:ascii="宋体" w:hAnsi="宋体"/>
          <w:sz w:val="24"/>
          <w:szCs w:val="24"/>
        </w:rPr>
        <w:t>.</w:t>
      </w:r>
      <w:r>
        <w:rPr>
          <w:rFonts w:hint="eastAsia" w:ascii="宋体" w:hAnsi="宋体"/>
          <w:sz w:val="24"/>
          <w:szCs w:val="24"/>
        </w:rPr>
        <w:t>投标方应提供与设备设计、制造、安装相关的国家、行业的标准，标准应为有效的。设备制造、安装调试、检验和验收按下列标准、规范、规程等技术文件执行。若中标方厂标高于所述标准时优先选用厂家标准。</w:t>
      </w:r>
    </w:p>
    <w:p w14:paraId="66C506F7">
      <w:pPr>
        <w:spacing w:line="360" w:lineRule="auto"/>
        <w:ind w:firstLine="480" w:firstLineChars="200"/>
        <w:rPr>
          <w:rFonts w:hint="eastAsia" w:ascii="宋体" w:hAnsi="宋体"/>
          <w:sz w:val="24"/>
          <w:szCs w:val="24"/>
        </w:rPr>
      </w:pPr>
      <w:r>
        <w:rPr>
          <w:rFonts w:hint="eastAsia" w:ascii="宋体" w:hAnsi="宋体"/>
          <w:sz w:val="24"/>
          <w:szCs w:val="24"/>
        </w:rPr>
        <w:t>1</w:t>
      </w:r>
      <w:r>
        <w:rPr>
          <w:rFonts w:ascii="宋体" w:hAnsi="宋体"/>
          <w:sz w:val="24"/>
          <w:szCs w:val="24"/>
        </w:rPr>
        <w:t>0.</w:t>
      </w:r>
      <w:r>
        <w:rPr>
          <w:rFonts w:hint="eastAsia" w:ascii="宋体" w:hAnsi="宋体"/>
          <w:sz w:val="24"/>
          <w:szCs w:val="24"/>
        </w:rPr>
        <w:t>设备颜色标识满足重汽《设备设施颜色标识》标准Q/ZZ 30070-2020。</w:t>
      </w:r>
    </w:p>
    <w:bookmarkEnd w:id="19"/>
    <w:p w14:paraId="1730853F">
      <w:pPr>
        <w:pStyle w:val="2"/>
        <w:tabs>
          <w:tab w:val="left" w:pos="2400"/>
        </w:tabs>
        <w:spacing w:after="156" w:line="360" w:lineRule="auto"/>
        <w:jc w:val="both"/>
        <w:rPr>
          <w:rFonts w:ascii="宋体" w:hAnsi="宋体"/>
          <w:sz w:val="24"/>
        </w:rPr>
      </w:pPr>
      <w:bookmarkStart w:id="21" w:name="_Toc44953432"/>
      <w:bookmarkStart w:id="22" w:name="_Toc159998021"/>
      <w:r>
        <w:rPr>
          <w:rFonts w:hint="eastAsia" w:ascii="宋体" w:hAnsi="宋体"/>
          <w:sz w:val="24"/>
        </w:rPr>
        <w:t>三、技术要求</w:t>
      </w:r>
      <w:bookmarkEnd w:id="21"/>
      <w:bookmarkEnd w:id="22"/>
    </w:p>
    <w:p w14:paraId="48AE0E5D">
      <w:pPr>
        <w:spacing w:line="360" w:lineRule="auto"/>
        <w:ind w:firstLine="482" w:firstLineChars="200"/>
        <w:rPr>
          <w:rFonts w:ascii="宋体" w:hAnsi="宋体"/>
          <w:b/>
          <w:bCs/>
          <w:sz w:val="24"/>
          <w:szCs w:val="24"/>
        </w:rPr>
      </w:pPr>
      <w:r>
        <w:rPr>
          <w:rFonts w:hint="eastAsia" w:ascii="宋体" w:hAnsi="宋体"/>
          <w:b/>
          <w:bCs/>
          <w:sz w:val="24"/>
          <w:szCs w:val="24"/>
        </w:rPr>
        <w:t>1.项目内容：</w:t>
      </w:r>
    </w:p>
    <w:p w14:paraId="4CE5A63F">
      <w:pPr>
        <w:spacing w:line="360" w:lineRule="auto"/>
        <w:ind w:firstLine="480" w:firstLineChars="200"/>
        <w:jc w:val="left"/>
        <w:rPr>
          <w:rFonts w:ascii="宋体" w:hAnsi="宋体"/>
          <w:sz w:val="24"/>
          <w:szCs w:val="24"/>
        </w:rPr>
      </w:pPr>
      <w:r>
        <w:rPr>
          <w:rFonts w:hint="eastAsia" w:ascii="宋体" w:hAnsi="宋体"/>
          <w:sz w:val="24"/>
          <w:szCs w:val="24"/>
        </w:rPr>
        <w:t>本项目的总体设计和项目管理，提供以下供货范围涉及的所有具体设计、项目管理、制造、包装、运输、存储、安装、调试、培训、试生产、验收、生产陪伴及售后服务等工作。</w:t>
      </w:r>
    </w:p>
    <w:p w14:paraId="3F2DD75E">
      <w:pPr>
        <w:spacing w:line="360" w:lineRule="auto"/>
        <w:ind w:firstLine="482" w:firstLineChars="200"/>
        <w:rPr>
          <w:rFonts w:ascii="宋体" w:hAnsi="宋体"/>
          <w:b/>
          <w:bCs/>
          <w:sz w:val="24"/>
          <w:szCs w:val="24"/>
        </w:rPr>
      </w:pPr>
      <w:r>
        <w:rPr>
          <w:rFonts w:ascii="宋体" w:hAnsi="宋体"/>
          <w:b/>
          <w:bCs/>
          <w:sz w:val="24"/>
          <w:szCs w:val="24"/>
        </w:rPr>
        <w:t>2</w:t>
      </w:r>
      <w:r>
        <w:rPr>
          <w:rFonts w:hint="eastAsia" w:ascii="宋体" w:hAnsi="宋体"/>
          <w:b/>
          <w:bCs/>
          <w:sz w:val="24"/>
          <w:szCs w:val="24"/>
        </w:rPr>
        <w:t>方案</w:t>
      </w:r>
    </w:p>
    <w:p w14:paraId="7182CCF1">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1、ＴＸ前围助力机械手</w:t>
      </w:r>
    </w:p>
    <w:p w14:paraId="612E0C1F">
      <w:pPr>
        <w:spacing w:line="360" w:lineRule="auto"/>
        <w:ind w:firstLine="480" w:firstLineChars="200"/>
        <w:rPr>
          <w:rFonts w:ascii="宋体" w:hAnsi="宋体"/>
          <w:sz w:val="24"/>
          <w:szCs w:val="24"/>
        </w:rPr>
      </w:pPr>
      <w:r>
        <w:rPr>
          <w:rFonts w:hint="eastAsia" w:ascii="宋体" w:hAnsi="宋体"/>
          <w:sz w:val="24"/>
          <w:szCs w:val="24"/>
        </w:rPr>
        <w:t>总装车间新增1套前围助力机械手。目前现场无此设备，设备安装于总装内饰一线北侧工艺吊架，需对工艺吊架进行钢结构加固，加装机械手小车滑动轨道，借用现有气压接口实现前围机械手设备运作。助力机械手需含有定位工装，能方便轻松的夹取前围工件进行安装，气源需加气动三联件和球阀等气动零件。气动三联件具有调压、排水、润滑等功能。每分钟气流量不小于６０００毫升。此设备需有结构简单、运作灵活、维修方便等优点，设备的先进性应不低于当前的行业先进水平。</w:t>
      </w:r>
    </w:p>
    <w:p w14:paraId="66FE8260">
      <w:pPr>
        <w:pStyle w:val="62"/>
        <w:numPr>
          <w:ilvl w:val="1"/>
          <w:numId w:val="34"/>
        </w:numPr>
        <w:spacing w:line="360" w:lineRule="auto"/>
        <w:ind w:firstLineChars="0"/>
        <w:rPr>
          <w:rFonts w:ascii="宋体" w:hAnsi="宋体"/>
          <w:sz w:val="24"/>
          <w:szCs w:val="24"/>
        </w:rPr>
      </w:pPr>
      <w:r>
        <w:rPr>
          <w:rFonts w:hint="eastAsia" w:ascii="宋体" w:hAnsi="宋体"/>
          <w:sz w:val="24"/>
          <w:szCs w:val="24"/>
        </w:rPr>
        <w:t>驾驶室线新增支腿</w:t>
      </w:r>
    </w:p>
    <w:p w14:paraId="1DC09C75">
      <w:pPr>
        <w:spacing w:line="360" w:lineRule="auto"/>
        <w:ind w:firstLine="480" w:firstLineChars="200"/>
        <w:rPr>
          <w:rFonts w:hint="eastAsia" w:ascii="宋体" w:hAnsi="宋体"/>
          <w:sz w:val="24"/>
          <w:szCs w:val="24"/>
        </w:rPr>
      </w:pPr>
      <w:r>
        <w:rPr>
          <w:rFonts w:hint="eastAsia" w:ascii="宋体" w:hAnsi="宋体"/>
          <w:sz w:val="24"/>
          <w:szCs w:val="24"/>
        </w:rPr>
        <w:t>总装车间一线驾驶室线新增工艺支腿58套。因T</w:t>
      </w:r>
      <w:r>
        <w:rPr>
          <w:rFonts w:ascii="宋体" w:hAnsi="宋体"/>
          <w:sz w:val="24"/>
          <w:szCs w:val="24"/>
        </w:rPr>
        <w:t>X</w:t>
      </w:r>
      <w:r>
        <w:rPr>
          <w:rFonts w:hint="eastAsia" w:ascii="宋体" w:hAnsi="宋体"/>
          <w:sz w:val="24"/>
          <w:szCs w:val="24"/>
        </w:rPr>
        <w:t>车型（1种）、小微卡（6种车型）与轻卡车型底盘纵梁结构不一致，同种支撑结构无法满足生产，需新增支腿，增加支腿更改为高度及支撑面可调换形式，现场可根据上线车型调整支腿来满足生产。具体改造形式需满足新旧车形的支撑要求，新支撑若与原旧支撑发生干涉需调整的要考虑吊具部分或整体全部重新制作。</w:t>
      </w:r>
    </w:p>
    <w:p w14:paraId="268AC097">
      <w:pPr>
        <w:spacing w:line="360" w:lineRule="auto"/>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、新增ＴＸ车型顶盖吊具</w:t>
      </w:r>
    </w:p>
    <w:p w14:paraId="2C932A6B">
      <w:pPr>
        <w:pStyle w:val="14"/>
        <w:ind w:firstLine="480" w:firstLineChars="200"/>
        <w:rPr>
          <w:rFonts w:hAnsi="宋体"/>
          <w:color w:val="FF0000"/>
          <w:sz w:val="24"/>
          <w:szCs w:val="24"/>
        </w:rPr>
      </w:pPr>
      <w:r>
        <w:rPr>
          <w:rFonts w:hint="eastAsia" w:hAnsi="宋体"/>
          <w:sz w:val="24"/>
          <w:szCs w:val="24"/>
        </w:rPr>
        <w:t>调试车间新增顶盖吊具1套，吊具采用机械吊装方，需兼容TX、2250高顶车型顶盖装配，减少车型切换吊具更换时间，提高装配效率。吊具框架采用型材焊接，与顶盖接触处需加聚胺脂材料、吊腿需加保护防止划伤顶盖。顶盖吊具的吊腿打开形式可采用电动和气动或人工。具体以实用高效为原则。吊具要求操作方便简单，易于维修。</w:t>
      </w:r>
    </w:p>
    <w:p w14:paraId="23844698">
      <w:pPr>
        <w:spacing w:line="360" w:lineRule="auto"/>
        <w:rPr>
          <w:rFonts w:ascii="宋体" w:hAnsi="宋体"/>
          <w:sz w:val="24"/>
          <w:szCs w:val="24"/>
        </w:rPr>
      </w:pPr>
      <w:r>
        <w:rPr>
          <w:rFonts w:hint="eastAsia" w:ascii="宋体" w:hAnsi="宋体"/>
          <w:sz w:val="24"/>
          <w:szCs w:val="24"/>
        </w:rPr>
        <w:t>2</w:t>
      </w:r>
      <w:r>
        <w:rPr>
          <w:rFonts w:ascii="宋体" w:hAnsi="宋体"/>
          <w:sz w:val="24"/>
          <w:szCs w:val="24"/>
        </w:rPr>
        <w:t>.4</w:t>
      </w:r>
      <w:r>
        <w:rPr>
          <w:rFonts w:hint="eastAsia" w:ascii="宋体" w:hAnsi="宋体"/>
          <w:sz w:val="24"/>
          <w:szCs w:val="24"/>
        </w:rPr>
        <w:t>改造顶盖落装平台</w:t>
      </w:r>
    </w:p>
    <w:p w14:paraId="4A5E71DA">
      <w:pPr>
        <w:pStyle w:val="111"/>
        <w:ind w:firstLine="480"/>
        <w:rPr>
          <w:rFonts w:ascii="宋体" w:hAnsi="宋体" w:eastAsiaTheme="minorEastAsia" w:cstheme="minorBidi"/>
          <w:bCs w:val="0"/>
          <w:sz w:val="24"/>
        </w:rPr>
      </w:pPr>
      <w:r>
        <w:rPr>
          <w:rFonts w:hint="eastAsia" w:ascii="宋体" w:hAnsi="宋体" w:eastAsiaTheme="minorEastAsia" w:cstheme="minorBidi"/>
          <w:bCs w:val="0"/>
          <w:sz w:val="24"/>
        </w:rPr>
        <w:t>调试车间对现有高顶双卧顶盖安装平台进行改造。改造后的平台适用于2250高顶、TX车型驾驶室顶盖的落装作业，可满足2250高顶、TX车型的停放及平台的合并。工艺流程：车辆下线后停放在平台中间，平台合并后，开始顶盖落装作业，落装完成后分离平台，车辆驶离平台工位。改造后的平台可同时满足多种车型的顶盖落装作业，可同时满足多种车型共线生产。</w:t>
      </w:r>
    </w:p>
    <w:p w14:paraId="1543CBC2">
      <w:pPr>
        <w:spacing w:line="360" w:lineRule="auto"/>
        <w:rPr>
          <w:rFonts w:ascii="宋体" w:hAnsi="宋体"/>
          <w:sz w:val="24"/>
          <w:szCs w:val="24"/>
        </w:rPr>
      </w:pPr>
      <w:r>
        <w:rPr>
          <w:rFonts w:hint="eastAsia" w:ascii="宋体" w:hAnsi="宋体"/>
          <w:sz w:val="24"/>
          <w:szCs w:val="24"/>
        </w:rPr>
        <w:t>2</w:t>
      </w:r>
      <w:r>
        <w:rPr>
          <w:rFonts w:ascii="宋体" w:hAnsi="宋体"/>
          <w:sz w:val="24"/>
          <w:szCs w:val="24"/>
        </w:rPr>
        <w:t>.5</w:t>
      </w:r>
      <w:r>
        <w:rPr>
          <w:rFonts w:hint="eastAsia" w:ascii="宋体" w:hAnsi="宋体"/>
          <w:sz w:val="24"/>
          <w:szCs w:val="24"/>
        </w:rPr>
        <w:t>改造车架预装线</w:t>
      </w:r>
    </w:p>
    <w:p w14:paraId="2370FE48">
      <w:pPr>
        <w:pStyle w:val="111"/>
        <w:numPr>
          <w:ilvl w:val="0"/>
          <w:numId w:val="35"/>
        </w:numPr>
        <w:ind w:firstLineChars="0"/>
        <w:rPr>
          <w:rFonts w:ascii="宋体" w:hAnsi="宋体" w:eastAsiaTheme="minorEastAsia" w:cstheme="minorBidi"/>
          <w:bCs w:val="0"/>
          <w:sz w:val="24"/>
        </w:rPr>
      </w:pPr>
      <w:r>
        <w:rPr>
          <w:rFonts w:hint="eastAsia" w:ascii="宋体" w:hAnsi="宋体" w:eastAsiaTheme="minorEastAsia" w:cstheme="minorBidi"/>
          <w:bCs w:val="0"/>
          <w:sz w:val="24"/>
        </w:rPr>
        <w:t>车架预装线北侧不动，向南侧扩展３米，并在南侧新增地轨２０米及支撑小车１０个用车架支撑。</w:t>
      </w:r>
    </w:p>
    <w:p w14:paraId="57912410">
      <w:pPr>
        <w:pStyle w:val="111"/>
        <w:numPr>
          <w:ilvl w:val="0"/>
          <w:numId w:val="35"/>
        </w:numPr>
        <w:ind w:firstLineChars="0"/>
        <w:rPr>
          <w:rFonts w:ascii="宋体" w:hAnsi="宋体" w:eastAsiaTheme="minorEastAsia" w:cstheme="minorBidi"/>
          <w:bCs w:val="0"/>
          <w:sz w:val="24"/>
        </w:rPr>
      </w:pPr>
      <w:r>
        <w:rPr>
          <w:rFonts w:hint="eastAsia" w:ascii="宋体" w:hAnsi="宋体" w:eastAsiaTheme="minorEastAsia" w:cstheme="minorBidi"/>
          <w:bCs w:val="0"/>
          <w:sz w:val="24"/>
        </w:rPr>
        <w:t>两侧护栏与传感器需根据7100轴距车架实际长度与落装位置、起吊点进行两侧移动。</w:t>
      </w:r>
    </w:p>
    <w:p w14:paraId="722CFF4B">
      <w:pPr>
        <w:spacing w:line="360" w:lineRule="auto"/>
        <w:rPr>
          <w:rFonts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改造车架ＥＭＳ输送线</w:t>
      </w:r>
    </w:p>
    <w:p w14:paraId="20CE8CC9">
      <w:pPr>
        <w:pStyle w:val="111"/>
        <w:ind w:left="660" w:leftChars="200" w:hanging="240" w:hangingChars="100"/>
        <w:rPr>
          <w:rFonts w:ascii="宋体" w:hAnsi="宋体" w:eastAsiaTheme="minorEastAsia" w:cstheme="minorBidi"/>
          <w:bCs w:val="0"/>
          <w:sz w:val="24"/>
        </w:rPr>
      </w:pPr>
      <w:r>
        <w:rPr>
          <w:rFonts w:hint="eastAsia" w:ascii="宋体" w:hAnsi="宋体" w:eastAsiaTheme="minorEastAsia" w:cstheme="minorBidi"/>
          <w:bCs w:val="0"/>
          <w:sz w:val="24"/>
        </w:rPr>
        <w:t>１）对南侧护网进行改造增加2m间距，并根据7100轴距车架吊点，对滑触线重新布置或部分更换并增加或更改段口位置，并更改控制程序，调整吊具起止位置。</w:t>
      </w:r>
    </w:p>
    <w:p w14:paraId="461125D0">
      <w:pPr>
        <w:tabs>
          <w:tab w:val="left" w:pos="768"/>
        </w:tabs>
        <w:ind w:firstLine="480" w:firstLineChars="200"/>
        <w:rPr>
          <w:rFonts w:ascii="Times New Roman" w:hAnsi="Times New Roman" w:eastAsia="仿宋_GB2312" w:cs="Times New Roman"/>
          <w:sz w:val="28"/>
          <w:szCs w:val="20"/>
        </w:rPr>
      </w:pPr>
      <w:r>
        <w:rPr>
          <w:rFonts w:hint="eastAsia" w:ascii="宋体" w:hAnsi="宋体"/>
          <w:sz w:val="24"/>
          <w:szCs w:val="24"/>
        </w:rPr>
        <w:t>２）对北侧护网进行改造，北延至车间横梁，增加0.5m间距</w:t>
      </w:r>
      <w:r>
        <w:rPr>
          <w:rFonts w:hint="eastAsia" w:ascii="Times New Roman" w:hAnsi="Times New Roman" w:eastAsia="仿宋_GB2312" w:cs="Times New Roman"/>
          <w:sz w:val="28"/>
          <w:szCs w:val="20"/>
        </w:rPr>
        <w:t>。</w:t>
      </w:r>
    </w:p>
    <w:p w14:paraId="2A9CAB0F">
      <w:pPr>
        <w:tabs>
          <w:tab w:val="left" w:pos="768"/>
        </w:tabs>
        <w:ind w:firstLine="420"/>
        <w:rPr>
          <w:rFonts w:hint="eastAsia" w:ascii="宋体" w:hAnsi="宋体"/>
          <w:sz w:val="24"/>
          <w:szCs w:val="24"/>
        </w:rPr>
      </w:pPr>
      <w:r>
        <w:rPr>
          <w:rFonts w:hint="eastAsia" w:ascii="宋体" w:hAnsi="宋体"/>
          <w:sz w:val="24"/>
          <w:szCs w:val="24"/>
        </w:rPr>
        <w:t>３）对车架下件位西侧护网护网进行改造，增加2.4m间距。</w:t>
      </w:r>
    </w:p>
    <w:p w14:paraId="78EA4607">
      <w:pPr>
        <w:pStyle w:val="14"/>
        <w:rPr>
          <w:rFonts w:hAnsi="宋体"/>
          <w:sz w:val="24"/>
          <w:szCs w:val="24"/>
        </w:rPr>
      </w:pPr>
      <w:r>
        <w:rPr>
          <w:rFonts w:hint="eastAsia"/>
        </w:rPr>
        <w:t>2</w:t>
      </w:r>
      <w:r>
        <w:t>.7</w:t>
      </w:r>
      <w:r>
        <w:rPr>
          <w:rFonts w:hint="eastAsia"/>
        </w:rPr>
        <w:t>.</w:t>
      </w:r>
      <w:r>
        <w:rPr>
          <w:rFonts w:hint="eastAsia" w:hAnsi="宋体"/>
          <w:sz w:val="24"/>
          <w:szCs w:val="24"/>
        </w:rPr>
        <w:t>更换车架翻转机</w:t>
      </w:r>
    </w:p>
    <w:p w14:paraId="1BCFF158">
      <w:pPr>
        <w:pStyle w:val="14"/>
        <w:ind w:firstLine="480" w:firstLineChars="200"/>
      </w:pPr>
      <w:r>
        <w:rPr>
          <w:rFonts w:hint="eastAsia" w:hAnsi="宋体"/>
          <w:sz w:val="24"/>
          <w:szCs w:val="24"/>
        </w:rPr>
        <w:t>新增１套结构翻转机，结构形式采用莱芜工厂形式。此翻转机为主动式翻转，含翻转链条皮带等完整部件。</w:t>
      </w:r>
    </w:p>
    <w:p w14:paraId="0C77339D">
      <w:pPr>
        <w:spacing w:line="360" w:lineRule="auto"/>
        <w:ind w:firstLine="482" w:firstLineChars="200"/>
        <w:rPr>
          <w:rFonts w:ascii="宋体" w:hAnsi="宋体"/>
          <w:b/>
          <w:bCs/>
          <w:sz w:val="24"/>
          <w:szCs w:val="24"/>
        </w:rPr>
      </w:pPr>
      <w:r>
        <w:rPr>
          <w:rFonts w:ascii="宋体" w:hAnsi="宋体"/>
          <w:b/>
          <w:bCs/>
          <w:sz w:val="24"/>
          <w:szCs w:val="24"/>
        </w:rPr>
        <w:t>3</w:t>
      </w:r>
      <w:r>
        <w:rPr>
          <w:rFonts w:hint="eastAsia" w:ascii="宋体" w:hAnsi="宋体"/>
          <w:b/>
          <w:bCs/>
          <w:sz w:val="24"/>
          <w:szCs w:val="24"/>
        </w:rPr>
        <w:t>、工艺简介</w:t>
      </w:r>
    </w:p>
    <w:p w14:paraId="28A5513D">
      <w:pPr>
        <w:spacing w:line="360" w:lineRule="auto"/>
        <w:ind w:left="210" w:leftChars="100" w:firstLine="240" w:firstLineChars="100"/>
        <w:rPr>
          <w:rFonts w:ascii="宋体" w:hAnsi="宋体"/>
          <w:sz w:val="24"/>
          <w:szCs w:val="24"/>
        </w:rPr>
      </w:pPr>
      <w:r>
        <w:rPr>
          <w:rFonts w:ascii="宋体" w:hAnsi="宋体"/>
          <w:sz w:val="24"/>
          <w:szCs w:val="24"/>
        </w:rPr>
        <w:t>3.</w:t>
      </w:r>
      <w:r>
        <w:rPr>
          <w:rFonts w:hint="eastAsia" w:ascii="宋体" w:hAnsi="宋体"/>
          <w:sz w:val="24"/>
          <w:szCs w:val="24"/>
        </w:rPr>
        <w:t>1、ＴＸ前围助力机械手:此设备为新增用于前围的安装替代原来人工安装；此设备需在原有钢构上安装机械手前后移动的轨道。机械手具有气动打开夹紧、高低可调、右左旋转等功能。具体工艺动作为：人工将机械手移至前围工位器具附近打开夹紧按钮，定位工装将前围固定后按夹紧按钮将前围夹紧后移至装配线与车体进行装配，完成后松开夹紧按钮机械手脱离前围进行下一个循环。</w:t>
      </w:r>
    </w:p>
    <w:p w14:paraId="6B2A25DA">
      <w:pPr>
        <w:spacing w:line="360" w:lineRule="auto"/>
        <w:ind w:left="210" w:leftChars="100"/>
        <w:rPr>
          <w:rFonts w:ascii="宋体" w:hAnsi="宋体"/>
          <w:sz w:val="24"/>
          <w:szCs w:val="24"/>
        </w:rPr>
      </w:pPr>
      <w:r>
        <w:rPr>
          <w:rFonts w:ascii="宋体" w:hAnsi="宋体"/>
          <w:sz w:val="24"/>
          <w:szCs w:val="24"/>
        </w:rPr>
        <w:t>3.2</w:t>
      </w:r>
      <w:r>
        <w:rPr>
          <w:rFonts w:hint="eastAsia" w:ascii="宋体" w:hAnsi="宋体"/>
          <w:sz w:val="24"/>
          <w:szCs w:val="24"/>
        </w:rPr>
        <w:t>驾驶室线新增支腿：由于新增ＴＸ车型，此车型驾室与原驾驶室吊具不能兼容，需在原吊驾驶室吊具的基础上增加支撑。使此驾驶室吊具能兼容目前生产的所有驾驶室的吊运。在调整现有支腿结构的基础上可能发生干涉现像，可能需要局部重新制作吊腿或整个吊具。具体情况需现场分析后确定。</w:t>
      </w:r>
    </w:p>
    <w:p w14:paraId="64F2A06A">
      <w:pPr>
        <w:pStyle w:val="14"/>
        <w:ind w:left="210" w:leftChars="100"/>
        <w:rPr>
          <w:rFonts w:hAnsi="宋体"/>
          <w:bCs/>
          <w:sz w:val="24"/>
        </w:rPr>
      </w:pPr>
      <w:r>
        <w:rPr>
          <w:rFonts w:hint="eastAsia" w:hAnsi="宋体"/>
          <w:bCs/>
          <w:sz w:val="24"/>
          <w:szCs w:val="24"/>
        </w:rPr>
        <w:t>3</w:t>
      </w:r>
      <w:r>
        <w:rPr>
          <w:rFonts w:hAnsi="宋体"/>
          <w:bCs/>
          <w:sz w:val="24"/>
          <w:szCs w:val="24"/>
        </w:rPr>
        <w:t>.3</w:t>
      </w:r>
      <w:r>
        <w:rPr>
          <w:rFonts w:hint="eastAsia" w:hAnsi="宋体"/>
          <w:bCs/>
          <w:sz w:val="24"/>
          <w:szCs w:val="24"/>
        </w:rPr>
        <w:t>新增ＴＸ车型顶盖吊具：此吊具为试制车间新增顶盖吊运落装作业用。需适应</w:t>
      </w:r>
      <w:r>
        <w:rPr>
          <w:rFonts w:hint="eastAsia" w:hAnsi="宋体"/>
          <w:bCs/>
          <w:sz w:val="24"/>
        </w:rPr>
        <w:t>250高顶、TX车型驾驶室。吊具的吊腿打开形式可采用电动和气动或人工。具体以实用高效为原则。吊具要求操作方便简单，易于维修。</w:t>
      </w:r>
    </w:p>
    <w:p w14:paraId="16AAA64F">
      <w:pPr>
        <w:pStyle w:val="111"/>
        <w:ind w:left="267" w:leftChars="127" w:firstLine="0" w:firstLineChars="0"/>
        <w:rPr>
          <w:rFonts w:ascii="宋体" w:hAnsi="宋体" w:eastAsiaTheme="minorEastAsia" w:cstheme="minorBidi"/>
          <w:bCs w:val="0"/>
          <w:sz w:val="24"/>
        </w:rPr>
      </w:pPr>
      <w:r>
        <w:rPr>
          <w:rFonts w:hint="eastAsia" w:asciiTheme="minorHAnsi" w:hAnsiTheme="minorHAnsi" w:eastAsiaTheme="minorEastAsia" w:cstheme="minorBidi"/>
          <w:sz w:val="24"/>
        </w:rPr>
        <w:t>3</w:t>
      </w:r>
      <w:r>
        <w:rPr>
          <w:rFonts w:asciiTheme="minorHAnsi" w:hAnsiTheme="minorHAnsi" w:eastAsiaTheme="minorEastAsia" w:cstheme="minorBidi"/>
          <w:sz w:val="24"/>
        </w:rPr>
        <w:t>.4</w:t>
      </w:r>
      <w:r>
        <w:rPr>
          <w:rFonts w:hint="eastAsia" w:ascii="宋体" w:hAnsi="宋体" w:eastAsiaTheme="minorEastAsia" w:cstheme="minorBidi"/>
          <w:bCs w:val="0"/>
          <w:sz w:val="24"/>
        </w:rPr>
        <w:t>改造顶盖落装平台</w:t>
      </w:r>
      <w:r>
        <w:rPr>
          <w:rFonts w:hint="eastAsia"/>
          <w:sz w:val="24"/>
        </w:rPr>
        <w:t>：</w:t>
      </w:r>
      <w:r>
        <w:rPr>
          <w:rFonts w:hint="eastAsia" w:ascii="宋体" w:hAnsi="宋体" w:eastAsiaTheme="minorEastAsia" w:cstheme="minorBidi"/>
          <w:bCs w:val="0"/>
          <w:sz w:val="24"/>
        </w:rPr>
        <w:t>调试车间对现有高顶双卧顶盖安装平台进行改造。改造后的平台适用于2250高顶、TX车型驾驶室顶盖的落装作业，可满足2250高顶、TX车型的停放及平台的合并。工艺流程：车辆下线后停放在平台中间，平台合并后，开始顶盖落装作业，落装完成后分离平台，车辆驶离平台工位。改造后的平台可同时满足多种车型的顶盖落装作业，可同时满足多种车型共线生产。</w:t>
      </w:r>
    </w:p>
    <w:p w14:paraId="1B5D7057">
      <w:pPr>
        <w:pStyle w:val="111"/>
        <w:ind w:left="210" w:leftChars="100" w:firstLine="0" w:firstLineChars="0"/>
        <w:rPr>
          <w:rFonts w:ascii="宋体" w:hAnsi="宋体" w:eastAsiaTheme="minorEastAsia" w:cstheme="minorBidi"/>
          <w:bCs w:val="0"/>
          <w:sz w:val="24"/>
        </w:rPr>
      </w:pPr>
      <w:r>
        <w:rPr>
          <w:rFonts w:ascii="宋体" w:hAnsi="宋体" w:eastAsiaTheme="minorEastAsia" w:cstheme="minorBidi"/>
          <w:bCs w:val="0"/>
          <w:sz w:val="24"/>
        </w:rPr>
        <w:t>3.5</w:t>
      </w:r>
      <w:r>
        <w:rPr>
          <w:rFonts w:hint="eastAsia" w:ascii="宋体" w:hAnsi="宋体" w:eastAsiaTheme="minorEastAsia" w:cstheme="minorBidi"/>
          <w:bCs w:val="0"/>
          <w:sz w:val="24"/>
        </w:rPr>
        <w:t>改造车架预装线：车架预装线北侧不动，向南侧扩展３米，并在南侧新增地轨２０米及支撑小车１０个用车架支撑；两侧护栏与传感器需根据7100轴距车架实际长度与落装位置、起吊点进行两侧移动。</w:t>
      </w:r>
    </w:p>
    <w:p w14:paraId="74A6E718">
      <w:pPr>
        <w:pStyle w:val="111"/>
        <w:ind w:left="267" w:leftChars="127" w:firstLine="0" w:firstLineChars="0"/>
        <w:rPr>
          <w:rFonts w:ascii="宋体" w:hAnsi="宋体" w:eastAsiaTheme="minorEastAsia" w:cstheme="minorBidi"/>
          <w:bCs w:val="0"/>
          <w:sz w:val="24"/>
        </w:rPr>
      </w:pPr>
      <w:r>
        <w:rPr>
          <w:rFonts w:ascii="宋体" w:hAnsi="宋体" w:eastAsiaTheme="minorEastAsia" w:cstheme="minorBidi"/>
          <w:bCs w:val="0"/>
          <w:sz w:val="24"/>
        </w:rPr>
        <w:t>3.6</w:t>
      </w:r>
      <w:r>
        <w:rPr>
          <w:rFonts w:hint="eastAsia" w:ascii="宋体" w:hAnsi="宋体" w:eastAsiaTheme="minorEastAsia" w:cstheme="minorBidi"/>
          <w:bCs w:val="0"/>
          <w:sz w:val="24"/>
        </w:rPr>
        <w:t>改造车架ＥＭＳ输送线：１）对南侧护网进行改造增加2m间距，并根据7100轴距车架吊点，对滑触线重新布置或部分更换并增加或更改段口位置，并更改控制程序，调整吊具起止位置。２）对北侧护网进行改造，北延至车间横梁，增加0.5m间距。３）对车架下件位西侧护网护网进行改造，增加2.4m间距。</w:t>
      </w:r>
    </w:p>
    <w:p w14:paraId="3A508E4C">
      <w:pPr>
        <w:pStyle w:val="14"/>
        <w:rPr>
          <w:rFonts w:hint="eastAsia" w:hAnsi="宋体"/>
          <w:sz w:val="24"/>
          <w:szCs w:val="24"/>
        </w:rPr>
      </w:pPr>
      <w:r>
        <w:rPr>
          <w:rFonts w:hint="eastAsia" w:hAnsi="宋体"/>
          <w:sz w:val="24"/>
          <w:szCs w:val="24"/>
        </w:rPr>
        <w:t>3</w:t>
      </w:r>
      <w:r>
        <w:rPr>
          <w:rFonts w:hAnsi="宋体"/>
          <w:sz w:val="24"/>
          <w:szCs w:val="24"/>
        </w:rPr>
        <w:t>.7</w:t>
      </w:r>
      <w:r>
        <w:rPr>
          <w:rFonts w:hint="eastAsia" w:hAnsi="宋体"/>
          <w:sz w:val="24"/>
          <w:szCs w:val="24"/>
        </w:rPr>
        <w:t>更换车架翻转机：新增１套结构翻转机，结构形式采用莱芜工厂形式。此翻转机为主动式翻转，含翻转链条皮带等完整部件。</w:t>
      </w:r>
    </w:p>
    <w:p w14:paraId="34755C24">
      <w:pPr>
        <w:spacing w:line="360" w:lineRule="auto"/>
        <w:ind w:firstLine="482" w:firstLineChars="200"/>
        <w:rPr>
          <w:rFonts w:ascii="宋体" w:hAnsi="宋体"/>
          <w:b/>
          <w:bCs/>
          <w:sz w:val="24"/>
          <w:szCs w:val="24"/>
        </w:rPr>
      </w:pPr>
      <w:r>
        <w:rPr>
          <w:rFonts w:hint="eastAsia" w:ascii="宋体" w:hAnsi="宋体"/>
          <w:b/>
          <w:bCs/>
          <w:sz w:val="24"/>
          <w:szCs w:val="24"/>
        </w:rPr>
        <w:t>4</w:t>
      </w:r>
      <w:r>
        <w:rPr>
          <w:rFonts w:ascii="宋体" w:hAnsi="宋体"/>
          <w:b/>
          <w:bCs/>
          <w:sz w:val="24"/>
          <w:szCs w:val="24"/>
        </w:rPr>
        <w:t>.</w:t>
      </w:r>
      <w:r>
        <w:rPr>
          <w:rFonts w:hint="eastAsia" w:ascii="宋体" w:hAnsi="宋体"/>
          <w:b/>
          <w:bCs/>
          <w:sz w:val="24"/>
          <w:szCs w:val="24"/>
        </w:rPr>
        <w:t>安全要求</w:t>
      </w:r>
    </w:p>
    <w:p w14:paraId="462A6550">
      <w:pPr>
        <w:pStyle w:val="16"/>
        <w:spacing w:after="0" w:line="360" w:lineRule="auto"/>
        <w:ind w:left="0" w:leftChars="0"/>
        <w:rPr>
          <w:rFonts w:ascii="宋体" w:hAnsi="宋体"/>
          <w:sz w:val="24"/>
          <w:szCs w:val="24"/>
        </w:rPr>
      </w:pPr>
      <w:r>
        <w:rPr>
          <w:rFonts w:ascii="宋体" w:hAnsi="宋体"/>
          <w:bCs/>
          <w:sz w:val="24"/>
          <w:szCs w:val="24"/>
        </w:rPr>
        <w:t>4.1</w:t>
      </w:r>
      <w:r>
        <w:rPr>
          <w:rFonts w:hint="eastAsia" w:ascii="宋体" w:hAnsi="宋体"/>
          <w:sz w:val="24"/>
          <w:szCs w:val="24"/>
        </w:rPr>
        <w:t>电控柜面板和各操作站面板都必须设置急停按钮，在操作工位上均匀地分布一定数量的急停按钮，操作站应安装在容易操作的地方和位置。</w:t>
      </w:r>
    </w:p>
    <w:p w14:paraId="2F53043D">
      <w:pPr>
        <w:pStyle w:val="16"/>
        <w:spacing w:after="0" w:line="360" w:lineRule="auto"/>
        <w:ind w:left="0" w:leftChars="0"/>
        <w:rPr>
          <w:rFonts w:ascii="宋体" w:hAnsi="宋体"/>
          <w:sz w:val="24"/>
          <w:szCs w:val="24"/>
        </w:rPr>
      </w:pPr>
      <w:r>
        <w:rPr>
          <w:rFonts w:ascii="宋体" w:hAnsi="宋体"/>
          <w:bCs/>
          <w:sz w:val="24"/>
          <w:szCs w:val="24"/>
        </w:rPr>
        <w:t>4.2</w:t>
      </w:r>
      <w:r>
        <w:rPr>
          <w:rFonts w:hint="eastAsia" w:ascii="宋体" w:hAnsi="宋体"/>
          <w:sz w:val="24"/>
          <w:szCs w:val="24"/>
        </w:rPr>
        <w:t>外部检测信号和手动操作按钮的设置数量应能确保设备具有完善的保护和自诊断功能，确保设备操作方便及运行可靠。不可以为了降低造价而减少必要的检测信号。</w:t>
      </w:r>
    </w:p>
    <w:p w14:paraId="47FACCC1">
      <w:pPr>
        <w:pStyle w:val="16"/>
        <w:spacing w:after="0" w:line="360" w:lineRule="auto"/>
        <w:ind w:left="0" w:leftChars="0"/>
        <w:rPr>
          <w:rFonts w:hint="eastAsia" w:ascii="宋体" w:hAnsi="宋体"/>
          <w:sz w:val="24"/>
          <w:szCs w:val="24"/>
        </w:rPr>
      </w:pPr>
      <w:r>
        <w:rPr>
          <w:rFonts w:ascii="宋体" w:hAnsi="宋体"/>
          <w:bCs/>
          <w:sz w:val="24"/>
          <w:szCs w:val="24"/>
        </w:rPr>
        <w:t>4.3</w:t>
      </w:r>
      <w:r>
        <w:rPr>
          <w:rFonts w:hint="eastAsia" w:ascii="宋体" w:hAnsi="宋体"/>
          <w:bCs/>
          <w:sz w:val="24"/>
          <w:szCs w:val="24"/>
        </w:rPr>
        <w:t xml:space="preserve"> </w:t>
      </w:r>
      <w:r>
        <w:rPr>
          <w:rFonts w:hint="eastAsia" w:ascii="宋体" w:hAnsi="宋体"/>
          <w:sz w:val="24"/>
          <w:szCs w:val="24"/>
        </w:rPr>
        <w:t xml:space="preserve"> PLC电源输入具有隔离变压器；变频器若无内置输入滤波器、输入电抗器则需配置外部输入滤波器、输入电抗器；若有内部输入滤波器、输入电抗器时，则不再单独配置输入滤波、输入电抗器；变频器到电机距离大于30米时或电机有噪音时，输出端配置电抗器；所有变频器都必须配置输出滤波器。</w:t>
      </w:r>
    </w:p>
    <w:p w14:paraId="4EB1FEEF">
      <w:pPr>
        <w:spacing w:line="360" w:lineRule="auto"/>
        <w:jc w:val="left"/>
        <w:rPr>
          <w:rFonts w:ascii="宋体" w:hAnsi="宋体"/>
          <w:sz w:val="24"/>
          <w:szCs w:val="24"/>
        </w:rPr>
      </w:pPr>
      <w:r>
        <w:rPr>
          <w:rFonts w:hint="eastAsia" w:ascii="宋体" w:hAnsi="宋体"/>
          <w:sz w:val="24"/>
          <w:szCs w:val="24"/>
        </w:rPr>
        <w:t>4</w:t>
      </w:r>
      <w:r>
        <w:rPr>
          <w:rFonts w:ascii="宋体" w:hAnsi="宋体"/>
          <w:sz w:val="24"/>
          <w:szCs w:val="24"/>
        </w:rPr>
        <w:t>.4</w:t>
      </w:r>
      <w:r>
        <w:rPr>
          <w:rFonts w:hint="eastAsia" w:ascii="宋体" w:hAnsi="宋体"/>
          <w:sz w:val="24"/>
          <w:szCs w:val="24"/>
        </w:rPr>
        <w:t>互锁保护</w:t>
      </w:r>
    </w:p>
    <w:p w14:paraId="6DB9FF66">
      <w:pPr>
        <w:pStyle w:val="16"/>
        <w:spacing w:after="0" w:line="360" w:lineRule="auto"/>
        <w:ind w:left="0" w:leftChars="0"/>
        <w:rPr>
          <w:rFonts w:ascii="宋体" w:hAnsi="宋体"/>
          <w:sz w:val="24"/>
          <w:szCs w:val="24"/>
        </w:rPr>
      </w:pPr>
      <w:r>
        <w:rPr>
          <w:rFonts w:hint="eastAsia" w:ascii="宋体" w:hAnsi="宋体"/>
          <w:sz w:val="24"/>
          <w:szCs w:val="24"/>
        </w:rPr>
        <w:t>a</w:t>
      </w:r>
      <w:r>
        <w:rPr>
          <w:rFonts w:ascii="宋体" w:hAnsi="宋体"/>
          <w:sz w:val="24"/>
          <w:szCs w:val="24"/>
        </w:rPr>
        <w:t>)</w:t>
      </w:r>
      <w:r>
        <w:rPr>
          <w:rFonts w:hint="eastAsia" w:ascii="宋体" w:hAnsi="宋体"/>
          <w:sz w:val="24"/>
          <w:szCs w:val="24"/>
        </w:rPr>
        <w:t>存在前后动作逻辑关系的各应用单元间必须具有可靠的互锁关系，前后不能产生误操作，以免产生危险。</w:t>
      </w:r>
    </w:p>
    <w:p w14:paraId="0C32398E">
      <w:pPr>
        <w:pStyle w:val="16"/>
        <w:spacing w:after="0" w:line="360" w:lineRule="auto"/>
        <w:ind w:left="0" w:leftChars="0"/>
        <w:rPr>
          <w:rFonts w:hint="eastAsia" w:ascii="宋体" w:hAnsi="宋体"/>
          <w:sz w:val="24"/>
          <w:szCs w:val="24"/>
        </w:rPr>
      </w:pPr>
      <w:r>
        <w:rPr>
          <w:rFonts w:hint="eastAsia" w:ascii="宋体" w:hAnsi="宋体"/>
          <w:sz w:val="24"/>
          <w:szCs w:val="24"/>
        </w:rPr>
        <w:t>b</w:t>
      </w:r>
      <w:r>
        <w:rPr>
          <w:rFonts w:ascii="宋体" w:hAnsi="宋体"/>
          <w:sz w:val="24"/>
          <w:szCs w:val="24"/>
        </w:rPr>
        <w:t>)</w:t>
      </w:r>
      <w:r>
        <w:rPr>
          <w:rFonts w:hint="eastAsia" w:ascii="宋体" w:hAnsi="宋体"/>
          <w:sz w:val="24"/>
          <w:szCs w:val="24"/>
        </w:rPr>
        <w:t>无论自动或手动方式各应用单元内部的前后动作顺序也应有互锁。</w:t>
      </w:r>
    </w:p>
    <w:p w14:paraId="09C940BB">
      <w:pPr>
        <w:pStyle w:val="2"/>
        <w:tabs>
          <w:tab w:val="left" w:pos="2400"/>
        </w:tabs>
        <w:spacing w:after="156" w:line="360" w:lineRule="auto"/>
        <w:jc w:val="both"/>
        <w:rPr>
          <w:rFonts w:ascii="宋体" w:hAnsi="宋体"/>
          <w:sz w:val="24"/>
        </w:rPr>
      </w:pPr>
      <w:bookmarkStart w:id="23" w:name="_Toc44953433"/>
      <w:r>
        <w:rPr>
          <w:rFonts w:hint="eastAsia" w:ascii="宋体" w:hAnsi="宋体"/>
          <w:sz w:val="24"/>
        </w:rPr>
        <w:t>四、</w:t>
      </w:r>
      <w:bookmarkEnd w:id="23"/>
      <w:r>
        <w:rPr>
          <w:rFonts w:hint="eastAsia" w:ascii="宋体" w:hAnsi="宋体"/>
          <w:sz w:val="24"/>
        </w:rPr>
        <w:t>质保期及备件</w:t>
      </w:r>
    </w:p>
    <w:p w14:paraId="7398226C">
      <w:pPr>
        <w:spacing w:line="360" w:lineRule="auto"/>
        <w:ind w:firstLine="482" w:firstLineChars="200"/>
        <w:jc w:val="left"/>
        <w:rPr>
          <w:rFonts w:ascii="宋体" w:hAnsi="宋体"/>
          <w:b/>
          <w:bCs/>
          <w:sz w:val="24"/>
          <w:szCs w:val="24"/>
        </w:rPr>
      </w:pPr>
      <w:r>
        <w:rPr>
          <w:rFonts w:ascii="宋体" w:hAnsi="宋体"/>
          <w:b/>
          <w:bCs/>
          <w:sz w:val="24"/>
          <w:szCs w:val="24"/>
        </w:rPr>
        <w:t>1.</w:t>
      </w:r>
      <w:r>
        <w:rPr>
          <w:rFonts w:hint="eastAsia" w:ascii="宋体" w:hAnsi="宋体"/>
          <w:b/>
          <w:bCs/>
          <w:sz w:val="24"/>
          <w:szCs w:val="24"/>
        </w:rPr>
        <w:t>质保期</w:t>
      </w:r>
    </w:p>
    <w:p w14:paraId="17E0A880">
      <w:pPr>
        <w:spacing w:line="360" w:lineRule="auto"/>
        <w:ind w:firstLine="480" w:firstLineChars="200"/>
        <w:rPr>
          <w:rFonts w:ascii="宋体" w:hAnsi="宋体"/>
          <w:sz w:val="24"/>
          <w:szCs w:val="24"/>
        </w:rPr>
      </w:pPr>
      <w:r>
        <w:rPr>
          <w:rFonts w:hint="eastAsia" w:ascii="宋体" w:hAnsi="宋体"/>
          <w:sz w:val="24"/>
          <w:szCs w:val="24"/>
        </w:rPr>
        <w:t>投标方所提供设备（或材料）涉及的全部供货范围内的设备、材料、资料、技术等，除合同特别约定外，均自设备（或材料）终验收签字生效之日起，不低于12个月（如有更长时间质保期，可在投标文件中说明）。</w:t>
      </w:r>
    </w:p>
    <w:p w14:paraId="121B67B7">
      <w:pPr>
        <w:spacing w:line="360" w:lineRule="auto"/>
        <w:ind w:firstLine="482" w:firstLineChars="200"/>
        <w:jc w:val="left"/>
        <w:rPr>
          <w:rFonts w:ascii="宋体" w:hAnsi="宋体"/>
          <w:b/>
          <w:bCs/>
          <w:sz w:val="24"/>
          <w:szCs w:val="24"/>
        </w:rPr>
      </w:pPr>
      <w:r>
        <w:rPr>
          <w:rFonts w:ascii="宋体" w:hAnsi="宋体"/>
          <w:b/>
          <w:bCs/>
          <w:sz w:val="24"/>
          <w:szCs w:val="24"/>
        </w:rPr>
        <w:t>2.</w:t>
      </w:r>
      <w:r>
        <w:rPr>
          <w:rFonts w:hint="eastAsia" w:ascii="宋体" w:hAnsi="宋体"/>
          <w:b/>
          <w:bCs/>
          <w:sz w:val="24"/>
          <w:szCs w:val="24"/>
        </w:rPr>
        <w:t>备品备件、易损件和专用耗材范围</w:t>
      </w:r>
    </w:p>
    <w:p w14:paraId="0837861C">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.1招标方招标文件所指备品备件、易损件和专用耗材，是招标方为保证设备质保期之后正常运行一年所自备自用的备品备件、易损件和专用耗材的清单，不包含在总价内。；</w:t>
      </w:r>
    </w:p>
    <w:p w14:paraId="22B7B46B">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.2投标方应提供易损件和专用耗材的制造图纸及其技术要求等资料；</w:t>
      </w:r>
    </w:p>
    <w:p w14:paraId="5D4B1EA1">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.3投标方需提供必须的备品备件清单（备品备件明确规格、厂家、产地、价格，单独报价），以及有关备品备件的保管资料，如：存放期限、温度、湿度、是否需干燥剂等。</w:t>
      </w:r>
    </w:p>
    <w:p w14:paraId="76C39E5D">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4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14:paraId="6551248C">
      <w:pPr>
        <w:spacing w:line="360" w:lineRule="auto"/>
        <w:jc w:val="left"/>
        <w:rPr>
          <w:rFonts w:ascii="宋体" w:hAnsi="宋体"/>
          <w:b/>
          <w:bCs/>
          <w:sz w:val="24"/>
          <w:szCs w:val="24"/>
        </w:rPr>
      </w:pPr>
      <w:r>
        <w:rPr>
          <w:rFonts w:hint="eastAsia" w:ascii="宋体" w:hAnsi="宋体"/>
          <w:b/>
          <w:bCs/>
          <w:sz w:val="24"/>
          <w:szCs w:val="24"/>
        </w:rPr>
        <w:t>五.技术资料范围</w:t>
      </w:r>
    </w:p>
    <w:p w14:paraId="0F1418DD">
      <w:pPr>
        <w:spacing w:line="360" w:lineRule="auto"/>
        <w:ind w:firstLine="480" w:firstLineChars="200"/>
        <w:rPr>
          <w:rFonts w:ascii="宋体" w:hAnsi="宋体"/>
          <w:sz w:val="24"/>
          <w:szCs w:val="24"/>
        </w:rPr>
      </w:pPr>
      <w:bookmarkStart w:id="24" w:name="_Toc44953434"/>
      <w:r>
        <w:rPr>
          <w:rFonts w:hint="eastAsia" w:ascii="宋体" w:hAnsi="宋体"/>
          <w:sz w:val="24"/>
          <w:szCs w:val="24"/>
        </w:rPr>
        <w:t>5.1 硬件资料</w:t>
      </w:r>
    </w:p>
    <w:p w14:paraId="6964EE47">
      <w:pPr>
        <w:spacing w:line="360" w:lineRule="auto"/>
        <w:ind w:firstLine="480" w:firstLineChars="200"/>
        <w:rPr>
          <w:rFonts w:ascii="宋体" w:hAnsi="宋体"/>
          <w:sz w:val="24"/>
          <w:szCs w:val="24"/>
        </w:rPr>
      </w:pPr>
      <w:r>
        <w:rPr>
          <w:rFonts w:hint="eastAsia" w:ascii="宋体" w:hAnsi="宋体"/>
          <w:sz w:val="24"/>
          <w:szCs w:val="24"/>
        </w:rPr>
        <w:t>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14:paraId="05FB3BD5">
      <w:pPr>
        <w:spacing w:line="360" w:lineRule="auto"/>
        <w:rPr>
          <w:rFonts w:ascii="宋体" w:hAnsi="宋体"/>
          <w:sz w:val="24"/>
          <w:szCs w:val="24"/>
        </w:rPr>
      </w:pPr>
      <w:r>
        <w:rPr>
          <w:rFonts w:hint="eastAsia" w:ascii="宋体" w:hAnsi="宋体"/>
          <w:sz w:val="24"/>
          <w:szCs w:val="24"/>
        </w:rPr>
        <w:t>投标方至少应提供下列手册和图纸：</w:t>
      </w:r>
    </w:p>
    <w:p w14:paraId="12991057">
      <w:pPr>
        <w:spacing w:line="360" w:lineRule="auto"/>
        <w:rPr>
          <w:rFonts w:ascii="宋体" w:hAnsi="宋体"/>
          <w:sz w:val="24"/>
          <w:szCs w:val="24"/>
        </w:rPr>
      </w:pPr>
      <w:r>
        <w:rPr>
          <w:rFonts w:hint="eastAsia" w:ascii="宋体" w:hAnsi="宋体"/>
          <w:sz w:val="24"/>
          <w:szCs w:val="24"/>
        </w:rPr>
        <w:t>--设备竣工图（包括总图、基础图、装配图、机械原理图、气动、液压原理图、电气原理图、接线图和元器件布置图、PLC 梯形图、变频器的组态文件、HMI 的组态文件等）</w:t>
      </w:r>
    </w:p>
    <w:p w14:paraId="2AE43F64">
      <w:pPr>
        <w:spacing w:line="360" w:lineRule="auto"/>
        <w:rPr>
          <w:rFonts w:ascii="宋体" w:hAnsi="宋体"/>
          <w:sz w:val="24"/>
          <w:szCs w:val="24"/>
        </w:rPr>
      </w:pPr>
      <w:r>
        <w:rPr>
          <w:rFonts w:hint="eastAsia" w:ascii="宋体" w:hAnsi="宋体"/>
          <w:sz w:val="24"/>
          <w:szCs w:val="24"/>
        </w:rPr>
        <w:t>--设备硬件手册。</w:t>
      </w:r>
    </w:p>
    <w:p w14:paraId="2B2ACE05">
      <w:pPr>
        <w:spacing w:line="360" w:lineRule="auto"/>
        <w:rPr>
          <w:rFonts w:ascii="宋体" w:hAnsi="宋体"/>
          <w:sz w:val="24"/>
          <w:szCs w:val="24"/>
        </w:rPr>
      </w:pPr>
      <w:r>
        <w:rPr>
          <w:rFonts w:hint="eastAsia" w:ascii="宋体" w:hAnsi="宋体"/>
          <w:sz w:val="24"/>
          <w:szCs w:val="24"/>
        </w:rPr>
        <w:t>--设备操作手册（含安全操作规程、操作和安全事项的使用说明书）。</w:t>
      </w:r>
    </w:p>
    <w:p w14:paraId="3979AFAE">
      <w:pPr>
        <w:spacing w:line="360" w:lineRule="auto"/>
        <w:rPr>
          <w:rFonts w:ascii="宋体" w:hAnsi="宋体"/>
          <w:sz w:val="24"/>
          <w:szCs w:val="24"/>
        </w:rPr>
      </w:pPr>
      <w:r>
        <w:rPr>
          <w:rFonts w:hint="eastAsia" w:ascii="宋体" w:hAnsi="宋体"/>
          <w:sz w:val="24"/>
          <w:szCs w:val="24"/>
        </w:rPr>
        <w:t>--设备维护手册（含润滑图表、含有易损件的检查更换指南、易损件使用时间）。</w:t>
      </w:r>
    </w:p>
    <w:p w14:paraId="6D3E3BF4">
      <w:pPr>
        <w:spacing w:line="360" w:lineRule="auto"/>
        <w:rPr>
          <w:rFonts w:ascii="宋体" w:hAnsi="宋体"/>
          <w:sz w:val="24"/>
          <w:szCs w:val="24"/>
        </w:rPr>
      </w:pPr>
      <w:r>
        <w:rPr>
          <w:rFonts w:hint="eastAsia" w:ascii="宋体" w:hAnsi="宋体"/>
          <w:sz w:val="24"/>
          <w:szCs w:val="24"/>
        </w:rPr>
        <w:t>--设备组态手册。</w:t>
      </w:r>
    </w:p>
    <w:p w14:paraId="5EAA17F6">
      <w:pPr>
        <w:spacing w:line="360" w:lineRule="auto"/>
        <w:rPr>
          <w:rFonts w:ascii="宋体" w:hAnsi="宋体"/>
          <w:sz w:val="24"/>
          <w:szCs w:val="24"/>
        </w:rPr>
      </w:pPr>
      <w:r>
        <w:rPr>
          <w:rFonts w:hint="eastAsia" w:ascii="宋体" w:hAnsi="宋体"/>
          <w:sz w:val="24"/>
          <w:szCs w:val="24"/>
        </w:rPr>
        <w:t>--仪器仪表检定证书和使用维修说明书。</w:t>
      </w:r>
    </w:p>
    <w:p w14:paraId="5015109C">
      <w:pPr>
        <w:spacing w:line="360" w:lineRule="auto"/>
        <w:rPr>
          <w:rFonts w:ascii="宋体" w:hAnsi="宋体"/>
          <w:sz w:val="24"/>
          <w:szCs w:val="24"/>
        </w:rPr>
      </w:pPr>
      <w:r>
        <w:rPr>
          <w:rFonts w:hint="eastAsia" w:ascii="宋体" w:hAnsi="宋体"/>
          <w:sz w:val="24"/>
          <w:szCs w:val="24"/>
        </w:rPr>
        <w:t>--构成设备所有部件的原理图。</w:t>
      </w:r>
    </w:p>
    <w:p w14:paraId="7A701741">
      <w:pPr>
        <w:spacing w:line="360" w:lineRule="auto"/>
        <w:rPr>
          <w:rFonts w:ascii="宋体" w:hAnsi="宋体"/>
          <w:sz w:val="24"/>
          <w:szCs w:val="24"/>
        </w:rPr>
      </w:pPr>
      <w:r>
        <w:rPr>
          <w:rFonts w:hint="eastAsia" w:ascii="宋体" w:hAnsi="宋体"/>
          <w:sz w:val="24"/>
          <w:szCs w:val="24"/>
        </w:rPr>
        <w:t>--内部布置图。</w:t>
      </w:r>
    </w:p>
    <w:p w14:paraId="14384375">
      <w:pPr>
        <w:spacing w:line="360" w:lineRule="auto"/>
        <w:rPr>
          <w:rFonts w:ascii="宋体" w:hAnsi="宋体"/>
          <w:sz w:val="24"/>
          <w:szCs w:val="24"/>
        </w:rPr>
      </w:pPr>
      <w:r>
        <w:rPr>
          <w:rFonts w:hint="eastAsia" w:ascii="宋体" w:hAnsi="宋体"/>
          <w:sz w:val="24"/>
          <w:szCs w:val="24"/>
        </w:rPr>
        <w:t>--符合招标方要求格式的外部连接图，图上应有电缆编号和端子编号。</w:t>
      </w:r>
    </w:p>
    <w:p w14:paraId="2C8C3DF4">
      <w:pPr>
        <w:spacing w:line="360" w:lineRule="auto"/>
        <w:rPr>
          <w:rFonts w:ascii="宋体" w:hAnsi="宋体"/>
          <w:sz w:val="24"/>
          <w:szCs w:val="24"/>
        </w:rPr>
      </w:pPr>
      <w:r>
        <w:rPr>
          <w:rFonts w:hint="eastAsia" w:ascii="宋体" w:hAnsi="宋体"/>
          <w:sz w:val="24"/>
          <w:szCs w:val="24"/>
        </w:rPr>
        <w:t>--每只控制柜、操作台的总布置图，这些图中应标明各模件和组装件的编号，并包括正视图、后视图、开孔图、总尺寸及开门所需的净空距离。</w:t>
      </w:r>
    </w:p>
    <w:p w14:paraId="228786D6">
      <w:pPr>
        <w:spacing w:line="360" w:lineRule="auto"/>
        <w:rPr>
          <w:rFonts w:ascii="宋体" w:hAnsi="宋体"/>
          <w:sz w:val="24"/>
          <w:szCs w:val="24"/>
        </w:rPr>
      </w:pPr>
      <w:r>
        <w:rPr>
          <w:rFonts w:hint="eastAsia" w:ascii="宋体" w:hAnsi="宋体"/>
          <w:sz w:val="24"/>
          <w:szCs w:val="24"/>
        </w:rPr>
        <w:t>--所有控制和调整装置在维护时所需的校验曲线。</w:t>
      </w:r>
    </w:p>
    <w:p w14:paraId="09836200">
      <w:pPr>
        <w:spacing w:line="360" w:lineRule="auto"/>
        <w:rPr>
          <w:rFonts w:ascii="宋体" w:hAnsi="宋体"/>
          <w:sz w:val="24"/>
          <w:szCs w:val="24"/>
        </w:rPr>
      </w:pPr>
      <w:r>
        <w:rPr>
          <w:rFonts w:hint="eastAsia" w:ascii="宋体" w:hAnsi="宋体"/>
          <w:sz w:val="24"/>
          <w:szCs w:val="24"/>
        </w:rPr>
        <w:t>--所有投标方外购设备手册。</w:t>
      </w:r>
    </w:p>
    <w:p w14:paraId="0D646F2A">
      <w:pPr>
        <w:spacing w:line="360" w:lineRule="auto"/>
        <w:rPr>
          <w:rFonts w:ascii="宋体" w:hAnsi="宋体"/>
          <w:sz w:val="24"/>
          <w:szCs w:val="24"/>
        </w:rPr>
      </w:pPr>
      <w:r>
        <w:rPr>
          <w:rFonts w:hint="eastAsia" w:ascii="宋体" w:hAnsi="宋体"/>
          <w:sz w:val="24"/>
          <w:szCs w:val="24"/>
        </w:rPr>
        <w:t>-- PLC使用的部件详图。</w:t>
      </w:r>
    </w:p>
    <w:p w14:paraId="02D53FD8">
      <w:pPr>
        <w:spacing w:line="360" w:lineRule="auto"/>
        <w:rPr>
          <w:rFonts w:ascii="宋体" w:hAnsi="宋体"/>
          <w:sz w:val="24"/>
          <w:szCs w:val="24"/>
        </w:rPr>
      </w:pPr>
      <w:r>
        <w:rPr>
          <w:rFonts w:hint="eastAsia" w:ascii="宋体" w:hAnsi="宋体"/>
          <w:sz w:val="24"/>
          <w:szCs w:val="24"/>
        </w:rPr>
        <w:t>--安装步骤、包括装配细节、设备散热和设备重量等。</w:t>
      </w:r>
    </w:p>
    <w:p w14:paraId="16B9D6F4">
      <w:pPr>
        <w:spacing w:line="360" w:lineRule="auto"/>
        <w:rPr>
          <w:rFonts w:ascii="宋体" w:hAnsi="宋体"/>
          <w:sz w:val="24"/>
          <w:szCs w:val="24"/>
        </w:rPr>
      </w:pPr>
      <w:r>
        <w:rPr>
          <w:rFonts w:hint="eastAsia" w:ascii="宋体" w:hAnsi="宋体"/>
          <w:sz w:val="24"/>
          <w:szCs w:val="24"/>
        </w:rPr>
        <w:t>--材料清册，包括备件、易损件和耗材清单。</w:t>
      </w:r>
    </w:p>
    <w:p w14:paraId="077324F1">
      <w:pPr>
        <w:spacing w:line="360" w:lineRule="auto"/>
        <w:rPr>
          <w:rFonts w:ascii="宋体" w:hAnsi="宋体"/>
          <w:sz w:val="24"/>
          <w:szCs w:val="24"/>
        </w:rPr>
      </w:pPr>
      <w:r>
        <w:rPr>
          <w:rFonts w:hint="eastAsia" w:ascii="宋体" w:hAnsi="宋体"/>
          <w:sz w:val="24"/>
          <w:szCs w:val="24"/>
        </w:rPr>
        <w:t>--所有外围设备的样本（包括主机、显示器、键盘、打印机等）。</w:t>
      </w:r>
    </w:p>
    <w:p w14:paraId="568D679D">
      <w:pPr>
        <w:spacing w:line="360" w:lineRule="auto"/>
        <w:rPr>
          <w:rFonts w:ascii="宋体" w:hAnsi="宋体"/>
          <w:sz w:val="24"/>
          <w:szCs w:val="24"/>
        </w:rPr>
      </w:pPr>
      <w:r>
        <w:rPr>
          <w:rFonts w:hint="eastAsia" w:ascii="宋体" w:hAnsi="宋体"/>
          <w:sz w:val="24"/>
          <w:szCs w:val="24"/>
        </w:rPr>
        <w:t>--产品合格证。</w:t>
      </w:r>
    </w:p>
    <w:p w14:paraId="6944AF5B">
      <w:pPr>
        <w:spacing w:line="360" w:lineRule="auto"/>
        <w:rPr>
          <w:rFonts w:ascii="宋体" w:hAnsi="宋体"/>
          <w:sz w:val="24"/>
          <w:szCs w:val="24"/>
        </w:rPr>
      </w:pPr>
      <w:r>
        <w:rPr>
          <w:rFonts w:hint="eastAsia" w:ascii="宋体" w:hAnsi="宋体"/>
          <w:sz w:val="24"/>
          <w:szCs w:val="24"/>
        </w:rPr>
        <w:t>--开箱记录等随机文件材料。</w:t>
      </w:r>
    </w:p>
    <w:p w14:paraId="685E1BF3">
      <w:pPr>
        <w:spacing w:line="360" w:lineRule="auto"/>
        <w:rPr>
          <w:rFonts w:ascii="宋体" w:hAnsi="宋体"/>
          <w:sz w:val="24"/>
          <w:szCs w:val="24"/>
        </w:rPr>
      </w:pPr>
      <w:r>
        <w:rPr>
          <w:rFonts w:hint="eastAsia" w:ascii="宋体" w:hAnsi="宋体"/>
          <w:sz w:val="24"/>
          <w:szCs w:val="24"/>
        </w:rPr>
        <w:t>--施工文件。</w:t>
      </w:r>
    </w:p>
    <w:p w14:paraId="38127C90">
      <w:pPr>
        <w:spacing w:line="360" w:lineRule="auto"/>
        <w:rPr>
          <w:rFonts w:ascii="宋体" w:hAnsi="宋体"/>
          <w:sz w:val="24"/>
          <w:szCs w:val="24"/>
        </w:rPr>
      </w:pPr>
      <w:r>
        <w:rPr>
          <w:rFonts w:hint="eastAsia" w:ascii="宋体" w:hAnsi="宋体"/>
          <w:sz w:val="24"/>
          <w:szCs w:val="24"/>
        </w:rPr>
        <w:t>--用于说明采购件名称、型号、规格、厂家等的采购件明细表。</w:t>
      </w:r>
    </w:p>
    <w:p w14:paraId="31027DE8">
      <w:pPr>
        <w:spacing w:line="360" w:lineRule="auto"/>
        <w:rPr>
          <w:rFonts w:ascii="宋体" w:hAnsi="宋体"/>
          <w:sz w:val="24"/>
          <w:szCs w:val="24"/>
        </w:rPr>
      </w:pPr>
      <w:r>
        <w:rPr>
          <w:rFonts w:hint="eastAsia" w:ascii="宋体" w:hAnsi="宋体"/>
          <w:sz w:val="24"/>
          <w:szCs w:val="24"/>
        </w:rPr>
        <w:t>--设备出厂所必须的精度检验证书、性能测试记录和报告。</w:t>
      </w:r>
    </w:p>
    <w:p w14:paraId="17DEF136">
      <w:pPr>
        <w:spacing w:line="360" w:lineRule="auto"/>
        <w:rPr>
          <w:rFonts w:ascii="宋体" w:hAnsi="宋体"/>
          <w:sz w:val="24"/>
          <w:szCs w:val="24"/>
        </w:rPr>
      </w:pPr>
      <w:r>
        <w:rPr>
          <w:rFonts w:hint="eastAsia" w:ascii="宋体" w:hAnsi="宋体"/>
          <w:sz w:val="24"/>
          <w:szCs w:val="24"/>
        </w:rPr>
        <w:t>--设备分支动力管线的设计竣工图。</w:t>
      </w:r>
    </w:p>
    <w:p w14:paraId="0487D093">
      <w:pPr>
        <w:spacing w:line="360" w:lineRule="auto"/>
        <w:rPr>
          <w:rFonts w:ascii="宋体" w:hAnsi="宋体"/>
          <w:sz w:val="24"/>
          <w:szCs w:val="24"/>
        </w:rPr>
      </w:pPr>
      <w:r>
        <w:rPr>
          <w:rFonts w:hint="eastAsia" w:ascii="宋体" w:hAnsi="宋体"/>
          <w:sz w:val="24"/>
          <w:szCs w:val="24"/>
        </w:rPr>
        <w:t>5.2 软件资料</w:t>
      </w:r>
    </w:p>
    <w:p w14:paraId="35A142A0">
      <w:pPr>
        <w:spacing w:line="360" w:lineRule="auto"/>
        <w:ind w:firstLine="480" w:firstLineChars="200"/>
        <w:rPr>
          <w:rFonts w:ascii="宋体" w:hAnsi="宋体"/>
          <w:sz w:val="24"/>
          <w:szCs w:val="24"/>
        </w:rPr>
      </w:pPr>
      <w:r>
        <w:rPr>
          <w:rFonts w:hint="eastAsia" w:ascii="宋体" w:hAnsi="宋体"/>
          <w:sz w:val="24"/>
          <w:szCs w:val="24"/>
        </w:rPr>
        <w:t>5.2.1 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6E8C95A0">
      <w:pPr>
        <w:spacing w:line="360" w:lineRule="auto"/>
        <w:ind w:firstLine="480" w:firstLineChars="200"/>
        <w:rPr>
          <w:rFonts w:ascii="宋体" w:hAnsi="宋体"/>
          <w:sz w:val="24"/>
          <w:szCs w:val="24"/>
        </w:rPr>
      </w:pPr>
      <w:r>
        <w:rPr>
          <w:rFonts w:hint="eastAsia" w:ascii="宋体" w:hAnsi="宋体"/>
          <w:sz w:val="24"/>
          <w:szCs w:val="24"/>
        </w:rPr>
        <w:t>5.2.2 设备可编程器件（PLC、触摸屏、伺服器等）的原控制程序、组态程序电子文档。</w:t>
      </w:r>
    </w:p>
    <w:p w14:paraId="4EABEA6C">
      <w:pPr>
        <w:spacing w:line="360" w:lineRule="auto"/>
        <w:ind w:firstLine="480" w:firstLineChars="200"/>
        <w:rPr>
          <w:rFonts w:ascii="宋体" w:hAnsi="宋体"/>
          <w:sz w:val="24"/>
          <w:szCs w:val="24"/>
        </w:rPr>
      </w:pPr>
      <w:r>
        <w:rPr>
          <w:rFonts w:hint="eastAsia" w:ascii="宋体" w:hAnsi="宋体"/>
          <w:sz w:val="24"/>
          <w:szCs w:val="24"/>
        </w:rPr>
        <w:t>5.2.3 编程指导材料，投标方应提供用于各系统程序的源码说明，包括交互在程序中的注释，以便整个程序的理解，这一资料应存放在工程师站和U盘内提供给招标方。</w:t>
      </w:r>
    </w:p>
    <w:p w14:paraId="43D9E619">
      <w:pPr>
        <w:spacing w:line="360" w:lineRule="auto"/>
        <w:ind w:firstLine="480" w:firstLineChars="200"/>
        <w:rPr>
          <w:rFonts w:ascii="宋体" w:hAnsi="宋体"/>
          <w:sz w:val="24"/>
          <w:szCs w:val="24"/>
        </w:rPr>
      </w:pPr>
      <w:r>
        <w:rPr>
          <w:rFonts w:hint="eastAsia" w:ascii="宋体" w:hAnsi="宋体"/>
          <w:sz w:val="24"/>
          <w:szCs w:val="24"/>
        </w:rPr>
        <w:t>5.2.4 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14:paraId="74133731">
      <w:pPr>
        <w:spacing w:line="360" w:lineRule="auto"/>
        <w:ind w:firstLine="480" w:firstLineChars="200"/>
        <w:rPr>
          <w:rFonts w:ascii="宋体" w:hAnsi="宋体"/>
          <w:sz w:val="24"/>
          <w:szCs w:val="24"/>
        </w:rPr>
      </w:pPr>
      <w:r>
        <w:rPr>
          <w:rFonts w:hint="eastAsia" w:ascii="宋体" w:hAnsi="宋体"/>
          <w:sz w:val="24"/>
          <w:szCs w:val="24"/>
        </w:rPr>
        <w:t>5.3其他资料</w:t>
      </w:r>
    </w:p>
    <w:p w14:paraId="4BB44848">
      <w:pPr>
        <w:spacing w:line="360" w:lineRule="auto"/>
        <w:ind w:firstLine="480" w:firstLineChars="200"/>
        <w:rPr>
          <w:rFonts w:ascii="宋体" w:hAnsi="宋体"/>
          <w:sz w:val="24"/>
          <w:szCs w:val="24"/>
        </w:rPr>
      </w:pPr>
      <w:r>
        <w:rPr>
          <w:rFonts w:hint="eastAsia" w:ascii="宋体" w:hAnsi="宋体"/>
          <w:sz w:val="24"/>
          <w:szCs w:val="24"/>
        </w:rPr>
        <w:t>5.3.1投标方须负责在合同签订后 7 日内，提供设备（或材料）基础及相关的安装、设计资料；并同时提出对厂房、基础、公用设施、消防、环保等不超出招标文件、投标文件、答疑文件、技术交流文件、技术协议书和合同等规定的、有特殊要求的解释、说明和要求；</w:t>
      </w:r>
    </w:p>
    <w:p w14:paraId="75E12CAE">
      <w:pPr>
        <w:spacing w:line="360" w:lineRule="auto"/>
        <w:ind w:firstLine="480" w:firstLineChars="200"/>
        <w:rPr>
          <w:rFonts w:ascii="宋体" w:hAnsi="宋体"/>
          <w:sz w:val="24"/>
          <w:szCs w:val="24"/>
        </w:rPr>
      </w:pPr>
      <w:r>
        <w:rPr>
          <w:rFonts w:hint="eastAsia" w:ascii="宋体" w:hAnsi="宋体"/>
          <w:sz w:val="24"/>
          <w:szCs w:val="24"/>
        </w:rPr>
        <w:t>5.3.2本“技术资料范围”所列的技术资料、图等，投标方应各提供4套纸质资料及3套电子版资料（光盘或u盘等），每份技术文件应装有目录清单。</w:t>
      </w:r>
    </w:p>
    <w:p w14:paraId="327E9BF5">
      <w:pPr>
        <w:pStyle w:val="2"/>
        <w:tabs>
          <w:tab w:val="left" w:pos="2400"/>
        </w:tabs>
        <w:spacing w:after="156" w:line="360" w:lineRule="auto"/>
        <w:jc w:val="both"/>
        <w:rPr>
          <w:rFonts w:ascii="宋体" w:hAnsi="宋体"/>
          <w:sz w:val="24"/>
        </w:rPr>
      </w:pPr>
      <w:r>
        <w:rPr>
          <w:rFonts w:hint="eastAsia" w:ascii="宋体" w:hAnsi="宋体"/>
          <w:sz w:val="24"/>
        </w:rPr>
        <w:t>六、服务范围及要求</w:t>
      </w:r>
      <w:bookmarkEnd w:id="24"/>
    </w:p>
    <w:p w14:paraId="45225206">
      <w:pPr>
        <w:spacing w:line="360" w:lineRule="auto"/>
        <w:ind w:firstLine="482" w:firstLineChars="200"/>
        <w:jc w:val="left"/>
        <w:rPr>
          <w:rFonts w:ascii="宋体" w:hAnsi="宋体"/>
          <w:b/>
          <w:bCs/>
          <w:sz w:val="24"/>
          <w:szCs w:val="24"/>
        </w:rPr>
      </w:pPr>
      <w:r>
        <w:rPr>
          <w:rFonts w:hint="eastAsia" w:ascii="宋体" w:hAnsi="宋体"/>
          <w:b/>
          <w:bCs/>
          <w:sz w:val="24"/>
          <w:szCs w:val="24"/>
        </w:rPr>
        <w:t>1.技术指导和培训服务</w:t>
      </w:r>
    </w:p>
    <w:p w14:paraId="138E5F57">
      <w:pPr>
        <w:spacing w:line="360" w:lineRule="auto"/>
        <w:ind w:firstLine="480" w:firstLineChars="200"/>
        <w:rPr>
          <w:rFonts w:ascii="宋体" w:hAnsi="宋体"/>
          <w:sz w:val="24"/>
          <w:szCs w:val="24"/>
        </w:rPr>
      </w:pPr>
      <w:r>
        <w:rPr>
          <w:rFonts w:hint="eastAsia" w:ascii="宋体" w:hAnsi="宋体"/>
          <w:sz w:val="24"/>
          <w:szCs w:val="24"/>
        </w:rPr>
        <w:t>1.1投标方应按要求，免费积极协助和提供招标方和招标方所委托的工程设计单位有关人员所需要的、和设备（或材料）有关的工程设计资料、技术咨询等；</w:t>
      </w:r>
    </w:p>
    <w:p w14:paraId="25FECF5D">
      <w:pPr>
        <w:spacing w:line="360" w:lineRule="auto"/>
        <w:ind w:firstLine="480" w:firstLineChars="200"/>
        <w:rPr>
          <w:rFonts w:ascii="宋体" w:hAnsi="宋体"/>
          <w:sz w:val="24"/>
          <w:szCs w:val="24"/>
        </w:rPr>
      </w:pPr>
      <w:r>
        <w:rPr>
          <w:rFonts w:hint="eastAsia" w:ascii="宋体" w:hAnsi="宋体"/>
          <w:sz w:val="24"/>
          <w:szCs w:val="24"/>
        </w:rPr>
        <w:t>1.2若投标方提供设备（或材料）的技术质量等，与投标方外购的设备（或材料）技术质量等有较大或直接关联时，投标方应能得到其外购设备（或材料）制造厂商（或供应商）的技术支持，并免费为招标方提供技术服务（包括设计文件的审查和审定）；</w:t>
      </w:r>
    </w:p>
    <w:p w14:paraId="47A9A171">
      <w:pPr>
        <w:spacing w:line="360" w:lineRule="auto"/>
        <w:ind w:firstLine="480" w:firstLineChars="200"/>
        <w:rPr>
          <w:rFonts w:ascii="宋体" w:hAnsi="宋体"/>
          <w:sz w:val="24"/>
          <w:szCs w:val="24"/>
        </w:rPr>
      </w:pPr>
      <w:r>
        <w:rPr>
          <w:rFonts w:hint="eastAsia" w:ascii="宋体" w:hAnsi="宋体"/>
          <w:sz w:val="24"/>
          <w:szCs w:val="24"/>
        </w:rPr>
        <w:t>1.3投标方负责制定对招标方人员在运行、维修和试验等方面的培训计划，并有专人负责实施培训计划，应进行相关安全环保注意事项的培训，并提供相关人员、设备安全作业资质的要求，负责指导招标方受培训人员正确理解设计和制造意图，认识设备的特点和特性，掌握在运行、维修和使用管理中应遵守的规则等方面的综合知识。</w:t>
      </w:r>
    </w:p>
    <w:p w14:paraId="312731DB">
      <w:pPr>
        <w:spacing w:line="360" w:lineRule="auto"/>
        <w:ind w:firstLine="482" w:firstLineChars="200"/>
        <w:jc w:val="left"/>
        <w:rPr>
          <w:rFonts w:ascii="宋体" w:hAnsi="宋体"/>
          <w:b/>
          <w:bCs/>
          <w:sz w:val="24"/>
          <w:szCs w:val="24"/>
        </w:rPr>
      </w:pPr>
      <w:r>
        <w:rPr>
          <w:rFonts w:hint="eastAsia" w:ascii="宋体" w:hAnsi="宋体"/>
          <w:b/>
          <w:bCs/>
          <w:sz w:val="24"/>
          <w:szCs w:val="24"/>
        </w:rPr>
        <w:t>2.运输服务</w:t>
      </w:r>
    </w:p>
    <w:p w14:paraId="5E18DCB4">
      <w:pPr>
        <w:spacing w:line="360" w:lineRule="auto"/>
        <w:ind w:firstLine="480" w:firstLineChars="200"/>
        <w:rPr>
          <w:rFonts w:ascii="宋体" w:hAnsi="宋体"/>
          <w:sz w:val="24"/>
          <w:szCs w:val="24"/>
        </w:rPr>
      </w:pPr>
      <w:r>
        <w:rPr>
          <w:rFonts w:hint="eastAsia" w:ascii="宋体" w:hAnsi="宋体"/>
          <w:sz w:val="24"/>
          <w:szCs w:val="24"/>
        </w:rPr>
        <w:t>投标方负责将设备按要求运至济南轻卡制造公司。</w:t>
      </w:r>
    </w:p>
    <w:p w14:paraId="2E54AE7E">
      <w:pPr>
        <w:spacing w:line="360" w:lineRule="auto"/>
        <w:ind w:firstLine="482" w:firstLineChars="200"/>
        <w:jc w:val="left"/>
        <w:rPr>
          <w:rFonts w:ascii="宋体" w:hAnsi="宋体"/>
          <w:b/>
          <w:bCs/>
          <w:sz w:val="24"/>
          <w:szCs w:val="24"/>
        </w:rPr>
      </w:pPr>
      <w:r>
        <w:rPr>
          <w:rFonts w:hint="eastAsia" w:ascii="宋体" w:hAnsi="宋体"/>
          <w:b/>
          <w:bCs/>
          <w:sz w:val="24"/>
          <w:szCs w:val="24"/>
        </w:rPr>
        <w:t>3.安装调试服务</w:t>
      </w:r>
    </w:p>
    <w:p w14:paraId="7FDF4D03">
      <w:pPr>
        <w:spacing w:line="360" w:lineRule="auto"/>
        <w:ind w:firstLine="480" w:firstLineChars="200"/>
        <w:rPr>
          <w:rFonts w:ascii="宋体" w:hAnsi="宋体"/>
          <w:sz w:val="24"/>
          <w:szCs w:val="24"/>
        </w:rPr>
      </w:pPr>
      <w:r>
        <w:rPr>
          <w:rFonts w:hint="eastAsia" w:ascii="宋体" w:hAnsi="宋体"/>
          <w:sz w:val="24"/>
          <w:szCs w:val="24"/>
        </w:rPr>
        <w:t>3.1根据设备的要求，调试可分空载和负载两个阶段进行；招标方将予以积极配合，协助投标方达到设备的各项技术要求和性能；</w:t>
      </w:r>
    </w:p>
    <w:p w14:paraId="0A6EC49B">
      <w:pPr>
        <w:spacing w:line="360" w:lineRule="auto"/>
        <w:ind w:firstLine="480" w:firstLineChars="200"/>
        <w:rPr>
          <w:rFonts w:ascii="宋体" w:hAnsi="宋体"/>
          <w:sz w:val="24"/>
          <w:szCs w:val="24"/>
        </w:rPr>
      </w:pPr>
      <w:r>
        <w:rPr>
          <w:rFonts w:hint="eastAsia" w:ascii="宋体" w:hAnsi="宋体"/>
          <w:sz w:val="24"/>
          <w:szCs w:val="24"/>
        </w:rPr>
        <w:t>3.2安装调试与验收期间，若投标方提供设备的技术质量等，与投标方外购的设备技术质量等有较大或直接关联时，投标方应能得到其外购设备制造厂商（或供应商）的技术支持，并免费为招标方提供安装使用现场的指导与协调；</w:t>
      </w:r>
    </w:p>
    <w:p w14:paraId="40555A3D">
      <w:pPr>
        <w:spacing w:line="360" w:lineRule="auto"/>
        <w:ind w:firstLine="480" w:firstLineChars="200"/>
        <w:rPr>
          <w:rFonts w:ascii="宋体" w:hAnsi="宋体"/>
          <w:sz w:val="24"/>
          <w:szCs w:val="24"/>
        </w:rPr>
      </w:pPr>
      <w:r>
        <w:rPr>
          <w:rFonts w:hint="eastAsia" w:ascii="宋体" w:hAnsi="宋体"/>
          <w:sz w:val="24"/>
          <w:szCs w:val="24"/>
        </w:rPr>
        <w:t>3.3投标方免费负责设备的安装、调试，并接受用户的技术咨询；</w:t>
      </w:r>
    </w:p>
    <w:p w14:paraId="177FD3A6">
      <w:pPr>
        <w:spacing w:line="360" w:lineRule="auto"/>
        <w:ind w:firstLine="480" w:firstLineChars="200"/>
        <w:rPr>
          <w:rFonts w:ascii="宋体" w:hAnsi="宋体"/>
          <w:sz w:val="24"/>
          <w:szCs w:val="24"/>
        </w:rPr>
      </w:pPr>
      <w:r>
        <w:rPr>
          <w:rFonts w:hint="eastAsia" w:ascii="宋体" w:hAnsi="宋体"/>
          <w:sz w:val="24"/>
          <w:szCs w:val="24"/>
        </w:rPr>
        <w:t>3.4投标方是否提供有偿的还是免费的、指导安装调试还是负责安装调试，至少应在投标文件的服务章节中，予以明确说明；</w:t>
      </w:r>
    </w:p>
    <w:p w14:paraId="608820F9">
      <w:pPr>
        <w:spacing w:line="360" w:lineRule="auto"/>
        <w:ind w:firstLine="480" w:firstLineChars="200"/>
        <w:rPr>
          <w:rFonts w:ascii="宋体" w:hAnsi="宋体"/>
          <w:sz w:val="24"/>
          <w:szCs w:val="24"/>
        </w:rPr>
      </w:pPr>
      <w:r>
        <w:rPr>
          <w:rFonts w:hint="eastAsia" w:ascii="宋体" w:hAnsi="宋体"/>
          <w:sz w:val="24"/>
          <w:szCs w:val="24"/>
        </w:rPr>
        <w:t>3.5设备供方配合招标方完成设备数据采集的调试工作，包括但不限于提供设备PLC程序（无密码），接口调试等工作。</w:t>
      </w:r>
    </w:p>
    <w:p w14:paraId="606221BE">
      <w:pPr>
        <w:spacing w:line="360" w:lineRule="auto"/>
        <w:ind w:firstLine="482" w:firstLineChars="200"/>
        <w:jc w:val="left"/>
        <w:rPr>
          <w:rFonts w:ascii="宋体" w:hAnsi="宋体"/>
          <w:b/>
          <w:bCs/>
          <w:sz w:val="24"/>
          <w:szCs w:val="24"/>
        </w:rPr>
      </w:pPr>
      <w:r>
        <w:rPr>
          <w:rFonts w:hint="eastAsia" w:ascii="宋体" w:hAnsi="宋体"/>
          <w:b/>
          <w:bCs/>
          <w:sz w:val="24"/>
          <w:szCs w:val="24"/>
        </w:rPr>
        <w:t>4.验收服务</w:t>
      </w:r>
    </w:p>
    <w:p w14:paraId="65604ED7">
      <w:pPr>
        <w:pStyle w:val="112"/>
        <w:snapToGrid w:val="0"/>
        <w:spacing w:line="360" w:lineRule="auto"/>
        <w:ind w:right="-76" w:rightChars="-36" w:firstLine="480" w:firstLineChars="200"/>
        <w:rPr>
          <w:rFonts w:hAnsi="宋体"/>
          <w:color w:val="000000"/>
        </w:rPr>
      </w:pPr>
      <w:r>
        <w:rPr>
          <w:rFonts w:hint="eastAsia" w:hAnsi="宋体"/>
          <w:color w:val="000000"/>
        </w:rPr>
        <w:t>1、设备验收依据：</w:t>
      </w:r>
    </w:p>
    <w:p w14:paraId="410B6A94">
      <w:pPr>
        <w:pStyle w:val="65"/>
        <w:numPr>
          <w:ilvl w:val="0"/>
          <w:numId w:val="36"/>
        </w:numPr>
        <w:snapToGrid w:val="0"/>
        <w:spacing w:line="360" w:lineRule="auto"/>
        <w:ind w:left="105" w:leftChars="50" w:firstLine="480" w:firstLineChars="200"/>
        <w:rPr>
          <w:rFonts w:hAnsi="宋体" w:cs="宋体"/>
          <w:color w:val="auto"/>
        </w:rPr>
      </w:pPr>
      <w:r>
        <w:rPr>
          <w:rFonts w:hint="eastAsia" w:hAnsi="宋体" w:cs="宋体"/>
          <w:color w:val="auto"/>
        </w:rPr>
        <w:t>双方签订的技术协议</w:t>
      </w:r>
    </w:p>
    <w:p w14:paraId="126DFB3B">
      <w:pPr>
        <w:pStyle w:val="113"/>
        <w:numPr>
          <w:ilvl w:val="0"/>
          <w:numId w:val="36"/>
        </w:numPr>
        <w:snapToGrid w:val="0"/>
        <w:spacing w:line="360" w:lineRule="auto"/>
        <w:ind w:left="105" w:leftChars="50" w:firstLine="480" w:firstLineChars="200"/>
        <w:rPr>
          <w:rFonts w:hAnsi="宋体"/>
        </w:rPr>
      </w:pPr>
      <w:r>
        <w:rPr>
          <w:rFonts w:hint="eastAsia" w:hAnsi="宋体"/>
        </w:rPr>
        <w:t>双方会签的施工图</w:t>
      </w:r>
    </w:p>
    <w:p w14:paraId="4FA27DA0">
      <w:pPr>
        <w:pStyle w:val="113"/>
        <w:numPr>
          <w:ilvl w:val="0"/>
          <w:numId w:val="36"/>
        </w:numPr>
        <w:snapToGrid w:val="0"/>
        <w:spacing w:line="360" w:lineRule="auto"/>
        <w:ind w:left="105" w:leftChars="50" w:firstLine="480" w:firstLineChars="200"/>
        <w:rPr>
          <w:rFonts w:hAnsi="宋体"/>
        </w:rPr>
      </w:pPr>
      <w:r>
        <w:rPr>
          <w:rFonts w:hint="eastAsia" w:hAnsi="宋体"/>
        </w:rPr>
        <w:t>安全规范和标准</w:t>
      </w:r>
    </w:p>
    <w:p w14:paraId="7C1274EA">
      <w:pPr>
        <w:pStyle w:val="113"/>
        <w:numPr>
          <w:ilvl w:val="0"/>
          <w:numId w:val="36"/>
        </w:numPr>
        <w:snapToGrid w:val="0"/>
        <w:spacing w:line="360" w:lineRule="auto"/>
        <w:ind w:left="105" w:leftChars="50" w:firstLine="480" w:firstLineChars="200"/>
        <w:rPr>
          <w:rFonts w:hAnsi="宋体"/>
        </w:rPr>
      </w:pPr>
      <w:r>
        <w:rPr>
          <w:rFonts w:hint="eastAsia" w:hAnsi="宋体"/>
        </w:rPr>
        <w:t>防火规范和标准</w:t>
      </w:r>
    </w:p>
    <w:p w14:paraId="3034718B">
      <w:pPr>
        <w:pStyle w:val="114"/>
        <w:numPr>
          <w:ilvl w:val="0"/>
          <w:numId w:val="36"/>
        </w:numPr>
        <w:snapToGrid w:val="0"/>
        <w:spacing w:line="360" w:lineRule="auto"/>
        <w:ind w:left="105" w:leftChars="50" w:firstLine="480" w:firstLineChars="200"/>
        <w:rPr>
          <w:rFonts w:hAnsi="宋体"/>
        </w:rPr>
      </w:pPr>
      <w:r>
        <w:rPr>
          <w:rFonts w:hint="eastAsia" w:hAnsi="宋体"/>
        </w:rPr>
        <w:t>环保规范和标准</w:t>
      </w:r>
    </w:p>
    <w:p w14:paraId="47F7F2AE">
      <w:pPr>
        <w:pStyle w:val="114"/>
        <w:numPr>
          <w:ilvl w:val="0"/>
          <w:numId w:val="36"/>
        </w:numPr>
        <w:snapToGrid w:val="0"/>
        <w:spacing w:line="360" w:lineRule="auto"/>
        <w:ind w:left="105" w:leftChars="50" w:firstLine="480" w:firstLineChars="200"/>
        <w:rPr>
          <w:rFonts w:hAnsi="宋体"/>
        </w:rPr>
      </w:pPr>
      <w:r>
        <w:rPr>
          <w:rFonts w:hint="eastAsia" w:hAnsi="宋体"/>
        </w:rPr>
        <w:t>设备采用材质合格证明及分析报告</w:t>
      </w:r>
    </w:p>
    <w:p w14:paraId="30ECBB2B">
      <w:pPr>
        <w:pStyle w:val="63"/>
        <w:numPr>
          <w:ilvl w:val="0"/>
          <w:numId w:val="36"/>
        </w:numPr>
        <w:spacing w:line="360" w:lineRule="auto"/>
        <w:ind w:left="105" w:leftChars="50" w:firstLine="440"/>
        <w:jc w:val="left"/>
        <w:rPr>
          <w:rFonts w:ascii="宋体" w:hAnsi="宋体"/>
        </w:rPr>
      </w:pPr>
      <w:r>
        <w:rPr>
          <w:rFonts w:hint="eastAsia" w:ascii="宋体" w:hAnsi="宋体"/>
        </w:rPr>
        <w:t>GB 50205-2001</w:t>
      </w:r>
      <w:r>
        <w:rPr>
          <w:rFonts w:hint="eastAsia" w:ascii="宋体" w:hAnsi="宋体"/>
        </w:rPr>
        <w:tab/>
      </w:r>
      <w:r>
        <w:rPr>
          <w:rFonts w:hint="eastAsia" w:ascii="宋体" w:hAnsi="宋体"/>
        </w:rPr>
        <w:tab/>
      </w:r>
      <w:r>
        <w:rPr>
          <w:rFonts w:hint="eastAsia" w:ascii="宋体" w:hAnsi="宋体"/>
        </w:rPr>
        <w:t>钢结构工程施工质量验收规范</w:t>
      </w:r>
    </w:p>
    <w:p w14:paraId="6A003E04">
      <w:pPr>
        <w:pStyle w:val="63"/>
        <w:numPr>
          <w:ilvl w:val="0"/>
          <w:numId w:val="36"/>
        </w:numPr>
        <w:spacing w:line="360" w:lineRule="auto"/>
        <w:ind w:left="105" w:leftChars="50" w:firstLine="440"/>
        <w:jc w:val="left"/>
        <w:rPr>
          <w:rFonts w:ascii="宋体" w:hAnsi="宋体"/>
        </w:rPr>
      </w:pPr>
      <w:r>
        <w:rPr>
          <w:rFonts w:hint="eastAsia" w:ascii="宋体" w:hAnsi="宋体"/>
        </w:rPr>
        <w:t>GB50231-2009</w:t>
      </w:r>
      <w:r>
        <w:rPr>
          <w:rFonts w:hint="eastAsia" w:ascii="宋体" w:hAnsi="宋体"/>
        </w:rPr>
        <w:tab/>
      </w:r>
      <w:r>
        <w:rPr>
          <w:rFonts w:hint="eastAsia" w:ascii="宋体" w:hAnsi="宋体"/>
        </w:rPr>
        <w:tab/>
      </w:r>
      <w:r>
        <w:rPr>
          <w:rFonts w:hint="eastAsia" w:ascii="宋体" w:hAnsi="宋体"/>
        </w:rPr>
        <w:t>机械设备安装工程施工及验收通用规范</w:t>
      </w:r>
    </w:p>
    <w:p w14:paraId="47DD15AF">
      <w:pPr>
        <w:pStyle w:val="63"/>
        <w:numPr>
          <w:ilvl w:val="0"/>
          <w:numId w:val="36"/>
        </w:numPr>
        <w:spacing w:line="360" w:lineRule="auto"/>
        <w:ind w:left="105" w:leftChars="50" w:firstLine="440"/>
        <w:jc w:val="left"/>
        <w:rPr>
          <w:rFonts w:ascii="宋体" w:hAnsi="宋体"/>
        </w:rPr>
      </w:pPr>
      <w:r>
        <w:rPr>
          <w:rFonts w:hint="eastAsia" w:ascii="宋体" w:hAnsi="宋体"/>
        </w:rPr>
        <w:t>GB 50236-2011</w:t>
      </w:r>
      <w:r>
        <w:rPr>
          <w:rFonts w:hint="eastAsia" w:ascii="宋体" w:hAnsi="宋体"/>
        </w:rPr>
        <w:tab/>
      </w:r>
      <w:r>
        <w:rPr>
          <w:rFonts w:hint="eastAsia" w:ascii="宋体" w:hAnsi="宋体"/>
        </w:rPr>
        <w:tab/>
      </w:r>
      <w:r>
        <w:rPr>
          <w:rFonts w:hint="eastAsia" w:ascii="宋体" w:hAnsi="宋体"/>
        </w:rPr>
        <w:t>现场设备、工业管道焊接工程施工规范</w:t>
      </w:r>
    </w:p>
    <w:p w14:paraId="1B10D356">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50575-2010      《1kV及以下配线工程施工与验收规范》</w:t>
      </w:r>
    </w:p>
    <w:p w14:paraId="549D0E8F">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50150-2016</w:t>
      </w:r>
      <w:r>
        <w:rPr>
          <w:rFonts w:hint="eastAsia" w:ascii="宋体" w:hAnsi="宋体"/>
          <w:color w:val="000000"/>
        </w:rPr>
        <w:tab/>
      </w:r>
      <w:r>
        <w:rPr>
          <w:rFonts w:hint="eastAsia" w:ascii="宋体" w:hAnsi="宋体"/>
          <w:color w:val="000000"/>
        </w:rPr>
        <w:tab/>
      </w:r>
      <w:r>
        <w:rPr>
          <w:rFonts w:hint="eastAsia" w:ascii="宋体" w:hAnsi="宋体"/>
          <w:color w:val="000000"/>
        </w:rPr>
        <w:t>《</w:t>
      </w:r>
      <w:r>
        <w:fldChar w:fldCharType="begin"/>
      </w:r>
      <w:r>
        <w:instrText xml:space="preserve"> HYPERLINK "http://www1.csres.com/detail/69378.html" \t "_blank" </w:instrText>
      </w:r>
      <w:r>
        <w:fldChar w:fldCharType="separate"/>
      </w:r>
      <w:r>
        <w:rPr>
          <w:rFonts w:hint="eastAsia" w:ascii="宋体" w:hAnsi="宋体"/>
          <w:color w:val="000000"/>
        </w:rPr>
        <w:t>电气装置安装工程电气设备交接试验标准</w:t>
      </w:r>
      <w:r>
        <w:rPr>
          <w:rFonts w:hint="eastAsia" w:ascii="宋体" w:hAnsi="宋体"/>
          <w:color w:val="000000"/>
        </w:rPr>
        <w:fldChar w:fldCharType="end"/>
      </w:r>
      <w:r>
        <w:rPr>
          <w:rFonts w:hint="eastAsia" w:ascii="宋体" w:hAnsi="宋体"/>
          <w:color w:val="000000"/>
        </w:rPr>
        <w:t>》</w:t>
      </w:r>
    </w:p>
    <w:p w14:paraId="42842E68">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50169-2016</w:t>
      </w:r>
      <w:r>
        <w:rPr>
          <w:rFonts w:hint="eastAsia" w:ascii="宋体" w:hAnsi="宋体"/>
          <w:color w:val="000000"/>
        </w:rPr>
        <w:tab/>
      </w:r>
      <w:r>
        <w:rPr>
          <w:rFonts w:hint="eastAsia" w:ascii="宋体" w:hAnsi="宋体"/>
          <w:color w:val="000000"/>
        </w:rPr>
        <w:tab/>
      </w:r>
      <w:r>
        <w:rPr>
          <w:rFonts w:hint="eastAsia" w:ascii="宋体" w:hAnsi="宋体"/>
          <w:color w:val="000000"/>
        </w:rPr>
        <w:t>《电气装置安装工程接地装置施工验收规范》</w:t>
      </w:r>
    </w:p>
    <w:p w14:paraId="5E60F209">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50171-2012</w:t>
      </w:r>
      <w:r>
        <w:rPr>
          <w:rFonts w:hint="eastAsia" w:ascii="宋体" w:hAnsi="宋体"/>
          <w:color w:val="000000"/>
        </w:rPr>
        <w:tab/>
      </w:r>
      <w:r>
        <w:rPr>
          <w:rFonts w:hint="eastAsia" w:ascii="宋体" w:hAnsi="宋体"/>
          <w:color w:val="000000"/>
        </w:rPr>
        <w:t xml:space="preserve">    《电气装置安装工程盘柜及二次回路施工和验收规范》</w:t>
      </w:r>
    </w:p>
    <w:p w14:paraId="21660F34">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7251.1-2017</w:t>
      </w:r>
      <w:r>
        <w:rPr>
          <w:rFonts w:hint="eastAsia" w:ascii="宋体" w:hAnsi="宋体"/>
          <w:color w:val="000000"/>
        </w:rPr>
        <w:tab/>
      </w:r>
      <w:r>
        <w:rPr>
          <w:rFonts w:hint="eastAsia" w:ascii="宋体" w:hAnsi="宋体"/>
          <w:color w:val="000000"/>
        </w:rPr>
        <w:tab/>
      </w:r>
      <w:r>
        <w:rPr>
          <w:rFonts w:hint="eastAsia" w:ascii="宋体" w:hAnsi="宋体"/>
          <w:color w:val="000000"/>
        </w:rPr>
        <w:t>《低压成套开关设备和控制设备》</w:t>
      </w:r>
    </w:p>
    <w:p w14:paraId="602C23F8">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CECS31-2017</w:t>
      </w:r>
      <w:r>
        <w:rPr>
          <w:rFonts w:hint="eastAsia" w:ascii="宋体" w:hAnsi="宋体"/>
          <w:color w:val="000000"/>
        </w:rPr>
        <w:tab/>
      </w:r>
      <w:r>
        <w:rPr>
          <w:rFonts w:hint="eastAsia" w:ascii="宋体" w:hAnsi="宋体"/>
          <w:color w:val="000000"/>
        </w:rPr>
        <w:tab/>
      </w:r>
      <w:r>
        <w:rPr>
          <w:rFonts w:hint="eastAsia" w:ascii="宋体" w:hAnsi="宋体"/>
          <w:color w:val="000000"/>
        </w:rPr>
        <w:t xml:space="preserve">    《钢制电缆桥架工程设计规范》</w:t>
      </w:r>
    </w:p>
    <w:p w14:paraId="73D6922B">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GB 50093-2013</w:t>
      </w:r>
      <w:r>
        <w:rPr>
          <w:rFonts w:hint="eastAsia" w:ascii="宋体" w:hAnsi="宋体"/>
          <w:color w:val="000000"/>
        </w:rPr>
        <w:tab/>
      </w:r>
      <w:r>
        <w:rPr>
          <w:rFonts w:hint="eastAsia" w:ascii="宋体" w:hAnsi="宋体"/>
          <w:color w:val="000000"/>
        </w:rPr>
        <w:tab/>
      </w:r>
      <w:r>
        <w:rPr>
          <w:rFonts w:hint="eastAsia" w:ascii="宋体" w:hAnsi="宋体"/>
          <w:color w:val="000000"/>
        </w:rPr>
        <w:t>《自动化仪表工程施工及质量验收规范》</w:t>
      </w:r>
    </w:p>
    <w:p w14:paraId="6FC45037">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以上规范均采用最新版标准</w:t>
      </w:r>
    </w:p>
    <w:p w14:paraId="02BD9911">
      <w:pPr>
        <w:pStyle w:val="63"/>
        <w:numPr>
          <w:ilvl w:val="0"/>
          <w:numId w:val="36"/>
        </w:numPr>
        <w:spacing w:line="360" w:lineRule="auto"/>
        <w:ind w:left="105" w:leftChars="50" w:firstLine="440"/>
        <w:jc w:val="left"/>
        <w:rPr>
          <w:rFonts w:ascii="宋体" w:hAnsi="宋体"/>
          <w:color w:val="000000"/>
        </w:rPr>
      </w:pPr>
      <w:r>
        <w:rPr>
          <w:rFonts w:hint="eastAsia" w:ascii="宋体" w:hAnsi="宋体"/>
          <w:color w:val="000000"/>
        </w:rPr>
        <w:t>设备验收内容</w:t>
      </w:r>
    </w:p>
    <w:tbl>
      <w:tblPr>
        <w:tblStyle w:val="30"/>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275"/>
        <w:gridCol w:w="4503"/>
        <w:gridCol w:w="3870"/>
      </w:tblGrid>
      <w:tr w14:paraId="72A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3" w:type="dxa"/>
            <w:vAlign w:val="center"/>
          </w:tcPr>
          <w:p w14:paraId="3A3A8B85">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序号</w:t>
            </w:r>
          </w:p>
        </w:tc>
        <w:tc>
          <w:tcPr>
            <w:tcW w:w="1275" w:type="dxa"/>
            <w:vAlign w:val="center"/>
          </w:tcPr>
          <w:p w14:paraId="75D7358B">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验收阶段</w:t>
            </w:r>
          </w:p>
        </w:tc>
        <w:tc>
          <w:tcPr>
            <w:tcW w:w="4503" w:type="dxa"/>
            <w:vAlign w:val="center"/>
          </w:tcPr>
          <w:p w14:paraId="1B1688ED">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内容</w:t>
            </w:r>
          </w:p>
        </w:tc>
        <w:tc>
          <w:tcPr>
            <w:tcW w:w="3870" w:type="dxa"/>
            <w:vAlign w:val="center"/>
          </w:tcPr>
          <w:p w14:paraId="1B1AC18E">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验收标准及依据</w:t>
            </w:r>
          </w:p>
        </w:tc>
      </w:tr>
      <w:tr w14:paraId="0764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783" w:type="dxa"/>
            <w:vMerge w:val="restart"/>
            <w:vAlign w:val="center"/>
          </w:tcPr>
          <w:p w14:paraId="7267049B">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1</w:t>
            </w:r>
          </w:p>
        </w:tc>
        <w:tc>
          <w:tcPr>
            <w:tcW w:w="1275" w:type="dxa"/>
            <w:vMerge w:val="restart"/>
            <w:vAlign w:val="center"/>
          </w:tcPr>
          <w:p w14:paraId="2D6DAFEF">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预验收</w:t>
            </w:r>
          </w:p>
        </w:tc>
        <w:tc>
          <w:tcPr>
            <w:tcW w:w="4503" w:type="dxa"/>
            <w:vAlign w:val="center"/>
          </w:tcPr>
          <w:p w14:paraId="4B4183EA">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（1）各外购件的验收（2）各种自制件的验收（3）设计阶段确认需要在该阶段验收的内容</w:t>
            </w:r>
          </w:p>
        </w:tc>
        <w:tc>
          <w:tcPr>
            <w:tcW w:w="3870" w:type="dxa"/>
            <w:vMerge w:val="restart"/>
            <w:vAlign w:val="center"/>
          </w:tcPr>
          <w:p w14:paraId="69251CAF">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1、设备采购合同</w:t>
            </w:r>
          </w:p>
          <w:p w14:paraId="15181EBA">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2、技术协议</w:t>
            </w:r>
          </w:p>
          <w:p w14:paraId="4B0CC666">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3、经双方会签的设备图纸</w:t>
            </w:r>
          </w:p>
          <w:p w14:paraId="3CB49CE8">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4、双方共同签字或由投标方提出经招标方认可的有关工程的洽商、变更等书面协议或文件、传真</w:t>
            </w:r>
          </w:p>
          <w:p w14:paraId="6E907FC8">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5、国家的相关法规。</w:t>
            </w:r>
          </w:p>
        </w:tc>
      </w:tr>
      <w:tr w14:paraId="75D9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83" w:type="dxa"/>
            <w:vMerge w:val="continue"/>
            <w:vAlign w:val="center"/>
          </w:tcPr>
          <w:p w14:paraId="375FA067">
            <w:pPr>
              <w:tabs>
                <w:tab w:val="left" w:pos="840"/>
              </w:tabs>
              <w:spacing w:before="100" w:beforeAutospacing="1" w:after="100" w:afterAutospacing="1"/>
              <w:jc w:val="center"/>
              <w:rPr>
                <w:rFonts w:ascii="宋体" w:hAnsi="宋体"/>
                <w:color w:val="000000"/>
                <w:sz w:val="24"/>
                <w:szCs w:val="24"/>
              </w:rPr>
            </w:pPr>
          </w:p>
        </w:tc>
        <w:tc>
          <w:tcPr>
            <w:tcW w:w="1275" w:type="dxa"/>
            <w:vMerge w:val="continue"/>
            <w:vAlign w:val="center"/>
          </w:tcPr>
          <w:p w14:paraId="0DE679C2">
            <w:pPr>
              <w:tabs>
                <w:tab w:val="left" w:pos="840"/>
              </w:tabs>
              <w:spacing w:before="100" w:beforeAutospacing="1" w:after="100" w:afterAutospacing="1"/>
              <w:jc w:val="center"/>
              <w:rPr>
                <w:rFonts w:ascii="宋体" w:hAnsi="宋体"/>
                <w:color w:val="000000"/>
                <w:sz w:val="24"/>
                <w:szCs w:val="24"/>
              </w:rPr>
            </w:pPr>
          </w:p>
        </w:tc>
        <w:tc>
          <w:tcPr>
            <w:tcW w:w="4503" w:type="dxa"/>
            <w:vAlign w:val="center"/>
          </w:tcPr>
          <w:p w14:paraId="1FBEE92B">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出厂前将预验收的问题全部关闭</w:t>
            </w:r>
          </w:p>
          <w:p w14:paraId="3618FA4C">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外购件可实施到厂验收</w:t>
            </w:r>
          </w:p>
        </w:tc>
        <w:tc>
          <w:tcPr>
            <w:tcW w:w="3870" w:type="dxa"/>
            <w:vMerge w:val="continue"/>
            <w:vAlign w:val="center"/>
          </w:tcPr>
          <w:p w14:paraId="30FFD939">
            <w:pPr>
              <w:tabs>
                <w:tab w:val="left" w:pos="840"/>
              </w:tabs>
              <w:spacing w:before="100" w:beforeAutospacing="1" w:after="100" w:afterAutospacing="1"/>
              <w:jc w:val="center"/>
              <w:rPr>
                <w:rFonts w:ascii="宋体" w:hAnsi="宋体"/>
                <w:color w:val="000000"/>
                <w:sz w:val="24"/>
                <w:szCs w:val="24"/>
              </w:rPr>
            </w:pPr>
          </w:p>
        </w:tc>
      </w:tr>
      <w:tr w14:paraId="6F3F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83" w:type="dxa"/>
            <w:vAlign w:val="center"/>
          </w:tcPr>
          <w:p w14:paraId="3EFA1DDA">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2</w:t>
            </w:r>
          </w:p>
        </w:tc>
        <w:tc>
          <w:tcPr>
            <w:tcW w:w="1275" w:type="dxa"/>
            <w:vAlign w:val="center"/>
          </w:tcPr>
          <w:p w14:paraId="07B6A73A">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试生产</w:t>
            </w:r>
          </w:p>
        </w:tc>
        <w:tc>
          <w:tcPr>
            <w:tcW w:w="4503" w:type="dxa"/>
            <w:vAlign w:val="center"/>
          </w:tcPr>
          <w:p w14:paraId="3F47F369">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满足安装、调试及工艺设备参数要求，单机运行，验证设备能否连续运转</w:t>
            </w:r>
          </w:p>
        </w:tc>
        <w:tc>
          <w:tcPr>
            <w:tcW w:w="3870" w:type="dxa"/>
            <w:vAlign w:val="center"/>
          </w:tcPr>
          <w:p w14:paraId="33B7B38C">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1、设备采购合同</w:t>
            </w:r>
          </w:p>
          <w:p w14:paraId="061D87BD">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2、技术协议</w:t>
            </w:r>
          </w:p>
          <w:p w14:paraId="44E178D0">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3、经双方会签的设备图纸</w:t>
            </w:r>
          </w:p>
          <w:p w14:paraId="1DC1CC75">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4、双方共同签字或由投标方提出经招标方认可的有关工程的洽商、变更等书面协议或文件、传真</w:t>
            </w:r>
          </w:p>
        </w:tc>
      </w:tr>
      <w:tr w14:paraId="52A1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3" w:type="dxa"/>
            <w:vAlign w:val="center"/>
          </w:tcPr>
          <w:p w14:paraId="3D2DFE8F">
            <w:pPr>
              <w:tabs>
                <w:tab w:val="left" w:pos="840"/>
              </w:tabs>
              <w:spacing w:before="100" w:beforeAutospacing="1" w:after="100" w:afterAutospacing="1"/>
              <w:jc w:val="center"/>
              <w:rPr>
                <w:rFonts w:ascii="宋体" w:hAnsi="宋体"/>
                <w:color w:val="000000"/>
                <w:sz w:val="24"/>
                <w:szCs w:val="24"/>
              </w:rPr>
            </w:pPr>
            <w:r>
              <w:rPr>
                <w:rFonts w:ascii="宋体" w:hAnsi="宋体"/>
                <w:color w:val="000000"/>
                <w:sz w:val="24"/>
                <w:szCs w:val="24"/>
              </w:rPr>
              <w:t>3</w:t>
            </w:r>
          </w:p>
        </w:tc>
        <w:tc>
          <w:tcPr>
            <w:tcW w:w="1275" w:type="dxa"/>
            <w:vAlign w:val="center"/>
          </w:tcPr>
          <w:p w14:paraId="36E338B1">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终验收</w:t>
            </w:r>
          </w:p>
        </w:tc>
        <w:tc>
          <w:tcPr>
            <w:tcW w:w="4503" w:type="dxa"/>
            <w:vAlign w:val="center"/>
          </w:tcPr>
          <w:p w14:paraId="209E2690">
            <w:pPr>
              <w:tabs>
                <w:tab w:val="left" w:pos="840"/>
              </w:tabs>
              <w:spacing w:before="100" w:beforeAutospacing="1" w:after="100" w:afterAutospacing="1"/>
              <w:rPr>
                <w:rFonts w:ascii="宋体" w:hAnsi="宋体"/>
                <w:color w:val="000000"/>
                <w:sz w:val="24"/>
                <w:szCs w:val="24"/>
              </w:rPr>
            </w:pPr>
            <w:r>
              <w:rPr>
                <w:rFonts w:hint="eastAsia" w:ascii="宋体" w:hAnsi="宋体"/>
                <w:color w:val="000000"/>
                <w:sz w:val="24"/>
                <w:szCs w:val="24"/>
              </w:rPr>
              <w:t>终验收必须圆满解决了生产验证过程中的所有问题并且设备可靠运行，设备开动率≥98%。</w:t>
            </w:r>
            <w:r>
              <w:rPr>
                <w:rFonts w:hint="eastAsia" w:ascii="宋体" w:hAnsi="宋体"/>
                <w:color w:val="000000"/>
                <w:sz w:val="24"/>
                <w:szCs w:val="24"/>
                <w:lang w:val="zh-CN"/>
              </w:rPr>
              <w:t>陪产期内，陪产工程师1人，维修人员</w:t>
            </w:r>
            <w:r>
              <w:rPr>
                <w:rFonts w:ascii="宋体" w:hAnsi="宋体"/>
                <w:color w:val="000000"/>
                <w:sz w:val="24"/>
                <w:szCs w:val="24"/>
                <w:lang w:val="zh-CN"/>
              </w:rPr>
              <w:t>1</w:t>
            </w:r>
            <w:r>
              <w:rPr>
                <w:rFonts w:hint="eastAsia" w:ascii="宋体" w:hAnsi="宋体"/>
                <w:color w:val="000000"/>
                <w:sz w:val="24"/>
                <w:szCs w:val="24"/>
                <w:lang w:val="zh-CN"/>
              </w:rPr>
              <w:t>人。</w:t>
            </w:r>
          </w:p>
        </w:tc>
        <w:tc>
          <w:tcPr>
            <w:tcW w:w="3870" w:type="dxa"/>
            <w:vAlign w:val="center"/>
          </w:tcPr>
          <w:p w14:paraId="7CBA680E">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1、设备采购合同</w:t>
            </w:r>
          </w:p>
          <w:p w14:paraId="20B39507">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2、技术协议</w:t>
            </w:r>
          </w:p>
          <w:p w14:paraId="4D5865AF">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3、经双方会签的设备图纸</w:t>
            </w:r>
          </w:p>
          <w:p w14:paraId="66D154AA">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4、双方共同签字或由投标方提出经招标方认可的有关工程的洽商、变更等书面协议或文件、传真</w:t>
            </w:r>
          </w:p>
          <w:p w14:paraId="42B102D8">
            <w:pPr>
              <w:tabs>
                <w:tab w:val="left" w:pos="840"/>
              </w:tabs>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5、国家的相关法规。</w:t>
            </w:r>
          </w:p>
        </w:tc>
      </w:tr>
    </w:tbl>
    <w:p w14:paraId="436F962F">
      <w:pPr>
        <w:tabs>
          <w:tab w:val="left" w:pos="840"/>
        </w:tabs>
        <w:jc w:val="left"/>
        <w:rPr>
          <w:rFonts w:ascii="宋体" w:hAnsi="宋体"/>
          <w:color w:val="000000"/>
          <w:sz w:val="24"/>
          <w:szCs w:val="24"/>
        </w:rPr>
      </w:pPr>
    </w:p>
    <w:p w14:paraId="15FDF321">
      <w:pPr>
        <w:spacing w:line="360" w:lineRule="auto"/>
        <w:ind w:firstLine="482" w:firstLineChars="200"/>
        <w:jc w:val="left"/>
        <w:rPr>
          <w:rFonts w:ascii="宋体" w:hAnsi="宋体"/>
          <w:b/>
          <w:bCs/>
          <w:sz w:val="24"/>
          <w:szCs w:val="24"/>
        </w:rPr>
      </w:pPr>
      <w:r>
        <w:rPr>
          <w:rFonts w:hint="eastAsia" w:ascii="宋体" w:hAnsi="宋体"/>
          <w:b/>
          <w:bCs/>
          <w:sz w:val="24"/>
          <w:szCs w:val="24"/>
        </w:rPr>
        <w:t>2.验收标准</w:t>
      </w:r>
    </w:p>
    <w:p w14:paraId="39BF52E5">
      <w:pPr>
        <w:spacing w:line="360" w:lineRule="auto"/>
        <w:ind w:firstLine="480" w:firstLineChars="200"/>
        <w:rPr>
          <w:rFonts w:ascii="宋体" w:hAnsi="宋体"/>
          <w:sz w:val="24"/>
          <w:szCs w:val="24"/>
        </w:rPr>
      </w:pPr>
      <w:r>
        <w:rPr>
          <w:rFonts w:hint="eastAsia" w:ascii="宋体" w:hAnsi="宋体"/>
          <w:sz w:val="24"/>
          <w:szCs w:val="24"/>
        </w:rPr>
        <w:t>验收分预验收和终验收两部分。预验收在投标方进行，终验收在安装调试完成后的招标方现场进行。最终只以终验收为准。</w:t>
      </w:r>
    </w:p>
    <w:p w14:paraId="0DE7F00E">
      <w:pPr>
        <w:spacing w:line="360" w:lineRule="auto"/>
        <w:ind w:firstLine="480" w:firstLineChars="200"/>
        <w:rPr>
          <w:rFonts w:ascii="宋体" w:hAnsi="宋体"/>
          <w:sz w:val="24"/>
          <w:szCs w:val="24"/>
        </w:rPr>
      </w:pPr>
      <w:r>
        <w:rPr>
          <w:rFonts w:hint="eastAsia" w:ascii="宋体" w:hAnsi="宋体"/>
          <w:sz w:val="24"/>
          <w:szCs w:val="24"/>
        </w:rPr>
        <w:t>2.1终验收规程：</w:t>
      </w:r>
    </w:p>
    <w:p w14:paraId="2935A890">
      <w:pPr>
        <w:spacing w:line="360" w:lineRule="auto"/>
        <w:ind w:firstLine="480" w:firstLineChars="200"/>
        <w:rPr>
          <w:rFonts w:ascii="宋体" w:hAnsi="宋体"/>
          <w:sz w:val="24"/>
          <w:szCs w:val="24"/>
        </w:rPr>
      </w:pPr>
      <w:r>
        <w:rPr>
          <w:rFonts w:hint="eastAsia" w:ascii="宋体" w:hAnsi="宋体"/>
          <w:sz w:val="24"/>
          <w:szCs w:val="24"/>
        </w:rPr>
        <w:t>设备投入使用后，除用户方面因素外，必须达到以下要求：</w:t>
      </w:r>
    </w:p>
    <w:p w14:paraId="43F76A91">
      <w:pPr>
        <w:spacing w:line="360" w:lineRule="auto"/>
        <w:ind w:firstLine="480" w:firstLineChars="200"/>
        <w:rPr>
          <w:rFonts w:ascii="宋体" w:hAnsi="宋体"/>
          <w:sz w:val="24"/>
          <w:szCs w:val="24"/>
        </w:rPr>
      </w:pPr>
      <w:r>
        <w:rPr>
          <w:rFonts w:hint="eastAsia" w:ascii="宋体" w:hAnsi="宋体"/>
          <w:sz w:val="24"/>
          <w:szCs w:val="24"/>
        </w:rPr>
        <w:t>a)在整个验收过程中没有维修、更换零部件或元件行为；</w:t>
      </w:r>
    </w:p>
    <w:p w14:paraId="222BE171">
      <w:pPr>
        <w:spacing w:line="360" w:lineRule="auto"/>
        <w:ind w:firstLine="480" w:firstLineChars="200"/>
        <w:rPr>
          <w:rFonts w:ascii="宋体" w:hAnsi="宋体"/>
          <w:sz w:val="24"/>
          <w:szCs w:val="24"/>
        </w:rPr>
      </w:pPr>
      <w:r>
        <w:rPr>
          <w:rFonts w:hint="eastAsia" w:ascii="宋体" w:hAnsi="宋体"/>
          <w:sz w:val="24"/>
          <w:szCs w:val="24"/>
        </w:rPr>
        <w:t>b)终验收原则上要求一次完成。若一次验收不成功，最多允许两次；</w:t>
      </w:r>
    </w:p>
    <w:p w14:paraId="05916133">
      <w:pPr>
        <w:spacing w:line="360" w:lineRule="auto"/>
        <w:ind w:firstLine="480" w:firstLineChars="200"/>
        <w:rPr>
          <w:rFonts w:ascii="宋体" w:hAnsi="宋体"/>
          <w:sz w:val="24"/>
          <w:szCs w:val="24"/>
        </w:rPr>
      </w:pPr>
      <w:r>
        <w:rPr>
          <w:rFonts w:hint="eastAsia" w:ascii="宋体" w:hAnsi="宋体"/>
          <w:sz w:val="24"/>
          <w:szCs w:val="24"/>
        </w:rPr>
        <w:t>c）终验收通过后买卖双方共同签署终验收报告。</w:t>
      </w:r>
    </w:p>
    <w:p w14:paraId="5122A464">
      <w:pPr>
        <w:spacing w:line="360" w:lineRule="auto"/>
        <w:ind w:firstLine="480" w:firstLineChars="200"/>
        <w:rPr>
          <w:rFonts w:ascii="宋体" w:hAnsi="宋体"/>
          <w:sz w:val="24"/>
          <w:szCs w:val="24"/>
        </w:rPr>
      </w:pPr>
      <w:r>
        <w:rPr>
          <w:rFonts w:hint="eastAsia" w:ascii="宋体" w:hAnsi="宋体"/>
          <w:sz w:val="24"/>
          <w:szCs w:val="24"/>
        </w:rPr>
        <w:t>2.2设备验收的一般标准与要求：</w:t>
      </w:r>
    </w:p>
    <w:p w14:paraId="3D4A4735">
      <w:pPr>
        <w:spacing w:line="360" w:lineRule="auto"/>
        <w:ind w:firstLine="480" w:firstLineChars="200"/>
        <w:rPr>
          <w:rFonts w:ascii="宋体" w:hAnsi="宋体"/>
          <w:sz w:val="24"/>
          <w:szCs w:val="24"/>
        </w:rPr>
      </w:pPr>
      <w:r>
        <w:rPr>
          <w:rFonts w:hint="eastAsia" w:ascii="宋体" w:hAnsi="宋体"/>
          <w:sz w:val="24"/>
          <w:szCs w:val="24"/>
        </w:rPr>
        <w:t>①预验收的一般标准与要求</w:t>
      </w:r>
    </w:p>
    <w:p w14:paraId="0BE23925">
      <w:pPr>
        <w:spacing w:line="360" w:lineRule="auto"/>
        <w:ind w:firstLine="480" w:firstLineChars="200"/>
        <w:rPr>
          <w:rFonts w:ascii="宋体" w:hAnsi="宋体"/>
          <w:sz w:val="24"/>
          <w:szCs w:val="24"/>
        </w:rPr>
      </w:pPr>
      <w:r>
        <w:rPr>
          <w:rFonts w:hint="eastAsia" w:ascii="宋体" w:hAnsi="宋体"/>
          <w:sz w:val="24"/>
          <w:szCs w:val="24"/>
        </w:rPr>
        <w:t>a.资料齐全性、完整性和有效性。按照“配套供货范围及要求”中“技术资料范围”的规定验收；</w:t>
      </w:r>
    </w:p>
    <w:p w14:paraId="0ED67216">
      <w:pPr>
        <w:spacing w:line="360" w:lineRule="auto"/>
        <w:ind w:firstLine="480" w:firstLineChars="200"/>
        <w:rPr>
          <w:rFonts w:ascii="宋体" w:hAnsi="宋体"/>
          <w:sz w:val="24"/>
          <w:szCs w:val="24"/>
        </w:rPr>
      </w:pPr>
      <w:r>
        <w:rPr>
          <w:rFonts w:hint="eastAsia" w:ascii="宋体" w:hAnsi="宋体"/>
          <w:sz w:val="24"/>
          <w:szCs w:val="24"/>
        </w:rPr>
        <w:t>b.设备（或材料）应运行灵活、稳定、可靠、安全，无异常声音和非正常振动。设备不允许出现漏水、漏液、漏气（汽）、漏电。</w:t>
      </w:r>
    </w:p>
    <w:p w14:paraId="4659E5FA">
      <w:pPr>
        <w:spacing w:line="360" w:lineRule="auto"/>
        <w:ind w:firstLine="480" w:firstLineChars="200"/>
        <w:rPr>
          <w:rFonts w:ascii="宋体" w:hAnsi="宋体"/>
          <w:sz w:val="24"/>
          <w:szCs w:val="24"/>
        </w:rPr>
      </w:pPr>
      <w:r>
        <w:rPr>
          <w:rFonts w:hint="eastAsia" w:ascii="宋体" w:hAnsi="宋体"/>
          <w:sz w:val="24"/>
          <w:szCs w:val="24"/>
        </w:rPr>
        <w:t>c.设备（或材料）外观应无损伤，应该涂满同种明亮清晰的油漆（特殊标志除外）。设备应该完整且所有的零部件应该安装牢固，所有的焊缝饱满、无残渣等缺陷；</w:t>
      </w:r>
    </w:p>
    <w:p w14:paraId="20CA8297">
      <w:pPr>
        <w:spacing w:line="360" w:lineRule="auto"/>
        <w:ind w:firstLine="480" w:firstLineChars="200"/>
        <w:rPr>
          <w:rFonts w:ascii="宋体" w:hAnsi="宋体"/>
          <w:sz w:val="24"/>
          <w:szCs w:val="24"/>
        </w:rPr>
      </w:pPr>
      <w:r>
        <w:rPr>
          <w:rFonts w:hint="eastAsia" w:ascii="宋体" w:hAnsi="宋体"/>
          <w:sz w:val="24"/>
          <w:szCs w:val="24"/>
        </w:rPr>
        <w:t>d.设备（或材料）应有完整的标牌，且清晰易见；</w:t>
      </w:r>
    </w:p>
    <w:p w14:paraId="46F345B8">
      <w:pPr>
        <w:spacing w:line="360" w:lineRule="auto"/>
        <w:ind w:firstLine="480" w:firstLineChars="200"/>
        <w:rPr>
          <w:rFonts w:ascii="宋体" w:hAnsi="宋体"/>
          <w:sz w:val="24"/>
          <w:szCs w:val="24"/>
        </w:rPr>
      </w:pPr>
      <w:r>
        <w:rPr>
          <w:rFonts w:hint="eastAsia" w:ascii="宋体" w:hAnsi="宋体"/>
          <w:sz w:val="24"/>
          <w:szCs w:val="24"/>
        </w:rPr>
        <w:t>e.设备（或材料）的安全要求符合中国最新的相关法律、法规、标准和规范以及合同要求；</w:t>
      </w:r>
    </w:p>
    <w:p w14:paraId="42E123F6">
      <w:pPr>
        <w:spacing w:line="360" w:lineRule="auto"/>
        <w:ind w:firstLine="480" w:firstLineChars="200"/>
        <w:rPr>
          <w:rFonts w:ascii="宋体" w:hAnsi="宋体"/>
          <w:sz w:val="24"/>
          <w:szCs w:val="24"/>
        </w:rPr>
      </w:pPr>
      <w:r>
        <w:rPr>
          <w:rFonts w:hint="eastAsia" w:ascii="宋体" w:hAnsi="宋体"/>
          <w:sz w:val="24"/>
          <w:szCs w:val="24"/>
        </w:rPr>
        <w:t>②终验收时的一般验收标准与要求：</w:t>
      </w:r>
    </w:p>
    <w:p w14:paraId="6AAA349B">
      <w:pPr>
        <w:spacing w:line="360" w:lineRule="auto"/>
        <w:ind w:firstLine="480" w:firstLineChars="200"/>
        <w:rPr>
          <w:rFonts w:ascii="宋体" w:hAnsi="宋体"/>
          <w:sz w:val="24"/>
          <w:szCs w:val="24"/>
        </w:rPr>
      </w:pPr>
      <w:r>
        <w:rPr>
          <w:rFonts w:hint="eastAsia" w:ascii="宋体" w:hAnsi="宋体"/>
          <w:sz w:val="24"/>
          <w:szCs w:val="24"/>
        </w:rPr>
        <w:t>a.资料齐全性、完整性和有效性。</w:t>
      </w:r>
    </w:p>
    <w:p w14:paraId="20993E6C">
      <w:pPr>
        <w:spacing w:line="360" w:lineRule="auto"/>
        <w:ind w:firstLine="480" w:firstLineChars="200"/>
        <w:rPr>
          <w:rFonts w:ascii="宋体" w:hAnsi="宋体"/>
          <w:sz w:val="24"/>
          <w:szCs w:val="24"/>
        </w:rPr>
      </w:pPr>
      <w:r>
        <w:rPr>
          <w:rFonts w:hint="eastAsia" w:ascii="宋体" w:hAnsi="宋体"/>
          <w:sz w:val="24"/>
          <w:szCs w:val="24"/>
        </w:rPr>
        <w:t>b.设备（或材料）应运行稳定、可靠、安全，无异常声音和非正常振动。设备不允许出现漏水、漏液、漏气（汽）、漏电。</w:t>
      </w:r>
    </w:p>
    <w:p w14:paraId="63E67061">
      <w:pPr>
        <w:spacing w:line="360" w:lineRule="auto"/>
        <w:ind w:firstLine="480" w:firstLineChars="200"/>
        <w:rPr>
          <w:rFonts w:ascii="宋体" w:hAnsi="宋体"/>
          <w:sz w:val="24"/>
          <w:szCs w:val="24"/>
        </w:rPr>
      </w:pPr>
      <w:r>
        <w:rPr>
          <w:rFonts w:hint="eastAsia" w:ascii="宋体" w:hAnsi="宋体"/>
          <w:sz w:val="24"/>
          <w:szCs w:val="24"/>
        </w:rPr>
        <w:t>c.设备（或材料）应有完整的标牌，且清晰易见；</w:t>
      </w:r>
    </w:p>
    <w:p w14:paraId="4CEB145C">
      <w:pPr>
        <w:spacing w:line="360" w:lineRule="auto"/>
        <w:ind w:firstLine="480" w:firstLineChars="200"/>
        <w:rPr>
          <w:rFonts w:ascii="宋体" w:hAnsi="宋体"/>
          <w:sz w:val="24"/>
          <w:szCs w:val="24"/>
        </w:rPr>
      </w:pPr>
      <w:r>
        <w:rPr>
          <w:rFonts w:hint="eastAsia" w:ascii="宋体" w:hAnsi="宋体"/>
          <w:sz w:val="24"/>
          <w:szCs w:val="24"/>
        </w:rPr>
        <w:t>③终验收条件</w:t>
      </w:r>
    </w:p>
    <w:p w14:paraId="4A6DC8EE">
      <w:pPr>
        <w:spacing w:line="360" w:lineRule="auto"/>
        <w:ind w:firstLine="480" w:firstLineChars="200"/>
        <w:rPr>
          <w:rFonts w:ascii="宋体" w:hAnsi="宋体"/>
          <w:sz w:val="24"/>
          <w:szCs w:val="24"/>
        </w:rPr>
      </w:pPr>
      <w:r>
        <w:rPr>
          <w:rFonts w:hint="eastAsia" w:ascii="宋体" w:hAnsi="宋体"/>
          <w:sz w:val="24"/>
          <w:szCs w:val="24"/>
        </w:rPr>
        <w:t>依据招标文件、投标文件、答疑文件、技术交流文件等形成并达成一致的技术协议书和合同规定的终验收条件验收。</w:t>
      </w:r>
    </w:p>
    <w:p w14:paraId="74BE9385">
      <w:pPr>
        <w:spacing w:line="360" w:lineRule="auto"/>
        <w:ind w:firstLine="482" w:firstLineChars="200"/>
        <w:jc w:val="left"/>
        <w:rPr>
          <w:rFonts w:ascii="宋体" w:hAnsi="宋体"/>
          <w:b/>
          <w:color w:val="000000"/>
          <w:sz w:val="24"/>
          <w:szCs w:val="24"/>
        </w:rPr>
      </w:pPr>
      <w:r>
        <w:rPr>
          <w:rFonts w:ascii="宋体" w:hAnsi="宋体"/>
          <w:b/>
          <w:color w:val="000000"/>
          <w:sz w:val="24"/>
          <w:szCs w:val="24"/>
        </w:rPr>
        <w:t xml:space="preserve">3 </w:t>
      </w:r>
      <w:r>
        <w:rPr>
          <w:rFonts w:hint="eastAsia" w:ascii="宋体" w:hAnsi="宋体"/>
          <w:b/>
          <w:color w:val="000000"/>
          <w:sz w:val="24"/>
          <w:szCs w:val="24"/>
        </w:rPr>
        <w:t>预验收</w:t>
      </w:r>
    </w:p>
    <w:p w14:paraId="3CCF2C5F">
      <w:pPr>
        <w:tabs>
          <w:tab w:val="left" w:pos="840"/>
        </w:tabs>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在设备制作完成以后并运送到车间现场前，在设备制作商的现场进行预验收。设备如要进行预装，检查这些设备的性能是否达到设备规范和设计数据，预验收时应达到测试条件。</w:t>
      </w:r>
    </w:p>
    <w:p w14:paraId="50F0C7D9">
      <w:pPr>
        <w:tabs>
          <w:tab w:val="left" w:pos="840"/>
        </w:tabs>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投标方应在预验收时准备一个预验收报告。如果经预验收后，数量正确、制作质量满意、性能满意以及所有必须的检查都通过，招标方将签署该报告。相反，招标方将拒绝签署并提出改进意见以进行下一次预验收。</w:t>
      </w:r>
    </w:p>
    <w:p w14:paraId="0F082420">
      <w:pPr>
        <w:tabs>
          <w:tab w:val="left" w:pos="840"/>
        </w:tabs>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对于投标方的自制件和外购件的外观质量，投标方应满足招标方的要求。投标方应在设备制造期间将设备外观小样提交招标方审核，小样达不到招标方满意程度或实样达不到招标方已认可的小样品质的，招标方有权要求投标方整改返工，并直至招标方满意，造成的费用及进度影响的后果由投标方承担。</w:t>
      </w:r>
    </w:p>
    <w:p w14:paraId="437A2139">
      <w:pPr>
        <w:spacing w:line="360" w:lineRule="auto"/>
        <w:ind w:firstLine="482" w:firstLineChars="200"/>
        <w:jc w:val="left"/>
        <w:rPr>
          <w:rFonts w:ascii="宋体" w:hAnsi="宋体"/>
          <w:b/>
          <w:color w:val="000000"/>
          <w:sz w:val="24"/>
          <w:szCs w:val="24"/>
        </w:rPr>
      </w:pPr>
      <w:r>
        <w:rPr>
          <w:rFonts w:hint="eastAsia" w:ascii="宋体" w:hAnsi="宋体"/>
          <w:b/>
          <w:color w:val="000000"/>
          <w:sz w:val="24"/>
          <w:szCs w:val="24"/>
        </w:rPr>
        <w:t>4.</w:t>
      </w:r>
      <w:r>
        <w:rPr>
          <w:rFonts w:ascii="宋体" w:hAnsi="宋体"/>
          <w:b/>
          <w:color w:val="000000"/>
          <w:sz w:val="24"/>
          <w:szCs w:val="24"/>
        </w:rPr>
        <w:t>3</w:t>
      </w:r>
      <w:r>
        <w:rPr>
          <w:rFonts w:hint="eastAsia" w:ascii="宋体" w:hAnsi="宋体"/>
          <w:b/>
          <w:color w:val="000000"/>
          <w:sz w:val="24"/>
          <w:szCs w:val="24"/>
        </w:rPr>
        <w:t>终验收</w:t>
      </w:r>
    </w:p>
    <w:p w14:paraId="5C365D04">
      <w:pPr>
        <w:spacing w:line="360" w:lineRule="auto"/>
        <w:ind w:right="-153" w:firstLine="480" w:firstLineChars="200"/>
        <w:jc w:val="left"/>
        <w:rPr>
          <w:rFonts w:ascii="宋体" w:hAnsi="宋体"/>
          <w:color w:val="000000"/>
          <w:sz w:val="24"/>
          <w:szCs w:val="24"/>
        </w:rPr>
      </w:pPr>
      <w:r>
        <w:rPr>
          <w:rFonts w:hint="eastAsia" w:ascii="宋体" w:hAnsi="宋体"/>
          <w:color w:val="000000"/>
          <w:sz w:val="24"/>
          <w:szCs w:val="24"/>
        </w:rPr>
        <w:t>终验收必须圆满解决了生产验证过程中的所有问题并且设备可靠运行，必须达到或超过规定的标准。</w:t>
      </w:r>
    </w:p>
    <w:p w14:paraId="0980E7DB">
      <w:pPr>
        <w:spacing w:line="360" w:lineRule="auto"/>
        <w:ind w:right="-153" w:firstLine="480" w:firstLineChars="200"/>
        <w:jc w:val="left"/>
        <w:rPr>
          <w:rFonts w:ascii="宋体" w:hAnsi="宋体"/>
          <w:color w:val="000000"/>
          <w:sz w:val="24"/>
          <w:szCs w:val="24"/>
        </w:rPr>
      </w:pPr>
      <w:r>
        <w:rPr>
          <w:rFonts w:hint="eastAsia" w:ascii="宋体" w:hAnsi="宋体"/>
          <w:color w:val="000000"/>
          <w:sz w:val="24"/>
          <w:szCs w:val="24"/>
        </w:rPr>
        <w:t>终验收通过扈，投标方派人陪同生产，要求陪产3个月。</w:t>
      </w:r>
    </w:p>
    <w:p w14:paraId="5CAE412D">
      <w:pPr>
        <w:numPr>
          <w:ilvl w:val="0"/>
          <w:numId w:val="37"/>
        </w:numPr>
        <w:tabs>
          <w:tab w:val="left" w:pos="284"/>
        </w:tabs>
        <w:adjustRightInd w:val="0"/>
        <w:snapToGrid w:val="0"/>
        <w:spacing w:line="360" w:lineRule="auto"/>
        <w:ind w:right="-153" w:firstLine="491" w:firstLineChars="205"/>
        <w:jc w:val="left"/>
        <w:textAlignment w:val="baseline"/>
        <w:outlineLvl w:val="3"/>
        <w:rPr>
          <w:rFonts w:ascii="宋体" w:hAnsi="宋体"/>
          <w:color w:val="000000"/>
          <w:sz w:val="24"/>
          <w:szCs w:val="24"/>
        </w:rPr>
      </w:pPr>
      <w:r>
        <w:rPr>
          <w:rFonts w:hint="eastAsia" w:ascii="宋体" w:hAnsi="宋体"/>
          <w:color w:val="000000"/>
          <w:sz w:val="24"/>
          <w:szCs w:val="24"/>
        </w:rPr>
        <w:t>陪产阶段要求设备满负荷运行，在投标方专业人员的陪伴下，招标方操作人员自行进行操作。</w:t>
      </w:r>
    </w:p>
    <w:p w14:paraId="1F596C9C">
      <w:pPr>
        <w:numPr>
          <w:ilvl w:val="0"/>
          <w:numId w:val="37"/>
        </w:numPr>
        <w:tabs>
          <w:tab w:val="left" w:pos="284"/>
        </w:tabs>
        <w:adjustRightInd w:val="0"/>
        <w:snapToGrid w:val="0"/>
        <w:spacing w:line="360" w:lineRule="auto"/>
        <w:ind w:right="-154" w:firstLine="491" w:firstLineChars="205"/>
        <w:jc w:val="left"/>
        <w:textAlignment w:val="baseline"/>
        <w:outlineLvl w:val="3"/>
        <w:rPr>
          <w:rFonts w:ascii="宋体" w:hAnsi="宋体"/>
          <w:color w:val="000000"/>
          <w:sz w:val="24"/>
          <w:szCs w:val="24"/>
        </w:rPr>
      </w:pPr>
      <w:r>
        <w:rPr>
          <w:rFonts w:hint="eastAsia" w:ascii="宋体" w:hAnsi="宋体"/>
          <w:color w:val="000000"/>
          <w:sz w:val="24"/>
          <w:szCs w:val="24"/>
        </w:rPr>
        <w:t>投标方陪产人员必须参加过设备调试，并保障陪产期间的设备正常运行。</w:t>
      </w:r>
    </w:p>
    <w:p w14:paraId="2E074BAD">
      <w:pPr>
        <w:numPr>
          <w:ilvl w:val="0"/>
          <w:numId w:val="37"/>
        </w:numPr>
        <w:tabs>
          <w:tab w:val="left" w:pos="284"/>
        </w:tabs>
        <w:adjustRightInd w:val="0"/>
        <w:snapToGrid w:val="0"/>
        <w:spacing w:line="360" w:lineRule="auto"/>
        <w:ind w:right="-154" w:firstLine="491" w:firstLineChars="205"/>
        <w:jc w:val="left"/>
        <w:textAlignment w:val="baseline"/>
        <w:outlineLvl w:val="3"/>
        <w:rPr>
          <w:rFonts w:ascii="宋体" w:hAnsi="宋体"/>
          <w:color w:val="000000"/>
          <w:sz w:val="24"/>
          <w:szCs w:val="24"/>
        </w:rPr>
      </w:pPr>
      <w:r>
        <w:rPr>
          <w:rFonts w:hint="eastAsia" w:ascii="宋体" w:hAnsi="宋体"/>
          <w:color w:val="000000"/>
          <w:sz w:val="24"/>
          <w:szCs w:val="24"/>
        </w:rPr>
        <w:t>陪产的目的在于通过不断的讲解和岗位操作实践来强化培训效果。帮助和加快他们查找和排除故障的能力从而确保产量的提高以及设备的优化。</w:t>
      </w:r>
    </w:p>
    <w:p w14:paraId="7EB86885">
      <w:pPr>
        <w:spacing w:line="360" w:lineRule="auto"/>
        <w:ind w:firstLine="482" w:firstLineChars="200"/>
        <w:jc w:val="left"/>
        <w:rPr>
          <w:rFonts w:ascii="宋体" w:hAnsi="宋体"/>
          <w:b/>
          <w:color w:val="000000"/>
          <w:sz w:val="24"/>
          <w:szCs w:val="24"/>
        </w:rPr>
      </w:pPr>
      <w:r>
        <w:rPr>
          <w:rFonts w:hint="eastAsia" w:ascii="宋体" w:hAnsi="宋体"/>
          <w:b/>
          <w:color w:val="000000"/>
          <w:sz w:val="24"/>
          <w:szCs w:val="24"/>
        </w:rPr>
        <w:t>5.售后服务</w:t>
      </w:r>
    </w:p>
    <w:p w14:paraId="10BC0FB1">
      <w:pPr>
        <w:spacing w:line="360" w:lineRule="auto"/>
        <w:ind w:firstLine="480" w:firstLineChars="200"/>
        <w:rPr>
          <w:rFonts w:ascii="宋体" w:hAnsi="宋体"/>
          <w:sz w:val="24"/>
          <w:szCs w:val="24"/>
        </w:rPr>
      </w:pPr>
      <w:r>
        <w:rPr>
          <w:rFonts w:hint="eastAsia" w:ascii="宋体" w:hAnsi="宋体"/>
          <w:sz w:val="24"/>
          <w:szCs w:val="24"/>
        </w:rPr>
        <w:t>5.1在质保期之内，如发现投标方所提供的设备（或材料）存在问题，需要投标方配合解决时，投标方须在接到通知后市内2小时、省内8小时、省外24小时内派有关人员到达现场，解决问题；</w:t>
      </w:r>
    </w:p>
    <w:p w14:paraId="6ACBE90E">
      <w:pPr>
        <w:spacing w:line="360" w:lineRule="auto"/>
        <w:ind w:firstLine="480" w:firstLineChars="200"/>
        <w:rPr>
          <w:rFonts w:ascii="宋体" w:hAnsi="宋体"/>
          <w:sz w:val="24"/>
          <w:szCs w:val="24"/>
        </w:rPr>
      </w:pPr>
      <w:r>
        <w:rPr>
          <w:rFonts w:hint="eastAsia" w:ascii="宋体" w:hAnsi="宋体"/>
          <w:sz w:val="24"/>
          <w:szCs w:val="24"/>
        </w:rPr>
        <w:t>5.2在质保期之后，如发现投标方所提供的设备（或材料）存在问题，需要投标方配合解决时，投标方须在接到通知后市内2小时、省内8小时、省外24小时内派有关人员到达现场，协助招标方解决问题；</w:t>
      </w:r>
    </w:p>
    <w:p w14:paraId="3E97B131">
      <w:pPr>
        <w:spacing w:line="360" w:lineRule="auto"/>
        <w:ind w:firstLine="480" w:firstLineChars="200"/>
        <w:rPr>
          <w:rFonts w:ascii="宋体" w:hAnsi="宋体"/>
          <w:sz w:val="24"/>
          <w:szCs w:val="24"/>
        </w:rPr>
      </w:pPr>
      <w:r>
        <w:rPr>
          <w:rFonts w:hint="eastAsia" w:ascii="宋体" w:hAnsi="宋体"/>
          <w:sz w:val="24"/>
          <w:szCs w:val="24"/>
        </w:rPr>
        <w:t>5.3所有的售后服务均由投标方受理。如果发生问题并且收到报告，应当在</w:t>
      </w:r>
      <w:r>
        <w:rPr>
          <w:rFonts w:hint="eastAsia"/>
          <w:sz w:val="24"/>
          <w:szCs w:val="24"/>
        </w:rPr>
        <w:t>2</w:t>
      </w:r>
      <w:r>
        <w:rPr>
          <w:rFonts w:hint="eastAsia" w:ascii="宋体" w:hAnsi="宋体"/>
          <w:sz w:val="24"/>
          <w:szCs w:val="24"/>
        </w:rPr>
        <w:t>小时内予以答复；</w:t>
      </w:r>
    </w:p>
    <w:p w14:paraId="1B81F160">
      <w:pPr>
        <w:spacing w:line="360" w:lineRule="auto"/>
        <w:ind w:firstLine="480" w:firstLineChars="200"/>
        <w:rPr>
          <w:rFonts w:ascii="宋体" w:hAnsi="宋体"/>
          <w:sz w:val="24"/>
          <w:szCs w:val="24"/>
        </w:rPr>
      </w:pPr>
      <w:r>
        <w:rPr>
          <w:rFonts w:hint="eastAsia" w:ascii="宋体" w:hAnsi="宋体"/>
          <w:sz w:val="24"/>
          <w:szCs w:val="24"/>
        </w:rPr>
        <w:t>5.4投标方应为招标方提供最佳的服务。</w:t>
      </w:r>
    </w:p>
    <w:p w14:paraId="75D7BAA0">
      <w:pPr>
        <w:spacing w:line="360" w:lineRule="auto"/>
        <w:ind w:firstLine="480" w:firstLineChars="200"/>
        <w:rPr>
          <w:rFonts w:ascii="宋体" w:hAnsi="宋体"/>
          <w:sz w:val="24"/>
          <w:szCs w:val="24"/>
        </w:rPr>
      </w:pPr>
      <w:r>
        <w:rPr>
          <w:rFonts w:hint="eastAsia" w:ascii="宋体" w:hAnsi="宋体"/>
          <w:sz w:val="24"/>
          <w:szCs w:val="24"/>
        </w:rPr>
        <w:t>5.5 在工具设备使用寿命内，投标方应向招标方提供充足的备品备件、易损件和专用耗材，自招标方提出采购需求至交货，周期不得长于</w:t>
      </w:r>
      <w:r>
        <w:rPr>
          <w:rFonts w:hint="eastAsia"/>
          <w:sz w:val="24"/>
          <w:szCs w:val="24"/>
        </w:rPr>
        <w:t>15</w:t>
      </w:r>
      <w:r>
        <w:rPr>
          <w:rFonts w:hint="eastAsia" w:ascii="宋体" w:hAnsi="宋体"/>
          <w:sz w:val="24"/>
          <w:szCs w:val="24"/>
        </w:rPr>
        <w:t>天，也可提供备用工具设备，提供周期不得长于</w:t>
      </w:r>
      <w:r>
        <w:rPr>
          <w:sz w:val="24"/>
          <w:szCs w:val="24"/>
        </w:rPr>
        <w:t>3</w:t>
      </w:r>
      <w:r>
        <w:rPr>
          <w:rFonts w:hint="eastAsia" w:ascii="宋体" w:hAnsi="宋体"/>
          <w:sz w:val="24"/>
          <w:szCs w:val="24"/>
        </w:rPr>
        <w:t>天。</w:t>
      </w:r>
    </w:p>
    <w:p w14:paraId="348004A3">
      <w:pPr>
        <w:spacing w:line="360" w:lineRule="auto"/>
        <w:ind w:firstLine="482" w:firstLineChars="200"/>
        <w:jc w:val="left"/>
        <w:rPr>
          <w:rFonts w:ascii="宋体" w:hAnsi="宋体"/>
          <w:b/>
          <w:color w:val="000000"/>
          <w:sz w:val="24"/>
          <w:szCs w:val="24"/>
        </w:rPr>
      </w:pPr>
      <w:r>
        <w:rPr>
          <w:rFonts w:hint="eastAsia" w:ascii="宋体" w:hAnsi="宋体"/>
          <w:b/>
          <w:color w:val="000000"/>
          <w:sz w:val="24"/>
          <w:szCs w:val="24"/>
        </w:rPr>
        <w:t>6.其它服务</w:t>
      </w:r>
    </w:p>
    <w:p w14:paraId="33E2333E">
      <w:pPr>
        <w:spacing w:line="360" w:lineRule="auto"/>
        <w:ind w:firstLine="480" w:firstLineChars="200"/>
        <w:rPr>
          <w:rFonts w:ascii="宋体" w:hAnsi="宋体"/>
          <w:sz w:val="24"/>
          <w:szCs w:val="24"/>
        </w:rPr>
      </w:pPr>
      <w:r>
        <w:rPr>
          <w:rFonts w:hint="eastAsia" w:ascii="宋体" w:hAnsi="宋体"/>
          <w:sz w:val="24"/>
          <w:szCs w:val="24"/>
        </w:rPr>
        <w:t>6.1若投标方所提供设备（或材料）有需要进口的，投标方应自行、自费办理；必要时，买卖双方共同办理；</w:t>
      </w:r>
    </w:p>
    <w:p w14:paraId="07B25DE4">
      <w:pPr>
        <w:spacing w:line="360" w:lineRule="auto"/>
        <w:ind w:firstLine="480" w:firstLineChars="200"/>
        <w:rPr>
          <w:rFonts w:ascii="宋体" w:hAnsi="宋体"/>
          <w:sz w:val="24"/>
          <w:szCs w:val="24"/>
        </w:rPr>
      </w:pPr>
      <w:r>
        <w:rPr>
          <w:rFonts w:hint="eastAsia" w:ascii="宋体" w:hAnsi="宋体"/>
          <w:sz w:val="24"/>
          <w:szCs w:val="24"/>
        </w:rPr>
        <w:t>6.2除招标文件、投标文件、答疑文件、技术协议、合同等约定之外，投标方应负责必要的或强制性的设备（或材料）的检验、试验、化验等直接费用；</w:t>
      </w:r>
    </w:p>
    <w:p w14:paraId="001B53C9">
      <w:pPr>
        <w:spacing w:line="360" w:lineRule="auto"/>
        <w:ind w:firstLine="480" w:firstLineChars="200"/>
        <w:rPr>
          <w:rFonts w:ascii="宋体" w:hAnsi="宋体"/>
          <w:sz w:val="24"/>
          <w:szCs w:val="24"/>
        </w:rPr>
      </w:pPr>
      <w:r>
        <w:rPr>
          <w:rFonts w:hint="eastAsia" w:ascii="宋体" w:hAnsi="宋体"/>
          <w:sz w:val="24"/>
          <w:szCs w:val="24"/>
        </w:rPr>
        <w:t>6.3本章节条款所列“免费”，并非指定不可收费，而是指招标文件、投标文件、答疑文件、技术交流文件、技术协议书和合同等范围之外，投标方不可另行收取的费用。</w:t>
      </w:r>
    </w:p>
    <w:p w14:paraId="7BF28E2C"/>
    <w:p w14:paraId="28EBB1AB">
      <w:pPr>
        <w:pStyle w:val="14"/>
        <w:rPr>
          <w:rFonts w:hAnsi="宋体" w:eastAsia="宋体" w:cs="Times New Roman"/>
          <w:b/>
          <w:color w:val="000000"/>
          <w:sz w:val="24"/>
          <w:szCs w:val="24"/>
        </w:rPr>
      </w:pPr>
    </w:p>
    <w:p w14:paraId="1493A4D2">
      <w:pPr>
        <w:rPr>
          <w:rFonts w:hint="eastAsia"/>
          <w:lang w:val="en-US" w:eastAsia="zh-CN"/>
        </w:rPr>
      </w:pPr>
    </w:p>
    <w:p w14:paraId="29F90733">
      <w:pPr>
        <w:rPr>
          <w:rFonts w:hint="default"/>
          <w:lang w:val="en-US" w:eastAsia="zh-CN"/>
        </w:rPr>
      </w:pPr>
      <w:r>
        <w:rPr>
          <w:rFonts w:hint="default"/>
          <w:lang w:val="en-US" w:eastAsia="zh-CN"/>
        </w:rPr>
        <w:br w:type="page"/>
      </w:r>
    </w:p>
    <w:p w14:paraId="763BAA93">
      <w:pPr>
        <w:pStyle w:val="71"/>
        <w:jc w:val="center"/>
        <w:rPr>
          <w:rFonts w:hint="default"/>
          <w:lang w:val="en-US" w:eastAsia="zh-CN"/>
        </w:rPr>
      </w:pPr>
    </w:p>
    <w:p w14:paraId="5871DF53">
      <w:pPr>
        <w:pStyle w:val="71"/>
      </w:pPr>
      <w:bookmarkStart w:id="25" w:name="_Toc20595"/>
      <w:bookmarkStart w:id="26" w:name="_Toc47976609"/>
      <w:r>
        <w:rPr>
          <w:rFonts w:hint="eastAsia"/>
        </w:rPr>
        <w:t>第三部分　合同主要条款</w:t>
      </w:r>
      <w:bookmarkEnd w:id="25"/>
      <w:bookmarkEnd w:id="26"/>
    </w:p>
    <w:p w14:paraId="23914DBE">
      <w:pPr>
        <w:pStyle w:val="72"/>
        <w:numPr>
          <w:ilvl w:val="0"/>
          <w:numId w:val="38"/>
        </w:numPr>
        <w:ind w:left="420"/>
      </w:pPr>
      <w:bookmarkStart w:id="27" w:name="_Toc47976610"/>
      <w:r>
        <w:rPr>
          <w:rFonts w:hint="eastAsia"/>
          <w:lang w:val="en-US" w:eastAsia="zh-CN"/>
        </w:rPr>
        <w:t>标的、数量、</w:t>
      </w:r>
      <w:r>
        <w:rPr>
          <w:rFonts w:hint="eastAsia"/>
        </w:rPr>
        <w:t>交货期</w:t>
      </w:r>
      <w:bookmarkEnd w:id="27"/>
    </w:p>
    <w:p w14:paraId="18603CA8">
      <w:pPr>
        <w:pStyle w:val="72"/>
      </w:pPr>
      <w:bookmarkStart w:id="28" w:name="_Toc47976611"/>
      <w:r>
        <w:rPr>
          <w:rFonts w:hint="eastAsia"/>
        </w:rPr>
        <w:t>交货地点</w:t>
      </w:r>
      <w:bookmarkEnd w:id="28"/>
    </w:p>
    <w:p w14:paraId="3F03A936">
      <w:pPr>
        <w:pStyle w:val="72"/>
      </w:pPr>
      <w:bookmarkStart w:id="29" w:name="_Toc47976612"/>
      <w:r>
        <w:rPr>
          <w:rFonts w:hint="eastAsia"/>
          <w:lang w:val="en-US" w:eastAsia="zh-CN"/>
        </w:rPr>
        <w:t>价款及</w:t>
      </w:r>
      <w:r>
        <w:rPr>
          <w:rFonts w:hint="eastAsia"/>
        </w:rPr>
        <w:t>付款方式</w:t>
      </w:r>
      <w:bookmarkEnd w:id="29"/>
    </w:p>
    <w:p w14:paraId="0A7F4E98">
      <w:pPr>
        <w:pStyle w:val="72"/>
      </w:pPr>
      <w:bookmarkStart w:id="30" w:name="_Toc47976613"/>
      <w:r>
        <w:rPr>
          <w:rFonts w:hint="eastAsia"/>
          <w:lang w:val="en-US" w:eastAsia="zh-CN"/>
        </w:rPr>
        <w:t>质量要求、</w:t>
      </w:r>
      <w:r>
        <w:rPr>
          <w:rFonts w:hint="eastAsia"/>
        </w:rPr>
        <w:t>保修期及售后服务</w:t>
      </w:r>
      <w:bookmarkEnd w:id="30"/>
    </w:p>
    <w:p w14:paraId="50F6C5C1">
      <w:pPr>
        <w:pStyle w:val="72"/>
      </w:pPr>
      <w:bookmarkStart w:id="31" w:name="_Toc47976614"/>
      <w:r>
        <w:rPr>
          <w:rFonts w:hint="eastAsia"/>
        </w:rPr>
        <w:t>安装、调试及验收要求</w:t>
      </w:r>
      <w:bookmarkEnd w:id="31"/>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79A7EC9B">
      <w:pPr>
        <w:pStyle w:val="76"/>
      </w:pPr>
    </w:p>
    <w:p w14:paraId="0EB8BBEB">
      <w:pPr>
        <w:pStyle w:val="71"/>
        <w:rPr>
          <w:rFonts w:hint="default" w:eastAsia="黑体"/>
          <w:lang w:val="en-US" w:eastAsia="zh-CN"/>
        </w:rPr>
      </w:pPr>
      <w:bookmarkStart w:id="32" w:name="_Toc47976615"/>
      <w:bookmarkStart w:id="33" w:name="_Toc5925"/>
      <w:r>
        <w:rPr>
          <w:rFonts w:hint="eastAsia"/>
        </w:rPr>
        <w:t>第四部分　</w:t>
      </w:r>
      <w:bookmarkEnd w:id="32"/>
      <w:r>
        <w:rPr>
          <w:rFonts w:hint="eastAsia"/>
          <w:lang w:val="en-US" w:eastAsia="zh-CN"/>
        </w:rPr>
        <w:t>投标文件附件</w:t>
      </w:r>
      <w:bookmarkEnd w:id="33"/>
    </w:p>
    <w:p w14:paraId="600DE1DD">
      <w:pPr>
        <w:pStyle w:val="71"/>
        <w:jc w:val="left"/>
        <w:rPr>
          <w:rFonts w:hint="eastAsia" w:ascii="宋体" w:hAnsi="宋体" w:eastAsia="宋体" w:cs="宋体"/>
          <w:sz w:val="32"/>
          <w:szCs w:val="32"/>
          <w:highlight w:val="yellow"/>
          <w:lang w:eastAsia="zh-CN"/>
        </w:rPr>
      </w:pPr>
      <w:bookmarkStart w:id="34" w:name="_Toc47976616"/>
      <w:bookmarkStart w:id="35" w:name="_Toc4225"/>
      <w:r>
        <w:rPr>
          <w:rFonts w:hint="eastAsia" w:ascii="宋体" w:hAnsi="宋体" w:eastAsia="宋体" w:cs="宋体"/>
          <w:sz w:val="32"/>
          <w:szCs w:val="32"/>
          <w:highlight w:val="yellow"/>
        </w:rPr>
        <w:t>附件</w:t>
      </w:r>
      <w:bookmarkEnd w:id="34"/>
      <w:bookmarkEnd w:id="35"/>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6" w:name="_Toc47976618"/>
      <w:bookmarkStart w:id="37" w:name="_Toc29366869"/>
      <w:bookmarkStart w:id="38" w:name="_Toc29366865"/>
      <w:r>
        <w:rPr>
          <w:rFonts w:hint="eastAsia" w:ascii="宋体" w:hAnsi="宋体" w:eastAsia="宋体" w:cs="宋体"/>
          <w:sz w:val="32"/>
          <w:szCs w:val="32"/>
          <w:highlight w:val="yellow"/>
          <w:lang w:val="en-US" w:eastAsia="zh-CN"/>
        </w:rPr>
        <w:t>附件2</w:t>
      </w:r>
    </w:p>
    <w:bookmarkEnd w:id="36"/>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7"/>
    <w:bookmarkEnd w:id="38"/>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14"/>
        <w:rPr>
          <w:rFonts w:hint="eastAsia" w:hAnsi="宋体" w:eastAsia="宋体" w:cs="Times New Roman"/>
          <w:b/>
          <w:bCs/>
          <w:szCs w:val="21"/>
          <w:highlight w:val="yellow"/>
        </w:rPr>
      </w:pPr>
    </w:p>
    <w:p w14:paraId="122437DB">
      <w:pPr>
        <w:pStyle w:val="14"/>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3BB8836C">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61D9554"/>
    <w:multiLevelType w:val="singleLevel"/>
    <w:tmpl w:val="D61D9554"/>
    <w:lvl w:ilvl="0" w:tentative="0">
      <w:start w:val="2"/>
      <w:numFmt w:val="chineseCounting"/>
      <w:suff w:val="nothing"/>
      <w:lvlText w:val="第%1部分　"/>
      <w:lvlJc w:val="left"/>
      <w:rPr>
        <w:rFonts w:hint="eastAsia"/>
      </w:rPr>
    </w:lvl>
  </w:abstractNum>
  <w:abstractNum w:abstractNumId="11">
    <w:nsid w:val="D9A4530E"/>
    <w:multiLevelType w:val="singleLevel"/>
    <w:tmpl w:val="D9A4530E"/>
    <w:lvl w:ilvl="0" w:tentative="0">
      <w:start w:val="1"/>
      <w:numFmt w:val="decimal"/>
      <w:lvlText w:val="(%1)"/>
      <w:lvlJc w:val="left"/>
      <w:pPr>
        <w:ind w:left="425" w:hanging="425"/>
      </w:pPr>
      <w:rPr>
        <w:rFonts w:hint="default"/>
      </w:rPr>
    </w:lvl>
  </w:abstractNum>
  <w:abstractNum w:abstractNumId="12">
    <w:nsid w:val="DC3F8C8B"/>
    <w:multiLevelType w:val="singleLevel"/>
    <w:tmpl w:val="DC3F8C8B"/>
    <w:lvl w:ilvl="0" w:tentative="0">
      <w:start w:val="1"/>
      <w:numFmt w:val="decimal"/>
      <w:lvlText w:val="%1."/>
      <w:lvlJc w:val="left"/>
      <w:pPr>
        <w:ind w:left="425" w:hanging="425"/>
      </w:pPr>
      <w:rPr>
        <w:rFonts w:hint="default"/>
      </w:rPr>
    </w:lvl>
  </w:abstractNum>
  <w:abstractNum w:abstractNumId="13">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70FAC1A"/>
    <w:multiLevelType w:val="singleLevel"/>
    <w:tmpl w:val="270FAC1A"/>
    <w:lvl w:ilvl="0" w:tentative="0">
      <w:start w:val="2"/>
      <w:numFmt w:val="decimal"/>
      <w:suff w:val="nothing"/>
      <w:lvlText w:val="%1．"/>
      <w:lvlJc w:val="left"/>
    </w:lvl>
  </w:abstractNum>
  <w:abstractNum w:abstractNumId="19">
    <w:nsid w:val="3265E1EC"/>
    <w:multiLevelType w:val="singleLevel"/>
    <w:tmpl w:val="3265E1EC"/>
    <w:lvl w:ilvl="0" w:tentative="0">
      <w:start w:val="1"/>
      <w:numFmt w:val="decimal"/>
      <w:lvlText w:val="(%1)"/>
      <w:lvlJc w:val="left"/>
      <w:pPr>
        <w:ind w:left="425" w:hanging="425"/>
      </w:pPr>
      <w:rPr>
        <w:rFonts w:hint="default"/>
      </w:rPr>
    </w:lvl>
  </w:abstractNum>
  <w:abstractNum w:abstractNumId="20">
    <w:nsid w:val="3CF6EF77"/>
    <w:multiLevelType w:val="singleLevel"/>
    <w:tmpl w:val="3CF6EF77"/>
    <w:lvl w:ilvl="0" w:tentative="0">
      <w:start w:val="1"/>
      <w:numFmt w:val="decimal"/>
      <w:lvlText w:val="%1."/>
      <w:lvlJc w:val="left"/>
      <w:pPr>
        <w:ind w:left="425" w:hanging="425"/>
      </w:pPr>
      <w:rPr>
        <w:rFonts w:hint="default"/>
      </w:rPr>
    </w:lvl>
  </w:abstractNum>
  <w:abstractNum w:abstractNumId="21">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2">
    <w:nsid w:val="41897123"/>
    <w:multiLevelType w:val="multilevel"/>
    <w:tmpl w:val="41897123"/>
    <w:lvl w:ilvl="0" w:tentative="0">
      <w:start w:val="1"/>
      <w:numFmt w:val="lowerLetter"/>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60D3311"/>
    <w:multiLevelType w:val="multilevel"/>
    <w:tmpl w:val="460D3311"/>
    <w:lvl w:ilvl="0" w:tentative="0">
      <w:start w:val="1"/>
      <w:numFmt w:val="decimalFullWidth"/>
      <w:lvlText w:val="%1）"/>
      <w:lvlJc w:val="left"/>
      <w:pPr>
        <w:ind w:left="882" w:hanging="456"/>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5">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4D1B41A1"/>
    <w:multiLevelType w:val="multilevel"/>
    <w:tmpl w:val="4D1B41A1"/>
    <w:lvl w:ilvl="0" w:tentative="0">
      <w:start w:val="2"/>
      <w:numFmt w:val="decimal"/>
      <w:lvlText w:val="%1."/>
      <w:lvlJc w:val="left"/>
      <w:pPr>
        <w:ind w:left="600" w:hanging="60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7">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0">
    <w:nsid w:val="5983D379"/>
    <w:multiLevelType w:val="singleLevel"/>
    <w:tmpl w:val="5983D379"/>
    <w:lvl w:ilvl="0" w:tentative="0">
      <w:start w:val="1"/>
      <w:numFmt w:val="decimal"/>
      <w:lvlText w:val="(%1)"/>
      <w:lvlJc w:val="left"/>
      <w:pPr>
        <w:ind w:left="425" w:hanging="425"/>
      </w:pPr>
      <w:rPr>
        <w:rFonts w:hint="default"/>
      </w:rPr>
    </w:lvl>
  </w:abstractNum>
  <w:abstractNum w:abstractNumId="31">
    <w:nsid w:val="65201A9D"/>
    <w:multiLevelType w:val="singleLevel"/>
    <w:tmpl w:val="65201A9D"/>
    <w:lvl w:ilvl="0" w:tentative="0">
      <w:start w:val="1"/>
      <w:numFmt w:val="decimal"/>
      <w:suff w:val="space"/>
      <w:lvlText w:val="%1、"/>
      <w:lvlJc w:val="left"/>
    </w:lvl>
  </w:abstractNum>
  <w:abstractNum w:abstractNumId="3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D494F5F"/>
    <w:multiLevelType w:val="multilevel"/>
    <w:tmpl w:val="6D494F5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121" w:hanging="420"/>
      </w:pPr>
      <w:rPr>
        <w:rFonts w:hint="default" w:ascii="Wingdings" w:hAnsi="Wingdings"/>
      </w:rPr>
    </w:lvl>
    <w:lvl w:ilvl="2" w:tentative="0">
      <w:start w:val="1"/>
      <w:numFmt w:val="bullet"/>
      <w:lvlText w:val=""/>
      <w:lvlJc w:val="left"/>
      <w:pPr>
        <w:ind w:left="1541" w:hanging="420"/>
      </w:pPr>
      <w:rPr>
        <w:rFonts w:hint="default" w:ascii="Wingdings" w:hAnsi="Wingdings"/>
      </w:rPr>
    </w:lvl>
    <w:lvl w:ilvl="3" w:tentative="0">
      <w:start w:val="1"/>
      <w:numFmt w:val="bullet"/>
      <w:lvlText w:val=""/>
      <w:lvlJc w:val="left"/>
      <w:pPr>
        <w:ind w:left="1961" w:hanging="420"/>
      </w:pPr>
      <w:rPr>
        <w:rFonts w:hint="default" w:ascii="Wingdings" w:hAnsi="Wingdings"/>
      </w:rPr>
    </w:lvl>
    <w:lvl w:ilvl="4" w:tentative="0">
      <w:start w:val="1"/>
      <w:numFmt w:val="bullet"/>
      <w:lvlText w:val=""/>
      <w:lvlJc w:val="left"/>
      <w:pPr>
        <w:ind w:left="2381" w:hanging="420"/>
      </w:pPr>
      <w:rPr>
        <w:rFonts w:hint="default" w:ascii="Wingdings" w:hAnsi="Wingdings"/>
      </w:rPr>
    </w:lvl>
    <w:lvl w:ilvl="5" w:tentative="0">
      <w:start w:val="1"/>
      <w:numFmt w:val="bullet"/>
      <w:lvlText w:val=""/>
      <w:lvlJc w:val="left"/>
      <w:pPr>
        <w:ind w:left="2801" w:hanging="420"/>
      </w:pPr>
      <w:rPr>
        <w:rFonts w:hint="default" w:ascii="Wingdings" w:hAnsi="Wingdings"/>
      </w:rPr>
    </w:lvl>
    <w:lvl w:ilvl="6" w:tentative="0">
      <w:start w:val="1"/>
      <w:numFmt w:val="bullet"/>
      <w:lvlText w:val=""/>
      <w:lvlJc w:val="left"/>
      <w:pPr>
        <w:ind w:left="3221" w:hanging="420"/>
      </w:pPr>
      <w:rPr>
        <w:rFonts w:hint="default" w:ascii="Wingdings" w:hAnsi="Wingdings"/>
      </w:rPr>
    </w:lvl>
    <w:lvl w:ilvl="7" w:tentative="0">
      <w:start w:val="1"/>
      <w:numFmt w:val="bullet"/>
      <w:lvlText w:val=""/>
      <w:lvlJc w:val="left"/>
      <w:pPr>
        <w:ind w:left="3641" w:hanging="420"/>
      </w:pPr>
      <w:rPr>
        <w:rFonts w:hint="default" w:ascii="Wingdings" w:hAnsi="Wingdings"/>
      </w:rPr>
    </w:lvl>
    <w:lvl w:ilvl="8" w:tentative="0">
      <w:start w:val="1"/>
      <w:numFmt w:val="bullet"/>
      <w:lvlText w:val=""/>
      <w:lvlJc w:val="left"/>
      <w:pPr>
        <w:ind w:left="4061" w:hanging="420"/>
      </w:pPr>
      <w:rPr>
        <w:rFonts w:hint="default" w:ascii="Wingdings" w:hAnsi="Wingdings"/>
      </w:rPr>
    </w:lvl>
  </w:abstractNum>
  <w:abstractNum w:abstractNumId="3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5"/>
  </w:num>
  <w:num w:numId="2">
    <w:abstractNumId w:val="32"/>
  </w:num>
  <w:num w:numId="3">
    <w:abstractNumId w:val="29"/>
  </w:num>
  <w:num w:numId="4">
    <w:abstractNumId w:val="27"/>
  </w:num>
  <w:num w:numId="5">
    <w:abstractNumId w:val="14"/>
  </w:num>
  <w:num w:numId="6">
    <w:abstractNumId w:val="16"/>
  </w:num>
  <w:num w:numId="7">
    <w:abstractNumId w:val="17"/>
  </w:num>
  <w:num w:numId="8">
    <w:abstractNumId w:val="2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num>
  <w:num w:numId="15">
    <w:abstractNumId w:val="5"/>
  </w:num>
  <w:num w:numId="16">
    <w:abstractNumId w:val="0"/>
  </w:num>
  <w:num w:numId="17">
    <w:abstractNumId w:val="3"/>
  </w:num>
  <w:num w:numId="18">
    <w:abstractNumId w:val="30"/>
  </w:num>
  <w:num w:numId="19">
    <w:abstractNumId w:val="34"/>
  </w:num>
  <w:num w:numId="20">
    <w:abstractNumId w:val="19"/>
  </w:num>
  <w:num w:numId="21">
    <w:abstractNumId w:val="11"/>
  </w:num>
  <w:num w:numId="22">
    <w:abstractNumId w:val="8"/>
  </w:num>
  <w:num w:numId="23">
    <w:abstractNumId w:val="4"/>
  </w:num>
  <w:num w:numId="24">
    <w:abstractNumId w:val="1"/>
  </w:num>
  <w:num w:numId="25">
    <w:abstractNumId w:val="6"/>
  </w:num>
  <w:num w:numId="26">
    <w:abstractNumId w:val="13"/>
  </w:num>
  <w:num w:numId="27">
    <w:abstractNumId w:val="12"/>
  </w:num>
  <w:num w:numId="28">
    <w:abstractNumId w:val="24"/>
  </w:num>
  <w:num w:numId="29">
    <w:abstractNumId w:val="20"/>
  </w:num>
  <w:num w:numId="30">
    <w:abstractNumId w:val="9"/>
  </w:num>
  <w:num w:numId="31">
    <w:abstractNumId w:val="10"/>
  </w:num>
  <w:num w:numId="32">
    <w:abstractNumId w:val="18"/>
  </w:num>
  <w:num w:numId="33">
    <w:abstractNumId w:val="31"/>
  </w:num>
  <w:num w:numId="34">
    <w:abstractNumId w:val="26"/>
  </w:num>
  <w:num w:numId="35">
    <w:abstractNumId w:val="23"/>
  </w:num>
  <w:num w:numId="36">
    <w:abstractNumId w:val="33"/>
  </w:num>
  <w:num w:numId="37">
    <w:abstractNumId w:val="22"/>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14F8"/>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B7317CC"/>
    <w:rsid w:val="0C0E2F4B"/>
    <w:rsid w:val="0CB51572"/>
    <w:rsid w:val="0E4D31E3"/>
    <w:rsid w:val="10DC2AA3"/>
    <w:rsid w:val="10FA7C8C"/>
    <w:rsid w:val="130B198F"/>
    <w:rsid w:val="167B0CEC"/>
    <w:rsid w:val="16A918E4"/>
    <w:rsid w:val="17290911"/>
    <w:rsid w:val="17D966D6"/>
    <w:rsid w:val="1BC71D3B"/>
    <w:rsid w:val="1C59115B"/>
    <w:rsid w:val="1FB23E60"/>
    <w:rsid w:val="22C5630B"/>
    <w:rsid w:val="23EC0BA6"/>
    <w:rsid w:val="24701A48"/>
    <w:rsid w:val="247031DC"/>
    <w:rsid w:val="268B0052"/>
    <w:rsid w:val="27743C90"/>
    <w:rsid w:val="29CA2459"/>
    <w:rsid w:val="2A4125A1"/>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4D3A7AD1"/>
    <w:rsid w:val="51181DC1"/>
    <w:rsid w:val="52274B10"/>
    <w:rsid w:val="52B9239A"/>
    <w:rsid w:val="54BD78FD"/>
    <w:rsid w:val="54F11FC4"/>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3"/>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3"/>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12">
    <w:name w:val="CM39"/>
    <w:basedOn w:val="65"/>
    <w:next w:val="65"/>
    <w:qFormat/>
    <w:uiPriority w:val="0"/>
    <w:pPr>
      <w:spacing w:line="471" w:lineRule="atLeast"/>
    </w:pPr>
    <w:rPr>
      <w:rFonts w:ascii="宋体" w:hAnsi="Times New Roman" w:eastAsia="宋体" w:cs="宋体"/>
      <w:color w:val="auto"/>
      <w:kern w:val="0"/>
      <w:szCs w:val="24"/>
    </w:rPr>
  </w:style>
  <w:style w:type="paragraph" w:customStyle="1" w:styleId="113">
    <w:name w:val="CM28"/>
    <w:basedOn w:val="65"/>
    <w:next w:val="65"/>
    <w:qFormat/>
    <w:uiPriority w:val="0"/>
    <w:pPr>
      <w:spacing w:line="468" w:lineRule="atLeast"/>
    </w:pPr>
    <w:rPr>
      <w:rFonts w:ascii="宋体" w:hAnsi="Times New Roman" w:eastAsia="宋体" w:cs="宋体"/>
      <w:color w:val="auto"/>
      <w:kern w:val="0"/>
      <w:szCs w:val="24"/>
    </w:rPr>
  </w:style>
  <w:style w:type="paragraph" w:customStyle="1" w:styleId="114">
    <w:name w:val="CM27"/>
    <w:basedOn w:val="65"/>
    <w:next w:val="65"/>
    <w:qFormat/>
    <w:uiPriority w:val="0"/>
    <w:pPr>
      <w:spacing w:line="468" w:lineRule="atLeast"/>
    </w:pPr>
    <w:rPr>
      <w:rFonts w:ascii="宋体" w:hAnsi="Times New Roman" w:eastAsia="宋体" w:cs="宋体"/>
      <w:color w:val="auto"/>
      <w:kern w:val="0"/>
      <w:szCs w:val="24"/>
    </w:rPr>
  </w:style>
  <w:style w:type="character" w:customStyle="1" w:styleId="115">
    <w:name w:val="font11"/>
    <w:basedOn w:val="32"/>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15841</Words>
  <Characters>16615</Characters>
  <Lines>127</Lines>
  <Paragraphs>35</Paragraphs>
  <TotalTime>1</TotalTime>
  <ScaleCrop>false</ScaleCrop>
  <LinksUpToDate>false</LinksUpToDate>
  <CharactersWithSpaces>17195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2025-11-20T03:03:31Z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