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2E544">
      <w:pPr>
        <w:pStyle w:val="18"/>
        <w:rPr>
          <w:rFonts w:ascii="Calibri" w:hAnsi="宋体" w:eastAsia="宋体" w:cs="Times New Roman"/>
          <w:b/>
          <w:bCs/>
          <w:color w:val="000000"/>
          <w:spacing w:val="-8"/>
          <w:sz w:val="48"/>
          <w:szCs w:val="44"/>
        </w:rPr>
      </w:pPr>
      <w:bookmarkStart w:id="0" w:name="_Toc32654"/>
      <w:bookmarkStart w:id="1" w:name="OLE_LINK31"/>
      <w:bookmarkStart w:id="2" w:name="OLE_LINK30"/>
    </w:p>
    <w:p w14:paraId="050AC82C">
      <w:pPr>
        <w:spacing w:line="276" w:lineRule="auto"/>
        <w:ind w:left="-199" w:leftChars="-190" w:right="-168" w:rightChars="-80" w:hanging="200" w:hangingChars="43"/>
        <w:jc w:val="center"/>
        <w:rPr>
          <w:rFonts w:hint="default" w:ascii="Times New Roman" w:hAnsi="Times New Roman" w:eastAsia="宋体" w:cs="Times New Roman"/>
          <w:b/>
          <w:bCs/>
          <w:color w:val="000000"/>
          <w:spacing w:val="-8"/>
          <w:sz w:val="48"/>
          <w:szCs w:val="44"/>
          <w:lang w:val="en-US" w:eastAsia="zh-CN"/>
        </w:rPr>
      </w:pPr>
      <w:r>
        <w:rPr>
          <w:rFonts w:hint="default" w:ascii="Times New Roman" w:hAnsi="Times New Roman" w:eastAsia="宋体" w:cs="Times New Roman"/>
          <w:b/>
          <w:bCs/>
          <w:color w:val="000000"/>
          <w:spacing w:val="-8"/>
          <w:sz w:val="48"/>
          <w:szCs w:val="44"/>
        </w:rPr>
        <w:t>中国重汽集团</w:t>
      </w:r>
      <w:r>
        <w:rPr>
          <w:rFonts w:hint="eastAsia" w:ascii="Times New Roman" w:hAnsi="Times New Roman" w:eastAsia="宋体" w:cs="Times New Roman"/>
          <w:b/>
          <w:bCs/>
          <w:color w:val="000000"/>
          <w:spacing w:val="-8"/>
          <w:sz w:val="48"/>
          <w:szCs w:val="44"/>
          <w:lang w:val="en-US" w:eastAsia="zh-CN"/>
        </w:rPr>
        <w:t>济南商用车有限公司</w:t>
      </w:r>
    </w:p>
    <w:p w14:paraId="4F78382E">
      <w:pPr>
        <w:jc w:val="center"/>
        <w:rPr>
          <w:rFonts w:hint="eastAsia" w:ascii="Calibri" w:hAnsi="Calibri" w:eastAsia="宋体" w:cs="Times New Roman"/>
          <w:b/>
          <w:bCs/>
          <w:color w:val="000000"/>
          <w:spacing w:val="-8"/>
          <w:sz w:val="48"/>
          <w:szCs w:val="48"/>
        </w:rPr>
      </w:pPr>
      <w:r>
        <w:rPr>
          <w:rFonts w:hint="eastAsia" w:ascii="Calibri" w:hAnsi="Calibri" w:eastAsia="宋体" w:cs="Times New Roman"/>
          <w:b/>
          <w:bCs/>
          <w:color w:val="000000"/>
          <w:spacing w:val="-8"/>
          <w:sz w:val="48"/>
          <w:szCs w:val="48"/>
        </w:rPr>
        <w:t>汕德卡新增配置驾驶室设备工装</w:t>
      </w:r>
      <w:r>
        <w:rPr>
          <w:rFonts w:hint="eastAsia" w:ascii="Calibri" w:hAnsi="Calibri" w:eastAsia="宋体" w:cs="Times New Roman"/>
          <w:b/>
          <w:bCs/>
          <w:color w:val="000000"/>
          <w:spacing w:val="-8"/>
          <w:sz w:val="48"/>
          <w:szCs w:val="48"/>
          <w:lang w:val="en-US" w:eastAsia="zh-CN"/>
        </w:rPr>
        <w:t>改造及</w:t>
      </w:r>
      <w:r>
        <w:rPr>
          <w:rFonts w:hint="eastAsia" w:ascii="Calibri" w:hAnsi="Calibri" w:eastAsia="宋体" w:cs="Times New Roman"/>
          <w:b/>
          <w:bCs/>
          <w:color w:val="000000"/>
          <w:spacing w:val="-8"/>
          <w:sz w:val="48"/>
          <w:szCs w:val="48"/>
        </w:rPr>
        <w:t>更新</w:t>
      </w:r>
    </w:p>
    <w:p w14:paraId="21F5F947">
      <w:pPr>
        <w:jc w:val="center"/>
        <w:rPr>
          <w:rFonts w:hint="eastAsia" w:ascii="Calibri" w:hAnsi="Calibri" w:eastAsia="宋体" w:cs="Times New Roman"/>
          <w:b/>
          <w:bCs/>
          <w:color w:val="000000"/>
          <w:spacing w:val="-8"/>
          <w:sz w:val="48"/>
          <w:szCs w:val="48"/>
        </w:rPr>
      </w:pPr>
      <w:r>
        <w:rPr>
          <w:rFonts w:hint="eastAsia" w:ascii="Calibri" w:hAnsi="Calibri" w:eastAsia="宋体" w:cs="Times New Roman"/>
          <w:b/>
          <w:bCs/>
          <w:color w:val="000000"/>
          <w:spacing w:val="-8"/>
          <w:sz w:val="48"/>
          <w:szCs w:val="48"/>
          <w:lang w:val="en-US" w:eastAsia="zh-CN"/>
        </w:rPr>
        <w:t>技改</w:t>
      </w:r>
      <w:r>
        <w:rPr>
          <w:rFonts w:hint="eastAsia" w:ascii="Calibri" w:hAnsi="Calibri" w:eastAsia="宋体" w:cs="Times New Roman"/>
          <w:b/>
          <w:bCs/>
          <w:color w:val="000000"/>
          <w:spacing w:val="-8"/>
          <w:sz w:val="48"/>
          <w:szCs w:val="48"/>
        </w:rPr>
        <w:t>项目</w:t>
      </w:r>
    </w:p>
    <w:p w14:paraId="643FB99F">
      <w:pPr>
        <w:jc w:val="center"/>
        <w:rPr>
          <w:rFonts w:hint="eastAsia" w:ascii="Calibri" w:hAnsi="Calibri" w:eastAsia="宋体" w:cs="Times New Roman"/>
          <w:b/>
          <w:bCs/>
          <w:color w:val="000000"/>
          <w:spacing w:val="-8"/>
          <w:sz w:val="48"/>
          <w:szCs w:val="48"/>
        </w:rPr>
      </w:pPr>
    </w:p>
    <w:p w14:paraId="28218336">
      <w:pPr>
        <w:pStyle w:val="18"/>
        <w:jc w:val="center"/>
        <w:rPr>
          <w:rFonts w:ascii="Calibri" w:hAnsi="宋体" w:eastAsia="宋体" w:cs="Times New Roman"/>
          <w:b/>
          <w:bCs/>
          <w:color w:val="000000"/>
          <w:spacing w:val="-8"/>
          <w:sz w:val="48"/>
          <w:szCs w:val="44"/>
        </w:rPr>
      </w:pPr>
    </w:p>
    <w:p w14:paraId="40782F7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E4AD806">
      <w:pPr>
        <w:jc w:val="center"/>
        <w:rPr>
          <w:rFonts w:ascii="黑体" w:hAnsi="宋体" w:eastAsia="黑体" w:cs="Times New Roman"/>
          <w:color w:val="000000"/>
          <w:sz w:val="72"/>
          <w:szCs w:val="72"/>
        </w:rPr>
      </w:pPr>
    </w:p>
    <w:p w14:paraId="5E1B79A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7F9050">
      <w:pPr>
        <w:jc w:val="center"/>
        <w:rPr>
          <w:rFonts w:ascii="黑体" w:hAnsi="宋体" w:eastAsia="黑体" w:cs="Times New Roman"/>
          <w:color w:val="000000"/>
          <w:sz w:val="72"/>
          <w:szCs w:val="72"/>
        </w:rPr>
      </w:pPr>
    </w:p>
    <w:p w14:paraId="0F8483FC">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C2CD1FC">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14:paraId="655051A0">
      <w:pPr>
        <w:spacing w:line="860" w:lineRule="exact"/>
        <w:rPr>
          <w:rFonts w:ascii="华文仿宋" w:hAnsi="华文仿宋" w:eastAsia="华文仿宋"/>
          <w:sz w:val="32"/>
          <w:szCs w:val="28"/>
        </w:rPr>
      </w:pPr>
    </w:p>
    <w:p w14:paraId="37448FE7">
      <w:pPr>
        <w:spacing w:line="860" w:lineRule="exact"/>
        <w:rPr>
          <w:rFonts w:ascii="华文仿宋" w:hAnsi="华文仿宋" w:eastAsia="华文仿宋"/>
          <w:sz w:val="32"/>
          <w:szCs w:val="28"/>
        </w:rPr>
      </w:pPr>
    </w:p>
    <w:p w14:paraId="7A295F4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AE199D1">
      <w:pPr>
        <w:pStyle w:val="18"/>
        <w:rPr>
          <w:b/>
          <w:bCs/>
        </w:rPr>
      </w:pPr>
    </w:p>
    <w:p w14:paraId="3C8E3DD5">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FF0000"/>
          <w:sz w:val="28"/>
          <w:szCs w:val="28"/>
        </w:rPr>
        <w:t>中国重汽集团</w:t>
      </w:r>
      <w:r>
        <w:rPr>
          <w:rFonts w:hint="eastAsia" w:ascii="宋体" w:hAnsi="宋体" w:eastAsia="宋体" w:cs="Times New Roman"/>
          <w:color w:val="FF0000"/>
          <w:sz w:val="28"/>
          <w:szCs w:val="28"/>
          <w:lang w:eastAsia="zh-CN"/>
        </w:rPr>
        <w:t>济南商用车有限公司</w:t>
      </w:r>
    </w:p>
    <w:p w14:paraId="7ACF99FA">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963B225">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24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7FDF6F62">
          <w:pPr>
            <w:spacing w:line="480" w:lineRule="auto"/>
            <w:jc w:val="center"/>
            <w:rPr>
              <w:rFonts w:cs="宋体"/>
              <w:b/>
              <w:bCs/>
              <w:sz w:val="48"/>
              <w:szCs w:val="48"/>
            </w:rPr>
          </w:pPr>
          <w:r>
            <w:rPr>
              <w:rFonts w:ascii="宋体" w:hAnsi="宋体" w:eastAsia="宋体" w:cs="宋体"/>
              <w:b/>
              <w:bCs/>
              <w:sz w:val="48"/>
              <w:szCs w:val="48"/>
            </w:rPr>
            <w:t>目录</w:t>
          </w:r>
        </w:p>
        <w:p w14:paraId="0BBC4242">
          <w:pPr>
            <w:pStyle w:val="26"/>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686CB0F9">
          <w:pPr>
            <w:pStyle w:val="26"/>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0D40E3E6">
          <w:pPr>
            <w:pStyle w:val="26"/>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D0AF313">
          <w:pPr>
            <w:pStyle w:val="26"/>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3FEF799">
          <w:pPr>
            <w:pStyle w:val="26"/>
            <w:tabs>
              <w:tab w:val="right" w:leader="dot" w:pos="9071"/>
            </w:tabs>
            <w:spacing w:line="480" w:lineRule="auto"/>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color w:val="auto"/>
              <w:sz w:val="32"/>
              <w:szCs w:val="32"/>
            </w:rPr>
            <w:fldChar w:fldCharType="end"/>
          </w:r>
          <w:r>
            <w:fldChar w:fldCharType="begin"/>
          </w:r>
          <w:r>
            <w:instrText xml:space="preserve"> HYPERLINK \l "_Toc29691" </w:instrText>
          </w:r>
          <w:r>
            <w:fldChar w:fldCharType="separate"/>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0D4ABF43">
          <w:pPr>
            <w:pStyle w:val="18"/>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9350274">
      <w:pPr>
        <w:pStyle w:val="18"/>
        <w:numPr>
          <w:ilvl w:val="0"/>
          <w:numId w:val="3"/>
        </w:numPr>
        <w:jc w:val="center"/>
        <w:outlineLvl w:val="0"/>
        <w:rPr>
          <w:rFonts w:ascii="Calibri" w:hAnsi="Calibri" w:eastAsia="宋体" w:cs="Times New Roman"/>
          <w:b/>
          <w:bCs/>
          <w:kern w:val="44"/>
          <w:sz w:val="36"/>
          <w:szCs w:val="44"/>
        </w:rPr>
      </w:pPr>
      <w:bookmarkStart w:id="3" w:name="_Toc25915"/>
      <w:r>
        <w:rPr>
          <w:rFonts w:hint="eastAsia" w:ascii="Calibri" w:hAnsi="Calibri" w:eastAsia="宋体" w:cs="Times New Roman"/>
          <w:b/>
          <w:bCs/>
          <w:kern w:val="44"/>
          <w:sz w:val="36"/>
          <w:szCs w:val="44"/>
        </w:rPr>
        <w:t xml:space="preserve"> 投标须知前附表</w:t>
      </w:r>
      <w:bookmarkEnd w:id="3"/>
    </w:p>
    <w:p w14:paraId="00A4B6D7">
      <w:pPr>
        <w:pStyle w:val="18"/>
        <w:jc w:val="center"/>
        <w:rPr>
          <w:rFonts w:ascii="Calibri" w:hAnsi="Calibri" w:eastAsia="宋体" w:cs="Times New Roman"/>
          <w:b/>
          <w:bCs/>
          <w:kern w:val="44"/>
          <w:sz w:val="36"/>
          <w:szCs w:val="44"/>
        </w:rPr>
      </w:pPr>
    </w:p>
    <w:p w14:paraId="5063BF2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CE52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5E915E">
            <w:pPr>
              <w:jc w:val="center"/>
              <w:rPr>
                <w:rStyle w:val="138"/>
                <w:rFonts w:hint="eastAsia" w:ascii="宋体" w:hAnsi="宋体" w:eastAsia="宋体" w:cs="宋体"/>
                <w:b/>
                <w:sz w:val="28"/>
                <w:szCs w:val="28"/>
              </w:rPr>
            </w:pPr>
            <w:bookmarkStart w:id="4" w:name="_Toc346372875"/>
            <w:r>
              <w:rPr>
                <w:rStyle w:val="13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07F824D">
            <w:pPr>
              <w:ind w:firstLine="562" w:firstLineChars="200"/>
              <w:jc w:val="center"/>
              <w:rPr>
                <w:rFonts w:hint="eastAsia" w:ascii="宋体" w:hAnsi="宋体" w:eastAsia="宋体" w:cs="宋体"/>
                <w:b/>
                <w:bCs/>
                <w:sz w:val="28"/>
                <w:szCs w:val="28"/>
              </w:rPr>
            </w:pPr>
            <w:r>
              <w:rPr>
                <w:rStyle w:val="138"/>
                <w:rFonts w:hint="eastAsia" w:ascii="宋体" w:hAnsi="宋体" w:eastAsia="宋体" w:cs="宋体"/>
                <w:b/>
                <w:sz w:val="28"/>
                <w:szCs w:val="28"/>
              </w:rPr>
              <w:t>编  列  内  容</w:t>
            </w:r>
          </w:p>
        </w:tc>
      </w:tr>
      <w:tr w14:paraId="3EFC32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10D8F3">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40EAA4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8BA029">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4DB12FF">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u w:val="single"/>
                <w:lang w:val="en-US" w:eastAsia="zh-CN"/>
              </w:rPr>
              <w:t>汕德卡新增配置驾驶室设备工装改造及更新技改项目</w:t>
            </w:r>
          </w:p>
        </w:tc>
      </w:tr>
      <w:tr w14:paraId="2F7A2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E46EDD4">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22B21845">
            <w:pPr>
              <w:ind w:firstLine="482" w:firstLineChars="200"/>
              <w:rPr>
                <w:rFonts w:hint="eastAsia" w:ascii="宋体" w:hAnsi="宋体" w:eastAsia="宋体" w:cs="宋体"/>
                <w:b/>
                <w:bCs/>
                <w:sz w:val="24"/>
                <w:szCs w:val="24"/>
                <w:lang w:eastAsia="zh-CN"/>
              </w:rPr>
            </w:pPr>
          </w:p>
        </w:tc>
      </w:tr>
      <w:tr w14:paraId="4362DE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E8EFCA8">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1EE10F">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对焊二分线1套后围上件夹具、2套后围补焊夹具进行改造，更新2套前围模块抓手及相应的机器人和PLC调试。满足</w:t>
            </w:r>
            <w:r>
              <w:rPr>
                <w:rFonts w:hint="eastAsia" w:ascii="宋体" w:hAnsi="宋体" w:eastAsia="宋体" w:cs="宋体"/>
                <w:highlight w:val="none"/>
              </w:rPr>
              <w:t>满足赢彻驾驶室以及后围进气道加强板驾驶室的批量生产要求</w:t>
            </w:r>
            <w:r>
              <w:rPr>
                <w:rFonts w:hint="eastAsia" w:ascii="宋体" w:hAnsi="宋体" w:eastAsia="宋体" w:cs="宋体"/>
                <w:highlight w:val="none"/>
                <w:lang w:eastAsia="zh-CN"/>
              </w:rPr>
              <w:t>。</w:t>
            </w:r>
          </w:p>
        </w:tc>
      </w:tr>
      <w:tr w14:paraId="0A317A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6199ADE">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204AA8C3">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招标形式：公开招标</w:t>
            </w:r>
          </w:p>
        </w:tc>
      </w:tr>
      <w:tr w14:paraId="430221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4CD75841">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B7B1E5E">
            <w:pPr>
              <w:ind w:firstLine="482" w:firstLineChars="200"/>
              <w:rPr>
                <w:rFonts w:hint="eastAsia" w:ascii="宋体" w:hAnsi="宋体" w:eastAsia="宋体" w:cs="宋体"/>
                <w:sz w:val="24"/>
                <w:szCs w:val="24"/>
                <w:u w:val="single"/>
              </w:rPr>
            </w:pPr>
            <w:r>
              <w:rPr>
                <w:rFonts w:hint="eastAsia" w:ascii="宋体" w:hAnsi="宋体" w:eastAsia="宋体" w:cs="宋体"/>
                <w:b/>
                <w:snapToGrid w:val="0"/>
                <w:color w:val="FF0000"/>
                <w:kern w:val="0"/>
                <w:sz w:val="24"/>
                <w:szCs w:val="24"/>
              </w:rPr>
              <w:t>招标人名称：</w:t>
            </w:r>
            <w:r>
              <w:rPr>
                <w:rFonts w:hint="eastAsia" w:ascii="宋体" w:hAnsi="宋体" w:eastAsia="宋体" w:cs="宋体"/>
                <w:sz w:val="24"/>
                <w:szCs w:val="24"/>
                <w:u w:val="single"/>
              </w:rPr>
              <w:t>中国重汽集团济南商用车有限公司</w:t>
            </w:r>
          </w:p>
          <w:p w14:paraId="6D28ADAC">
            <w:pPr>
              <w:ind w:firstLine="482" w:firstLineChars="200"/>
              <w:rPr>
                <w:rFonts w:hint="eastAsia" w:ascii="宋体" w:hAnsi="宋体" w:eastAsia="宋体" w:cs="宋体"/>
                <w:sz w:val="24"/>
                <w:szCs w:val="24"/>
                <w:u w:val="single"/>
              </w:rPr>
            </w:pPr>
            <w:r>
              <w:rPr>
                <w:rFonts w:hint="eastAsia" w:ascii="宋体" w:hAnsi="宋体" w:eastAsia="宋体" w:cs="宋体"/>
                <w:b/>
                <w:snapToGrid w:val="0"/>
                <w:color w:val="FF0000"/>
                <w:kern w:val="0"/>
                <w:sz w:val="24"/>
                <w:szCs w:val="24"/>
              </w:rPr>
              <w:t>招标人地址：</w:t>
            </w:r>
            <w:r>
              <w:rPr>
                <w:rFonts w:hint="eastAsia" w:ascii="宋体" w:hAnsi="宋体" w:eastAsia="宋体" w:cs="宋体"/>
                <w:sz w:val="24"/>
                <w:szCs w:val="24"/>
                <w:u w:val="single"/>
              </w:rPr>
              <w:t>山东省章丘市圣井潘王路西重汽工业园5号门</w:t>
            </w:r>
          </w:p>
          <w:p w14:paraId="5A365F78">
            <w:pPr>
              <w:ind w:firstLine="482" w:firstLineChars="200"/>
              <w:rPr>
                <w:rFonts w:hint="default" w:ascii="宋体" w:hAnsi="宋体" w:eastAsia="宋体" w:cs="宋体"/>
                <w:sz w:val="24"/>
                <w:szCs w:val="24"/>
                <w:u w:val="single"/>
                <w:lang w:val="en-US" w:eastAsia="zh-CN"/>
              </w:rPr>
            </w:pPr>
            <w:r>
              <w:rPr>
                <w:rFonts w:hint="eastAsia" w:ascii="宋体" w:hAnsi="宋体" w:eastAsia="宋体" w:cs="宋体"/>
                <w:b/>
                <w:snapToGrid w:val="0"/>
                <w:color w:val="FF0000"/>
                <w:kern w:val="0"/>
                <w:sz w:val="24"/>
                <w:szCs w:val="24"/>
                <w:lang w:eastAsia="zh-CN"/>
              </w:rPr>
              <w:t>招标</w:t>
            </w:r>
            <w:r>
              <w:rPr>
                <w:rFonts w:hint="eastAsia" w:ascii="宋体" w:hAnsi="宋体" w:eastAsia="宋体" w:cs="宋体"/>
                <w:b/>
                <w:snapToGrid w:val="0"/>
                <w:color w:val="FF0000"/>
                <w:kern w:val="0"/>
                <w:sz w:val="24"/>
                <w:szCs w:val="24"/>
              </w:rPr>
              <w:t>联系人：</w:t>
            </w:r>
            <w:r>
              <w:rPr>
                <w:rFonts w:hint="eastAsia" w:ascii="宋体" w:hAnsi="宋体" w:eastAsia="宋体" w:cs="宋体"/>
                <w:b/>
                <w:snapToGrid w:val="0"/>
                <w:color w:val="FF0000"/>
                <w:kern w:val="0"/>
                <w:sz w:val="24"/>
                <w:szCs w:val="24"/>
                <w:lang w:val="en-US" w:eastAsia="zh-CN"/>
              </w:rPr>
              <w:t>苏启蒙       技术联系人：聂新钊</w:t>
            </w:r>
          </w:p>
          <w:p w14:paraId="15C11302">
            <w:pPr>
              <w:pStyle w:val="18"/>
              <w:ind w:firstLine="482" w:firstLineChars="200"/>
              <w:rPr>
                <w:rFonts w:hint="default" w:ascii="宋体" w:hAnsi="宋体" w:eastAsia="宋体" w:cs="宋体"/>
                <w:color w:val="000000"/>
                <w:kern w:val="2"/>
                <w:sz w:val="24"/>
                <w:szCs w:val="24"/>
                <w:lang w:val="en-US" w:eastAsia="zh-CN" w:bidi="ar-SA"/>
              </w:rPr>
            </w:pPr>
            <w:r>
              <w:rPr>
                <w:rFonts w:hint="eastAsia" w:ascii="宋体" w:hAnsi="宋体" w:eastAsia="宋体" w:cs="宋体"/>
                <w:b/>
                <w:snapToGrid w:val="0"/>
                <w:color w:val="FF0000"/>
                <w:kern w:val="0"/>
                <w:sz w:val="24"/>
                <w:szCs w:val="24"/>
              </w:rPr>
              <w:t>电话：</w:t>
            </w:r>
            <w:r>
              <w:rPr>
                <w:rFonts w:hint="eastAsia" w:hAnsi="宋体" w:eastAsia="宋体" w:cs="宋体"/>
                <w:b/>
                <w:snapToGrid w:val="0"/>
                <w:color w:val="FF0000"/>
                <w:kern w:val="0"/>
                <w:sz w:val="24"/>
                <w:szCs w:val="24"/>
                <w:u w:val="single"/>
                <w:lang w:val="en-US" w:eastAsia="zh-CN"/>
              </w:rPr>
              <w:t>17553108182</w:t>
            </w:r>
            <w:r>
              <w:rPr>
                <w:rFonts w:hint="eastAsia" w:ascii="宋体" w:hAnsi="宋体" w:eastAsia="宋体" w:cs="宋体"/>
                <w:b/>
                <w:snapToGrid w:val="0"/>
                <w:color w:val="FF0000"/>
                <w:kern w:val="0"/>
                <w:sz w:val="24"/>
                <w:szCs w:val="24"/>
                <w:u w:val="single"/>
                <w:lang w:val="en-US" w:eastAsia="zh-CN"/>
              </w:rPr>
              <w:t xml:space="preserve">  </w:t>
            </w:r>
            <w:r>
              <w:rPr>
                <w:rFonts w:hint="eastAsia" w:hAnsi="宋体" w:eastAsia="宋体" w:cs="宋体"/>
                <w:b/>
                <w:snapToGrid w:val="0"/>
                <w:color w:val="FF0000"/>
                <w:kern w:val="0"/>
                <w:sz w:val="24"/>
                <w:szCs w:val="24"/>
                <w:u w:val="single"/>
                <w:lang w:val="en-US" w:eastAsia="zh-CN"/>
              </w:rPr>
              <w:t xml:space="preserve">      </w:t>
            </w:r>
            <w:r>
              <w:rPr>
                <w:rFonts w:hint="eastAsia" w:ascii="宋体" w:hAnsi="宋体" w:eastAsia="宋体" w:cs="宋体"/>
                <w:b/>
                <w:snapToGrid w:val="0"/>
                <w:color w:val="FF0000"/>
                <w:kern w:val="0"/>
                <w:sz w:val="24"/>
                <w:szCs w:val="24"/>
              </w:rPr>
              <w:t>电话：</w:t>
            </w:r>
            <w:r>
              <w:rPr>
                <w:rFonts w:hint="eastAsia" w:hAnsi="宋体" w:eastAsia="宋体" w:cs="宋体"/>
                <w:b/>
                <w:snapToGrid w:val="0"/>
                <w:color w:val="FF0000"/>
                <w:kern w:val="0"/>
                <w:sz w:val="24"/>
                <w:szCs w:val="24"/>
                <w:u w:val="single"/>
                <w:lang w:val="en-US" w:eastAsia="zh-CN"/>
              </w:rPr>
              <w:t>18668974837</w:t>
            </w:r>
          </w:p>
          <w:p w14:paraId="551F79F0">
            <w:pPr>
              <w:ind w:firstLine="482" w:firstLineChars="200"/>
              <w:rPr>
                <w:rFonts w:hint="eastAsia" w:ascii="宋体" w:hAnsi="宋体" w:eastAsia="宋体" w:cs="宋体"/>
                <w:sz w:val="24"/>
                <w:szCs w:val="24"/>
                <w:lang w:val="en-US" w:eastAsia="zh-CN"/>
              </w:rPr>
            </w:pPr>
            <w:r>
              <w:rPr>
                <w:rFonts w:hint="eastAsia" w:ascii="宋体" w:hAnsi="宋体" w:eastAsia="宋体" w:cs="宋体"/>
                <w:b/>
                <w:snapToGrid w:val="0"/>
                <w:color w:val="FF0000"/>
                <w:kern w:val="0"/>
                <w:sz w:val="24"/>
                <w:szCs w:val="24"/>
              </w:rPr>
              <w:t>邮箱：suqimeng@sinotruk.com</w:t>
            </w:r>
          </w:p>
        </w:tc>
      </w:tr>
      <w:tr w14:paraId="46BDD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BE8F49F">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2CCAD75">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37130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1A2723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2694EC2">
            <w:pPr>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宋体"/>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824FF9E">
            <w:pPr>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报价货币：</w:t>
            </w:r>
            <w:r>
              <w:rPr>
                <w:rFonts w:hint="eastAsia" w:ascii="宋体" w:hAnsi="宋体" w:eastAsia="宋体" w:cs="宋体"/>
                <w:color w:val="000000"/>
                <w:sz w:val="24"/>
                <w:szCs w:val="24"/>
              </w:rPr>
              <w:t>人民币（</w:t>
            </w:r>
            <w:r>
              <w:rPr>
                <w:rFonts w:hint="eastAsia" w:ascii="宋体" w:hAnsi="宋体" w:eastAsia="宋体" w:cs="宋体"/>
                <w:b/>
                <w:bCs/>
                <w:color w:val="000000"/>
                <w:sz w:val="24"/>
                <w:szCs w:val="24"/>
              </w:rPr>
              <w:t>应同时报含税价和不含税价，写明税率</w:t>
            </w:r>
            <w:r>
              <w:rPr>
                <w:rFonts w:hint="eastAsia" w:ascii="宋体" w:hAnsi="宋体" w:eastAsia="宋体" w:cs="宋体"/>
                <w:color w:val="000000"/>
                <w:sz w:val="24"/>
                <w:szCs w:val="24"/>
              </w:rPr>
              <w:t>）。</w:t>
            </w:r>
          </w:p>
          <w:p w14:paraId="60C7EA77">
            <w:pPr>
              <w:pStyle w:val="18"/>
              <w:ind w:firstLine="482" w:firstLineChars="200"/>
              <w:rPr>
                <w:rFonts w:hint="eastAsia" w:ascii="宋体" w:hAnsi="宋体" w:eastAsia="宋体" w:cs="宋体"/>
              </w:rPr>
            </w:pPr>
            <w:r>
              <w:rPr>
                <w:rFonts w:hint="eastAsia" w:ascii="宋体" w:hAnsi="宋体" w:eastAsia="宋体" w:cs="宋体"/>
                <w:b/>
                <w:bCs/>
                <w:color w:val="000000"/>
                <w:sz w:val="24"/>
                <w:szCs w:val="24"/>
              </w:rPr>
              <w:t>投标限价</w:t>
            </w:r>
            <w:r>
              <w:rPr>
                <w:rFonts w:hint="eastAsia" w:ascii="宋体" w:hAnsi="宋体" w:eastAsia="宋体" w:cs="宋体"/>
                <w:color w:val="000000"/>
                <w:sz w:val="24"/>
                <w:szCs w:val="24"/>
              </w:rPr>
              <w:t>：人民币</w:t>
            </w:r>
            <w:r>
              <w:rPr>
                <w:rFonts w:hint="eastAsia" w:hAnsi="宋体" w:eastAsia="宋体" w:cs="宋体"/>
                <w:b/>
                <w:bCs/>
                <w:color w:val="FF0000"/>
                <w:sz w:val="24"/>
                <w:szCs w:val="24"/>
                <w:lang w:val="en-US" w:eastAsia="zh-CN"/>
              </w:rPr>
              <w:t>47</w:t>
            </w:r>
            <w:r>
              <w:rPr>
                <w:rFonts w:hint="eastAsia" w:ascii="宋体" w:hAnsi="宋体" w:eastAsia="宋体" w:cs="宋体"/>
                <w:b/>
                <w:bCs/>
                <w:color w:val="FF0000"/>
                <w:kern w:val="2"/>
                <w:sz w:val="24"/>
                <w:szCs w:val="24"/>
                <w:lang w:val="en-US" w:eastAsia="zh-CN" w:bidi="ar-SA"/>
              </w:rPr>
              <w:t>万</w:t>
            </w:r>
            <w:r>
              <w:rPr>
                <w:rFonts w:hint="eastAsia" w:ascii="宋体" w:hAnsi="宋体" w:eastAsia="宋体" w:cs="宋体"/>
                <w:color w:val="000000"/>
                <w:sz w:val="24"/>
                <w:szCs w:val="24"/>
              </w:rPr>
              <w:t>元（含税，税率13%），超过投标限价无法投标。</w:t>
            </w:r>
          </w:p>
        </w:tc>
      </w:tr>
      <w:tr w14:paraId="0060CD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517BCB4">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D6DAFC7">
            <w:pPr>
              <w:pStyle w:val="18"/>
              <w:ind w:firstLine="482" w:firstLineChars="200"/>
              <w:rPr>
                <w:rFonts w:hint="eastAsia" w:ascii="宋体" w:hAnsi="宋体" w:eastAsia="宋体" w:cs="宋体"/>
                <w:b/>
                <w:bCs/>
                <w:color w:val="FF0000"/>
                <w:sz w:val="24"/>
                <w:szCs w:val="24"/>
              </w:rPr>
            </w:pPr>
            <w:r>
              <w:rPr>
                <w:rFonts w:hint="eastAsia" w:ascii="宋体" w:hAnsi="宋体" w:eastAsia="宋体" w:cs="宋体"/>
                <w:b/>
                <w:bCs/>
                <w:color w:val="000000"/>
                <w:sz w:val="24"/>
                <w:szCs w:val="24"/>
              </w:rPr>
              <w:t>投标人条件：</w:t>
            </w:r>
          </w:p>
          <w:p w14:paraId="349BCEC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13D68A23">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7EEDAF1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FF19EA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4.拟投标人在国家市场监督管理总局的《国家企业信用信息公示系统》等信息平台中，无行政处罚及失信记录等信息；</w:t>
            </w:r>
          </w:p>
          <w:p w14:paraId="7FBDCC9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72BFCCA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4805D88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近3年（2023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742E7CE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6EFAEBA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14:paraId="1F36DF5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10.投标人最近半年纳税正常；</w:t>
            </w:r>
          </w:p>
          <w:p w14:paraId="459A8AA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1BE0DB63">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12.投标人信用证明材料（征信报告）未显示异常；</w:t>
            </w:r>
          </w:p>
          <w:p w14:paraId="54D52FB1">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13.供方的直接或间接股东、法定代表人、董事、监事、高管非重汽员工及其亲属；</w:t>
            </w:r>
          </w:p>
          <w:p w14:paraId="0F9F2748">
            <w:pPr>
              <w:pStyle w:val="18"/>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14.本项目采用供应商直销模式进行采购，不允许代理商投标；</w:t>
            </w:r>
          </w:p>
          <w:p w14:paraId="50F15563">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15.项目采购的外购件，需获得生产厂家正式授权，提供授权书原件，保证提供原厂售后服务并提供原厂售后服务承诺书原件</w:t>
            </w:r>
          </w:p>
          <w:p w14:paraId="2F067EE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16.本项目不接受联合体投标，拟投标人必须是最终投标单位、签订合同单位，不得以任何形式分包或转包给其他单位；</w:t>
            </w:r>
          </w:p>
          <w:p w14:paraId="6F51B1E5">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17.与招标人存在利害关系可能影响招标公正性的法人、其他组织或者个人，不得参加投标。</w:t>
            </w:r>
          </w:p>
        </w:tc>
      </w:tr>
      <w:tr w14:paraId="1D47C4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F23D06">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7879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5EC74C63">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FE6BF42">
            <w:pPr>
              <w:ind w:firstLine="482" w:firstLineChars="200"/>
              <w:rPr>
                <w:rFonts w:hint="eastAsia" w:ascii="宋体" w:hAnsi="宋体" w:eastAsia="宋体" w:cs="宋体"/>
                <w:sz w:val="24"/>
                <w:szCs w:val="24"/>
              </w:rPr>
            </w:pPr>
            <w:r>
              <w:rPr>
                <w:rFonts w:hint="eastAsia" w:ascii="宋体" w:hAnsi="宋体" w:eastAsia="宋体" w:cs="宋体"/>
                <w:b/>
                <w:bCs/>
                <w:color w:val="FF0000"/>
                <w:sz w:val="24"/>
                <w:szCs w:val="24"/>
              </w:rPr>
              <w:t>发标时间：</w:t>
            </w:r>
            <w:r>
              <w:rPr>
                <w:rFonts w:hint="eastAsia" w:ascii="宋体" w:hAnsi="宋体" w:eastAsia="宋体" w:cs="宋体"/>
                <w:bCs/>
                <w:color w:val="FF0000"/>
                <w:sz w:val="24"/>
                <w:szCs w:val="24"/>
              </w:rPr>
              <w:t>202</w:t>
            </w:r>
            <w:r>
              <w:rPr>
                <w:rFonts w:hint="eastAsia" w:ascii="宋体" w:hAnsi="宋体" w:eastAsia="宋体" w:cs="宋体"/>
                <w:bCs/>
                <w:color w:val="FF0000"/>
                <w:sz w:val="24"/>
                <w:szCs w:val="24"/>
                <w:lang w:val="en-US" w:eastAsia="zh-CN"/>
              </w:rPr>
              <w:t>5</w:t>
            </w:r>
            <w:r>
              <w:rPr>
                <w:rFonts w:hint="eastAsia" w:ascii="宋体" w:hAnsi="宋体" w:eastAsia="宋体" w:cs="宋体"/>
                <w:bCs/>
                <w:color w:val="FF0000"/>
                <w:sz w:val="24"/>
                <w:szCs w:val="24"/>
              </w:rPr>
              <w:t>年</w:t>
            </w:r>
            <w:r>
              <w:rPr>
                <w:rFonts w:hint="eastAsia" w:ascii="宋体" w:hAnsi="宋体" w:eastAsia="宋体" w:cs="宋体"/>
                <w:bCs/>
                <w:color w:val="FF0000"/>
                <w:sz w:val="24"/>
                <w:szCs w:val="24"/>
                <w:lang w:val="en-US" w:eastAsia="zh-CN"/>
              </w:rPr>
              <w:t>11</w:t>
            </w:r>
            <w:r>
              <w:rPr>
                <w:rFonts w:hint="eastAsia" w:ascii="宋体" w:hAnsi="宋体" w:eastAsia="宋体" w:cs="宋体"/>
                <w:bCs/>
                <w:color w:val="FF0000"/>
                <w:sz w:val="24"/>
                <w:szCs w:val="24"/>
              </w:rPr>
              <w:t>月</w:t>
            </w:r>
            <w:r>
              <w:rPr>
                <w:rFonts w:hint="eastAsia" w:ascii="宋体" w:hAnsi="宋体" w:eastAsia="宋体" w:cs="宋体"/>
                <w:bCs/>
                <w:color w:val="FF0000"/>
                <w:sz w:val="24"/>
                <w:szCs w:val="24"/>
                <w:lang w:val="en-US" w:eastAsia="zh-CN"/>
              </w:rPr>
              <w:t>13</w:t>
            </w:r>
            <w:r>
              <w:rPr>
                <w:rFonts w:hint="eastAsia" w:ascii="宋体" w:hAnsi="宋体" w:eastAsia="宋体" w:cs="宋体"/>
                <w:bCs/>
                <w:color w:val="FF0000"/>
                <w:sz w:val="24"/>
                <w:szCs w:val="24"/>
              </w:rPr>
              <w:t>日;</w:t>
            </w:r>
          </w:p>
        </w:tc>
      </w:tr>
      <w:tr w14:paraId="78C076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6B9514B">
            <w:pPr>
              <w:snapToGrid w:val="0"/>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055F9CC2">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tc>
      </w:tr>
      <w:tr w14:paraId="5F4AAD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DC06D6A">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8968180">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97125A7">
            <w:pPr>
              <w:ind w:firstLine="482" w:firstLineChars="200"/>
              <w:jc w:val="left"/>
              <w:rPr>
                <w:rFonts w:hint="eastAsia" w:ascii="宋体" w:hAnsi="宋体" w:eastAsia="宋体" w:cs="宋体"/>
                <w:color w:val="FF0000"/>
                <w:sz w:val="24"/>
                <w:szCs w:val="24"/>
              </w:rPr>
            </w:pPr>
            <w:r>
              <w:rPr>
                <w:rFonts w:hint="eastAsia" w:ascii="宋体" w:hAnsi="宋体" w:eastAsia="宋体" w:cs="宋体"/>
                <w:b/>
                <w:bCs/>
                <w:color w:val="FF0000"/>
                <w:sz w:val="24"/>
                <w:szCs w:val="24"/>
              </w:rPr>
              <w:t>提交疑问时间：</w:t>
            </w:r>
            <w:r>
              <w:rPr>
                <w:rFonts w:hint="eastAsia" w:ascii="宋体" w:hAnsi="宋体" w:eastAsia="宋体" w:cs="宋体"/>
                <w:bCs/>
                <w:color w:val="FF0000"/>
                <w:sz w:val="24"/>
                <w:szCs w:val="24"/>
              </w:rPr>
              <w:t>202</w:t>
            </w:r>
            <w:r>
              <w:rPr>
                <w:rFonts w:hint="eastAsia" w:ascii="宋体" w:hAnsi="宋体" w:eastAsia="宋体" w:cs="宋体"/>
                <w:bCs/>
                <w:color w:val="FF0000"/>
                <w:sz w:val="24"/>
                <w:szCs w:val="24"/>
                <w:lang w:val="en-US" w:eastAsia="zh-CN"/>
              </w:rPr>
              <w:t>5</w:t>
            </w:r>
            <w:r>
              <w:rPr>
                <w:rFonts w:hint="eastAsia" w:ascii="宋体" w:hAnsi="宋体" w:eastAsia="宋体" w:cs="宋体"/>
                <w:bCs/>
                <w:color w:val="FF0000"/>
                <w:sz w:val="24"/>
                <w:szCs w:val="24"/>
              </w:rPr>
              <w:t>年</w:t>
            </w:r>
            <w:r>
              <w:rPr>
                <w:rFonts w:hint="eastAsia" w:ascii="宋体" w:hAnsi="宋体" w:eastAsia="宋体" w:cs="宋体"/>
                <w:bCs/>
                <w:color w:val="FF0000"/>
                <w:sz w:val="24"/>
                <w:szCs w:val="24"/>
                <w:lang w:val="en-US" w:eastAsia="zh-CN"/>
              </w:rPr>
              <w:t>11</w:t>
            </w:r>
            <w:r>
              <w:rPr>
                <w:rFonts w:hint="eastAsia" w:ascii="宋体" w:hAnsi="宋体" w:eastAsia="宋体" w:cs="宋体"/>
                <w:bCs/>
                <w:color w:val="FF0000"/>
                <w:sz w:val="24"/>
                <w:szCs w:val="24"/>
              </w:rPr>
              <w:t>月</w:t>
            </w:r>
            <w:r>
              <w:rPr>
                <w:rFonts w:hint="eastAsia" w:ascii="宋体" w:hAnsi="宋体" w:eastAsia="宋体" w:cs="宋体"/>
                <w:bCs/>
                <w:color w:val="FF0000"/>
                <w:sz w:val="24"/>
                <w:szCs w:val="24"/>
                <w:lang w:val="en-US" w:eastAsia="zh-CN"/>
              </w:rPr>
              <w:t>15</w:t>
            </w:r>
            <w:r>
              <w:rPr>
                <w:rFonts w:hint="eastAsia" w:ascii="宋体" w:hAnsi="宋体" w:eastAsia="宋体" w:cs="宋体"/>
                <w:bCs/>
                <w:color w:val="FF0000"/>
                <w:sz w:val="24"/>
                <w:szCs w:val="24"/>
              </w:rPr>
              <w:t>日</w:t>
            </w:r>
            <w:r>
              <w:rPr>
                <w:rFonts w:hint="eastAsia" w:ascii="宋体" w:hAnsi="宋体" w:eastAsia="宋体" w:cs="宋体"/>
                <w:bCs/>
                <w:color w:val="FF0000"/>
                <w:sz w:val="24"/>
                <w:szCs w:val="24"/>
                <w:lang w:val="en-US" w:eastAsia="zh-CN"/>
              </w:rPr>
              <w:t>12</w:t>
            </w:r>
            <w:r>
              <w:rPr>
                <w:rFonts w:hint="eastAsia" w:ascii="宋体" w:hAnsi="宋体" w:eastAsia="宋体" w:cs="宋体"/>
                <w:bCs/>
                <w:color w:val="FF0000"/>
                <w:sz w:val="24"/>
                <w:szCs w:val="24"/>
              </w:rPr>
              <w:t>:00:00前；</w:t>
            </w:r>
          </w:p>
          <w:p w14:paraId="40C0BE0C">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76C608B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宋体" w:hAnsi="宋体" w:eastAsia="宋体" w:cs="宋体"/>
                <w:b/>
                <w:bCs/>
                <w:color w:val="000000"/>
                <w:sz w:val="24"/>
                <w:szCs w:val="24"/>
              </w:rPr>
              <w:t>法定代表人授权委托书</w:t>
            </w:r>
            <w:r>
              <w:rPr>
                <w:rFonts w:hint="eastAsia" w:ascii="宋体" w:hAnsi="宋体" w:eastAsia="宋体" w:cs="宋体"/>
                <w:b/>
                <w:bCs/>
                <w:sz w:val="24"/>
                <w:szCs w:val="24"/>
              </w:rPr>
              <w:t>。</w:t>
            </w:r>
          </w:p>
        </w:tc>
      </w:tr>
      <w:tr w14:paraId="32B7DA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B4FE49">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0D9DFF4">
            <w:pPr>
              <w:shd w:val="clear" w:color="auto" w:fill="FFFFFF" w:themeFill="background1"/>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领取答疑、澄清和修改文件时间：202</w:t>
            </w:r>
            <w:r>
              <w:rPr>
                <w:rFonts w:hint="eastAsia" w:ascii="宋体" w:hAnsi="宋体" w:eastAsia="宋体" w:cs="宋体"/>
                <w:color w:val="FF0000"/>
                <w:sz w:val="24"/>
                <w:szCs w:val="24"/>
                <w:lang w:val="en-US" w:eastAsia="zh-CN"/>
              </w:rPr>
              <w:t>5</w:t>
            </w:r>
            <w:r>
              <w:rPr>
                <w:rFonts w:hint="eastAsia" w:ascii="宋体" w:hAnsi="宋体" w:eastAsia="宋体" w:cs="宋体"/>
                <w:color w:val="FF0000"/>
                <w:sz w:val="24"/>
                <w:szCs w:val="24"/>
              </w:rPr>
              <w:t>年</w:t>
            </w:r>
            <w:r>
              <w:rPr>
                <w:rFonts w:hint="eastAsia" w:ascii="宋体" w:hAnsi="宋体" w:eastAsia="宋体" w:cs="宋体"/>
                <w:color w:val="FF0000"/>
                <w:sz w:val="24"/>
                <w:szCs w:val="24"/>
                <w:lang w:val="en-US" w:eastAsia="zh-CN"/>
              </w:rPr>
              <w:t>11</w:t>
            </w:r>
            <w:r>
              <w:rPr>
                <w:rFonts w:hint="eastAsia" w:ascii="宋体" w:hAnsi="宋体" w:eastAsia="宋体" w:cs="宋体"/>
                <w:color w:val="FF0000"/>
                <w:sz w:val="24"/>
                <w:szCs w:val="24"/>
              </w:rPr>
              <w:t>月</w:t>
            </w:r>
            <w:r>
              <w:rPr>
                <w:rFonts w:hint="eastAsia" w:ascii="宋体" w:hAnsi="宋体" w:eastAsia="宋体" w:cs="宋体"/>
                <w:color w:val="FF0000"/>
                <w:sz w:val="24"/>
                <w:szCs w:val="24"/>
                <w:lang w:val="en-US" w:eastAsia="zh-CN"/>
              </w:rPr>
              <w:t>15</w:t>
            </w:r>
            <w:r>
              <w:rPr>
                <w:rFonts w:hint="eastAsia" w:ascii="宋体" w:hAnsi="宋体" w:eastAsia="宋体" w:cs="宋体"/>
                <w:color w:val="FF0000"/>
                <w:sz w:val="24"/>
                <w:szCs w:val="24"/>
              </w:rPr>
              <w:t>日17:00</w:t>
            </w:r>
            <w:r>
              <w:rPr>
                <w:rFonts w:hint="eastAsia" w:ascii="宋体" w:hAnsi="宋体" w:eastAsia="宋体" w:cs="宋体"/>
                <w:bCs/>
                <w:color w:val="FF0000"/>
                <w:sz w:val="24"/>
                <w:szCs w:val="24"/>
              </w:rPr>
              <w:t>:00</w:t>
            </w:r>
            <w:r>
              <w:rPr>
                <w:rFonts w:hint="eastAsia" w:ascii="宋体" w:hAnsi="宋体" w:eastAsia="宋体" w:cs="宋体"/>
                <w:color w:val="FF0000"/>
                <w:sz w:val="24"/>
                <w:szCs w:val="24"/>
              </w:rPr>
              <w:t>前；</w:t>
            </w:r>
          </w:p>
          <w:p w14:paraId="5CFA5171">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83E69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9949120">
            <w:pPr>
              <w:jc w:val="center"/>
              <w:rPr>
                <w:rFonts w:hint="eastAsia"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B4D6E20">
            <w:pPr>
              <w:pStyle w:val="121"/>
              <w:spacing w:line="240" w:lineRule="auto"/>
              <w:ind w:firstLine="482"/>
              <w:rPr>
                <w:rFonts w:hint="eastAsia" w:ascii="宋体" w:hAnsi="宋体" w:eastAsia="宋体" w:cs="宋体"/>
                <w:b/>
                <w:bCs/>
              </w:rPr>
            </w:pPr>
            <w:r>
              <w:rPr>
                <w:rFonts w:hint="eastAsia" w:ascii="宋体" w:hAnsi="宋体" w:eastAsia="宋体" w:cs="宋体"/>
                <w:b/>
                <w:bCs/>
              </w:rPr>
              <w:t>报名方式：</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ascii="宋体" w:hAnsi="宋体" w:eastAsia="宋体" w:cs="宋体"/>
                <w:b/>
                <w:bCs/>
                <w:lang w:eastAsia="zh-CN"/>
              </w:rPr>
              <w:t>附件16</w:t>
            </w:r>
            <w:r>
              <w:rPr>
                <w:rFonts w:hint="eastAsia" w:ascii="宋体" w:hAnsi="宋体" w:eastAsia="宋体" w:cs="宋体"/>
                <w:b/>
                <w:bCs/>
              </w:rPr>
              <w:t>）进行注册</w:t>
            </w:r>
            <w:r>
              <w:rPr>
                <w:rFonts w:hint="eastAsia" w:ascii="宋体" w:hAnsi="宋体" w:eastAsia="宋体" w:cs="宋体"/>
              </w:rPr>
              <w:t>，注册完毕后按照</w:t>
            </w:r>
            <w:r>
              <w:rPr>
                <w:rFonts w:hint="eastAsia" w:ascii="宋体" w:hAnsi="宋体" w:eastAsia="宋体" w:cs="宋体"/>
                <w:b/>
              </w:rPr>
              <w:t>“SRM系统供应商用户手册（</w:t>
            </w:r>
            <w:r>
              <w:rPr>
                <w:rFonts w:hint="eastAsia" w:ascii="宋体" w:hAnsi="宋体" w:eastAsia="宋体" w:cs="宋体"/>
                <w:b/>
                <w:lang w:eastAsia="zh-CN"/>
              </w:rPr>
              <w:t>附件17</w:t>
            </w:r>
            <w:r>
              <w:rPr>
                <w:rFonts w:hint="eastAsia" w:ascii="宋体" w:hAnsi="宋体" w:eastAsia="宋体" w:cs="宋体"/>
                <w:b/>
              </w:rPr>
              <w:t>）”，</w:t>
            </w:r>
            <w:r>
              <w:rPr>
                <w:rFonts w:hint="eastAsia" w:ascii="宋体" w:hAnsi="宋体" w:eastAsia="宋体" w:cs="宋体"/>
              </w:rPr>
              <w:t>登录</w:t>
            </w:r>
            <w:r>
              <w:rPr>
                <w:rFonts w:hint="eastAsia" w:ascii="宋体" w:hAnsi="宋体" w:eastAsia="宋体" w:cs="宋体"/>
                <w:b/>
              </w:rPr>
              <w:t>重汽e采通平台</w:t>
            </w:r>
            <w:r>
              <w:rPr>
                <w:rFonts w:hint="eastAsia" w:ascii="宋体" w:hAnsi="宋体" w:eastAsia="宋体" w:cs="宋体"/>
              </w:rPr>
              <w:t>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后按照招标文件第三部分投标文件组成资格证明文件中的1.1-1.13准备资料并</w:t>
            </w:r>
            <w:r>
              <w:rPr>
                <w:rFonts w:hint="eastAsia" w:ascii="宋体" w:hAnsi="宋体" w:eastAsia="宋体" w:cs="宋体"/>
              </w:rPr>
              <w:t>上传，资质审查通过即为报名成功；公示期间请尽快报名。</w:t>
            </w:r>
          </w:p>
        </w:tc>
      </w:tr>
      <w:tr w14:paraId="6611A6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C06529E">
            <w:pPr>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6D6CC22F">
            <w:pPr>
              <w:pStyle w:val="121"/>
              <w:spacing w:line="240" w:lineRule="auto"/>
              <w:ind w:firstLine="482"/>
              <w:rPr>
                <w:rFonts w:hint="eastAsia" w:ascii="宋体" w:hAnsi="宋体" w:eastAsia="宋体" w:cs="宋体"/>
              </w:rPr>
            </w:pPr>
            <w:r>
              <w:rPr>
                <w:rFonts w:hint="eastAsia" w:ascii="宋体" w:hAnsi="宋体" w:eastAsia="宋体" w:cs="宋体"/>
                <w:b/>
                <w:bCs/>
                <w:color w:val="FF0000"/>
              </w:rPr>
              <w:t>应标截止时间：</w:t>
            </w:r>
            <w:r>
              <w:rPr>
                <w:rFonts w:hint="eastAsia" w:ascii="宋体" w:hAnsi="宋体" w:eastAsia="宋体" w:cs="宋体"/>
                <w:color w:val="FF0000"/>
              </w:rPr>
              <w:t>202</w:t>
            </w:r>
            <w:r>
              <w:rPr>
                <w:rFonts w:hint="eastAsia" w:ascii="宋体" w:hAnsi="宋体" w:eastAsia="宋体" w:cs="宋体"/>
                <w:color w:val="FF0000"/>
                <w:lang w:val="en-US" w:eastAsia="zh-CN"/>
              </w:rPr>
              <w:t>5</w:t>
            </w:r>
            <w:r>
              <w:rPr>
                <w:rFonts w:hint="eastAsia" w:ascii="宋体" w:hAnsi="宋体" w:eastAsia="宋体" w:cs="宋体"/>
                <w:color w:val="FF0000"/>
              </w:rPr>
              <w:t>年</w:t>
            </w:r>
            <w:r>
              <w:rPr>
                <w:rFonts w:hint="eastAsia" w:eastAsia="宋体" w:cs="宋体"/>
                <w:color w:val="FF0000"/>
                <w:lang w:val="en-US" w:eastAsia="zh-CN"/>
              </w:rPr>
              <w:t>11</w:t>
            </w:r>
            <w:r>
              <w:rPr>
                <w:rFonts w:hint="eastAsia" w:ascii="宋体" w:hAnsi="宋体" w:eastAsia="宋体" w:cs="宋体"/>
                <w:color w:val="FF0000"/>
              </w:rPr>
              <w:t>月</w:t>
            </w:r>
            <w:r>
              <w:rPr>
                <w:rFonts w:hint="eastAsia" w:eastAsia="宋体" w:cs="宋体"/>
                <w:color w:val="FF0000"/>
                <w:lang w:val="en-US" w:eastAsia="zh-CN"/>
              </w:rPr>
              <w:t>18</w:t>
            </w:r>
            <w:r>
              <w:rPr>
                <w:rFonts w:hint="eastAsia" w:ascii="宋体" w:hAnsi="宋体" w:eastAsia="宋体" w:cs="宋体"/>
                <w:color w:val="FF0000"/>
              </w:rPr>
              <w:t>日</w:t>
            </w:r>
            <w:r>
              <w:rPr>
                <w:rFonts w:hint="eastAsia" w:ascii="宋体" w:hAnsi="宋体" w:eastAsia="宋体" w:cs="宋体"/>
                <w:color w:val="FF0000"/>
                <w:sz w:val="24"/>
                <w:szCs w:val="24"/>
              </w:rPr>
              <w:t>17:00</w:t>
            </w:r>
            <w:r>
              <w:rPr>
                <w:rFonts w:hint="eastAsia" w:ascii="宋体" w:hAnsi="宋体" w:eastAsia="宋体" w:cs="宋体"/>
                <w:bCs/>
                <w:color w:val="FF0000"/>
                <w:sz w:val="24"/>
                <w:szCs w:val="24"/>
              </w:rPr>
              <w:t>:00</w:t>
            </w:r>
            <w:r>
              <w:rPr>
                <w:rFonts w:hint="eastAsia" w:ascii="宋体" w:hAnsi="宋体" w:eastAsia="宋体" w:cs="宋体"/>
                <w:color w:val="FF0000"/>
                <w:sz w:val="24"/>
                <w:szCs w:val="24"/>
              </w:rPr>
              <w:t>前</w:t>
            </w:r>
          </w:p>
          <w:p w14:paraId="6F3DC784">
            <w:pPr>
              <w:pStyle w:val="121"/>
              <w:spacing w:line="240" w:lineRule="auto"/>
              <w:ind w:firstLine="482"/>
              <w:rPr>
                <w:rFonts w:hint="eastAsia" w:ascii="宋体" w:hAnsi="宋体" w:eastAsia="宋体" w:cs="宋体"/>
              </w:rPr>
            </w:pPr>
            <w:r>
              <w:rPr>
                <w:rFonts w:hint="eastAsia" w:ascii="宋体" w:hAnsi="宋体" w:eastAsia="宋体" w:cs="宋体"/>
                <w:b/>
                <w:bCs/>
              </w:rPr>
              <w:t>注：请务必在应标截止时间前完成注册及应标操作，注册审核需2-4日，应标截止时间精确到秒，逾期将无法应标。请自行掌握时间，避免无法应标。</w:t>
            </w:r>
          </w:p>
        </w:tc>
      </w:tr>
      <w:tr w14:paraId="3F0D68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A916D3">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65F1B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24E5AED0">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54A4BFC">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投标文件（电子版为纸质盖章版的扫描件），均由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sz w:val="24"/>
                <w:szCs w:val="24"/>
              </w:rPr>
              <w:t>个文件。</w:t>
            </w:r>
          </w:p>
          <w:p w14:paraId="1A37FD0A">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5B576E24">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E5F3B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4B984631">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AC55739">
            <w:pPr>
              <w:ind w:firstLine="482" w:firstLineChars="200"/>
              <w:rPr>
                <w:rFonts w:hint="eastAsia" w:ascii="宋体" w:hAnsi="宋体" w:eastAsia="宋体" w:cs="宋体"/>
                <w:bCs/>
                <w:sz w:val="24"/>
                <w:szCs w:val="24"/>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p w14:paraId="035334AB">
            <w:pPr>
              <w:ind w:firstLine="420" w:firstLineChars="200"/>
              <w:rPr>
                <w:rFonts w:hint="eastAsia" w:ascii="宋体" w:hAnsi="宋体" w:eastAsia="宋体" w:cs="宋体"/>
                <w:bCs/>
                <w:sz w:val="24"/>
                <w:szCs w:val="24"/>
              </w:rPr>
            </w:pPr>
            <w:r>
              <w:rPr>
                <w:rFonts w:hint="eastAsia" w:ascii="宋体" w:hAnsi="宋体" w:eastAsia="宋体" w:cs="宋体"/>
                <w:bCs/>
              </w:rPr>
              <w:t xml:space="preserve"> </w:t>
            </w:r>
            <w:r>
              <w:rPr>
                <w:rFonts w:hint="eastAsia" w:ascii="宋体" w:hAnsi="宋体"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ascii="宋体" w:hAnsi="宋体" w:eastAsia="宋体" w:cs="宋体"/>
                <w:b/>
                <w:sz w:val="24"/>
                <w:szCs w:val="24"/>
              </w:rPr>
              <w:t>同类文件封装在一个包封里，包封表面按照附件13标注文件信息；共计三个包封</w:t>
            </w:r>
            <w:r>
              <w:rPr>
                <w:rFonts w:hint="eastAsia" w:ascii="宋体" w:hAnsi="宋体" w:eastAsia="宋体" w:cs="宋体"/>
                <w:bCs/>
                <w:sz w:val="24"/>
                <w:szCs w:val="24"/>
              </w:rPr>
              <w:t>。</w:t>
            </w:r>
          </w:p>
          <w:p w14:paraId="259B68ED">
            <w:pPr>
              <w:pStyle w:val="18"/>
              <w:ind w:firstLine="480" w:firstLineChars="200"/>
              <w:rPr>
                <w:rFonts w:hint="eastAsia" w:ascii="宋体" w:hAnsi="宋体" w:eastAsia="宋体" w:cs="宋体"/>
                <w:bCs/>
                <w:sz w:val="24"/>
                <w:szCs w:val="24"/>
              </w:rPr>
            </w:pPr>
            <w:r>
              <w:rPr>
                <w:rFonts w:hint="eastAsia" w:ascii="宋体" w:hAnsi="宋体" w:eastAsia="宋体" w:cs="宋体"/>
                <w:bCs/>
                <w:sz w:val="24"/>
                <w:szCs w:val="24"/>
              </w:rPr>
              <w:t>如选择到场参与开标，自行携带纸质投标文件于开标前至开标地点即可。</w:t>
            </w:r>
          </w:p>
          <w:p w14:paraId="5D08CF83">
            <w:pPr>
              <w:pStyle w:val="18"/>
              <w:ind w:firstLine="480" w:firstLineChars="200"/>
              <w:rPr>
                <w:rFonts w:hint="eastAsia" w:ascii="宋体" w:hAnsi="宋体" w:eastAsia="宋体" w:cs="宋体"/>
                <w:bCs/>
                <w:sz w:val="24"/>
                <w:szCs w:val="24"/>
              </w:rPr>
            </w:pPr>
            <w:r>
              <w:rPr>
                <w:rFonts w:hint="eastAsia" w:ascii="宋体" w:hAnsi="宋体" w:eastAsia="宋体" w:cs="宋体"/>
                <w:bCs/>
                <w:sz w:val="24"/>
                <w:szCs w:val="24"/>
              </w:rPr>
              <w:t>如选择线上参与开标，纸质投标文件需在开标日前两天，邮寄到指定地址。</w:t>
            </w:r>
          </w:p>
          <w:p w14:paraId="5358EA82">
            <w:pPr>
              <w:pStyle w:val="18"/>
              <w:rPr>
                <w:rFonts w:hint="eastAsia" w:ascii="宋体" w:hAnsi="宋体" w:eastAsia="宋体" w:cs="宋体"/>
                <w:color w:val="FF0000"/>
                <w:sz w:val="24"/>
                <w:szCs w:val="24"/>
              </w:rPr>
            </w:pPr>
            <w:r>
              <w:rPr>
                <w:rFonts w:hint="eastAsia" w:ascii="宋体" w:hAnsi="宋体" w:eastAsia="宋体" w:cs="宋体"/>
                <w:b/>
                <w:color w:val="FF0000"/>
                <w:sz w:val="24"/>
                <w:szCs w:val="24"/>
              </w:rPr>
              <w:t>邮寄地址：</w:t>
            </w:r>
            <w:r>
              <w:rPr>
                <w:rFonts w:hint="eastAsia" w:ascii="宋体" w:hAnsi="宋体" w:eastAsia="宋体" w:cs="宋体"/>
                <w:color w:val="FF0000"/>
                <w:sz w:val="24"/>
                <w:szCs w:val="24"/>
                <w:highlight w:val="none"/>
                <w:u w:val="single"/>
              </w:rPr>
              <w:t>济南市</w:t>
            </w:r>
            <w:r>
              <w:rPr>
                <w:rFonts w:hint="eastAsia" w:ascii="宋体" w:hAnsi="宋体" w:eastAsia="宋体" w:cs="宋体"/>
                <w:color w:val="FF0000"/>
                <w:sz w:val="24"/>
                <w:szCs w:val="24"/>
                <w:highlight w:val="none"/>
                <w:u w:val="single"/>
                <w:lang w:val="en-US" w:eastAsia="zh-CN"/>
              </w:rPr>
              <w:t>历城区</w:t>
            </w:r>
            <w:r>
              <w:rPr>
                <w:rFonts w:hint="eastAsia" w:ascii="宋体" w:hAnsi="宋体" w:eastAsia="宋体" w:cs="宋体"/>
                <w:color w:val="FF0000"/>
                <w:sz w:val="24"/>
                <w:szCs w:val="24"/>
                <w:highlight w:val="none"/>
                <w:u w:val="single"/>
              </w:rPr>
              <w:t>华奥路777号</w:t>
            </w:r>
          </w:p>
          <w:p w14:paraId="68A297FA">
            <w:pPr>
              <w:pStyle w:val="18"/>
              <w:rPr>
                <w:rFonts w:hint="default" w:ascii="宋体" w:hAnsi="宋体" w:eastAsia="宋体" w:cs="宋体"/>
                <w:color w:val="000000"/>
                <w:sz w:val="24"/>
                <w:szCs w:val="24"/>
                <w:lang w:val="en-US" w:eastAsia="zh-CN"/>
              </w:rPr>
            </w:pPr>
            <w:r>
              <w:rPr>
                <w:rFonts w:hint="eastAsia" w:ascii="宋体" w:hAnsi="宋体" w:eastAsia="宋体" w:cs="宋体"/>
                <w:b/>
                <w:bCs/>
                <w:color w:val="FF0000"/>
                <w:sz w:val="24"/>
                <w:szCs w:val="24"/>
              </w:rPr>
              <w:t>联系人及联系方式：</w:t>
            </w:r>
            <w:r>
              <w:rPr>
                <w:rFonts w:hint="eastAsia" w:hAnsi="宋体" w:eastAsia="宋体" w:cs="宋体"/>
                <w:b/>
                <w:bCs/>
                <w:color w:val="FF0000"/>
                <w:sz w:val="24"/>
                <w:szCs w:val="24"/>
                <w:lang w:val="en-US" w:eastAsia="zh-CN"/>
              </w:rPr>
              <w:t>苏启蒙</w:t>
            </w:r>
            <w:r>
              <w:rPr>
                <w:rFonts w:hint="eastAsia" w:ascii="宋体" w:hAnsi="宋体" w:eastAsia="宋体" w:cs="宋体"/>
                <w:color w:val="FF0000"/>
                <w:sz w:val="24"/>
                <w:szCs w:val="24"/>
                <w:highlight w:val="none"/>
                <w:u w:val="single"/>
                <w:lang w:val="en-US" w:eastAsia="zh-CN"/>
              </w:rPr>
              <w:t>/</w:t>
            </w:r>
            <w:r>
              <w:rPr>
                <w:rFonts w:hint="eastAsia" w:hAnsi="宋体" w:eastAsia="宋体" w:cs="宋体"/>
                <w:color w:val="FF0000"/>
                <w:sz w:val="24"/>
                <w:szCs w:val="24"/>
                <w:highlight w:val="none"/>
                <w:u w:val="single"/>
                <w:lang w:val="en-US" w:eastAsia="zh-CN"/>
              </w:rPr>
              <w:t>17553108182</w:t>
            </w:r>
          </w:p>
        </w:tc>
      </w:tr>
      <w:tr w14:paraId="68C9EB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2585F34">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FCB0ACD">
            <w:pPr>
              <w:pStyle w:val="18"/>
              <w:ind w:firstLine="482" w:firstLineChars="200"/>
              <w:rPr>
                <w:rFonts w:hint="eastAsia" w:ascii="宋体" w:hAnsi="宋体" w:eastAsia="宋体" w:cs="宋体"/>
                <w:b/>
                <w:bCs/>
                <w:sz w:val="24"/>
                <w:szCs w:val="24"/>
              </w:rPr>
            </w:pPr>
            <w:r>
              <w:rPr>
                <w:rFonts w:hint="eastAsia" w:ascii="宋体" w:hAnsi="宋体" w:eastAsia="宋体" w:cs="宋体"/>
                <w:b/>
                <w:bCs/>
                <w:sz w:val="24"/>
              </w:rPr>
              <w:t>纸质版投标文件和电子版投标文件必须保证内容一致；如确实存在不一致的，以电子标书为准，同时要求投标人对纸版标书做出修正。</w:t>
            </w:r>
          </w:p>
        </w:tc>
      </w:tr>
      <w:tr w14:paraId="59908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758F84B">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570082">
            <w:pPr>
              <w:pStyle w:val="2"/>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AFA34A8">
            <w:pPr>
              <w:pStyle w:val="18"/>
              <w:rPr>
                <w:rFonts w:hint="eastAsia" w:ascii="宋体" w:hAnsi="宋体" w:eastAsia="宋体" w:cs="宋体"/>
                <w:b/>
                <w:sz w:val="24"/>
                <w:szCs w:val="24"/>
              </w:rPr>
            </w:pPr>
            <w:r>
              <w:rPr>
                <w:rFonts w:hint="eastAsia" w:ascii="宋体" w:hAnsi="宋体" w:eastAsia="宋体" w:cs="宋体"/>
                <w:b/>
                <w:bCs/>
                <w:sz w:val="24"/>
                <w:szCs w:val="24"/>
              </w:rPr>
              <w:t>技术标书和商务标书不单独装订的，投标文件做无效标处理。</w:t>
            </w:r>
          </w:p>
        </w:tc>
      </w:tr>
      <w:tr w14:paraId="4D10A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E1EDE1C">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67B7ADB">
            <w:pPr>
              <w:pStyle w:val="18"/>
              <w:ind w:firstLine="482" w:firstLineChars="200"/>
              <w:rPr>
                <w:rFonts w:hint="eastAsia" w:ascii="宋体" w:hAnsi="宋体" w:eastAsia="宋体" w:cs="宋体"/>
                <w:sz w:val="24"/>
                <w:szCs w:val="24"/>
              </w:rPr>
            </w:pPr>
            <w:r>
              <w:rPr>
                <w:rFonts w:hint="eastAsia" w:ascii="宋体" w:hAnsi="宋体" w:eastAsia="宋体" w:cs="宋体"/>
                <w:b/>
                <w:bCs/>
                <w:color w:val="FF0000"/>
                <w:sz w:val="24"/>
                <w:szCs w:val="24"/>
              </w:rPr>
              <w:t>投标文件递交截止时间：</w:t>
            </w:r>
            <w:r>
              <w:rPr>
                <w:rFonts w:hint="eastAsia" w:ascii="宋体" w:hAnsi="宋体" w:eastAsia="宋体" w:cs="宋体"/>
                <w:color w:val="FF0000"/>
                <w:sz w:val="24"/>
                <w:szCs w:val="24"/>
                <w:u w:val="single"/>
              </w:rPr>
              <w:t>202</w:t>
            </w:r>
            <w:r>
              <w:rPr>
                <w:rFonts w:hint="eastAsia" w:ascii="宋体" w:hAnsi="宋体" w:eastAsia="宋体" w:cs="宋体"/>
                <w:color w:val="FF0000"/>
                <w:sz w:val="24"/>
                <w:szCs w:val="24"/>
                <w:u w:val="single"/>
                <w:lang w:val="en-US" w:eastAsia="zh-CN"/>
              </w:rPr>
              <w:t>5</w:t>
            </w:r>
            <w:r>
              <w:rPr>
                <w:rFonts w:hint="eastAsia" w:ascii="宋体" w:hAnsi="宋体" w:eastAsia="宋体" w:cs="宋体"/>
                <w:color w:val="FF0000"/>
                <w:sz w:val="24"/>
                <w:szCs w:val="24"/>
              </w:rPr>
              <w:t>年</w:t>
            </w:r>
            <w:r>
              <w:rPr>
                <w:rFonts w:hint="eastAsia" w:hAnsi="宋体" w:eastAsia="宋体" w:cs="宋体"/>
                <w:color w:val="FF0000"/>
                <w:sz w:val="24"/>
                <w:szCs w:val="24"/>
                <w:lang w:val="en-US" w:eastAsia="zh-CN"/>
              </w:rPr>
              <w:t>11</w:t>
            </w:r>
            <w:r>
              <w:rPr>
                <w:rFonts w:hint="eastAsia" w:ascii="宋体" w:hAnsi="宋体" w:eastAsia="宋体" w:cs="宋体"/>
                <w:color w:val="FF0000"/>
                <w:sz w:val="24"/>
                <w:szCs w:val="24"/>
              </w:rPr>
              <w:t>月</w:t>
            </w:r>
            <w:r>
              <w:rPr>
                <w:rFonts w:hint="eastAsia" w:hAnsi="宋体" w:eastAsia="宋体" w:cs="宋体"/>
                <w:color w:val="FF0000"/>
                <w:sz w:val="24"/>
                <w:szCs w:val="24"/>
                <w:lang w:val="en-US" w:eastAsia="zh-CN"/>
              </w:rPr>
              <w:t>24</w:t>
            </w:r>
            <w:r>
              <w:rPr>
                <w:rFonts w:hint="eastAsia" w:ascii="宋体" w:hAnsi="宋体" w:eastAsia="宋体" w:cs="宋体"/>
                <w:color w:val="FF0000"/>
                <w:sz w:val="24"/>
                <w:szCs w:val="24"/>
              </w:rPr>
              <w:t>日</w:t>
            </w:r>
            <w:r>
              <w:rPr>
                <w:rFonts w:hint="eastAsia" w:ascii="宋体" w:hAnsi="宋体" w:eastAsia="宋体" w:cs="宋体"/>
                <w:color w:val="FF0000"/>
                <w:sz w:val="24"/>
                <w:szCs w:val="24"/>
                <w:lang w:eastAsia="zh-CN"/>
              </w:rPr>
              <w:t>上</w:t>
            </w:r>
            <w:r>
              <w:rPr>
                <w:rFonts w:hint="eastAsia" w:ascii="宋体" w:hAnsi="宋体" w:eastAsia="宋体" w:cs="宋体"/>
                <w:color w:val="FF0000"/>
                <w:kern w:val="0"/>
                <w:sz w:val="24"/>
                <w:szCs w:val="24"/>
              </w:rPr>
              <w:t>午</w:t>
            </w:r>
            <w:r>
              <w:rPr>
                <w:rFonts w:hint="eastAsia" w:ascii="宋体" w:hAnsi="宋体" w:eastAsia="宋体" w:cs="宋体"/>
                <w:color w:val="FF0000"/>
                <w:kern w:val="0"/>
                <w:sz w:val="24"/>
                <w:szCs w:val="24"/>
                <w:lang w:val="en-US" w:eastAsia="zh-CN"/>
              </w:rPr>
              <w:t>9</w:t>
            </w:r>
            <w:r>
              <w:rPr>
                <w:rFonts w:hint="eastAsia" w:ascii="宋体" w:hAnsi="宋体" w:eastAsia="宋体" w:cs="宋体"/>
                <w:color w:val="FF0000"/>
                <w:sz w:val="24"/>
                <w:szCs w:val="24"/>
              </w:rPr>
              <w:t>:00:00（北京时间）</w:t>
            </w:r>
          </w:p>
          <w:p w14:paraId="6ED994DB">
            <w:pPr>
              <w:pStyle w:val="18"/>
              <w:ind w:firstLine="482" w:firstLineChars="200"/>
              <w:rPr>
                <w:rFonts w:hint="eastAsia" w:ascii="宋体" w:hAnsi="宋体" w:eastAsia="宋体" w:cs="宋体"/>
                <w:sz w:val="24"/>
                <w:szCs w:val="24"/>
              </w:rPr>
            </w:pPr>
            <w:r>
              <w:rPr>
                <w:rFonts w:hint="eastAsia" w:ascii="宋体" w:hAnsi="宋体" w:eastAsia="宋体" w:cs="宋体"/>
                <w:b/>
                <w:bCs/>
                <w:sz w:val="24"/>
                <w:szCs w:val="24"/>
              </w:rPr>
              <w:t>注：请务必在投标文件递交截止时间前完成投标操作，截止时间精确到秒，逾期将无法投标。请自行掌握时间，避免无法投标</w:t>
            </w:r>
            <w:r>
              <w:rPr>
                <w:rFonts w:hint="eastAsia" w:ascii="宋体" w:hAnsi="宋体" w:eastAsia="宋体" w:cs="宋体"/>
                <w:b/>
                <w:bCs/>
                <w:sz w:val="24"/>
                <w:szCs w:val="28"/>
              </w:rPr>
              <w:t>。</w:t>
            </w:r>
          </w:p>
        </w:tc>
      </w:tr>
      <w:tr w14:paraId="2607DD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298FA18">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959E0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1165B5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D1CC017">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DC116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CAD5FA0">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D52EBA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F21F4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0656A25">
            <w:pPr>
              <w:jc w:val="center"/>
              <w:rPr>
                <w:rFonts w:hint="eastAsia"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A7E701A">
            <w:pPr>
              <w:tabs>
                <w:tab w:val="left" w:pos="932"/>
              </w:tabs>
              <w:ind w:firstLine="482" w:firstLineChars="200"/>
              <w:rPr>
                <w:rFonts w:hint="eastAsia" w:ascii="宋体" w:hAnsi="宋体" w:eastAsia="宋体" w:cs="宋体"/>
                <w:color w:val="FF0000"/>
                <w:sz w:val="24"/>
                <w:szCs w:val="24"/>
              </w:rPr>
            </w:pPr>
            <w:r>
              <w:rPr>
                <w:rFonts w:hint="eastAsia" w:ascii="宋体" w:hAnsi="宋体" w:eastAsia="宋体" w:cs="宋体"/>
                <w:b/>
                <w:bCs/>
                <w:color w:val="FF0000"/>
                <w:sz w:val="24"/>
                <w:szCs w:val="24"/>
              </w:rPr>
              <w:t>投标保证金的金额：</w:t>
            </w:r>
            <w:r>
              <w:rPr>
                <w:rFonts w:hint="eastAsia" w:ascii="宋体" w:hAnsi="宋体" w:eastAsia="宋体" w:cs="宋体"/>
                <w:color w:val="FF0000"/>
                <w:sz w:val="24"/>
                <w:szCs w:val="24"/>
              </w:rPr>
              <w:t>人民币</w:t>
            </w:r>
            <w:r>
              <w:rPr>
                <w:rFonts w:hint="eastAsia" w:ascii="宋体" w:hAnsi="宋体" w:eastAsia="宋体" w:cs="宋体"/>
                <w:color w:val="FF0000"/>
                <w:sz w:val="24"/>
                <w:szCs w:val="24"/>
                <w:lang w:val="en-US" w:eastAsia="zh-CN"/>
              </w:rPr>
              <w:t>5</w:t>
            </w:r>
            <w:r>
              <w:rPr>
                <w:rFonts w:hint="eastAsia" w:ascii="宋体" w:hAnsi="宋体" w:eastAsia="宋体" w:cs="宋体"/>
                <w:color w:val="FF0000"/>
                <w:sz w:val="24"/>
                <w:szCs w:val="24"/>
              </w:rPr>
              <w:t>000元</w:t>
            </w:r>
          </w:p>
          <w:p w14:paraId="61853BC4">
            <w:pPr>
              <w:tabs>
                <w:tab w:val="left" w:pos="932"/>
              </w:tabs>
              <w:ind w:firstLine="482" w:firstLineChars="200"/>
              <w:rPr>
                <w:rFonts w:hint="eastAsia" w:ascii="宋体" w:hAnsi="宋体" w:eastAsia="宋体" w:cs="宋体"/>
                <w:color w:val="FF0000"/>
                <w:kern w:val="0"/>
                <w:sz w:val="24"/>
                <w:szCs w:val="24"/>
                <w:lang w:eastAsia="zh-CN"/>
              </w:rPr>
            </w:pPr>
            <w:r>
              <w:rPr>
                <w:rFonts w:hint="eastAsia" w:ascii="宋体" w:hAnsi="宋体" w:eastAsia="宋体" w:cs="宋体"/>
                <w:b/>
                <w:bCs/>
                <w:color w:val="FF0000"/>
                <w:kern w:val="0"/>
                <w:sz w:val="24"/>
                <w:szCs w:val="24"/>
              </w:rPr>
              <w:t>开户名称：</w:t>
            </w:r>
            <w:r>
              <w:rPr>
                <w:rFonts w:hint="eastAsia" w:ascii="宋体" w:hAnsi="宋体" w:eastAsia="宋体" w:cs="宋体"/>
                <w:color w:val="FF0000"/>
                <w:kern w:val="0"/>
                <w:sz w:val="24"/>
                <w:szCs w:val="24"/>
              </w:rPr>
              <w:t>中国重汽集团</w:t>
            </w:r>
            <w:r>
              <w:rPr>
                <w:rFonts w:hint="eastAsia" w:ascii="宋体" w:hAnsi="宋体" w:eastAsia="宋体" w:cs="宋体"/>
                <w:color w:val="FF0000"/>
                <w:kern w:val="0"/>
                <w:sz w:val="24"/>
                <w:szCs w:val="24"/>
                <w:lang w:eastAsia="zh-CN"/>
              </w:rPr>
              <w:t>济南商用车有限公司</w:t>
            </w:r>
          </w:p>
          <w:p w14:paraId="181340D3">
            <w:pPr>
              <w:tabs>
                <w:tab w:val="left" w:pos="932"/>
              </w:tabs>
              <w:ind w:firstLine="482" w:firstLineChars="200"/>
              <w:rPr>
                <w:rFonts w:hint="eastAsia" w:ascii="宋体" w:hAnsi="宋体" w:eastAsia="宋体" w:cs="宋体"/>
                <w:color w:val="FF0000"/>
                <w:kern w:val="0"/>
                <w:sz w:val="24"/>
                <w:szCs w:val="24"/>
              </w:rPr>
            </w:pPr>
            <w:r>
              <w:rPr>
                <w:rFonts w:hint="eastAsia" w:ascii="宋体" w:hAnsi="宋体" w:eastAsia="宋体" w:cs="宋体"/>
                <w:b/>
                <w:bCs/>
                <w:color w:val="FF0000"/>
                <w:kern w:val="0"/>
                <w:sz w:val="24"/>
                <w:szCs w:val="24"/>
              </w:rPr>
              <w:t>开户银行：</w:t>
            </w:r>
            <w:r>
              <w:rPr>
                <w:rFonts w:hint="eastAsia" w:ascii="宋体" w:hAnsi="宋体" w:eastAsia="宋体" w:cs="宋体"/>
                <w:color w:val="FF0000"/>
                <w:kern w:val="0"/>
                <w:sz w:val="24"/>
                <w:szCs w:val="24"/>
              </w:rPr>
              <w:t>中国</w:t>
            </w:r>
            <w:r>
              <w:rPr>
                <w:rFonts w:hint="eastAsia" w:ascii="宋体" w:hAnsi="宋体" w:eastAsia="宋体" w:cs="宋体"/>
                <w:color w:val="FF0000"/>
                <w:kern w:val="0"/>
                <w:sz w:val="24"/>
                <w:szCs w:val="24"/>
                <w:lang w:val="en-US" w:eastAsia="zh-CN"/>
              </w:rPr>
              <w:t>银行股份有限公司章丘</w:t>
            </w:r>
            <w:r>
              <w:rPr>
                <w:rFonts w:hint="eastAsia" w:ascii="宋体" w:hAnsi="宋体" w:eastAsia="宋体" w:cs="宋体"/>
                <w:color w:val="FF0000"/>
                <w:kern w:val="0"/>
                <w:sz w:val="24"/>
                <w:szCs w:val="24"/>
              </w:rPr>
              <w:t>支行</w:t>
            </w:r>
          </w:p>
          <w:p w14:paraId="398A039A">
            <w:pPr>
              <w:tabs>
                <w:tab w:val="left" w:pos="932"/>
              </w:tabs>
              <w:ind w:firstLine="482" w:firstLineChars="200"/>
              <w:rPr>
                <w:rFonts w:hint="eastAsia" w:ascii="宋体" w:hAnsi="宋体" w:eastAsia="宋体" w:cs="宋体"/>
                <w:color w:val="FF0000"/>
                <w:kern w:val="0"/>
                <w:sz w:val="24"/>
                <w:szCs w:val="24"/>
                <w:lang w:val="en-US" w:eastAsia="zh-CN"/>
              </w:rPr>
            </w:pPr>
            <w:r>
              <w:rPr>
                <w:rFonts w:hint="eastAsia" w:ascii="宋体" w:hAnsi="宋体" w:eastAsia="宋体" w:cs="宋体"/>
                <w:b/>
                <w:bCs/>
                <w:color w:val="FF0000"/>
                <w:kern w:val="0"/>
                <w:sz w:val="24"/>
                <w:szCs w:val="24"/>
              </w:rPr>
              <w:t>银行帐号：</w:t>
            </w:r>
            <w:r>
              <w:rPr>
                <w:rFonts w:hint="eastAsia" w:ascii="宋体" w:hAnsi="宋体" w:eastAsia="宋体" w:cs="宋体"/>
                <w:color w:val="FF0000"/>
                <w:kern w:val="0"/>
                <w:sz w:val="24"/>
                <w:szCs w:val="24"/>
                <w:lang w:val="en-US" w:eastAsia="zh-CN"/>
              </w:rPr>
              <w:t>226005574527</w:t>
            </w:r>
          </w:p>
          <w:p w14:paraId="28544B47">
            <w:pPr>
              <w:ind w:firstLine="482" w:firstLineChars="200"/>
              <w:rPr>
                <w:rFonts w:hint="eastAsia" w:ascii="宋体" w:hAnsi="宋体" w:eastAsia="宋体" w:cs="宋体"/>
                <w:color w:val="FF0000"/>
                <w:sz w:val="24"/>
                <w:szCs w:val="24"/>
              </w:rPr>
            </w:pPr>
            <w:r>
              <w:rPr>
                <w:rFonts w:hint="eastAsia" w:ascii="宋体" w:hAnsi="宋体" w:eastAsia="宋体" w:cs="宋体"/>
                <w:b/>
                <w:bCs/>
                <w:color w:val="FF0000"/>
                <w:kern w:val="0"/>
                <w:sz w:val="24"/>
                <w:szCs w:val="24"/>
              </w:rPr>
              <w:t>联行号：</w:t>
            </w:r>
            <w:r>
              <w:rPr>
                <w:rFonts w:hint="eastAsia" w:ascii="宋体" w:hAnsi="宋体" w:eastAsia="宋体" w:cs="宋体"/>
                <w:color w:val="FF0000"/>
                <w:kern w:val="0"/>
                <w:sz w:val="24"/>
                <w:szCs w:val="24"/>
              </w:rPr>
              <w:t>104451040689</w:t>
            </w:r>
          </w:p>
          <w:p w14:paraId="209E3B6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14:paraId="5222022C">
            <w:pPr>
              <w:ind w:firstLine="480" w:firstLineChars="200"/>
              <w:rPr>
                <w:rFonts w:hint="eastAsia" w:ascii="宋体" w:hAnsi="宋体" w:eastAsia="宋体" w:cs="宋体"/>
                <w:sz w:val="24"/>
                <w:szCs w:val="24"/>
              </w:rPr>
            </w:pPr>
            <w:r>
              <w:rPr>
                <w:rFonts w:hint="eastAsia" w:ascii="宋体" w:hAnsi="宋体" w:eastAsia="宋体" w:cs="宋体"/>
                <w:color w:val="auto"/>
                <w:sz w:val="24"/>
                <w:szCs w:val="28"/>
              </w:rPr>
              <w:t>转账附言：公司名称+项目名称+投标保证金。</w:t>
            </w:r>
          </w:p>
        </w:tc>
      </w:tr>
      <w:tr w14:paraId="3F419C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8DDA9CF">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D173E6A">
            <w:pPr>
              <w:pStyle w:val="38"/>
              <w:spacing w:after="0" w:line="240" w:lineRule="auto"/>
              <w:ind w:left="0" w:leftChars="0" w:firstLine="482"/>
              <w:rPr>
                <w:rFonts w:hint="eastAsia" w:ascii="宋体" w:hAnsi="宋体" w:eastAsia="宋体" w:cs="宋体"/>
                <w:sz w:val="24"/>
                <w:szCs w:val="24"/>
              </w:rPr>
            </w:pPr>
            <w:r>
              <w:rPr>
                <w:rFonts w:hint="eastAsia" w:ascii="宋体" w:hAnsi="宋体" w:eastAsia="宋体" w:cs="宋体"/>
                <w:b/>
                <w:bCs/>
                <w:color w:val="FF0000"/>
                <w:sz w:val="24"/>
                <w:szCs w:val="24"/>
              </w:rPr>
              <w:t>保证金缴纳截止时间：</w:t>
            </w:r>
            <w:r>
              <w:rPr>
                <w:rFonts w:hint="eastAsia" w:ascii="宋体" w:hAnsi="宋体" w:eastAsia="宋体" w:cs="宋体"/>
                <w:color w:val="FF0000"/>
                <w:sz w:val="24"/>
                <w:szCs w:val="24"/>
              </w:rPr>
              <w:t>202</w:t>
            </w:r>
            <w:r>
              <w:rPr>
                <w:rFonts w:hint="eastAsia" w:ascii="宋体" w:hAnsi="宋体" w:eastAsia="宋体" w:cs="宋体"/>
                <w:color w:val="FF0000"/>
                <w:sz w:val="24"/>
                <w:szCs w:val="24"/>
                <w:lang w:val="en-US" w:eastAsia="zh-CN"/>
              </w:rPr>
              <w:t>5</w:t>
            </w:r>
            <w:r>
              <w:rPr>
                <w:rFonts w:hint="eastAsia" w:ascii="宋体" w:hAnsi="宋体" w:eastAsia="宋体" w:cs="宋体"/>
                <w:color w:val="FF0000"/>
                <w:sz w:val="24"/>
                <w:szCs w:val="24"/>
              </w:rPr>
              <w:t>年</w:t>
            </w:r>
            <w:r>
              <w:rPr>
                <w:rFonts w:hint="eastAsia" w:ascii="宋体" w:hAnsi="宋体" w:cs="宋体"/>
                <w:color w:val="FF0000"/>
                <w:sz w:val="24"/>
                <w:szCs w:val="24"/>
                <w:lang w:val="en-US" w:eastAsia="zh-CN"/>
              </w:rPr>
              <w:t>11</w:t>
            </w:r>
            <w:r>
              <w:rPr>
                <w:rFonts w:hint="eastAsia" w:ascii="宋体" w:hAnsi="宋体" w:eastAsia="宋体" w:cs="宋体"/>
                <w:color w:val="FF0000"/>
                <w:sz w:val="24"/>
                <w:szCs w:val="24"/>
              </w:rPr>
              <w:t>月</w:t>
            </w:r>
            <w:r>
              <w:rPr>
                <w:rFonts w:hint="eastAsia" w:ascii="宋体" w:hAnsi="宋体" w:cs="宋体"/>
                <w:color w:val="FF0000"/>
                <w:sz w:val="24"/>
                <w:szCs w:val="24"/>
                <w:lang w:val="en-US" w:eastAsia="zh-CN"/>
              </w:rPr>
              <w:t>23</w:t>
            </w:r>
            <w:r>
              <w:rPr>
                <w:rFonts w:hint="eastAsia" w:ascii="宋体" w:hAnsi="宋体" w:eastAsia="宋体" w:cs="宋体"/>
                <w:color w:val="FF0000"/>
                <w:sz w:val="24"/>
                <w:szCs w:val="24"/>
              </w:rPr>
              <w:t>日1</w:t>
            </w:r>
            <w:r>
              <w:rPr>
                <w:rFonts w:hint="eastAsia" w:ascii="宋体" w:hAnsi="宋体" w:eastAsia="宋体" w:cs="宋体"/>
                <w:color w:val="FF0000"/>
                <w:sz w:val="24"/>
                <w:szCs w:val="24"/>
                <w:lang w:val="en-US" w:eastAsia="zh-CN"/>
              </w:rPr>
              <w:t>7</w:t>
            </w:r>
            <w:r>
              <w:rPr>
                <w:rFonts w:hint="eastAsia" w:ascii="宋体" w:hAnsi="宋体" w:eastAsia="宋体" w:cs="宋体"/>
                <w:color w:val="FF0000"/>
                <w:sz w:val="24"/>
                <w:szCs w:val="24"/>
              </w:rPr>
              <w:t>:00:00前（同应标截止时间）</w:t>
            </w:r>
          </w:p>
          <w:p w14:paraId="40069A3A">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供应商应充分考虑银行信息交换时间，由此带来的保证金不能按时到帐的责任由供应商自行承担。</w:t>
            </w:r>
          </w:p>
        </w:tc>
      </w:tr>
      <w:tr w14:paraId="5DC72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55F5C2C">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C9FAF0D">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55850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524C8">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0936B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C5763D8">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F0CCF42">
            <w:pPr>
              <w:ind w:firstLine="482" w:firstLineChars="200"/>
              <w:rPr>
                <w:rFonts w:hint="eastAsia" w:ascii="宋体" w:hAnsi="宋体" w:eastAsia="宋体" w:cs="宋体"/>
                <w:color w:val="FF0000"/>
                <w:sz w:val="24"/>
                <w:szCs w:val="24"/>
                <w:lang w:eastAsia="zh-CN"/>
              </w:rPr>
            </w:pPr>
            <w:r>
              <w:rPr>
                <w:rFonts w:hint="eastAsia" w:ascii="宋体" w:hAnsi="宋体" w:eastAsia="宋体" w:cs="宋体"/>
                <w:b/>
                <w:bCs/>
                <w:color w:val="FF0000"/>
                <w:sz w:val="24"/>
                <w:szCs w:val="24"/>
              </w:rPr>
              <w:t>开标时间：</w:t>
            </w:r>
            <w:r>
              <w:rPr>
                <w:rFonts w:hint="eastAsia" w:ascii="宋体" w:hAnsi="宋体" w:eastAsia="宋体" w:cs="宋体"/>
                <w:color w:val="FF0000"/>
                <w:sz w:val="24"/>
                <w:szCs w:val="24"/>
              </w:rPr>
              <w:t>202</w:t>
            </w:r>
            <w:r>
              <w:rPr>
                <w:rFonts w:hint="eastAsia" w:ascii="宋体" w:hAnsi="宋体" w:eastAsia="宋体" w:cs="宋体"/>
                <w:color w:val="FF0000"/>
                <w:sz w:val="24"/>
                <w:szCs w:val="24"/>
                <w:lang w:val="en-US" w:eastAsia="zh-CN"/>
              </w:rPr>
              <w:t>5</w:t>
            </w:r>
            <w:r>
              <w:rPr>
                <w:rFonts w:hint="eastAsia" w:ascii="宋体" w:hAnsi="宋体" w:eastAsia="宋体" w:cs="宋体"/>
                <w:color w:val="FF0000"/>
                <w:sz w:val="24"/>
                <w:szCs w:val="24"/>
              </w:rPr>
              <w:t>年</w:t>
            </w:r>
            <w:r>
              <w:rPr>
                <w:rFonts w:hint="eastAsia" w:ascii="宋体" w:hAnsi="宋体" w:eastAsia="宋体" w:cs="宋体"/>
                <w:color w:val="FF0000"/>
                <w:sz w:val="24"/>
                <w:szCs w:val="24"/>
                <w:lang w:val="en-US" w:eastAsia="zh-CN"/>
              </w:rPr>
              <w:t>11</w:t>
            </w:r>
            <w:r>
              <w:rPr>
                <w:rFonts w:hint="eastAsia" w:ascii="宋体" w:hAnsi="宋体" w:eastAsia="宋体" w:cs="宋体"/>
                <w:color w:val="FF0000"/>
                <w:sz w:val="24"/>
                <w:szCs w:val="24"/>
              </w:rPr>
              <w:t>月</w:t>
            </w:r>
            <w:r>
              <w:rPr>
                <w:rFonts w:hint="eastAsia" w:ascii="宋体" w:hAnsi="宋体" w:eastAsia="宋体" w:cs="宋体"/>
                <w:color w:val="FF0000"/>
                <w:sz w:val="24"/>
                <w:szCs w:val="24"/>
                <w:lang w:val="en-US" w:eastAsia="zh-CN"/>
              </w:rPr>
              <w:t>24</w:t>
            </w:r>
            <w:r>
              <w:rPr>
                <w:rFonts w:hint="eastAsia" w:ascii="宋体" w:hAnsi="宋体" w:eastAsia="宋体" w:cs="宋体"/>
                <w:color w:val="FF0000"/>
                <w:sz w:val="24"/>
                <w:szCs w:val="24"/>
              </w:rPr>
              <w:t>日</w:t>
            </w:r>
            <w:r>
              <w:rPr>
                <w:rFonts w:hint="eastAsia" w:ascii="宋体" w:hAnsi="宋体" w:eastAsia="宋体" w:cs="宋体"/>
                <w:color w:val="FF0000"/>
                <w:sz w:val="24"/>
                <w:szCs w:val="24"/>
                <w:lang w:val="en-US" w:eastAsia="zh-CN"/>
              </w:rPr>
              <w:t>9</w:t>
            </w:r>
            <w:r>
              <w:rPr>
                <w:rFonts w:hint="eastAsia" w:ascii="宋体" w:hAnsi="宋体" w:eastAsia="宋体" w:cs="宋体"/>
                <w:color w:val="FF0000"/>
                <w:sz w:val="24"/>
                <w:szCs w:val="24"/>
              </w:rPr>
              <w:t>:00:00</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若有变动，另行通知</w:t>
            </w:r>
            <w:r>
              <w:rPr>
                <w:rFonts w:hint="eastAsia" w:ascii="宋体" w:hAnsi="宋体" w:eastAsia="宋体" w:cs="宋体"/>
                <w:color w:val="FF0000"/>
                <w:sz w:val="24"/>
                <w:szCs w:val="24"/>
                <w:lang w:eastAsia="zh-CN"/>
              </w:rPr>
              <w:t>）</w:t>
            </w:r>
          </w:p>
          <w:p w14:paraId="5A582FB5">
            <w:pPr>
              <w:ind w:firstLine="482" w:firstLineChars="200"/>
              <w:rPr>
                <w:rFonts w:hint="eastAsia" w:ascii="宋体" w:hAnsi="宋体" w:eastAsia="宋体" w:cs="宋体"/>
                <w:sz w:val="24"/>
                <w:szCs w:val="24"/>
                <w:lang w:val="en-US" w:eastAsia="zh-CN"/>
              </w:rPr>
            </w:pPr>
            <w:r>
              <w:rPr>
                <w:rFonts w:hint="eastAsia" w:ascii="宋体" w:hAnsi="宋体" w:eastAsia="宋体" w:cs="宋体"/>
                <w:b/>
                <w:bCs/>
                <w:color w:val="FF0000"/>
                <w:sz w:val="24"/>
                <w:szCs w:val="24"/>
              </w:rPr>
              <w:t>开标地点：</w:t>
            </w:r>
            <w:r>
              <w:rPr>
                <w:rFonts w:hint="eastAsia" w:ascii="宋体" w:hAnsi="宋体" w:eastAsia="宋体" w:cs="宋体"/>
                <w:color w:val="FF0000"/>
                <w:kern w:val="0"/>
                <w:sz w:val="24"/>
                <w:szCs w:val="24"/>
              </w:rPr>
              <w:t>中国重汽集团</w:t>
            </w:r>
            <w:r>
              <w:rPr>
                <w:rFonts w:hint="eastAsia" w:ascii="宋体" w:hAnsi="宋体" w:eastAsia="宋体" w:cs="宋体"/>
                <w:color w:val="FF0000"/>
                <w:kern w:val="0"/>
                <w:sz w:val="24"/>
                <w:szCs w:val="24"/>
                <w:lang w:eastAsia="zh-CN"/>
              </w:rPr>
              <w:t>济南商用车有限公司</w:t>
            </w:r>
          </w:p>
        </w:tc>
      </w:tr>
      <w:tr w14:paraId="4E6013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5F434F1">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1E2B792">
            <w:pPr>
              <w:pStyle w:val="11"/>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14:paraId="7AD8FB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3187FB">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07904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00F524">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4754B4">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07044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D1E94B">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2230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AC433B5">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DC9F572">
            <w:pPr>
              <w:pStyle w:val="18"/>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14:paraId="1F583F69">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1、自中标通知书发出之日起，45个日历日内交货至供货地点；</w:t>
            </w:r>
          </w:p>
          <w:p w14:paraId="531BF4CE">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2、接续15个日历日内完成安装调试；</w:t>
            </w:r>
          </w:p>
        </w:tc>
      </w:tr>
      <w:tr w14:paraId="25C505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E5F45A2">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0368AE2">
            <w:pPr>
              <w:pStyle w:val="18"/>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14:paraId="265C0851">
            <w:pPr>
              <w:spacing w:line="360" w:lineRule="auto"/>
              <w:ind w:firstLine="482" w:firstLineChars="200"/>
              <w:outlineLvl w:val="3"/>
              <w:rPr>
                <w:rFonts w:hint="eastAsia" w:ascii="宋体" w:hAnsi="宋体" w:eastAsia="宋体" w:cs="宋体"/>
                <w:color w:val="000000"/>
                <w:sz w:val="24"/>
                <w:szCs w:val="24"/>
              </w:rPr>
            </w:pPr>
            <w:r>
              <w:rPr>
                <w:rFonts w:hint="eastAsia" w:ascii="宋体" w:hAnsi="宋体" w:eastAsia="宋体" w:cs="宋体"/>
                <w:b/>
                <w:bCs/>
                <w:color w:val="000000"/>
                <w:sz w:val="24"/>
                <w:szCs w:val="24"/>
              </w:rPr>
              <w:t>交货地点：</w:t>
            </w:r>
            <w:r>
              <w:rPr>
                <w:rFonts w:hint="eastAsia" w:ascii="宋体" w:hAnsi="宋体" w:eastAsia="宋体" w:cs="宋体"/>
                <w:color w:val="000000"/>
                <w:kern w:val="2"/>
                <w:sz w:val="24"/>
                <w:szCs w:val="24"/>
                <w:highlight w:val="none"/>
                <w:lang w:val="en-US" w:eastAsia="zh-CN" w:bidi="ar-SA"/>
              </w:rPr>
              <w:t xml:space="preserve">济南商用车有限公司 </w:t>
            </w:r>
          </w:p>
        </w:tc>
      </w:tr>
      <w:tr w14:paraId="570019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3D71127">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94EA62">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616F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00" w:hRule="atLeast"/>
        </w:trPr>
        <w:tc>
          <w:tcPr>
            <w:tcW w:w="595" w:type="dxa"/>
            <w:tcBorders>
              <w:top w:val="single" w:color="auto" w:sz="2" w:space="0"/>
              <w:left w:val="single" w:color="auto" w:sz="2" w:space="0"/>
              <w:bottom w:val="single" w:color="auto" w:sz="2" w:space="0"/>
              <w:right w:val="single" w:color="auto" w:sz="4" w:space="0"/>
            </w:tcBorders>
            <w:vAlign w:val="center"/>
          </w:tcPr>
          <w:p w14:paraId="6EF65550">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3C5453">
            <w:pPr>
              <w:pStyle w:val="18"/>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付款方式：</w:t>
            </w:r>
            <w:r>
              <w:rPr>
                <w:rFonts w:hint="eastAsia" w:ascii="宋体" w:hAnsi="宋体" w:eastAsia="宋体" w:cs="宋体"/>
                <w:b/>
                <w:bCs/>
                <w:color w:val="000000"/>
                <w:sz w:val="24"/>
                <w:szCs w:val="24"/>
                <w:highlight w:val="none"/>
                <w:u w:val="single"/>
              </w:rPr>
              <w:t>半年期商业汇票（包括银行承兑汇票和商业承兑汇票）</w:t>
            </w:r>
            <w:r>
              <w:rPr>
                <w:rFonts w:hint="eastAsia" w:ascii="宋体" w:hAnsi="宋体" w:eastAsia="宋体" w:cs="宋体"/>
                <w:color w:val="000000"/>
                <w:sz w:val="24"/>
                <w:szCs w:val="24"/>
                <w:highlight w:val="none"/>
              </w:rPr>
              <w:t>：</w:t>
            </w:r>
          </w:p>
          <w:p w14:paraId="5D31B9F0">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③3:6:1 ：</w:t>
            </w:r>
          </w:p>
          <w:p w14:paraId="50524472">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A.设备全部到货后，中标人提交金额为合同价款30%的收据并提供合同价款30%的增值税专用发票（含复印件二份），经招标人依照财务制度审核通过后30日支付；</w:t>
            </w:r>
          </w:p>
          <w:p w14:paraId="75081C90">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B.设备验收合格后，中标人提交金额为合同价款60%的收据并提供合同价款70%的增值税专用发票（含复印件二份），经招标人依照财务制度审核通过后30日支付；</w:t>
            </w:r>
          </w:p>
          <w:p w14:paraId="23D52353">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C.合同总价款的10%作为本合同约定设备的质量保证金，质量保证金在质量保证期内不计利息。质保期届满后支付。依照财务制度审核无误后支付。如有质量问题，质量保证金予以相应扣除。</w:t>
            </w:r>
            <w:bookmarkStart w:id="142" w:name="_GoBack"/>
            <w:bookmarkEnd w:id="142"/>
          </w:p>
          <w:p w14:paraId="23A14713">
            <w:pPr>
              <w:pStyle w:val="2"/>
              <w:ind w:firstLine="480" w:firstLineChars="200"/>
              <w:rPr>
                <w:rFonts w:hint="default" w:eastAsia="宋体"/>
                <w:lang w:val="en-US" w:eastAsia="zh-CN"/>
              </w:rPr>
            </w:pPr>
            <w:r>
              <w:rPr>
                <w:rFonts w:hint="eastAsia" w:ascii="宋体" w:hAnsi="宋体" w:eastAsia="宋体" w:cs="宋体"/>
                <w:bCs/>
                <w:sz w:val="24"/>
                <w:szCs w:val="24"/>
                <w:lang w:val="en-US" w:eastAsia="zh-CN"/>
              </w:rPr>
              <w:t>*</w:t>
            </w:r>
            <w:r>
              <w:rPr>
                <w:rFonts w:hint="eastAsia" w:ascii="宋体" w:hAnsi="宋体" w:eastAsia="宋体" w:cs="宋体"/>
                <w:bCs/>
                <w:sz w:val="24"/>
                <w:szCs w:val="24"/>
                <w:highlight w:val="yellow"/>
                <w:lang w:val="en-US" w:eastAsia="zh-CN"/>
              </w:rPr>
              <w:t>付款方式不允许偏离</w:t>
            </w:r>
          </w:p>
        </w:tc>
      </w:tr>
      <w:tr w14:paraId="3606A4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FA8B14F">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8602E3F">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66AC40DC">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名称：中国重汽集团济南商用车有限公司</w:t>
            </w:r>
          </w:p>
          <w:p w14:paraId="267C2361">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地址：山东省章丘市圣井潘王路西</w:t>
            </w:r>
          </w:p>
          <w:p w14:paraId="0B23E71A">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税号：9137010072624213XP</w:t>
            </w:r>
          </w:p>
          <w:p w14:paraId="21762C9D">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传真：0531-58069620</w:t>
            </w:r>
          </w:p>
          <w:p w14:paraId="27657470">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开户银行：中信银行舜耕支行</w:t>
            </w:r>
          </w:p>
          <w:p w14:paraId="699AA311">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账号：7372610182600034841</w:t>
            </w:r>
          </w:p>
          <w:p w14:paraId="1C36C1DB">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电话：58069620</w:t>
            </w:r>
          </w:p>
        </w:tc>
      </w:tr>
      <w:tr w14:paraId="7FAEC0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2246AA">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3800DC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124A1A">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3C6B6206">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AD4E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277C11E">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93E243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670C4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348FEFF">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752DA21">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14:paraId="40D3B926">
      <w:pPr>
        <w:rPr>
          <w:rFonts w:hint="eastAsia"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br w:type="page"/>
      </w:r>
    </w:p>
    <w:p w14:paraId="004942B9">
      <w:pPr>
        <w:pStyle w:val="1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w:t>
      </w:r>
      <w:r>
        <w:rPr>
          <w:rFonts w:hint="eastAsia" w:ascii="Calibri" w:hAnsi="Calibri" w:eastAsia="宋体" w:cs="Times New Roman"/>
          <w:b/>
          <w:bCs/>
          <w:kern w:val="44"/>
          <w:sz w:val="36"/>
          <w:szCs w:val="44"/>
          <w:lang w:val="en-US" w:eastAsia="zh-CN"/>
        </w:rPr>
        <w:t>人</w:t>
      </w:r>
      <w:r>
        <w:rPr>
          <w:rFonts w:hint="eastAsia" w:ascii="Calibri" w:hAnsi="Calibri" w:eastAsia="宋体" w:cs="Times New Roman"/>
          <w:b/>
          <w:bCs/>
          <w:kern w:val="44"/>
          <w:sz w:val="36"/>
          <w:szCs w:val="44"/>
        </w:rPr>
        <w:t>须知</w:t>
      </w:r>
      <w:bookmarkEnd w:id="5"/>
    </w:p>
    <w:p w14:paraId="794EBDA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1674971E">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14:paraId="6E83C9AF">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173B751A">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7C9FBD34">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C6701A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01ABEC28">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6F49DA3">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85FD58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CA7206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B478D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lang w:eastAsia="zh-CN"/>
        </w:rPr>
        <w:t>附件16</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lang w:eastAsia="zh-CN"/>
        </w:rPr>
        <w:t>附件17</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4A156C0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858BB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3F5A65F">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E7D1218">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5F2C462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AD8B9A4">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F8E21BB">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BD1D42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12E8AF18">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CC7819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3DBC1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04E71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0530AB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E7D06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85C047B">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9A975B7">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27A0A56E">
      <w:pPr>
        <w:pStyle w:val="18"/>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3E1E348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A86516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3D4763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44B3CC8">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5503CE9">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4E9FEB3A">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7694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05A8DD6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E93C91D">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0D0AC5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0E757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1FF9C0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468E9E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56BD65">
      <w:pPr>
        <w:pStyle w:val="121"/>
        <w:ind w:firstLine="480"/>
        <w:rPr>
          <w:rFonts w:eastAsia="宋体" w:cs="宋体"/>
        </w:rPr>
      </w:pPr>
      <w:r>
        <w:rPr>
          <w:rFonts w:hint="eastAsia" w:eastAsia="宋体" w:cs="宋体"/>
        </w:rPr>
        <w:t>4.2招标人银行账户信息如下：见《投标须知前附表》4.2。</w:t>
      </w:r>
    </w:p>
    <w:p w14:paraId="60E34062">
      <w:pPr>
        <w:pStyle w:val="121"/>
        <w:ind w:firstLine="480"/>
        <w:rPr>
          <w:rFonts w:eastAsia="宋体" w:cs="宋体"/>
        </w:rPr>
      </w:pPr>
      <w:r>
        <w:rPr>
          <w:rFonts w:hint="eastAsia" w:eastAsia="宋体" w:cs="宋体"/>
        </w:rPr>
        <w:t>转账附言：公司名称+项目名称+投标保证金；</w:t>
      </w:r>
    </w:p>
    <w:p w14:paraId="326EF1A6">
      <w:pPr>
        <w:pStyle w:val="121"/>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54F38D1D">
      <w:pPr>
        <w:pStyle w:val="121"/>
        <w:ind w:firstLine="480"/>
        <w:rPr>
          <w:rFonts w:eastAsia="宋体" w:cs="宋体"/>
        </w:rPr>
      </w:pPr>
      <w:r>
        <w:rPr>
          <w:rFonts w:hint="eastAsia" w:eastAsia="宋体" w:cs="宋体"/>
        </w:rPr>
        <w:t>4.3说明</w:t>
      </w:r>
    </w:p>
    <w:p w14:paraId="6E3C906A">
      <w:pPr>
        <w:pStyle w:val="121"/>
        <w:ind w:firstLine="480"/>
        <w:rPr>
          <w:rFonts w:eastAsia="宋体" w:cs="宋体"/>
        </w:rPr>
      </w:pPr>
      <w:r>
        <w:rPr>
          <w:rFonts w:hint="eastAsia" w:eastAsia="宋体" w:cs="宋体"/>
        </w:rPr>
        <w:t>4.3.1 投标人在向招标人出示《投标保证金缴纳凭证》后方可进行投标；</w:t>
      </w:r>
    </w:p>
    <w:p w14:paraId="4152EEEF">
      <w:pPr>
        <w:pStyle w:val="121"/>
        <w:ind w:firstLine="480"/>
        <w:rPr>
          <w:rFonts w:eastAsia="宋体" w:cs="宋体"/>
        </w:rPr>
      </w:pPr>
      <w:r>
        <w:rPr>
          <w:rFonts w:hint="eastAsia" w:eastAsia="宋体" w:cs="宋体"/>
        </w:rPr>
        <w:t>4.3.2 发生以下情况时，招标人有权没收保证金：</w:t>
      </w:r>
    </w:p>
    <w:p w14:paraId="2CB79099">
      <w:pPr>
        <w:pStyle w:val="121"/>
        <w:ind w:firstLine="480"/>
        <w:rPr>
          <w:rFonts w:eastAsia="宋体" w:cs="宋体"/>
        </w:rPr>
      </w:pPr>
      <w:r>
        <w:rPr>
          <w:rFonts w:hint="eastAsia" w:eastAsia="宋体" w:cs="宋体"/>
        </w:rPr>
        <w:t>4.3.2.1 截至开标前3天，投标人无正当理由且未以书面形式递交说明而在投标截止日不来投标的；</w:t>
      </w:r>
    </w:p>
    <w:p w14:paraId="7735EF42">
      <w:pPr>
        <w:pStyle w:val="121"/>
        <w:ind w:firstLine="480"/>
        <w:rPr>
          <w:rFonts w:eastAsia="宋体" w:cs="宋体"/>
        </w:rPr>
      </w:pPr>
      <w:r>
        <w:rPr>
          <w:rFonts w:hint="eastAsia" w:eastAsia="宋体" w:cs="宋体"/>
        </w:rPr>
        <w:t>4.3.2.2 投标人递送投标文件后，无正当理由放弃投标的；</w:t>
      </w:r>
    </w:p>
    <w:p w14:paraId="78A94A58">
      <w:pPr>
        <w:pStyle w:val="121"/>
        <w:ind w:firstLine="480"/>
        <w:rPr>
          <w:rFonts w:eastAsia="宋体" w:cs="宋体"/>
        </w:rPr>
      </w:pPr>
      <w:r>
        <w:rPr>
          <w:rFonts w:hint="eastAsia" w:eastAsia="宋体" w:cs="宋体"/>
        </w:rPr>
        <w:t>4.3.2.3若为视频开标，招标过程中澄清函等资料原件未按要求提交的；</w:t>
      </w:r>
    </w:p>
    <w:p w14:paraId="3048E8C8">
      <w:pPr>
        <w:pStyle w:val="121"/>
        <w:ind w:firstLine="480"/>
        <w:rPr>
          <w:rFonts w:eastAsia="宋体" w:cs="宋体"/>
        </w:rPr>
      </w:pPr>
      <w:r>
        <w:rPr>
          <w:rFonts w:hint="eastAsia" w:eastAsia="宋体" w:cs="宋体"/>
        </w:rPr>
        <w:t>4.3.2.4自中标通知书发出之日起30日内，中标人无正当理由不签订合同的；</w:t>
      </w:r>
    </w:p>
    <w:p w14:paraId="20E052B7">
      <w:pPr>
        <w:pStyle w:val="121"/>
        <w:ind w:firstLine="480"/>
        <w:rPr>
          <w:rFonts w:eastAsia="宋体" w:cs="宋体"/>
        </w:rPr>
      </w:pPr>
      <w:r>
        <w:rPr>
          <w:rFonts w:hint="eastAsia" w:eastAsia="宋体" w:cs="宋体"/>
        </w:rPr>
        <w:t>4.3.2.5投标人在投标过程中被查实有串标、围标、陪标等违规违纪行为的；</w:t>
      </w:r>
    </w:p>
    <w:p w14:paraId="464755D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27724B20">
      <w:pPr>
        <w:pStyle w:val="121"/>
        <w:ind w:firstLine="480"/>
        <w:rPr>
          <w:rFonts w:eastAsia="宋体" w:cs="宋体"/>
        </w:rPr>
      </w:pPr>
      <w:r>
        <w:rPr>
          <w:rFonts w:hint="eastAsia" w:eastAsia="宋体" w:cs="宋体"/>
        </w:rPr>
        <w:t>4.4投标报名截止时间</w:t>
      </w:r>
    </w:p>
    <w:p w14:paraId="330B6262">
      <w:pPr>
        <w:pStyle w:val="121"/>
        <w:ind w:firstLine="480"/>
        <w:rPr>
          <w:rFonts w:eastAsia="宋体" w:cs="宋体"/>
        </w:rPr>
      </w:pPr>
      <w:r>
        <w:rPr>
          <w:rFonts w:hint="eastAsia" w:eastAsia="宋体" w:cs="宋体"/>
        </w:rPr>
        <w:t>报名方式：见《投标须知前附表》2.3。</w:t>
      </w:r>
    </w:p>
    <w:p w14:paraId="1297152E">
      <w:pPr>
        <w:pStyle w:val="121"/>
        <w:ind w:firstLine="480"/>
        <w:rPr>
          <w:rFonts w:eastAsia="宋体" w:cs="宋体"/>
        </w:rPr>
      </w:pPr>
      <w:r>
        <w:rPr>
          <w:rFonts w:hint="eastAsia" w:eastAsia="宋体" w:cs="宋体"/>
        </w:rPr>
        <w:t>报名提交资料：均为盖章电子扫描版，用“公司名称+文件名称”命名。</w:t>
      </w:r>
    </w:p>
    <w:p w14:paraId="3ACFEF9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2D18928">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EC8AF18">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64BA1A0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83072CB">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A693C3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7B9E80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02D9393C">
      <w:pPr>
        <w:spacing w:line="360" w:lineRule="auto"/>
        <w:jc w:val="left"/>
        <w:outlineLvl w:val="1"/>
        <w:rPr>
          <w:rFonts w:ascii="宋体" w:hAnsi="宋体" w:eastAsia="宋体" w:cs="宋体"/>
          <w:b/>
          <w:sz w:val="24"/>
          <w:szCs w:val="24"/>
        </w:rPr>
      </w:pPr>
      <w:bookmarkStart w:id="7" w:name="_Toc33266627"/>
      <w:bookmarkStart w:id="8" w:name="_Toc33266950"/>
      <w:bookmarkStart w:id="9" w:name="_Toc33285487"/>
      <w:bookmarkStart w:id="10" w:name="_Toc33266914"/>
      <w:bookmarkStart w:id="11" w:name="_Toc33265752"/>
      <w:bookmarkStart w:id="12" w:name="_Toc33265653"/>
      <w:bookmarkStart w:id="13" w:name="_Toc33267001"/>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14:paraId="6B78E3B4">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F55C796">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5" w:name="_Toc33285489"/>
      <w:bookmarkStart w:id="16" w:name="_Toc33267002"/>
      <w:bookmarkStart w:id="17" w:name="_Toc33266628"/>
      <w:bookmarkStart w:id="18" w:name="_Toc33265654"/>
      <w:bookmarkStart w:id="19" w:name="_Toc33265753"/>
      <w:bookmarkStart w:id="20" w:name="_Toc395116634"/>
      <w:bookmarkStart w:id="21" w:name="_Toc33266915"/>
      <w:bookmarkStart w:id="22" w:name="_Toc33266951"/>
      <w:r>
        <w:rPr>
          <w:rFonts w:hint="eastAsia" w:ascii="宋体" w:hAnsi="宋体" w:eastAsia="宋体" w:cs="宋体"/>
          <w:sz w:val="24"/>
          <w:szCs w:val="24"/>
          <w:lang w:val="en-US" w:eastAsia="zh-CN"/>
        </w:rPr>
        <w:t>综合评标法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51966CA6">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2B7B760C">
      <w:pPr>
        <w:pStyle w:val="18"/>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14:paraId="653C52C2">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2216EB38">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附件17</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3AE543AF">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3EF0E2E">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5EE0243D">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w:t>
      </w:r>
      <w:r>
        <w:rPr>
          <w:rFonts w:hint="eastAsia" w:ascii="宋体" w:hAnsi="宋体" w:eastAsia="宋体" w:cs="宋体"/>
          <w:b/>
          <w:bCs/>
          <w:color w:val="000000"/>
          <w:sz w:val="24"/>
          <w:szCs w:val="24"/>
          <w:lang w:eastAsia="zh-CN"/>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w:t>
      </w:r>
    </w:p>
    <w:p w14:paraId="0090AEB9">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79337A44">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0ED12898">
      <w:pPr>
        <w:numPr>
          <w:ilvl w:val="0"/>
          <w:numId w:val="11"/>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lang w:val="en-US" w:eastAsia="zh-CN"/>
        </w:rPr>
        <w:t>综合排名最高的</w:t>
      </w:r>
      <w:r>
        <w:rPr>
          <w:rFonts w:hint="eastAsia" w:ascii="宋体" w:hAnsi="宋体" w:eastAsia="宋体" w:cs="宋体"/>
          <w:b/>
          <w:bCs/>
          <w:sz w:val="24"/>
          <w:szCs w:val="24"/>
        </w:rPr>
        <w:t>投标方</w:t>
      </w:r>
      <w:r>
        <w:rPr>
          <w:rFonts w:hint="eastAsia" w:ascii="宋体" w:hAnsi="宋体" w:eastAsia="宋体" w:cs="宋体"/>
          <w:b/>
          <w:sz w:val="24"/>
          <w:szCs w:val="24"/>
        </w:rPr>
        <w:t>中标。</w:t>
      </w:r>
    </w:p>
    <w:p w14:paraId="69C352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72329AD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7725C1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495084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5D200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3950DD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F6E7F1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4323494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32CE5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575D550">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0592A3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2E8AA5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4FA401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17E5DC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985516D">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65EE35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359DF6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7F2E50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DEA047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6E2A98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935EB4D">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537847CD">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1DDEF57">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537A657A">
      <w:pPr>
        <w:spacing w:line="360" w:lineRule="auto"/>
        <w:ind w:right="2" w:firstLine="480" w:firstLineChars="200"/>
      </w:pPr>
      <w:r>
        <w:rPr>
          <w:rFonts w:hint="eastAsia" w:ascii="宋体" w:hAnsi="宋体" w:eastAsia="宋体" w:cs="宋体"/>
          <w:color w:val="000000"/>
          <w:sz w:val="24"/>
          <w:szCs w:val="24"/>
        </w:rPr>
        <w:t>（15）法律、法规规定的其他情况。</w:t>
      </w:r>
    </w:p>
    <w:p w14:paraId="37B64E2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ECA0272">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418D4B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D83BB2">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A3C51F2">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5"/>
      <w:bookmarkStart w:id="24" w:name="OLE_LINK29"/>
      <w:bookmarkStart w:id="25" w:name="OLE_LINK26"/>
      <w:bookmarkStart w:id="26" w:name="OLE_LINK28"/>
      <w:bookmarkStart w:id="27" w:name="OLE_LINK27"/>
      <w:r>
        <w:rPr>
          <w:rFonts w:hint="eastAsia" w:ascii="宋体" w:hAnsi="宋体" w:eastAsia="宋体" w:cs="宋体"/>
          <w:bCs/>
          <w:sz w:val="24"/>
          <w:szCs w:val="24"/>
        </w:rPr>
        <w:t>；</w:t>
      </w:r>
      <w:bookmarkEnd w:id="23"/>
      <w:bookmarkEnd w:id="24"/>
      <w:bookmarkEnd w:id="25"/>
      <w:bookmarkEnd w:id="26"/>
      <w:bookmarkEnd w:id="27"/>
    </w:p>
    <w:p w14:paraId="6F8DEF6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7D1F496">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6DF405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2408D1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九、本次招标最终解释权归中国重汽集团</w:t>
      </w:r>
      <w:r>
        <w:rPr>
          <w:rFonts w:hint="eastAsia" w:ascii="宋体" w:hAnsi="宋体" w:eastAsia="宋体" w:cs="宋体"/>
          <w:b/>
          <w:bCs/>
          <w:sz w:val="24"/>
          <w:szCs w:val="24"/>
          <w:lang w:eastAsia="zh-CN"/>
        </w:rPr>
        <w:t>济南商用车有限公司</w:t>
      </w:r>
      <w:r>
        <w:rPr>
          <w:rFonts w:hint="eastAsia" w:ascii="宋体" w:hAnsi="宋体" w:eastAsia="宋体" w:cs="宋体"/>
          <w:b/>
          <w:bCs/>
          <w:sz w:val="24"/>
          <w:szCs w:val="24"/>
        </w:rPr>
        <w:t>。</w:t>
      </w:r>
    </w:p>
    <w:p w14:paraId="633DAC7F">
      <w:pPr>
        <w:pStyle w:val="18"/>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2B5417C8">
      <w:pPr>
        <w:pStyle w:val="18"/>
        <w:numPr>
          <w:ilvl w:val="255"/>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rPr>
        <w:t>第三部分 投标文件编制</w:t>
      </w:r>
      <w:bookmarkEnd w:id="28"/>
    </w:p>
    <w:p w14:paraId="275FB82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6C3D90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822E1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848804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023B528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1730F48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3F9B017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5BA69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2F036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609D4F7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28349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D7D4498">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18E057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08FDF31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14:paraId="3D7900D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0B9505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14:paraId="053B9FA1">
      <w:pPr>
        <w:numPr>
          <w:ilvl w:val="0"/>
          <w:numId w:val="0"/>
        </w:numPr>
        <w:spacing w:line="360" w:lineRule="auto"/>
        <w:ind w:firstLine="482" w:firstLineChars="200"/>
        <w:rPr>
          <w:rFonts w:hint="default" w:ascii="宋体" w:hAnsi="宋体" w:eastAsia="宋体" w:cs="宋体"/>
          <w:b/>
          <w:bCs/>
          <w:color w:val="000000"/>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r>
        <w:rPr>
          <w:rFonts w:hint="eastAsia" w:ascii="宋体" w:hAnsi="宋体" w:eastAsia="宋体" w:cs="宋体"/>
          <w:b/>
          <w:bCs/>
          <w:color w:val="FF0000"/>
          <w:kern w:val="2"/>
          <w:sz w:val="24"/>
          <w:szCs w:val="24"/>
          <w:highlight w:val="yellow"/>
          <w:lang w:val="en-US" w:eastAsia="zh-CN" w:bidi="ar-SA"/>
        </w:rPr>
        <w:t>项目名称—目录—1.1至1.13资料及其他文件</w:t>
      </w:r>
    </w:p>
    <w:p w14:paraId="04C9A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396CC8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B4F2CA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4E61C52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1A4E83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015612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446BEC67">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591AEE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02A1EC0">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1.9</w:t>
      </w:r>
      <w:r>
        <w:rPr>
          <w:rFonts w:hint="eastAsia" w:ascii="宋体" w:hAnsi="宋体" w:eastAsia="宋体" w:cs="宋体"/>
          <w:color w:val="000000"/>
          <w:sz w:val="24"/>
          <w:szCs w:val="24"/>
          <w:highlight w:val="none"/>
          <w:lang w:val="en-US" w:eastAsia="zh-CN"/>
        </w:rPr>
        <w:t xml:space="preserve"> 本招标项目采用共用上直销模式进行采购，不允许代理商投标。</w:t>
      </w:r>
    </w:p>
    <w:p w14:paraId="1B7E42E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C223B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086E736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1B909197">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14:paraId="42EDCFF9">
      <w:pPr>
        <w:spacing w:line="360" w:lineRule="auto"/>
        <w:ind w:firstLine="482" w:firstLineChars="200"/>
        <w:rPr>
          <w:rFonts w:ascii="宋体" w:hAnsi="宋体" w:eastAsia="宋体" w:cs="宋体"/>
          <w:b/>
          <w:bCs/>
          <w:sz w:val="24"/>
          <w:szCs w:val="24"/>
        </w:rPr>
      </w:pPr>
      <w:bookmarkStart w:id="29"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9"/>
    </w:p>
    <w:p w14:paraId="4A75DA69">
      <w:pPr>
        <w:spacing w:line="360" w:lineRule="auto"/>
        <w:ind w:firstLine="480" w:firstLineChars="200"/>
        <w:rPr>
          <w:rFonts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51243D1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51DE85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14:paraId="11AB42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14:paraId="3501438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14:paraId="7CD278ED">
      <w:pPr>
        <w:spacing w:line="360" w:lineRule="auto"/>
        <w:ind w:firstLine="480" w:firstLineChars="200"/>
        <w:rPr>
          <w:rFonts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14:paraId="32EE03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14:paraId="076720C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1368E3C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4E33A6D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8E5E7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393B6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14:paraId="1673132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250F21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775B69C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5B41B1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6C49A3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5806E41">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E5B827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bookmarkEnd w:id="0"/>
    </w:p>
    <w:p w14:paraId="7C45EBC6">
      <w:pPr>
        <w:pStyle w:val="18"/>
      </w:pPr>
    </w:p>
    <w:p w14:paraId="1D83BE20">
      <w:pPr>
        <w:spacing w:line="276" w:lineRule="auto"/>
        <w:jc w:val="center"/>
        <w:rPr>
          <w:rFonts w:hint="eastAsia" w:ascii="Calibri" w:hAnsi="宋体" w:eastAsia="宋体" w:cs="Times New Roman"/>
          <w:b/>
          <w:bCs/>
          <w:color w:val="000000"/>
          <w:spacing w:val="-8"/>
          <w:sz w:val="48"/>
          <w:szCs w:val="48"/>
        </w:rPr>
      </w:pPr>
      <w:r>
        <w:rPr>
          <w:rFonts w:hint="eastAsia" w:ascii="Calibri" w:hAnsi="宋体" w:eastAsia="宋体" w:cs="Times New Roman"/>
          <w:b/>
          <w:bCs/>
          <w:color w:val="000000"/>
          <w:spacing w:val="-8"/>
          <w:sz w:val="48"/>
          <w:szCs w:val="48"/>
        </w:rPr>
        <w:t>中国重汽集团济南商用车有限公司</w:t>
      </w:r>
    </w:p>
    <w:p w14:paraId="5BD25DA2">
      <w:pPr>
        <w:jc w:val="center"/>
        <w:rPr>
          <w:rFonts w:hint="eastAsia" w:ascii="Calibri" w:hAnsi="Calibri" w:eastAsia="宋体" w:cs="Times New Roman"/>
          <w:b/>
          <w:bCs/>
          <w:color w:val="000000"/>
          <w:spacing w:val="-8"/>
          <w:sz w:val="48"/>
          <w:szCs w:val="48"/>
        </w:rPr>
      </w:pPr>
      <w:r>
        <w:rPr>
          <w:rFonts w:hint="eastAsia" w:ascii="Calibri" w:hAnsi="Calibri" w:eastAsia="宋体" w:cs="Times New Roman"/>
          <w:b/>
          <w:bCs/>
          <w:color w:val="000000"/>
          <w:spacing w:val="-8"/>
          <w:sz w:val="48"/>
          <w:szCs w:val="48"/>
        </w:rPr>
        <w:t>汕德卡新增配置驾驶室设备工装</w:t>
      </w:r>
      <w:r>
        <w:rPr>
          <w:rFonts w:hint="eastAsia" w:ascii="Calibri" w:hAnsi="Calibri" w:eastAsia="宋体" w:cs="Times New Roman"/>
          <w:b/>
          <w:bCs/>
          <w:color w:val="000000"/>
          <w:spacing w:val="-8"/>
          <w:sz w:val="48"/>
          <w:szCs w:val="48"/>
          <w:lang w:val="en-US" w:eastAsia="zh-CN"/>
        </w:rPr>
        <w:t>改造及</w:t>
      </w:r>
      <w:r>
        <w:rPr>
          <w:rFonts w:hint="eastAsia" w:ascii="Calibri" w:hAnsi="Calibri" w:eastAsia="宋体" w:cs="Times New Roman"/>
          <w:b/>
          <w:bCs/>
          <w:color w:val="000000"/>
          <w:spacing w:val="-8"/>
          <w:sz w:val="48"/>
          <w:szCs w:val="48"/>
        </w:rPr>
        <w:t>更新</w:t>
      </w:r>
    </w:p>
    <w:p w14:paraId="6E9737F4">
      <w:pPr>
        <w:jc w:val="center"/>
        <w:rPr>
          <w:rFonts w:ascii="Calibri" w:hAnsi="Calibri" w:eastAsia="宋体" w:cs="Times New Roman"/>
          <w:color w:val="000000"/>
          <w:sz w:val="48"/>
          <w:szCs w:val="48"/>
        </w:rPr>
      </w:pPr>
      <w:r>
        <w:rPr>
          <w:rFonts w:hint="eastAsia" w:ascii="Calibri" w:hAnsi="Calibri" w:eastAsia="宋体" w:cs="Times New Roman"/>
          <w:b/>
          <w:bCs/>
          <w:color w:val="000000"/>
          <w:spacing w:val="-8"/>
          <w:sz w:val="48"/>
          <w:szCs w:val="48"/>
          <w:lang w:val="en-US" w:eastAsia="zh-CN"/>
        </w:rPr>
        <w:t>技改</w:t>
      </w:r>
      <w:r>
        <w:rPr>
          <w:rFonts w:hint="eastAsia" w:ascii="Calibri" w:hAnsi="Calibri" w:eastAsia="宋体" w:cs="Times New Roman"/>
          <w:b/>
          <w:bCs/>
          <w:color w:val="000000"/>
          <w:spacing w:val="-8"/>
          <w:sz w:val="48"/>
          <w:szCs w:val="48"/>
        </w:rPr>
        <w:t>项目</w:t>
      </w:r>
    </w:p>
    <w:p w14:paraId="4B9B7C91">
      <w:pPr>
        <w:pStyle w:val="18"/>
      </w:pPr>
    </w:p>
    <w:p w14:paraId="3618080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4887C1C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A99158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4E5D32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745AF271">
      <w:pPr>
        <w:pStyle w:val="18"/>
      </w:pPr>
    </w:p>
    <w:p w14:paraId="33CC08AD">
      <w:pPr>
        <w:pStyle w:val="18"/>
        <w:rPr>
          <w:rFonts w:hint="eastAsia" w:ascii="黑体" w:hAnsi="宋体" w:eastAsia="黑体" w:cs="Times New Roman"/>
          <w:color w:val="000000"/>
          <w:sz w:val="72"/>
          <w:szCs w:val="72"/>
        </w:rPr>
      </w:pPr>
    </w:p>
    <w:p w14:paraId="57AB098B">
      <w:pPr>
        <w:pStyle w:val="18"/>
        <w:rPr>
          <w:rFonts w:hint="eastAsia" w:ascii="黑体" w:hAnsi="宋体" w:eastAsia="黑体" w:cs="Times New Roman"/>
          <w:color w:val="000000"/>
          <w:sz w:val="72"/>
          <w:szCs w:val="72"/>
        </w:rPr>
      </w:pPr>
    </w:p>
    <w:p w14:paraId="43FB62A0">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4621A57">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17806321">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230B08B5">
      <w:pPr>
        <w:pStyle w:val="18"/>
        <w:rPr>
          <w:b/>
          <w:bCs/>
        </w:rPr>
      </w:pPr>
    </w:p>
    <w:p w14:paraId="1758040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7B35FB1B">
      <w:pPr>
        <w:jc w:val="center"/>
        <w:rPr>
          <w:rFonts w:ascii="Calibri" w:hAnsi="Calibri" w:eastAsia="宋体" w:cs="Times New Roman"/>
          <w:b/>
          <w:bCs/>
          <w:kern w:val="44"/>
          <w:sz w:val="36"/>
          <w:szCs w:val="44"/>
          <w:highlight w:val="red"/>
        </w:rPr>
      </w:pPr>
      <w:r>
        <w:rPr>
          <w:rFonts w:hint="eastAsia" w:ascii="Calibri" w:hAnsi="Calibri" w:eastAsia="宋体" w:cs="Times New Roman"/>
          <w:color w:val="000000"/>
          <w:sz w:val="28"/>
          <w:szCs w:val="28"/>
        </w:rPr>
        <w:t>2025年1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bookmarkEnd w:id="1"/>
    <w:bookmarkEnd w:id="2"/>
    <w:p w14:paraId="70376691">
      <w:pPr>
        <w:spacing w:line="360" w:lineRule="auto"/>
        <w:rPr>
          <w:rFonts w:hint="eastAsia" w:ascii="宋体" w:hAnsi="宋体" w:eastAsia="宋体" w:cs="Times New Roman"/>
          <w:b/>
          <w:sz w:val="36"/>
          <w:szCs w:val="36"/>
        </w:rPr>
        <w:sectPr>
          <w:headerReference r:id="rId13" w:type="first"/>
          <w:footerReference r:id="rId16" w:type="first"/>
          <w:headerReference r:id="rId11" w:type="default"/>
          <w:footerReference r:id="rId14" w:type="default"/>
          <w:headerReference r:id="rId12" w:type="even"/>
          <w:footerReference r:id="rId15" w:type="even"/>
          <w:pgSz w:w="11907" w:h="16840"/>
          <w:pgMar w:top="1304" w:right="1418" w:bottom="1304" w:left="1418" w:header="724" w:footer="851" w:gutter="0"/>
          <w:cols w:space="720" w:num="1"/>
          <w:docGrid w:linePitch="290" w:charSpace="-3931"/>
        </w:sectPr>
      </w:pPr>
    </w:p>
    <w:p w14:paraId="68E4E3F4">
      <w:pPr>
        <w:keepNext/>
        <w:keepLines/>
        <w:spacing w:before="120" w:after="120" w:line="360" w:lineRule="auto"/>
        <w:jc w:val="center"/>
        <w:outlineLvl w:val="0"/>
        <w:rPr>
          <w:rFonts w:hint="eastAsia" w:ascii="黑体" w:hAnsi="等线" w:eastAsia="黑体" w:cs="Times New Roman"/>
          <w:kern w:val="44"/>
          <w:sz w:val="28"/>
          <w:szCs w:val="28"/>
        </w:rPr>
      </w:pPr>
      <w:bookmarkStart w:id="33" w:name="_Toc8924"/>
      <w:bookmarkStart w:id="34" w:name="_Toc9658377"/>
      <w:bookmarkStart w:id="35" w:name="_Toc169605881"/>
      <w:r>
        <w:rPr>
          <w:rFonts w:hint="eastAsia" w:ascii="黑体" w:hAnsi="等线" w:eastAsia="黑体" w:cs="Times New Roman"/>
          <w:kern w:val="44"/>
          <w:sz w:val="28"/>
          <w:szCs w:val="28"/>
        </w:rPr>
        <w:t>第一章</w:t>
      </w:r>
      <w:r>
        <w:rPr>
          <w:rFonts w:ascii="黑体" w:hAnsi="等线" w:eastAsia="黑体" w:cs="Times New Roman"/>
          <w:kern w:val="44"/>
          <w:sz w:val="28"/>
          <w:szCs w:val="28"/>
        </w:rPr>
        <w:t xml:space="preserve">  </w:t>
      </w:r>
      <w:r>
        <w:rPr>
          <w:rFonts w:hint="eastAsia" w:ascii="黑体" w:hAnsi="等线" w:eastAsia="黑体" w:cs="Times New Roman"/>
          <w:kern w:val="44"/>
          <w:sz w:val="28"/>
          <w:szCs w:val="28"/>
        </w:rPr>
        <w:t>采购货物概况</w:t>
      </w:r>
      <w:bookmarkEnd w:id="33"/>
      <w:bookmarkEnd w:id="34"/>
    </w:p>
    <w:p w14:paraId="092864CA">
      <w:pPr>
        <w:keepNext/>
        <w:keepLines/>
        <w:spacing w:before="120" w:after="120" w:line="360" w:lineRule="auto"/>
        <w:jc w:val="center"/>
        <w:outlineLvl w:val="1"/>
        <w:rPr>
          <w:rFonts w:ascii="Arial" w:hAnsi="Arial" w:eastAsia="宋体" w:cs="Times New Roman"/>
          <w:sz w:val="24"/>
          <w:szCs w:val="24"/>
        </w:rPr>
      </w:pPr>
      <w:bookmarkStart w:id="36" w:name="_Toc9658378"/>
      <w:r>
        <w:rPr>
          <w:rFonts w:hint="eastAsia" w:ascii="Arial" w:hAnsi="Arial" w:eastAsia="宋体" w:cs="Times New Roman"/>
          <w:sz w:val="24"/>
          <w:szCs w:val="24"/>
        </w:rPr>
        <w:t>第一节</w:t>
      </w:r>
      <w:r>
        <w:rPr>
          <w:rFonts w:ascii="Arial" w:hAnsi="Arial" w:eastAsia="宋体" w:cs="Times New Roman"/>
          <w:sz w:val="24"/>
          <w:szCs w:val="24"/>
        </w:rPr>
        <w:t xml:space="preserve">  </w:t>
      </w:r>
      <w:r>
        <w:rPr>
          <w:rFonts w:hint="eastAsia" w:ascii="Arial" w:hAnsi="Arial" w:eastAsia="宋体" w:cs="Times New Roman"/>
          <w:sz w:val="24"/>
          <w:szCs w:val="24"/>
        </w:rPr>
        <w:t>使用环境</w:t>
      </w:r>
      <w:bookmarkEnd w:id="36"/>
    </w:p>
    <w:p w14:paraId="41FD059A">
      <w:pPr>
        <w:snapToGrid w:val="0"/>
        <w:spacing w:line="360" w:lineRule="auto"/>
        <w:ind w:left="2100" w:leftChars="200" w:hanging="1680" w:hangingChars="700"/>
        <w:rPr>
          <w:rFonts w:hint="eastAsia" w:ascii="宋体" w:hAnsi="宋体" w:eastAsia="宋体" w:cs="宋体"/>
          <w:sz w:val="24"/>
          <w:szCs w:val="24"/>
        </w:rPr>
      </w:pPr>
      <w:r>
        <w:rPr>
          <w:rFonts w:hint="eastAsia" w:ascii="宋体" w:hAnsi="宋体" w:eastAsia="宋体" w:cs="宋体"/>
          <w:sz w:val="24"/>
          <w:szCs w:val="24"/>
        </w:rPr>
        <w:t>一、项目名称：</w:t>
      </w:r>
      <w:r>
        <w:rPr>
          <w:rFonts w:hint="eastAsia" w:ascii="宋体" w:hAnsi="宋体" w:eastAsia="宋体" w:cs="宋体"/>
          <w:sz w:val="24"/>
          <w:szCs w:val="24"/>
          <w:highlight w:val="yellow"/>
        </w:rPr>
        <w:t>汕德卡新增配置驾驶室设备工装</w:t>
      </w:r>
      <w:r>
        <w:rPr>
          <w:rFonts w:hint="eastAsia" w:ascii="宋体" w:hAnsi="宋体" w:eastAsia="宋体" w:cs="宋体"/>
          <w:sz w:val="24"/>
          <w:szCs w:val="24"/>
          <w:highlight w:val="yellow"/>
          <w:lang w:val="en-US" w:eastAsia="zh-CN"/>
        </w:rPr>
        <w:t>改造及</w:t>
      </w:r>
      <w:r>
        <w:rPr>
          <w:rFonts w:hint="eastAsia" w:ascii="宋体" w:hAnsi="宋体" w:eastAsia="宋体" w:cs="宋体"/>
          <w:sz w:val="24"/>
          <w:szCs w:val="24"/>
          <w:highlight w:val="yellow"/>
        </w:rPr>
        <w:t>更新</w:t>
      </w:r>
      <w:r>
        <w:rPr>
          <w:rFonts w:hint="eastAsia" w:ascii="宋体" w:hAnsi="宋体" w:eastAsia="宋体" w:cs="宋体"/>
          <w:sz w:val="24"/>
          <w:szCs w:val="24"/>
          <w:highlight w:val="yellow"/>
          <w:lang w:val="en-US" w:eastAsia="zh-CN"/>
        </w:rPr>
        <w:t>技改</w:t>
      </w:r>
      <w:r>
        <w:rPr>
          <w:rFonts w:hint="eastAsia" w:ascii="宋体" w:hAnsi="宋体" w:eastAsia="宋体" w:cs="宋体"/>
          <w:sz w:val="24"/>
          <w:szCs w:val="24"/>
          <w:highlight w:val="yellow"/>
        </w:rPr>
        <w:t>项目</w:t>
      </w:r>
    </w:p>
    <w:p w14:paraId="1370AAFD">
      <w:pPr>
        <w:snapToGrid w:val="0"/>
        <w:spacing w:line="360" w:lineRule="auto"/>
        <w:ind w:left="2100" w:leftChars="200" w:hanging="1680" w:hangingChars="7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shd w:val="pct10" w:color="auto" w:fill="FFFFFF"/>
        </w:rPr>
        <w:t>中国重汽济南商用车焊二车间</w:t>
      </w:r>
    </w:p>
    <w:p w14:paraId="1526C926">
      <w:pPr>
        <w:snapToGrid w:val="0"/>
        <w:spacing w:line="360" w:lineRule="auto"/>
        <w:ind w:left="2100" w:leftChars="200" w:hanging="1680" w:hangingChars="700"/>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shd w:val="pct10" w:color="auto" w:fill="FFFFFF"/>
        </w:rPr>
        <w:t>中国重汽济南商用车焊二车间</w:t>
      </w:r>
      <w:r>
        <w:rPr>
          <w:rFonts w:hint="eastAsia" w:ascii="宋体" w:hAnsi="宋体" w:eastAsia="宋体" w:cs="宋体"/>
          <w:sz w:val="24"/>
          <w:szCs w:val="24"/>
        </w:rPr>
        <w:t xml:space="preserve"> </w:t>
      </w:r>
    </w:p>
    <w:p w14:paraId="00A37BC5">
      <w:pPr>
        <w:snapToGrid w:val="0"/>
        <w:spacing w:line="360" w:lineRule="auto"/>
        <w:ind w:left="2100" w:leftChars="200" w:hanging="1680" w:hangingChars="700"/>
        <w:rPr>
          <w:rFonts w:hint="eastAsia" w:ascii="宋体" w:hAnsi="宋体" w:eastAsia="宋体" w:cs="宋体"/>
          <w:sz w:val="24"/>
          <w:szCs w:val="24"/>
        </w:rPr>
      </w:pPr>
      <w:r>
        <w:rPr>
          <w:rFonts w:hint="eastAsia" w:ascii="宋体" w:hAnsi="宋体" w:eastAsia="宋体" w:cs="宋体"/>
          <w:sz w:val="24"/>
          <w:szCs w:val="24"/>
        </w:rPr>
        <w:t>四、★生产纲领及节拍</w:t>
      </w:r>
    </w:p>
    <w:p w14:paraId="230D7BFB">
      <w:pPr>
        <w:tabs>
          <w:tab w:val="left" w:pos="851"/>
          <w:tab w:val="left" w:pos="993"/>
        </w:tabs>
        <w:spacing w:line="44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本项目的工作制度、</w:t>
      </w:r>
      <w:r>
        <w:rPr>
          <w:rFonts w:ascii="Times New Roman" w:hAnsi="Times New Roman" w:eastAsia="宋体" w:cs="Times New Roman"/>
          <w:sz w:val="24"/>
          <w:szCs w:val="24"/>
        </w:rPr>
        <w:t>产能、节拍及效率</w:t>
      </w:r>
      <w:r>
        <w:rPr>
          <w:rFonts w:hint="eastAsia" w:ascii="Times New Roman" w:hAnsi="Times New Roman" w:eastAsia="宋体" w:cs="Times New Roman"/>
          <w:sz w:val="24"/>
          <w:szCs w:val="24"/>
        </w:rPr>
        <w:t>如下，投标方提供的设施、设备必须满足此要求。</w:t>
      </w:r>
    </w:p>
    <w:tbl>
      <w:tblPr>
        <w:tblStyle w:val="40"/>
        <w:tblW w:w="864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34"/>
        <w:gridCol w:w="1276"/>
        <w:gridCol w:w="1526"/>
        <w:gridCol w:w="720"/>
        <w:gridCol w:w="2007"/>
        <w:gridCol w:w="992"/>
        <w:gridCol w:w="993"/>
      </w:tblGrid>
      <w:tr w14:paraId="445054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34" w:type="dxa"/>
            <w:vAlign w:val="center"/>
          </w:tcPr>
          <w:p w14:paraId="749A1762">
            <w:pPr>
              <w:jc w:val="center"/>
              <w:rPr>
                <w:rFonts w:hint="eastAsia"/>
                <w:b/>
              </w:rPr>
            </w:pPr>
            <w:r>
              <w:rPr>
                <w:rFonts w:hint="eastAsia"/>
                <w:b/>
              </w:rPr>
              <w:t>N</w:t>
            </w:r>
            <w:r>
              <w:rPr>
                <w:b/>
              </w:rPr>
              <w:t>o.</w:t>
            </w:r>
          </w:p>
        </w:tc>
        <w:tc>
          <w:tcPr>
            <w:tcW w:w="1276" w:type="dxa"/>
            <w:vAlign w:val="center"/>
          </w:tcPr>
          <w:p w14:paraId="52DA75A1">
            <w:pPr>
              <w:jc w:val="center"/>
              <w:rPr>
                <w:rFonts w:hint="eastAsia"/>
                <w:b/>
              </w:rPr>
            </w:pPr>
            <w:r>
              <w:rPr>
                <w:rFonts w:hint="eastAsia"/>
                <w:b/>
              </w:rPr>
              <w:t>主体工程</w:t>
            </w:r>
          </w:p>
        </w:tc>
        <w:tc>
          <w:tcPr>
            <w:tcW w:w="1526" w:type="dxa"/>
            <w:vAlign w:val="center"/>
          </w:tcPr>
          <w:p w14:paraId="2ABA5855">
            <w:pPr>
              <w:jc w:val="center"/>
              <w:rPr>
                <w:rFonts w:hint="eastAsia"/>
                <w:b/>
              </w:rPr>
            </w:pPr>
            <w:r>
              <w:rPr>
                <w:rFonts w:hint="eastAsia"/>
                <w:b/>
              </w:rPr>
              <w:t>产品</w:t>
            </w:r>
          </w:p>
        </w:tc>
        <w:tc>
          <w:tcPr>
            <w:tcW w:w="720" w:type="dxa"/>
            <w:vAlign w:val="center"/>
          </w:tcPr>
          <w:p w14:paraId="0FEBF64A">
            <w:pPr>
              <w:jc w:val="center"/>
              <w:rPr>
                <w:rFonts w:hint="eastAsia"/>
                <w:b/>
              </w:rPr>
            </w:pPr>
            <w:r>
              <w:rPr>
                <w:rFonts w:hint="eastAsia"/>
                <w:b/>
              </w:rPr>
              <w:t>班次</w:t>
            </w:r>
          </w:p>
        </w:tc>
        <w:tc>
          <w:tcPr>
            <w:tcW w:w="2007" w:type="dxa"/>
            <w:vAlign w:val="center"/>
          </w:tcPr>
          <w:p w14:paraId="4155E574">
            <w:pPr>
              <w:jc w:val="center"/>
              <w:rPr>
                <w:rFonts w:hint="eastAsia"/>
                <w:b/>
              </w:rPr>
            </w:pPr>
            <w:r>
              <w:rPr>
                <w:rFonts w:hint="eastAsia"/>
                <w:b/>
              </w:rPr>
              <w:t>净生产能力（JPH）</w:t>
            </w:r>
          </w:p>
        </w:tc>
        <w:tc>
          <w:tcPr>
            <w:tcW w:w="992" w:type="dxa"/>
            <w:vAlign w:val="center"/>
          </w:tcPr>
          <w:p w14:paraId="6AD5763E">
            <w:pPr>
              <w:jc w:val="center"/>
              <w:rPr>
                <w:rFonts w:hint="eastAsia"/>
                <w:b/>
              </w:rPr>
            </w:pPr>
            <w:r>
              <w:rPr>
                <w:rFonts w:hint="eastAsia"/>
                <w:b/>
              </w:rPr>
              <w:t>开动率</w:t>
            </w:r>
          </w:p>
        </w:tc>
        <w:tc>
          <w:tcPr>
            <w:tcW w:w="993" w:type="dxa"/>
            <w:vAlign w:val="center"/>
          </w:tcPr>
          <w:p w14:paraId="4E2E6840">
            <w:pPr>
              <w:jc w:val="center"/>
              <w:rPr>
                <w:rFonts w:hint="eastAsia"/>
                <w:b/>
              </w:rPr>
            </w:pPr>
            <w:r>
              <w:rPr>
                <w:rFonts w:hint="eastAsia"/>
                <w:b/>
              </w:rPr>
              <w:t>备注</w:t>
            </w:r>
          </w:p>
        </w:tc>
      </w:tr>
      <w:tr w14:paraId="1254CE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34" w:type="dxa"/>
            <w:vAlign w:val="center"/>
          </w:tcPr>
          <w:p w14:paraId="580589E3">
            <w:pPr>
              <w:tabs>
                <w:tab w:val="left" w:pos="851"/>
                <w:tab w:val="left" w:pos="993"/>
              </w:tabs>
              <w:spacing w:line="360" w:lineRule="auto"/>
              <w:jc w:val="center"/>
              <w:rPr>
                <w:rFonts w:ascii="Times New Roman" w:hAnsi="Times New Roman" w:eastAsia="宋体" w:cs="Times New Roman"/>
                <w:b/>
                <w:sz w:val="22"/>
                <w:szCs w:val="24"/>
              </w:rPr>
            </w:pPr>
            <w:r>
              <w:rPr>
                <w:rFonts w:ascii="Times New Roman" w:hAnsi="Times New Roman" w:eastAsia="宋体" w:cs="Times New Roman"/>
                <w:b/>
                <w:sz w:val="22"/>
                <w:szCs w:val="24"/>
              </w:rPr>
              <w:t>1</w:t>
            </w:r>
          </w:p>
        </w:tc>
        <w:tc>
          <w:tcPr>
            <w:tcW w:w="1276" w:type="dxa"/>
            <w:vAlign w:val="center"/>
          </w:tcPr>
          <w:p w14:paraId="43B08054">
            <w:pPr>
              <w:jc w:val="center"/>
              <w:rPr>
                <w:rFonts w:hint="eastAsia"/>
                <w:b/>
              </w:rPr>
            </w:pPr>
            <w:r>
              <w:rPr>
                <w:rFonts w:hint="eastAsia"/>
                <w:b/>
              </w:rPr>
              <w:t>后围自动化单元</w:t>
            </w:r>
          </w:p>
        </w:tc>
        <w:tc>
          <w:tcPr>
            <w:tcW w:w="1526" w:type="dxa"/>
            <w:vAlign w:val="center"/>
          </w:tcPr>
          <w:p w14:paraId="2D8747EA">
            <w:pPr>
              <w:tabs>
                <w:tab w:val="left" w:pos="851"/>
                <w:tab w:val="left" w:pos="993"/>
              </w:tabs>
              <w:spacing w:line="360" w:lineRule="auto"/>
              <w:jc w:val="center"/>
              <w:rPr>
                <w:rFonts w:ascii="Times New Roman" w:hAnsi="Times New Roman" w:eastAsia="宋体" w:cs="Times New Roman"/>
                <w:b/>
                <w:sz w:val="22"/>
                <w:szCs w:val="24"/>
              </w:rPr>
            </w:pPr>
            <w:r>
              <w:rPr>
                <w:rFonts w:hint="eastAsia" w:ascii="Times New Roman" w:hAnsi="Times New Roman" w:eastAsia="宋体" w:cs="Times New Roman"/>
                <w:b/>
                <w:sz w:val="22"/>
                <w:szCs w:val="24"/>
              </w:rPr>
              <w:t>后围分总成</w:t>
            </w:r>
          </w:p>
        </w:tc>
        <w:tc>
          <w:tcPr>
            <w:tcW w:w="720" w:type="dxa"/>
            <w:vAlign w:val="center"/>
          </w:tcPr>
          <w:p w14:paraId="660B69CA">
            <w:pPr>
              <w:tabs>
                <w:tab w:val="left" w:pos="851"/>
                <w:tab w:val="left" w:pos="993"/>
              </w:tabs>
              <w:spacing w:line="360" w:lineRule="auto"/>
              <w:jc w:val="center"/>
              <w:rPr>
                <w:rFonts w:ascii="Times New Roman" w:hAnsi="Times New Roman" w:eastAsia="宋体" w:cs="Times New Roman"/>
                <w:b/>
                <w:sz w:val="22"/>
                <w:szCs w:val="24"/>
              </w:rPr>
            </w:pPr>
            <w:r>
              <w:rPr>
                <w:rFonts w:hint="eastAsia" w:ascii="Times New Roman" w:hAnsi="Times New Roman" w:eastAsia="宋体" w:cs="Times New Roman"/>
                <w:b/>
                <w:sz w:val="22"/>
                <w:szCs w:val="24"/>
              </w:rPr>
              <w:t>2</w:t>
            </w:r>
          </w:p>
        </w:tc>
        <w:tc>
          <w:tcPr>
            <w:tcW w:w="2007" w:type="dxa"/>
            <w:vAlign w:val="center"/>
          </w:tcPr>
          <w:p w14:paraId="37D9A04A">
            <w:pPr>
              <w:tabs>
                <w:tab w:val="left" w:pos="851"/>
                <w:tab w:val="left" w:pos="993"/>
              </w:tabs>
              <w:spacing w:line="360" w:lineRule="auto"/>
              <w:jc w:val="center"/>
              <w:rPr>
                <w:rFonts w:ascii="Times New Roman" w:hAnsi="Times New Roman" w:eastAsia="宋体" w:cs="Times New Roman"/>
                <w:b/>
                <w:sz w:val="22"/>
                <w:szCs w:val="24"/>
              </w:rPr>
            </w:pPr>
            <w:r>
              <w:rPr>
                <w:rFonts w:hint="eastAsia" w:ascii="Times New Roman" w:hAnsi="Times New Roman" w:eastAsia="宋体" w:cs="Times New Roman"/>
                <w:b/>
                <w:sz w:val="22"/>
                <w:szCs w:val="24"/>
              </w:rPr>
              <w:t>22</w:t>
            </w:r>
          </w:p>
        </w:tc>
        <w:tc>
          <w:tcPr>
            <w:tcW w:w="992" w:type="dxa"/>
            <w:vAlign w:val="center"/>
          </w:tcPr>
          <w:p w14:paraId="0B6F1006">
            <w:pPr>
              <w:tabs>
                <w:tab w:val="left" w:pos="851"/>
                <w:tab w:val="left" w:pos="993"/>
              </w:tabs>
              <w:spacing w:line="360" w:lineRule="auto"/>
              <w:jc w:val="center"/>
              <w:rPr>
                <w:rFonts w:ascii="Times New Roman" w:hAnsi="Times New Roman" w:eastAsia="宋体" w:cs="Times New Roman"/>
                <w:b/>
                <w:sz w:val="22"/>
                <w:szCs w:val="24"/>
              </w:rPr>
            </w:pPr>
            <w:r>
              <w:rPr>
                <w:rFonts w:ascii="Times New Roman" w:hAnsi="Times New Roman" w:eastAsia="宋体" w:cs="Times New Roman"/>
                <w:b/>
                <w:sz w:val="22"/>
                <w:szCs w:val="24"/>
              </w:rPr>
              <w:t>85%</w:t>
            </w:r>
          </w:p>
        </w:tc>
        <w:tc>
          <w:tcPr>
            <w:tcW w:w="993" w:type="dxa"/>
            <w:vAlign w:val="center"/>
          </w:tcPr>
          <w:p w14:paraId="36D1318B">
            <w:pPr>
              <w:jc w:val="center"/>
              <w:rPr>
                <w:rFonts w:ascii="Times New Roman" w:hAnsi="Times New Roman" w:eastAsia="宋体" w:cs="Times New Roman"/>
                <w:b/>
                <w:sz w:val="24"/>
                <w:szCs w:val="24"/>
              </w:rPr>
            </w:pPr>
          </w:p>
        </w:tc>
      </w:tr>
    </w:tbl>
    <w:p w14:paraId="3E7B39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w:t>
      </w:r>
    </w:p>
    <w:p w14:paraId="077651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1、整线工位间节拍差距不允许超过20%，如有特殊情况需投标方书面提出，招标方认可；</w:t>
      </w:r>
    </w:p>
    <w:p w14:paraId="45364EF2">
      <w:pPr>
        <w:snapToGrid w:val="0"/>
        <w:spacing w:line="360" w:lineRule="auto"/>
        <w:ind w:left="2100" w:leftChars="200" w:hanging="1680" w:hangingChars="700"/>
        <w:rPr>
          <w:rFonts w:hint="eastAsia" w:ascii="宋体" w:hAnsi="宋体" w:eastAsia="宋体" w:cs="宋体"/>
          <w:sz w:val="24"/>
          <w:szCs w:val="24"/>
        </w:rPr>
      </w:pPr>
      <w:r>
        <w:rPr>
          <w:rFonts w:hint="eastAsia" w:ascii="宋体" w:hAnsi="宋体" w:eastAsia="宋体" w:cs="宋体"/>
          <w:sz w:val="24"/>
          <w:szCs w:val="24"/>
        </w:rPr>
        <w:t>2、分总成工位节拍要求大于主线节拍10%；</w:t>
      </w:r>
    </w:p>
    <w:p w14:paraId="21EE1AB6">
      <w:pPr>
        <w:snapToGrid w:val="0"/>
        <w:spacing w:line="360" w:lineRule="auto"/>
        <w:ind w:left="2100" w:leftChars="200" w:hanging="1680" w:hangingChars="700"/>
        <w:rPr>
          <w:rFonts w:hint="eastAsia" w:ascii="宋体" w:hAnsi="宋体" w:eastAsia="宋体" w:cs="宋体"/>
          <w:sz w:val="24"/>
          <w:szCs w:val="24"/>
        </w:rPr>
      </w:pPr>
      <w:r>
        <w:rPr>
          <w:rFonts w:hint="eastAsia" w:ascii="宋体" w:hAnsi="宋体" w:eastAsia="宋体" w:cs="宋体"/>
          <w:sz w:val="24"/>
          <w:szCs w:val="24"/>
        </w:rPr>
        <w:t>3、保持与原有节拍一致。</w:t>
      </w:r>
    </w:p>
    <w:p w14:paraId="649A8729">
      <w:pPr>
        <w:snapToGrid w:val="0"/>
        <w:spacing w:line="360" w:lineRule="auto"/>
        <w:ind w:left="2100" w:leftChars="200" w:hanging="1680" w:hangingChars="700"/>
        <w:rPr>
          <w:rFonts w:hint="eastAsia" w:ascii="宋体" w:hAnsi="宋体" w:eastAsia="宋体" w:cs="宋体"/>
          <w:sz w:val="24"/>
          <w:szCs w:val="24"/>
        </w:rPr>
      </w:pPr>
      <w:bookmarkStart w:id="37" w:name="_Toc7543474"/>
      <w:r>
        <w:rPr>
          <w:rFonts w:hint="eastAsia" w:ascii="宋体" w:hAnsi="宋体" w:eastAsia="宋体" w:cs="宋体"/>
          <w:sz w:val="24"/>
          <w:szCs w:val="24"/>
        </w:rPr>
        <w:t>五、工作制度和年时基数</w:t>
      </w:r>
      <w:bookmarkEnd w:id="37"/>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747"/>
        <w:gridCol w:w="2918"/>
        <w:gridCol w:w="1036"/>
        <w:gridCol w:w="1720"/>
      </w:tblGrid>
      <w:tr w14:paraId="30196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6" w:type="pct"/>
            <w:vMerge w:val="restart"/>
            <w:vAlign w:val="center"/>
          </w:tcPr>
          <w:p w14:paraId="77EDD40D">
            <w:pPr>
              <w:jc w:val="center"/>
              <w:rPr>
                <w:rFonts w:hint="eastAsia" w:ascii="宋体" w:hAnsi="宋体" w:eastAsia="宋体"/>
              </w:rPr>
            </w:pPr>
            <w:r>
              <w:rPr>
                <w:rFonts w:ascii="宋体" w:hAnsi="宋体" w:eastAsia="宋体"/>
              </w:rPr>
              <w:t>No.</w:t>
            </w:r>
          </w:p>
        </w:tc>
        <w:tc>
          <w:tcPr>
            <w:tcW w:w="1479" w:type="pct"/>
            <w:vMerge w:val="restart"/>
            <w:vAlign w:val="center"/>
          </w:tcPr>
          <w:p w14:paraId="3CCFA3F3">
            <w:pPr>
              <w:jc w:val="center"/>
              <w:rPr>
                <w:rFonts w:hint="eastAsia" w:ascii="宋体" w:hAnsi="宋体" w:eastAsia="宋体"/>
              </w:rPr>
            </w:pPr>
            <w:r>
              <w:rPr>
                <w:rFonts w:hint="eastAsia" w:ascii="宋体" w:hAnsi="宋体" w:eastAsia="宋体"/>
              </w:rPr>
              <w:t>产线名称</w:t>
            </w:r>
          </w:p>
        </w:tc>
        <w:tc>
          <w:tcPr>
            <w:tcW w:w="1571" w:type="pct"/>
            <w:vMerge w:val="restart"/>
            <w:vAlign w:val="center"/>
          </w:tcPr>
          <w:p w14:paraId="4755A8EF">
            <w:pPr>
              <w:jc w:val="center"/>
              <w:rPr>
                <w:rFonts w:hint="eastAsia" w:ascii="宋体" w:hAnsi="宋体" w:eastAsia="宋体"/>
              </w:rPr>
            </w:pPr>
            <w:r>
              <w:rPr>
                <w:rFonts w:hint="eastAsia" w:ascii="宋体" w:hAnsi="宋体" w:eastAsia="宋体"/>
              </w:rPr>
              <w:t>全年工作日（d）</w:t>
            </w:r>
          </w:p>
        </w:tc>
        <w:tc>
          <w:tcPr>
            <w:tcW w:w="558" w:type="pct"/>
            <w:vMerge w:val="restart"/>
            <w:vAlign w:val="center"/>
          </w:tcPr>
          <w:p w14:paraId="2C150CAE">
            <w:pPr>
              <w:jc w:val="center"/>
              <w:rPr>
                <w:rFonts w:hint="eastAsia" w:ascii="宋体" w:hAnsi="宋体" w:eastAsia="宋体"/>
              </w:rPr>
            </w:pPr>
            <w:r>
              <w:rPr>
                <w:rFonts w:hint="eastAsia" w:ascii="宋体" w:hAnsi="宋体" w:eastAsia="宋体"/>
              </w:rPr>
              <w:t>班次</w:t>
            </w:r>
          </w:p>
        </w:tc>
        <w:tc>
          <w:tcPr>
            <w:tcW w:w="926" w:type="pct"/>
            <w:vMerge w:val="restart"/>
            <w:vAlign w:val="center"/>
          </w:tcPr>
          <w:p w14:paraId="006AED63">
            <w:pPr>
              <w:jc w:val="center"/>
              <w:rPr>
                <w:rFonts w:hint="eastAsia" w:ascii="宋体" w:hAnsi="宋体" w:eastAsia="宋体"/>
              </w:rPr>
            </w:pPr>
            <w:r>
              <w:rPr>
                <w:rFonts w:hint="eastAsia" w:ascii="宋体" w:hAnsi="宋体" w:eastAsia="宋体"/>
              </w:rPr>
              <w:t>每班小时</w:t>
            </w:r>
          </w:p>
        </w:tc>
      </w:tr>
      <w:tr w14:paraId="3BC43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6" w:type="pct"/>
            <w:vMerge w:val="continue"/>
            <w:vAlign w:val="center"/>
          </w:tcPr>
          <w:p w14:paraId="170EA29D">
            <w:pPr>
              <w:jc w:val="center"/>
              <w:rPr>
                <w:rFonts w:hint="eastAsia" w:ascii="宋体" w:hAnsi="宋体" w:eastAsia="宋体"/>
              </w:rPr>
            </w:pPr>
          </w:p>
        </w:tc>
        <w:tc>
          <w:tcPr>
            <w:tcW w:w="1479" w:type="pct"/>
            <w:vMerge w:val="continue"/>
            <w:vAlign w:val="center"/>
          </w:tcPr>
          <w:p w14:paraId="058343DE">
            <w:pPr>
              <w:jc w:val="center"/>
              <w:rPr>
                <w:rFonts w:hint="eastAsia" w:ascii="宋体" w:hAnsi="宋体" w:eastAsia="宋体"/>
              </w:rPr>
            </w:pPr>
          </w:p>
        </w:tc>
        <w:tc>
          <w:tcPr>
            <w:tcW w:w="1571" w:type="pct"/>
            <w:vMerge w:val="continue"/>
            <w:vAlign w:val="center"/>
          </w:tcPr>
          <w:p w14:paraId="098079D7">
            <w:pPr>
              <w:jc w:val="center"/>
              <w:rPr>
                <w:rFonts w:hint="eastAsia" w:ascii="宋体" w:hAnsi="宋体" w:eastAsia="宋体"/>
              </w:rPr>
            </w:pPr>
          </w:p>
        </w:tc>
        <w:tc>
          <w:tcPr>
            <w:tcW w:w="558" w:type="pct"/>
            <w:vMerge w:val="continue"/>
            <w:vAlign w:val="center"/>
          </w:tcPr>
          <w:p w14:paraId="3B8082D0">
            <w:pPr>
              <w:jc w:val="center"/>
              <w:rPr>
                <w:rFonts w:hint="eastAsia" w:ascii="宋体" w:hAnsi="宋体" w:eastAsia="宋体"/>
              </w:rPr>
            </w:pPr>
          </w:p>
        </w:tc>
        <w:tc>
          <w:tcPr>
            <w:tcW w:w="926" w:type="pct"/>
            <w:vMerge w:val="continue"/>
            <w:vAlign w:val="center"/>
          </w:tcPr>
          <w:p w14:paraId="07CF251A">
            <w:pPr>
              <w:jc w:val="center"/>
              <w:rPr>
                <w:rFonts w:hint="eastAsia" w:ascii="宋体" w:hAnsi="宋体" w:eastAsia="宋体"/>
              </w:rPr>
            </w:pPr>
          </w:p>
        </w:tc>
      </w:tr>
      <w:tr w14:paraId="36BE8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829E969">
            <w:pPr>
              <w:jc w:val="center"/>
              <w:rPr>
                <w:rFonts w:hint="eastAsia" w:ascii="宋体" w:hAnsi="宋体" w:eastAsia="宋体"/>
              </w:rPr>
            </w:pPr>
            <w:r>
              <w:rPr>
                <w:rFonts w:hint="eastAsia" w:ascii="宋体" w:hAnsi="宋体" w:eastAsia="宋体"/>
              </w:rPr>
              <w:t>1</w:t>
            </w:r>
          </w:p>
        </w:tc>
        <w:tc>
          <w:tcPr>
            <w:tcW w:w="1479" w:type="pct"/>
            <w:vAlign w:val="center"/>
          </w:tcPr>
          <w:p w14:paraId="6844BC8B">
            <w:pPr>
              <w:jc w:val="center"/>
              <w:rPr>
                <w:rFonts w:hint="eastAsia" w:ascii="宋体" w:hAnsi="宋体" w:eastAsia="宋体"/>
              </w:rPr>
            </w:pPr>
            <w:r>
              <w:rPr>
                <w:rFonts w:hint="eastAsia" w:ascii="宋体" w:hAnsi="宋体" w:eastAsia="宋体"/>
              </w:rPr>
              <w:t>自动焊接生产线</w:t>
            </w:r>
          </w:p>
        </w:tc>
        <w:tc>
          <w:tcPr>
            <w:tcW w:w="1571" w:type="pct"/>
            <w:vAlign w:val="center"/>
          </w:tcPr>
          <w:p w14:paraId="2DBB083F">
            <w:pPr>
              <w:jc w:val="center"/>
              <w:rPr>
                <w:rFonts w:hint="eastAsia" w:ascii="宋体" w:hAnsi="宋体" w:eastAsia="宋体"/>
              </w:rPr>
            </w:pPr>
            <w:r>
              <w:rPr>
                <w:rFonts w:hint="eastAsia" w:ascii="宋体" w:hAnsi="宋体" w:eastAsia="宋体"/>
              </w:rPr>
              <w:t>250</w:t>
            </w:r>
          </w:p>
        </w:tc>
        <w:tc>
          <w:tcPr>
            <w:tcW w:w="558" w:type="pct"/>
            <w:vAlign w:val="center"/>
          </w:tcPr>
          <w:p w14:paraId="3A637E4A">
            <w:pPr>
              <w:jc w:val="center"/>
              <w:rPr>
                <w:rFonts w:hint="eastAsia" w:ascii="宋体" w:hAnsi="宋体" w:eastAsia="宋体"/>
              </w:rPr>
            </w:pPr>
            <w:r>
              <w:rPr>
                <w:rFonts w:hint="eastAsia" w:ascii="宋体" w:hAnsi="宋体" w:eastAsia="宋体"/>
              </w:rPr>
              <w:t>双班</w:t>
            </w:r>
          </w:p>
        </w:tc>
        <w:tc>
          <w:tcPr>
            <w:tcW w:w="926" w:type="pct"/>
            <w:vAlign w:val="center"/>
          </w:tcPr>
          <w:p w14:paraId="1CD21DA2">
            <w:pPr>
              <w:jc w:val="center"/>
              <w:rPr>
                <w:rFonts w:hint="eastAsia" w:ascii="宋体" w:hAnsi="宋体" w:eastAsia="宋体"/>
              </w:rPr>
            </w:pPr>
            <w:r>
              <w:rPr>
                <w:rFonts w:hint="eastAsia" w:ascii="宋体" w:hAnsi="宋体" w:eastAsia="宋体"/>
              </w:rPr>
              <w:t>8</w:t>
            </w:r>
          </w:p>
        </w:tc>
      </w:tr>
    </w:tbl>
    <w:p w14:paraId="05A34280">
      <w:pPr>
        <w:snapToGrid w:val="0"/>
        <w:spacing w:line="360" w:lineRule="auto"/>
        <w:ind w:left="2100" w:leftChars="200" w:hanging="1680" w:hangingChars="700"/>
        <w:rPr>
          <w:rFonts w:hint="eastAsia" w:ascii="宋体" w:hAnsi="宋体" w:eastAsia="宋体" w:cs="宋体"/>
          <w:sz w:val="24"/>
          <w:szCs w:val="24"/>
        </w:rPr>
      </w:pPr>
      <w:bookmarkStart w:id="38" w:name="_Toc7543475"/>
      <w:r>
        <w:rPr>
          <w:rFonts w:hint="eastAsia" w:ascii="宋体" w:hAnsi="宋体" w:eastAsia="宋体" w:cs="宋体"/>
          <w:sz w:val="24"/>
          <w:szCs w:val="24"/>
        </w:rPr>
        <w:t>六、产品参数</w:t>
      </w:r>
      <w:bookmarkEnd w:id="38"/>
    </w:p>
    <w:p w14:paraId="34BE9BE5">
      <w:pPr>
        <w:spacing w:line="360" w:lineRule="auto"/>
        <w:ind w:firstLine="280" w:firstLineChars="100"/>
        <w:jc w:val="left"/>
        <w:rPr>
          <w:rFonts w:hint="eastAsia" w:ascii="宋体" w:hAnsi="宋体" w:eastAsia="宋体" w:cs="仿宋"/>
          <w:sz w:val="28"/>
          <w:szCs w:val="28"/>
        </w:rPr>
      </w:pPr>
      <w:r>
        <w:rPr>
          <w:rFonts w:hint="eastAsia" w:ascii="宋体" w:hAnsi="宋体" w:eastAsia="宋体" w:cs="仿宋"/>
          <w:sz w:val="28"/>
          <w:szCs w:val="28"/>
        </w:rPr>
        <w:t>1、驾驶室车型明细</w:t>
      </w:r>
    </w:p>
    <w:tbl>
      <w:tblPr>
        <w:tblStyle w:val="39"/>
        <w:tblW w:w="28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4429"/>
      </w:tblGrid>
      <w:tr w14:paraId="6E3C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19" w:type="pct"/>
            <w:vAlign w:val="center"/>
          </w:tcPr>
          <w:p w14:paraId="59FE096E">
            <w:pPr>
              <w:widowControl/>
              <w:jc w:val="center"/>
              <w:textAlignment w:val="center"/>
              <w:rPr>
                <w:rFonts w:hint="eastAsia" w:ascii="宋体" w:hAnsi="宋体" w:eastAsia="宋体" w:cs="Arial"/>
                <w:kern w:val="0"/>
                <w:szCs w:val="21"/>
              </w:rPr>
            </w:pPr>
            <w:r>
              <w:rPr>
                <w:rFonts w:hint="eastAsia" w:ascii="宋体" w:hAnsi="宋体" w:eastAsia="宋体" w:cs="Arial"/>
                <w:color w:val="000000" w:themeColor="dark1"/>
                <w:kern w:val="24"/>
                <w:szCs w:val="21"/>
                <w14:textFill>
                  <w14:solidFill>
                    <w14:schemeClr w14:val="dk1"/>
                  </w14:solidFill>
                </w14:textFill>
              </w:rPr>
              <w:t>序号</w:t>
            </w:r>
          </w:p>
        </w:tc>
        <w:tc>
          <w:tcPr>
            <w:tcW w:w="4181" w:type="pct"/>
            <w:vAlign w:val="center"/>
          </w:tcPr>
          <w:p w14:paraId="0FBB9589">
            <w:pPr>
              <w:widowControl/>
              <w:jc w:val="center"/>
              <w:textAlignment w:val="center"/>
              <w:rPr>
                <w:rFonts w:hint="eastAsia" w:ascii="宋体" w:hAnsi="宋体" w:eastAsia="宋体" w:cs="Arial"/>
                <w:kern w:val="0"/>
                <w:szCs w:val="21"/>
              </w:rPr>
            </w:pPr>
            <w:r>
              <w:rPr>
                <w:rFonts w:hint="eastAsia" w:ascii="宋体" w:hAnsi="宋体" w:eastAsia="宋体" w:cs="Arial"/>
                <w:color w:val="000000" w:themeColor="dark1"/>
                <w:kern w:val="24"/>
                <w:szCs w:val="21"/>
                <w14:textFill>
                  <w14:solidFill>
                    <w14:schemeClr w14:val="dk1"/>
                  </w14:solidFill>
                </w14:textFill>
              </w:rPr>
              <w:t>产品配置描述</w:t>
            </w:r>
          </w:p>
        </w:tc>
      </w:tr>
      <w:tr w14:paraId="7E1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19" w:type="pct"/>
            <w:vAlign w:val="center"/>
          </w:tcPr>
          <w:p w14:paraId="54DEA622">
            <w:pPr>
              <w:widowControl/>
              <w:jc w:val="center"/>
              <w:textAlignment w:val="center"/>
              <w:rPr>
                <w:rFonts w:hint="eastAsia" w:ascii="宋体" w:hAnsi="宋体" w:eastAsia="宋体" w:cs="Arial"/>
                <w:kern w:val="0"/>
                <w:szCs w:val="21"/>
              </w:rPr>
            </w:pPr>
            <w:r>
              <w:rPr>
                <w:rFonts w:ascii="宋体" w:hAnsi="宋体" w:eastAsia="宋体" w:cs="Times New Roman"/>
                <w:color w:val="000000" w:themeColor="dark1"/>
                <w:kern w:val="24"/>
                <w:szCs w:val="21"/>
                <w14:textFill>
                  <w14:solidFill>
                    <w14:schemeClr w14:val="dk1"/>
                  </w14:solidFill>
                </w14:textFill>
              </w:rPr>
              <w:t>1</w:t>
            </w:r>
          </w:p>
        </w:tc>
        <w:tc>
          <w:tcPr>
            <w:tcW w:w="4181" w:type="pct"/>
            <w:vAlign w:val="center"/>
          </w:tcPr>
          <w:p w14:paraId="0F780D1D">
            <w:pPr>
              <w:widowControl/>
              <w:jc w:val="center"/>
              <w:textAlignment w:val="center"/>
              <w:rPr>
                <w:rFonts w:hint="eastAsia" w:ascii="宋体" w:hAnsi="宋体" w:eastAsia="宋体" w:cs="Arial"/>
                <w:kern w:val="0"/>
                <w:szCs w:val="21"/>
              </w:rPr>
            </w:pPr>
            <w:r>
              <w:rPr>
                <w:rFonts w:hint="eastAsia" w:ascii="宋体" w:hAnsi="宋体" w:eastAsia="宋体" w:cs="Arial"/>
                <w:kern w:val="0"/>
                <w:szCs w:val="21"/>
              </w:rPr>
              <w:t>47后围分总成</w:t>
            </w:r>
          </w:p>
        </w:tc>
      </w:tr>
      <w:tr w14:paraId="4BD4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19" w:type="pct"/>
            <w:vAlign w:val="center"/>
          </w:tcPr>
          <w:p w14:paraId="1F8B7A53">
            <w:pPr>
              <w:widowControl/>
              <w:jc w:val="center"/>
              <w:textAlignment w:val="center"/>
              <w:rPr>
                <w:rFonts w:hint="eastAsia" w:ascii="宋体" w:hAnsi="宋体" w:eastAsia="宋体" w:cs="Arial"/>
                <w:kern w:val="0"/>
                <w:szCs w:val="21"/>
              </w:rPr>
            </w:pPr>
            <w:r>
              <w:rPr>
                <w:rFonts w:ascii="宋体" w:hAnsi="宋体" w:eastAsia="宋体" w:cs="Times New Roman"/>
                <w:color w:val="000000" w:themeColor="dark1"/>
                <w:kern w:val="24"/>
                <w:szCs w:val="21"/>
                <w14:textFill>
                  <w14:solidFill>
                    <w14:schemeClr w14:val="dk1"/>
                  </w14:solidFill>
                </w14:textFill>
              </w:rPr>
              <w:t>2</w:t>
            </w:r>
          </w:p>
        </w:tc>
        <w:tc>
          <w:tcPr>
            <w:tcW w:w="4181" w:type="pct"/>
            <w:vAlign w:val="center"/>
          </w:tcPr>
          <w:p w14:paraId="324B223F">
            <w:pPr>
              <w:widowControl/>
              <w:jc w:val="center"/>
              <w:textAlignment w:val="center"/>
              <w:rPr>
                <w:rFonts w:hint="eastAsia" w:ascii="宋体" w:hAnsi="宋体" w:eastAsia="宋体" w:cs="Arial"/>
                <w:kern w:val="0"/>
                <w:szCs w:val="21"/>
              </w:rPr>
            </w:pPr>
            <w:r>
              <w:rPr>
                <w:rFonts w:hint="eastAsia" w:ascii="宋体" w:hAnsi="宋体" w:eastAsia="宋体" w:cs="Arial"/>
                <w:kern w:val="0"/>
                <w:szCs w:val="21"/>
              </w:rPr>
              <w:t>37后围分总成</w:t>
            </w:r>
          </w:p>
        </w:tc>
      </w:tr>
      <w:tr w14:paraId="21F4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19" w:type="pct"/>
            <w:vAlign w:val="center"/>
          </w:tcPr>
          <w:p w14:paraId="22DBDAFE">
            <w:pPr>
              <w:widowControl/>
              <w:jc w:val="center"/>
              <w:textAlignment w:val="center"/>
              <w:rPr>
                <w:rFonts w:hint="eastAsia" w:ascii="宋体" w:hAnsi="宋体" w:eastAsia="宋体" w:cs="Arial"/>
                <w:kern w:val="0"/>
                <w:szCs w:val="21"/>
              </w:rPr>
            </w:pPr>
            <w:r>
              <w:rPr>
                <w:rFonts w:ascii="宋体" w:hAnsi="宋体" w:eastAsia="宋体" w:cs="Times New Roman"/>
                <w:color w:val="000000" w:themeColor="dark1"/>
                <w:kern w:val="24"/>
                <w:szCs w:val="21"/>
                <w14:textFill>
                  <w14:solidFill>
                    <w14:schemeClr w14:val="dk1"/>
                  </w14:solidFill>
                </w14:textFill>
              </w:rPr>
              <w:t>3</w:t>
            </w:r>
          </w:p>
        </w:tc>
        <w:tc>
          <w:tcPr>
            <w:tcW w:w="4181" w:type="pct"/>
            <w:vAlign w:val="center"/>
          </w:tcPr>
          <w:p w14:paraId="192864E8">
            <w:pPr>
              <w:widowControl/>
              <w:jc w:val="center"/>
              <w:textAlignment w:val="center"/>
              <w:rPr>
                <w:rFonts w:hint="eastAsia" w:ascii="宋体" w:hAnsi="宋体" w:eastAsia="宋体" w:cs="Arial"/>
                <w:kern w:val="0"/>
                <w:szCs w:val="21"/>
              </w:rPr>
            </w:pPr>
            <w:r>
              <w:rPr>
                <w:rFonts w:hint="eastAsia" w:ascii="宋体" w:hAnsi="宋体" w:eastAsia="宋体" w:cs="Arial"/>
                <w:color w:val="000000" w:themeColor="dark1"/>
                <w:kern w:val="24"/>
                <w:szCs w:val="21"/>
                <w14:textFill>
                  <w14:solidFill>
                    <w14:schemeClr w14:val="dk1"/>
                  </w14:solidFill>
                </w14:textFill>
              </w:rPr>
              <w:t>15</w:t>
            </w:r>
            <w:r>
              <w:rPr>
                <w:rFonts w:hint="eastAsia" w:ascii="宋体" w:hAnsi="宋体" w:eastAsia="宋体" w:cs="Arial"/>
                <w:kern w:val="0"/>
                <w:szCs w:val="21"/>
              </w:rPr>
              <w:t>后围分总成</w:t>
            </w:r>
          </w:p>
        </w:tc>
      </w:tr>
      <w:tr w14:paraId="679D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19" w:type="pct"/>
            <w:vAlign w:val="center"/>
          </w:tcPr>
          <w:p w14:paraId="009D6C1C">
            <w:pPr>
              <w:widowControl/>
              <w:jc w:val="center"/>
              <w:textAlignment w:val="center"/>
              <w:rPr>
                <w:rFonts w:hint="eastAsia" w:ascii="宋体" w:hAnsi="宋体" w:eastAsia="宋体" w:cs="Arial"/>
                <w:kern w:val="0"/>
                <w:szCs w:val="21"/>
              </w:rPr>
            </w:pPr>
            <w:r>
              <w:rPr>
                <w:rFonts w:ascii="宋体" w:hAnsi="宋体" w:eastAsia="宋体" w:cs="Times New Roman"/>
                <w:color w:val="000000" w:themeColor="dark1"/>
                <w:kern w:val="24"/>
                <w:szCs w:val="21"/>
                <w14:textFill>
                  <w14:solidFill>
                    <w14:schemeClr w14:val="dk1"/>
                  </w14:solidFill>
                </w14:textFill>
              </w:rPr>
              <w:t>4</w:t>
            </w:r>
          </w:p>
        </w:tc>
        <w:tc>
          <w:tcPr>
            <w:tcW w:w="4181" w:type="pct"/>
            <w:vAlign w:val="center"/>
          </w:tcPr>
          <w:p w14:paraId="368D33B7">
            <w:pPr>
              <w:widowControl/>
              <w:jc w:val="center"/>
              <w:textAlignment w:val="center"/>
              <w:rPr>
                <w:rFonts w:hint="eastAsia" w:ascii="宋体" w:hAnsi="宋体" w:eastAsia="宋体" w:cs="Arial"/>
                <w:kern w:val="0"/>
                <w:szCs w:val="21"/>
              </w:rPr>
            </w:pPr>
            <w:r>
              <w:rPr>
                <w:rFonts w:hint="eastAsia" w:ascii="宋体" w:hAnsi="宋体" w:eastAsia="宋体" w:cs="Arial"/>
                <w:color w:val="000000" w:themeColor="dark1"/>
                <w:kern w:val="24"/>
                <w:szCs w:val="21"/>
                <w14:textFill>
                  <w14:solidFill>
                    <w14:schemeClr w14:val="dk1"/>
                  </w14:solidFill>
                </w14:textFill>
              </w:rPr>
              <w:t>平后围分总成</w:t>
            </w:r>
          </w:p>
        </w:tc>
      </w:tr>
      <w:tr w14:paraId="2AE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19" w:type="pct"/>
            <w:vAlign w:val="center"/>
          </w:tcPr>
          <w:p w14:paraId="071F46C6">
            <w:pPr>
              <w:widowControl/>
              <w:jc w:val="center"/>
              <w:textAlignment w:val="center"/>
              <w:rPr>
                <w:rFonts w:ascii="宋体" w:hAnsi="宋体" w:eastAsia="宋体" w:cs="Times New Roman"/>
                <w:color w:val="000000" w:themeColor="dark1"/>
                <w:kern w:val="24"/>
                <w:szCs w:val="21"/>
                <w14:textFill>
                  <w14:solidFill>
                    <w14:schemeClr w14:val="dk1"/>
                  </w14:solidFill>
                </w14:textFill>
              </w:rPr>
            </w:pPr>
            <w:r>
              <w:rPr>
                <w:rFonts w:hint="eastAsia" w:ascii="宋体" w:hAnsi="宋体" w:eastAsia="宋体" w:cs="Times New Roman"/>
                <w:color w:val="000000" w:themeColor="dark1"/>
                <w:kern w:val="24"/>
                <w:szCs w:val="21"/>
                <w14:textFill>
                  <w14:solidFill>
                    <w14:schemeClr w14:val="dk1"/>
                  </w14:solidFill>
                </w14:textFill>
              </w:rPr>
              <w:t>5</w:t>
            </w:r>
          </w:p>
        </w:tc>
        <w:tc>
          <w:tcPr>
            <w:tcW w:w="4181" w:type="pct"/>
            <w:vAlign w:val="center"/>
          </w:tcPr>
          <w:p w14:paraId="7139B294">
            <w:pPr>
              <w:widowControl/>
              <w:jc w:val="center"/>
              <w:textAlignment w:val="center"/>
              <w:rPr>
                <w:rFonts w:hint="eastAsia" w:ascii="宋体" w:hAnsi="宋体" w:eastAsia="宋体" w:cs="Arial"/>
                <w:color w:val="000000" w:themeColor="dark1"/>
                <w:kern w:val="24"/>
                <w:szCs w:val="21"/>
                <w14:textFill>
                  <w14:solidFill>
                    <w14:schemeClr w14:val="dk1"/>
                  </w14:solidFill>
                </w14:textFill>
              </w:rPr>
            </w:pPr>
            <w:r>
              <w:rPr>
                <w:rFonts w:hint="eastAsia" w:ascii="宋体" w:hAnsi="宋体" w:eastAsia="宋体" w:cs="Arial"/>
                <w:color w:val="000000" w:themeColor="dark1"/>
                <w:kern w:val="24"/>
                <w:szCs w:val="21"/>
                <w14:textFill>
                  <w14:solidFill>
                    <w14:schemeClr w14:val="dk1"/>
                  </w14:solidFill>
                </w14:textFill>
              </w:rPr>
              <w:t>宽体前围模块外板分总成</w:t>
            </w:r>
          </w:p>
        </w:tc>
      </w:tr>
      <w:tr w14:paraId="3CAD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19" w:type="pct"/>
            <w:vAlign w:val="center"/>
          </w:tcPr>
          <w:p w14:paraId="6214B489">
            <w:pPr>
              <w:widowControl/>
              <w:jc w:val="center"/>
              <w:textAlignment w:val="center"/>
              <w:rPr>
                <w:rFonts w:hint="eastAsia" w:ascii="宋体" w:hAnsi="宋体" w:eastAsia="宋体" w:cs="Times New Roman"/>
                <w:color w:val="000000" w:themeColor="dark1"/>
                <w:kern w:val="24"/>
                <w:szCs w:val="21"/>
                <w14:textFill>
                  <w14:solidFill>
                    <w14:schemeClr w14:val="dk1"/>
                  </w14:solidFill>
                </w14:textFill>
              </w:rPr>
            </w:pPr>
            <w:r>
              <w:rPr>
                <w:rFonts w:hint="eastAsia" w:ascii="宋体" w:hAnsi="宋体" w:eastAsia="宋体" w:cs="Times New Roman"/>
                <w:color w:val="000000" w:themeColor="dark1"/>
                <w:kern w:val="24"/>
                <w:szCs w:val="21"/>
                <w14:textFill>
                  <w14:solidFill>
                    <w14:schemeClr w14:val="dk1"/>
                  </w14:solidFill>
                </w14:textFill>
              </w:rPr>
              <w:t>6</w:t>
            </w:r>
          </w:p>
        </w:tc>
        <w:tc>
          <w:tcPr>
            <w:tcW w:w="4181" w:type="pct"/>
            <w:vAlign w:val="center"/>
          </w:tcPr>
          <w:p w14:paraId="41205F26">
            <w:pPr>
              <w:widowControl/>
              <w:jc w:val="center"/>
              <w:textAlignment w:val="center"/>
              <w:rPr>
                <w:rFonts w:hint="eastAsia" w:ascii="宋体" w:hAnsi="宋体" w:eastAsia="宋体" w:cs="Arial"/>
                <w:color w:val="000000" w:themeColor="dark1"/>
                <w:kern w:val="24"/>
                <w:szCs w:val="21"/>
                <w14:textFill>
                  <w14:solidFill>
                    <w14:schemeClr w14:val="dk1"/>
                  </w14:solidFill>
                </w14:textFill>
              </w:rPr>
            </w:pPr>
            <w:r>
              <w:rPr>
                <w:rFonts w:hint="eastAsia" w:ascii="宋体" w:hAnsi="宋体" w:eastAsia="宋体" w:cs="Arial"/>
                <w:color w:val="000000" w:themeColor="dark1"/>
                <w:kern w:val="24"/>
                <w:szCs w:val="21"/>
                <w14:textFill>
                  <w14:solidFill>
                    <w14:schemeClr w14:val="dk1"/>
                  </w14:solidFill>
                </w14:textFill>
              </w:rPr>
              <w:t>中宽体前围模块外板分总成</w:t>
            </w:r>
          </w:p>
        </w:tc>
      </w:tr>
    </w:tbl>
    <w:p w14:paraId="69A0F5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七、使用地点区域自然环境：</w:t>
      </w:r>
    </w:p>
    <w:p w14:paraId="30FF8159">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三相交流电：380V±15%，50Hz±1%</w:t>
      </w:r>
    </w:p>
    <w:p w14:paraId="23C909D6">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单相交流电：220V±15%，50Hz±1%</w:t>
      </w:r>
    </w:p>
    <w:p w14:paraId="46D136F4">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压缩空气压力：0.4~0.6Mpa</w:t>
      </w:r>
    </w:p>
    <w:p w14:paraId="430E6611">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冷却水温度：＜32℃</w:t>
      </w:r>
    </w:p>
    <w:p w14:paraId="459F3F26">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冷却水压力：入口压力0.3-0.4MPa</w:t>
      </w:r>
    </w:p>
    <w:p w14:paraId="59D46D8D">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室外温度：-20℃~45℃</w:t>
      </w:r>
    </w:p>
    <w:p w14:paraId="64A122ED">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室内温度：-5℃~40℃</w:t>
      </w:r>
    </w:p>
    <w:p w14:paraId="2E3CB547">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环境相对湿度：在20℃时最大湿度为90%</w:t>
      </w:r>
    </w:p>
    <w:p w14:paraId="0EA08FCF">
      <w:pPr>
        <w:keepNext/>
        <w:keepLines/>
        <w:spacing w:before="120" w:after="120" w:line="360" w:lineRule="auto"/>
        <w:jc w:val="center"/>
        <w:outlineLvl w:val="1"/>
        <w:rPr>
          <w:rFonts w:ascii="Arial" w:hAnsi="Arial" w:eastAsia="宋体" w:cs="Times New Roman"/>
          <w:sz w:val="24"/>
          <w:szCs w:val="24"/>
        </w:rPr>
      </w:pPr>
      <w:bookmarkStart w:id="39" w:name="_Toc9658379"/>
      <w:r>
        <w:rPr>
          <w:rFonts w:hint="eastAsia" w:ascii="Arial" w:hAnsi="Arial" w:eastAsia="宋体" w:cs="Times New Roman"/>
          <w:sz w:val="24"/>
          <w:szCs w:val="24"/>
        </w:rPr>
        <w:t>第二节  采购货物概况</w:t>
      </w:r>
      <w:bookmarkEnd w:id="39"/>
    </w:p>
    <w:p w14:paraId="111D8806">
      <w:pPr>
        <w:snapToGrid w:val="0"/>
        <w:spacing w:line="360" w:lineRule="auto"/>
        <w:ind w:left="2107" w:leftChars="200" w:hanging="1687" w:hangingChars="700"/>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highlight w:val="none"/>
        </w:rPr>
        <w:t>汕德卡新增配置驾驶室设备工装</w:t>
      </w:r>
      <w:r>
        <w:rPr>
          <w:rFonts w:hint="eastAsia" w:ascii="宋体" w:hAnsi="宋体" w:eastAsia="宋体" w:cs="宋体"/>
          <w:sz w:val="24"/>
          <w:szCs w:val="24"/>
          <w:highlight w:val="none"/>
          <w:lang w:val="en-US" w:eastAsia="zh-CN"/>
        </w:rPr>
        <w:t>改造及</w:t>
      </w:r>
      <w:r>
        <w:rPr>
          <w:rFonts w:hint="eastAsia" w:ascii="宋体" w:hAnsi="宋体" w:eastAsia="宋体" w:cs="宋体"/>
          <w:sz w:val="24"/>
          <w:szCs w:val="24"/>
          <w:highlight w:val="none"/>
        </w:rPr>
        <w:t>更新</w:t>
      </w:r>
      <w:r>
        <w:rPr>
          <w:rFonts w:hint="eastAsia" w:ascii="宋体" w:hAnsi="宋体" w:eastAsia="宋体" w:cs="宋体"/>
          <w:sz w:val="24"/>
          <w:szCs w:val="24"/>
          <w:highlight w:val="none"/>
          <w:lang w:val="en-US" w:eastAsia="zh-CN"/>
        </w:rPr>
        <w:t>技改</w:t>
      </w:r>
      <w:r>
        <w:rPr>
          <w:rFonts w:hint="eastAsia" w:ascii="宋体" w:hAnsi="宋体" w:eastAsia="宋体" w:cs="宋体"/>
          <w:sz w:val="24"/>
          <w:szCs w:val="24"/>
          <w:highlight w:val="none"/>
        </w:rPr>
        <w:t>项目</w:t>
      </w:r>
      <w:r>
        <w:rPr>
          <w:rFonts w:hint="eastAsia" w:ascii="宋体" w:hAnsi="宋体" w:eastAsia="宋体" w:cs="宋体"/>
          <w:sz w:val="24"/>
          <w:szCs w:val="24"/>
        </w:rPr>
        <w:t>（详见下表）</w:t>
      </w:r>
    </w:p>
    <w:p w14:paraId="6BD7EAC4">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二、货物数量：</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rPr>
        <w:t>一宗</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rPr>
        <w:t>（详见下表）</w:t>
      </w:r>
    </w:p>
    <w:p w14:paraId="319FBBC7">
      <w:pPr>
        <w:spacing w:line="360" w:lineRule="auto"/>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三、分投分中：</w:t>
      </w:r>
      <w:r>
        <w:rPr>
          <w:rFonts w:hint="eastAsia" w:ascii="宋体" w:hAnsi="宋体" w:eastAsia="宋体" w:cs="宋体"/>
          <w:sz w:val="24"/>
          <w:szCs w:val="24"/>
          <w:u w:val="single"/>
          <w:shd w:val="pct10" w:color="auto" w:fill="FFFFFF"/>
        </w:rPr>
        <w:t>不允许</w:t>
      </w:r>
    </w:p>
    <w:p w14:paraId="3F6E3C1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p w14:paraId="394C54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主要供货明细详见下表：</w:t>
      </w:r>
    </w:p>
    <w:tbl>
      <w:tblPr>
        <w:tblStyle w:val="40"/>
        <w:tblW w:w="9464" w:type="dxa"/>
        <w:tblInd w:w="35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3451"/>
        <w:gridCol w:w="942"/>
        <w:gridCol w:w="4247"/>
      </w:tblGrid>
      <w:tr w14:paraId="08022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14:paraId="500A2205">
            <w:pPr>
              <w:jc w:val="center"/>
              <w:rPr>
                <w:rFonts w:hint="eastAsia"/>
                <w:b/>
                <w:bCs/>
              </w:rPr>
            </w:pPr>
            <w:r>
              <w:rPr>
                <w:rFonts w:hint="eastAsia"/>
                <w:b/>
                <w:bCs/>
              </w:rPr>
              <w:t>No.</w:t>
            </w:r>
          </w:p>
        </w:tc>
        <w:tc>
          <w:tcPr>
            <w:tcW w:w="3451" w:type="dxa"/>
            <w:vAlign w:val="center"/>
          </w:tcPr>
          <w:p w14:paraId="5A81CA39">
            <w:pPr>
              <w:jc w:val="center"/>
              <w:rPr>
                <w:rFonts w:hint="eastAsia"/>
                <w:b/>
                <w:bCs/>
              </w:rPr>
            </w:pPr>
            <w:r>
              <w:rPr>
                <w:rFonts w:hint="eastAsia"/>
                <w:b/>
                <w:bCs/>
              </w:rPr>
              <w:t>内容</w:t>
            </w:r>
          </w:p>
        </w:tc>
        <w:tc>
          <w:tcPr>
            <w:tcW w:w="942" w:type="dxa"/>
            <w:vAlign w:val="center"/>
          </w:tcPr>
          <w:p w14:paraId="0EBEEA95">
            <w:pPr>
              <w:jc w:val="center"/>
              <w:rPr>
                <w:rFonts w:hint="eastAsia"/>
                <w:b/>
                <w:bCs/>
              </w:rPr>
            </w:pPr>
            <w:r>
              <w:rPr>
                <w:rFonts w:hint="eastAsia"/>
                <w:b/>
                <w:bCs/>
              </w:rPr>
              <w:t>数量</w:t>
            </w:r>
          </w:p>
        </w:tc>
        <w:tc>
          <w:tcPr>
            <w:tcW w:w="4247" w:type="dxa"/>
            <w:vAlign w:val="center"/>
          </w:tcPr>
          <w:p w14:paraId="15822A62">
            <w:pPr>
              <w:jc w:val="center"/>
              <w:rPr>
                <w:rFonts w:hint="eastAsia"/>
                <w:b/>
                <w:bCs/>
              </w:rPr>
            </w:pPr>
            <w:r>
              <w:rPr>
                <w:rFonts w:hint="eastAsia"/>
                <w:b/>
                <w:bCs/>
              </w:rPr>
              <w:t>备注</w:t>
            </w:r>
          </w:p>
        </w:tc>
      </w:tr>
      <w:tr w14:paraId="65DC9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24" w:type="dxa"/>
            <w:vAlign w:val="center"/>
          </w:tcPr>
          <w:p w14:paraId="72F3D005">
            <w:pPr>
              <w:jc w:val="center"/>
              <w:rPr>
                <w:rFonts w:hint="eastAsia"/>
              </w:rPr>
            </w:pPr>
            <w:r>
              <w:rPr>
                <w:rFonts w:hint="eastAsia"/>
              </w:rPr>
              <w:t>1</w:t>
            </w:r>
          </w:p>
        </w:tc>
        <w:tc>
          <w:tcPr>
            <w:tcW w:w="3451" w:type="dxa"/>
            <w:vAlign w:val="center"/>
          </w:tcPr>
          <w:p w14:paraId="2CCF812B">
            <w:pPr>
              <w:jc w:val="center"/>
              <w:rPr>
                <w:rFonts w:hint="eastAsia"/>
                <w:highlight w:val="none"/>
              </w:rPr>
            </w:pPr>
            <w:r>
              <w:rPr>
                <w:rFonts w:hint="eastAsia"/>
                <w:highlight w:val="none"/>
              </w:rPr>
              <w:t>后围自动化单元改造</w:t>
            </w:r>
          </w:p>
        </w:tc>
        <w:tc>
          <w:tcPr>
            <w:tcW w:w="942" w:type="dxa"/>
            <w:vAlign w:val="center"/>
          </w:tcPr>
          <w:p w14:paraId="07C849A6">
            <w:pPr>
              <w:jc w:val="center"/>
              <w:rPr>
                <w:rFonts w:hint="eastAsia"/>
                <w:highlight w:val="none"/>
              </w:rPr>
            </w:pPr>
            <w:r>
              <w:rPr>
                <w:rFonts w:hint="eastAsia"/>
                <w:highlight w:val="none"/>
              </w:rPr>
              <w:t>1套</w:t>
            </w:r>
          </w:p>
        </w:tc>
        <w:tc>
          <w:tcPr>
            <w:tcW w:w="4247" w:type="dxa"/>
            <w:vAlign w:val="center"/>
          </w:tcPr>
          <w:p w14:paraId="59FE5255">
            <w:pPr>
              <w:jc w:val="left"/>
              <w:rPr>
                <w:rFonts w:hint="eastAsia"/>
                <w:highlight w:val="none"/>
              </w:rPr>
            </w:pPr>
            <w:r>
              <w:rPr>
                <w:rFonts w:hint="eastAsia"/>
                <w:highlight w:val="none"/>
              </w:rPr>
              <w:t>对后围夹具进行改造并对后围自动化单元以及主焊线自动化单元进行机器人调试、修改PLC程序增加相应识别功能和程序，满足赢彻驾驶室以及后围进气道加强板驾驶室的批量生产要求</w:t>
            </w:r>
          </w:p>
        </w:tc>
      </w:tr>
      <w:tr w14:paraId="6A80C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24" w:type="dxa"/>
            <w:vAlign w:val="center"/>
          </w:tcPr>
          <w:p w14:paraId="147F6905">
            <w:pPr>
              <w:jc w:val="center"/>
              <w:rPr>
                <w:rFonts w:hint="eastAsia"/>
              </w:rPr>
            </w:pPr>
            <w:r>
              <w:rPr>
                <w:rFonts w:hint="eastAsia"/>
              </w:rPr>
              <w:t>2</w:t>
            </w:r>
          </w:p>
        </w:tc>
        <w:tc>
          <w:tcPr>
            <w:tcW w:w="3451" w:type="dxa"/>
            <w:vAlign w:val="center"/>
          </w:tcPr>
          <w:p w14:paraId="7FABC5CA">
            <w:pPr>
              <w:jc w:val="center"/>
              <w:rPr>
                <w:rFonts w:hint="eastAsia"/>
                <w:highlight w:val="none"/>
              </w:rPr>
            </w:pPr>
            <w:r>
              <w:rPr>
                <w:rFonts w:hint="eastAsia"/>
                <w:highlight w:val="none"/>
              </w:rPr>
              <w:t>前围模块抓手</w:t>
            </w:r>
          </w:p>
        </w:tc>
        <w:tc>
          <w:tcPr>
            <w:tcW w:w="942" w:type="dxa"/>
            <w:vAlign w:val="center"/>
          </w:tcPr>
          <w:p w14:paraId="11A4585F">
            <w:pPr>
              <w:jc w:val="center"/>
              <w:rPr>
                <w:rFonts w:hint="eastAsia"/>
                <w:highlight w:val="none"/>
              </w:rPr>
            </w:pPr>
            <w:r>
              <w:rPr>
                <w:rFonts w:hint="eastAsia"/>
                <w:highlight w:val="none"/>
              </w:rPr>
              <w:t>2套</w:t>
            </w:r>
          </w:p>
        </w:tc>
        <w:tc>
          <w:tcPr>
            <w:tcW w:w="4247" w:type="dxa"/>
            <w:vAlign w:val="center"/>
          </w:tcPr>
          <w:p w14:paraId="1461D8B0">
            <w:pPr>
              <w:jc w:val="left"/>
              <w:rPr>
                <w:rFonts w:hint="eastAsia"/>
                <w:highlight w:val="none"/>
              </w:rPr>
            </w:pPr>
            <w:r>
              <w:rPr>
                <w:rFonts w:hint="eastAsia"/>
                <w:highlight w:val="none"/>
              </w:rPr>
              <w:t>增加压铆螺母前围模块抓手，共计2个铆接站，每套抓手兼容宽体和中宽体前围零件铆接搬运作业，解决汕德卡驾驶室前围电器盒漏雨问题以及汕德卡前围模块外板新增压铆螺母后的产品批量生产。</w:t>
            </w:r>
          </w:p>
        </w:tc>
      </w:tr>
    </w:tbl>
    <w:p w14:paraId="07EB67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1ED7C3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表“供货方式”：交钥匙方式——投标方应根据招标方提供的产品数据、车型规划、生产纲领及节拍、安全要求、技术要求、质量要求、厂房及能源信息、基础方案等信息，完成生产线的设计、加工、采购、制造、集成、运输、安装、调试、试生产、量产、终验收、售后保障等全部工作，并对项目的最终成功交付负全部责任。</w:t>
      </w:r>
    </w:p>
    <w:p w14:paraId="145B253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bidi="ar"/>
        </w:rPr>
        <w:t>四、采购货物特别说明</w:t>
      </w:r>
    </w:p>
    <w:p w14:paraId="15DD6A30">
      <w:pPr>
        <w:spacing w:line="360" w:lineRule="auto"/>
        <w:ind w:firstLine="480" w:firstLineChars="200"/>
        <w:rPr>
          <w:rFonts w:hint="eastAsia" w:ascii="宋体" w:hAnsi="宋体" w:eastAsia="宋体" w:cs="宋体"/>
          <w:sz w:val="24"/>
          <w:szCs w:val="24"/>
        </w:rPr>
      </w:pPr>
      <w:bookmarkStart w:id="40" w:name="_Toc9658380"/>
      <w:r>
        <w:rPr>
          <w:rFonts w:hint="eastAsia" w:ascii="宋体" w:hAnsi="宋体" w:eastAsia="宋体" w:cs="宋体"/>
          <w:sz w:val="24"/>
          <w:szCs w:val="24"/>
        </w:rPr>
        <w:t>1.主要外购部件/材料选型表</w:t>
      </w:r>
    </w:p>
    <w:p w14:paraId="3A838A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1）所有的用电设备必须符合中国的标准，投标方应主动保证所提供的设备符合或通过中国法规的认证。</w:t>
      </w:r>
    </w:p>
    <w:p w14:paraId="075268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2）在投标方设备选型时，机械和电气元件尽可能选用同型号或种类的产品，以便减少备品备件种类。</w:t>
      </w:r>
    </w:p>
    <w:p w14:paraId="55D2DA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3）对于设备的品牌和材料，本协议未明确指定的，首先由投标方提出建议，最终经招标方评审通过并书面确认后实施。</w:t>
      </w:r>
    </w:p>
    <w:p w14:paraId="2A033E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4）所有备件需要提供购买合同证明。</w:t>
      </w:r>
    </w:p>
    <w:p w14:paraId="687996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5）投标时，提供详细的部件清单，包括型号、数量。原则上投标方应尽量选择下方推荐标表中的品牌，如不能，需使用不低于推荐表中的品牌档次的产品，并在偏离中注明。</w:t>
      </w:r>
    </w:p>
    <w:p w14:paraId="1DFB5924">
      <w:pPr>
        <w:widowControl/>
        <w:spacing w:line="440" w:lineRule="exact"/>
        <w:ind w:firstLine="480" w:firstLineChars="200"/>
        <w:contextualSpacing/>
        <w:jc w:val="left"/>
        <w:rPr>
          <w:rFonts w:hint="eastAsia" w:ascii="宋体" w:hAnsi="宋体" w:eastAsia="宋体" w:cs="Times New Roman"/>
          <w:sz w:val="24"/>
          <w:szCs w:val="24"/>
        </w:rPr>
      </w:pPr>
      <w:r>
        <w:rPr>
          <w:rFonts w:hint="eastAsia" w:ascii="宋体" w:hAnsi="宋体" w:eastAsia="宋体" w:cs="Times New Roman"/>
          <w:sz w:val="24"/>
          <w:szCs w:val="24"/>
        </w:rPr>
        <w:t>招标方推荐设备品牌选择清单如下表所示：</w:t>
      </w:r>
    </w:p>
    <w:tbl>
      <w:tblPr>
        <w:tblStyle w:val="40"/>
        <w:tblW w:w="91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58"/>
        <w:gridCol w:w="164"/>
        <w:gridCol w:w="2967"/>
        <w:gridCol w:w="19"/>
        <w:gridCol w:w="1581"/>
        <w:gridCol w:w="613"/>
        <w:gridCol w:w="215"/>
        <w:gridCol w:w="574"/>
        <w:gridCol w:w="2089"/>
        <w:gridCol w:w="31"/>
        <w:gridCol w:w="67"/>
        <w:gridCol w:w="74"/>
      </w:tblGrid>
      <w:tr w14:paraId="3D047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4" w:type="dxa"/>
          <w:jc w:val="center"/>
        </w:trPr>
        <w:tc>
          <w:tcPr>
            <w:tcW w:w="9106" w:type="dxa"/>
            <w:gridSpan w:val="12"/>
            <w:tcBorders>
              <w:top w:val="single" w:color="auto" w:sz="12" w:space="0"/>
            </w:tcBorders>
          </w:tcPr>
          <w:p w14:paraId="58776BE5">
            <w:pPr>
              <w:rPr>
                <w:rFonts w:hint="eastAsia" w:ascii="宋体" w:hAnsi="宋体" w:eastAsia="宋体" w:cs="宋体"/>
                <w:b/>
                <w:sz w:val="24"/>
                <w:szCs w:val="24"/>
              </w:rPr>
            </w:pPr>
            <w:bookmarkStart w:id="41" w:name="_Hlk58700219"/>
            <w:r>
              <w:rPr>
                <w:rFonts w:hint="eastAsia" w:ascii="宋体" w:hAnsi="宋体" w:eastAsia="宋体" w:cs="宋体"/>
                <w:b/>
                <w:sz w:val="24"/>
                <w:szCs w:val="24"/>
              </w:rPr>
              <w:t>机械类</w:t>
            </w:r>
          </w:p>
        </w:tc>
      </w:tr>
      <w:tr w14:paraId="4427B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12" w:space="0"/>
              <w:bottom w:val="single" w:color="auto" w:sz="12" w:space="0"/>
            </w:tcBorders>
            <w:vAlign w:val="center"/>
          </w:tcPr>
          <w:p w14:paraId="2F27BA52">
            <w:pPr>
              <w:jc w:val="center"/>
              <w:rPr>
                <w:rFonts w:hint="eastAsia" w:ascii="宋体" w:hAnsi="宋体" w:eastAsia="宋体" w:cs="宋体"/>
                <w:b/>
                <w:sz w:val="24"/>
                <w:szCs w:val="24"/>
              </w:rPr>
            </w:pPr>
            <w:bookmarkStart w:id="42" w:name="_Hlk58654653"/>
            <w:r>
              <w:rPr>
                <w:rFonts w:hint="eastAsia" w:ascii="宋体" w:hAnsi="宋体" w:eastAsia="宋体" w:cs="宋体"/>
                <w:b/>
                <w:sz w:val="24"/>
                <w:szCs w:val="24"/>
              </w:rPr>
              <w:t>NO.</w:t>
            </w:r>
          </w:p>
        </w:tc>
        <w:tc>
          <w:tcPr>
            <w:tcW w:w="3208" w:type="dxa"/>
            <w:gridSpan w:val="4"/>
            <w:tcBorders>
              <w:top w:val="single" w:color="auto" w:sz="12" w:space="0"/>
              <w:bottom w:val="single" w:color="auto" w:sz="12" w:space="0"/>
            </w:tcBorders>
            <w:vAlign w:val="center"/>
          </w:tcPr>
          <w:p w14:paraId="23FEC414">
            <w:pPr>
              <w:jc w:val="center"/>
              <w:rPr>
                <w:rFonts w:hint="eastAsia" w:ascii="宋体" w:hAnsi="宋体" w:eastAsia="宋体" w:cs="宋体"/>
                <w:b/>
                <w:sz w:val="24"/>
                <w:szCs w:val="24"/>
              </w:rPr>
            </w:pPr>
            <w:r>
              <w:rPr>
                <w:rFonts w:hint="eastAsia" w:ascii="宋体" w:hAnsi="宋体" w:eastAsia="宋体" w:cs="宋体"/>
                <w:b/>
                <w:sz w:val="24"/>
                <w:szCs w:val="24"/>
              </w:rPr>
              <w:t>设备名称</w:t>
            </w:r>
          </w:p>
        </w:tc>
        <w:tc>
          <w:tcPr>
            <w:tcW w:w="2194" w:type="dxa"/>
            <w:gridSpan w:val="2"/>
            <w:tcBorders>
              <w:top w:val="single" w:color="auto" w:sz="12" w:space="0"/>
              <w:bottom w:val="single" w:color="auto" w:sz="12" w:space="0"/>
            </w:tcBorders>
            <w:vAlign w:val="center"/>
          </w:tcPr>
          <w:p w14:paraId="63E7FD5A">
            <w:pPr>
              <w:jc w:val="center"/>
              <w:rPr>
                <w:rFonts w:hint="eastAsia" w:ascii="宋体" w:hAnsi="宋体" w:eastAsia="宋体" w:cs="宋体"/>
                <w:b/>
                <w:sz w:val="24"/>
                <w:szCs w:val="24"/>
              </w:rPr>
            </w:pPr>
            <w:r>
              <w:rPr>
                <w:rFonts w:hint="eastAsia" w:ascii="宋体" w:hAnsi="宋体" w:eastAsia="宋体" w:cs="宋体"/>
                <w:b/>
                <w:sz w:val="24"/>
                <w:szCs w:val="24"/>
              </w:rPr>
              <w:t>推荐品牌</w:t>
            </w:r>
          </w:p>
        </w:tc>
        <w:tc>
          <w:tcPr>
            <w:tcW w:w="3050" w:type="dxa"/>
            <w:gridSpan w:val="6"/>
            <w:tcBorders>
              <w:top w:val="single" w:color="auto" w:sz="12" w:space="0"/>
            </w:tcBorders>
            <w:vAlign w:val="center"/>
          </w:tcPr>
          <w:p w14:paraId="0EA2E4FF">
            <w:pPr>
              <w:jc w:val="center"/>
              <w:rPr>
                <w:rFonts w:hint="eastAsia" w:ascii="宋体" w:hAnsi="宋体" w:eastAsia="宋体" w:cs="宋体"/>
                <w:b/>
                <w:sz w:val="24"/>
                <w:szCs w:val="24"/>
              </w:rPr>
            </w:pPr>
            <w:r>
              <w:rPr>
                <w:rFonts w:hint="eastAsia" w:ascii="宋体" w:hAnsi="宋体" w:eastAsia="宋体" w:cs="宋体"/>
                <w:b/>
                <w:sz w:val="24"/>
                <w:szCs w:val="24"/>
              </w:rPr>
              <w:t>说明</w:t>
            </w:r>
          </w:p>
        </w:tc>
      </w:tr>
      <w:bookmarkEnd w:id="42"/>
      <w:tr w14:paraId="5B9EE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12" w:space="0"/>
            </w:tcBorders>
            <w:vAlign w:val="center"/>
          </w:tcPr>
          <w:p w14:paraId="68E10B22">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w:t>
            </w:r>
          </w:p>
        </w:tc>
        <w:tc>
          <w:tcPr>
            <w:tcW w:w="3208" w:type="dxa"/>
            <w:gridSpan w:val="4"/>
            <w:tcBorders>
              <w:top w:val="single" w:color="auto" w:sz="12" w:space="0"/>
            </w:tcBorders>
            <w:vAlign w:val="center"/>
          </w:tcPr>
          <w:p w14:paraId="3A4D9DF6">
            <w:pPr>
              <w:rPr>
                <w:rFonts w:hint="eastAsia" w:ascii="宋体" w:hAnsi="宋体" w:eastAsia="宋体" w:cs="宋体"/>
                <w:sz w:val="24"/>
                <w:szCs w:val="24"/>
              </w:rPr>
            </w:pPr>
            <w:r>
              <w:rPr>
                <w:rFonts w:hint="eastAsia" w:ascii="宋体" w:hAnsi="宋体" w:eastAsia="宋体" w:cs="宋体"/>
                <w:sz w:val="24"/>
                <w:szCs w:val="24"/>
              </w:rPr>
              <w:t>气缸（方缸）</w:t>
            </w:r>
          </w:p>
        </w:tc>
        <w:tc>
          <w:tcPr>
            <w:tcW w:w="2194" w:type="dxa"/>
            <w:gridSpan w:val="2"/>
            <w:tcBorders>
              <w:top w:val="single" w:color="auto" w:sz="12" w:space="0"/>
            </w:tcBorders>
            <w:vAlign w:val="center"/>
          </w:tcPr>
          <w:p w14:paraId="6DEB1F7E">
            <w:pPr>
              <w:rPr>
                <w:rFonts w:hint="eastAsia" w:ascii="宋体" w:hAnsi="宋体" w:eastAsia="宋体" w:cs="宋体"/>
                <w:sz w:val="24"/>
                <w:szCs w:val="24"/>
              </w:rPr>
            </w:pPr>
            <w:r>
              <w:rPr>
                <w:rFonts w:hint="eastAsia" w:ascii="宋体" w:hAnsi="宋体" w:eastAsia="宋体" w:cs="宋体"/>
                <w:sz w:val="24"/>
                <w:szCs w:val="24"/>
              </w:rPr>
              <w:t>DESTACO、Tunkers、SMC</w:t>
            </w:r>
          </w:p>
        </w:tc>
        <w:tc>
          <w:tcPr>
            <w:tcW w:w="3050" w:type="dxa"/>
            <w:gridSpan w:val="6"/>
            <w:tcBorders>
              <w:top w:val="single" w:color="auto" w:sz="12" w:space="0"/>
            </w:tcBorders>
            <w:vAlign w:val="center"/>
          </w:tcPr>
          <w:p w14:paraId="5E8B1FD6">
            <w:pPr>
              <w:rPr>
                <w:rFonts w:hint="eastAsia" w:ascii="宋体" w:hAnsi="宋体" w:eastAsia="宋体" w:cs="宋体"/>
                <w:sz w:val="24"/>
                <w:szCs w:val="24"/>
              </w:rPr>
            </w:pPr>
          </w:p>
        </w:tc>
      </w:tr>
      <w:tr w14:paraId="3F23D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7585F7B5">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w:t>
            </w:r>
          </w:p>
        </w:tc>
        <w:tc>
          <w:tcPr>
            <w:tcW w:w="3208" w:type="dxa"/>
            <w:gridSpan w:val="4"/>
            <w:vAlign w:val="center"/>
          </w:tcPr>
          <w:p w14:paraId="550DFFAD">
            <w:pPr>
              <w:rPr>
                <w:rFonts w:hint="eastAsia" w:ascii="宋体" w:hAnsi="宋体" w:eastAsia="宋体" w:cs="宋体"/>
                <w:sz w:val="24"/>
                <w:szCs w:val="24"/>
              </w:rPr>
            </w:pPr>
            <w:r>
              <w:rPr>
                <w:rFonts w:hint="eastAsia" w:ascii="宋体" w:hAnsi="宋体" w:eastAsia="宋体" w:cs="宋体"/>
                <w:sz w:val="24"/>
                <w:szCs w:val="24"/>
              </w:rPr>
              <w:t>气缸（圆缸）</w:t>
            </w:r>
          </w:p>
        </w:tc>
        <w:tc>
          <w:tcPr>
            <w:tcW w:w="2194" w:type="dxa"/>
            <w:gridSpan w:val="2"/>
            <w:vAlign w:val="center"/>
          </w:tcPr>
          <w:p w14:paraId="412B4FD1">
            <w:pPr>
              <w:jc w:val="left"/>
              <w:rPr>
                <w:rFonts w:hint="eastAsia" w:ascii="宋体" w:hAnsi="宋体" w:eastAsia="宋体" w:cs="宋体"/>
                <w:sz w:val="24"/>
                <w:szCs w:val="24"/>
              </w:rPr>
            </w:pPr>
            <w:r>
              <w:rPr>
                <w:rFonts w:hint="eastAsia" w:ascii="宋体" w:hAnsi="宋体" w:eastAsia="宋体" w:cs="宋体"/>
                <w:sz w:val="24"/>
                <w:szCs w:val="24"/>
              </w:rPr>
              <w:t>Festo、SMC</w:t>
            </w:r>
          </w:p>
        </w:tc>
        <w:tc>
          <w:tcPr>
            <w:tcW w:w="3050" w:type="dxa"/>
            <w:gridSpan w:val="6"/>
            <w:vAlign w:val="center"/>
          </w:tcPr>
          <w:p w14:paraId="7CD64666">
            <w:pPr>
              <w:rPr>
                <w:rFonts w:hint="eastAsia" w:ascii="宋体" w:hAnsi="宋体" w:eastAsia="宋体" w:cs="宋体"/>
                <w:sz w:val="24"/>
                <w:szCs w:val="24"/>
              </w:rPr>
            </w:pPr>
            <w:r>
              <w:rPr>
                <w:rFonts w:hint="eastAsia" w:ascii="宋体" w:hAnsi="宋体" w:eastAsia="宋体" w:cs="宋体"/>
                <w:sz w:val="24"/>
                <w:szCs w:val="24"/>
              </w:rPr>
              <w:t>防焊渣型、适用于支流焊接、具备自锁功能</w:t>
            </w:r>
          </w:p>
        </w:tc>
      </w:tr>
      <w:tr w14:paraId="489E0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7D0D461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3</w:t>
            </w:r>
          </w:p>
        </w:tc>
        <w:tc>
          <w:tcPr>
            <w:tcW w:w="3208" w:type="dxa"/>
            <w:gridSpan w:val="4"/>
            <w:vAlign w:val="center"/>
          </w:tcPr>
          <w:p w14:paraId="38AECF3F">
            <w:pPr>
              <w:rPr>
                <w:rFonts w:hint="eastAsia" w:ascii="宋体" w:hAnsi="宋体" w:eastAsia="宋体" w:cs="宋体"/>
                <w:sz w:val="24"/>
                <w:szCs w:val="24"/>
              </w:rPr>
            </w:pPr>
            <w:r>
              <w:rPr>
                <w:rFonts w:hint="eastAsia" w:ascii="宋体" w:hAnsi="宋体" w:eastAsia="宋体" w:cs="宋体"/>
                <w:sz w:val="24"/>
                <w:szCs w:val="24"/>
              </w:rPr>
              <w:t>气管、接头、气源处理、气动控制元件</w:t>
            </w:r>
          </w:p>
        </w:tc>
        <w:tc>
          <w:tcPr>
            <w:tcW w:w="2194" w:type="dxa"/>
            <w:gridSpan w:val="2"/>
            <w:vAlign w:val="center"/>
          </w:tcPr>
          <w:p w14:paraId="148EF472">
            <w:pPr>
              <w:jc w:val="left"/>
              <w:rPr>
                <w:rFonts w:hint="eastAsia" w:ascii="宋体" w:hAnsi="宋体" w:eastAsia="宋体" w:cs="宋体"/>
                <w:sz w:val="24"/>
                <w:szCs w:val="24"/>
              </w:rPr>
            </w:pPr>
            <w:r>
              <w:rPr>
                <w:rFonts w:hint="eastAsia" w:ascii="宋体" w:hAnsi="宋体" w:eastAsia="宋体" w:cs="宋体"/>
                <w:sz w:val="24"/>
                <w:szCs w:val="24"/>
              </w:rPr>
              <w:t>Festo、COMOZZI、SMC</w:t>
            </w:r>
          </w:p>
        </w:tc>
        <w:tc>
          <w:tcPr>
            <w:tcW w:w="3050" w:type="dxa"/>
            <w:gridSpan w:val="6"/>
            <w:vAlign w:val="center"/>
          </w:tcPr>
          <w:p w14:paraId="565E8EE2">
            <w:pPr>
              <w:rPr>
                <w:rFonts w:hint="eastAsia" w:ascii="宋体" w:hAnsi="宋体" w:eastAsia="宋体" w:cs="宋体"/>
                <w:sz w:val="24"/>
                <w:szCs w:val="24"/>
              </w:rPr>
            </w:pPr>
            <w:r>
              <w:rPr>
                <w:rFonts w:hint="eastAsia" w:ascii="宋体" w:hAnsi="宋体" w:eastAsia="宋体" w:cs="宋体"/>
                <w:sz w:val="24"/>
                <w:szCs w:val="24"/>
              </w:rPr>
              <w:t>气管为双层阻燃</w:t>
            </w:r>
          </w:p>
        </w:tc>
      </w:tr>
      <w:tr w14:paraId="1F2A4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665B445A">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4</w:t>
            </w:r>
          </w:p>
        </w:tc>
        <w:tc>
          <w:tcPr>
            <w:tcW w:w="3208" w:type="dxa"/>
            <w:gridSpan w:val="4"/>
            <w:vAlign w:val="center"/>
          </w:tcPr>
          <w:p w14:paraId="6294B9BC">
            <w:pPr>
              <w:rPr>
                <w:rFonts w:hint="eastAsia" w:ascii="宋体" w:hAnsi="宋体" w:eastAsia="宋体" w:cs="宋体"/>
                <w:sz w:val="24"/>
                <w:szCs w:val="24"/>
              </w:rPr>
            </w:pPr>
            <w:r>
              <w:rPr>
                <w:rFonts w:hint="eastAsia" w:ascii="宋体" w:hAnsi="宋体" w:eastAsia="宋体" w:cs="宋体"/>
                <w:sz w:val="24"/>
                <w:szCs w:val="24"/>
              </w:rPr>
              <w:t>阀岛</w:t>
            </w:r>
          </w:p>
        </w:tc>
        <w:tc>
          <w:tcPr>
            <w:tcW w:w="2194" w:type="dxa"/>
            <w:gridSpan w:val="2"/>
            <w:vAlign w:val="center"/>
          </w:tcPr>
          <w:p w14:paraId="440F6635">
            <w:pPr>
              <w:jc w:val="left"/>
              <w:rPr>
                <w:rFonts w:hint="eastAsia" w:ascii="宋体" w:hAnsi="宋体" w:eastAsia="宋体" w:cs="宋体"/>
                <w:sz w:val="24"/>
                <w:szCs w:val="24"/>
              </w:rPr>
            </w:pPr>
            <w:r>
              <w:rPr>
                <w:rFonts w:hint="eastAsia" w:ascii="宋体" w:hAnsi="宋体" w:eastAsia="宋体" w:cs="宋体"/>
                <w:sz w:val="24"/>
                <w:szCs w:val="24"/>
              </w:rPr>
              <w:t>Festo、SMC</w:t>
            </w:r>
          </w:p>
        </w:tc>
        <w:tc>
          <w:tcPr>
            <w:tcW w:w="3050" w:type="dxa"/>
            <w:gridSpan w:val="6"/>
            <w:vAlign w:val="center"/>
          </w:tcPr>
          <w:p w14:paraId="5AC0626B">
            <w:pPr>
              <w:rPr>
                <w:rFonts w:hint="eastAsia" w:ascii="宋体" w:hAnsi="宋体" w:eastAsia="宋体" w:cs="宋体"/>
                <w:sz w:val="24"/>
                <w:szCs w:val="24"/>
              </w:rPr>
            </w:pPr>
          </w:p>
        </w:tc>
      </w:tr>
      <w:tr w14:paraId="11C80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639D1DF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5</w:t>
            </w:r>
          </w:p>
        </w:tc>
        <w:tc>
          <w:tcPr>
            <w:tcW w:w="3208" w:type="dxa"/>
            <w:gridSpan w:val="4"/>
            <w:vAlign w:val="center"/>
          </w:tcPr>
          <w:p w14:paraId="39E1DC71">
            <w:pPr>
              <w:rPr>
                <w:rFonts w:hint="eastAsia" w:ascii="宋体" w:hAnsi="宋体" w:eastAsia="宋体" w:cs="宋体"/>
                <w:sz w:val="24"/>
                <w:szCs w:val="24"/>
              </w:rPr>
            </w:pPr>
            <w:r>
              <w:rPr>
                <w:rFonts w:hint="eastAsia" w:ascii="宋体" w:hAnsi="宋体" w:eastAsia="宋体" w:cs="宋体"/>
                <w:sz w:val="24"/>
                <w:szCs w:val="24"/>
              </w:rPr>
              <w:t>销钉缸</w:t>
            </w:r>
          </w:p>
        </w:tc>
        <w:tc>
          <w:tcPr>
            <w:tcW w:w="2194" w:type="dxa"/>
            <w:gridSpan w:val="2"/>
            <w:vAlign w:val="center"/>
          </w:tcPr>
          <w:p w14:paraId="6A522C46">
            <w:pPr>
              <w:jc w:val="left"/>
              <w:rPr>
                <w:rFonts w:hint="eastAsia" w:ascii="宋体" w:hAnsi="宋体" w:eastAsia="宋体" w:cs="宋体"/>
                <w:sz w:val="24"/>
                <w:szCs w:val="24"/>
              </w:rPr>
            </w:pPr>
            <w:r>
              <w:rPr>
                <w:rFonts w:hint="eastAsia" w:ascii="宋体" w:hAnsi="宋体" w:eastAsia="宋体" w:cs="宋体"/>
                <w:sz w:val="24"/>
                <w:szCs w:val="24"/>
              </w:rPr>
              <w:t>DESTACO、Tunkers、SMC</w:t>
            </w:r>
          </w:p>
        </w:tc>
        <w:tc>
          <w:tcPr>
            <w:tcW w:w="3050" w:type="dxa"/>
            <w:gridSpan w:val="6"/>
            <w:vAlign w:val="center"/>
          </w:tcPr>
          <w:p w14:paraId="03C6342D">
            <w:pPr>
              <w:rPr>
                <w:rFonts w:hint="eastAsia" w:ascii="宋体" w:hAnsi="宋体" w:eastAsia="宋体" w:cs="宋体"/>
                <w:sz w:val="24"/>
                <w:szCs w:val="24"/>
              </w:rPr>
            </w:pPr>
            <w:r>
              <w:rPr>
                <w:rFonts w:hint="eastAsia" w:ascii="宋体" w:hAnsi="宋体" w:eastAsia="宋体" w:cs="宋体"/>
                <w:sz w:val="24"/>
                <w:szCs w:val="24"/>
              </w:rPr>
              <w:t>原装定位销，圆形无缺口，氮化钛表面处理</w:t>
            </w:r>
          </w:p>
        </w:tc>
      </w:tr>
      <w:tr w14:paraId="2D4A7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68B566D7">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6</w:t>
            </w:r>
          </w:p>
        </w:tc>
        <w:tc>
          <w:tcPr>
            <w:tcW w:w="3208" w:type="dxa"/>
            <w:gridSpan w:val="4"/>
            <w:vAlign w:val="center"/>
          </w:tcPr>
          <w:p w14:paraId="48AEFBBA">
            <w:pPr>
              <w:rPr>
                <w:rFonts w:hint="eastAsia" w:ascii="宋体" w:hAnsi="宋体" w:eastAsia="宋体" w:cs="宋体"/>
                <w:sz w:val="24"/>
                <w:szCs w:val="24"/>
              </w:rPr>
            </w:pPr>
            <w:r>
              <w:rPr>
                <w:rFonts w:hint="eastAsia" w:ascii="宋体" w:hAnsi="宋体" w:eastAsia="宋体" w:cs="宋体"/>
                <w:sz w:val="24"/>
                <w:szCs w:val="24"/>
              </w:rPr>
              <w:t>压力开关、流量开关、温度开关等</w:t>
            </w:r>
          </w:p>
        </w:tc>
        <w:tc>
          <w:tcPr>
            <w:tcW w:w="2194" w:type="dxa"/>
            <w:gridSpan w:val="2"/>
            <w:vAlign w:val="center"/>
          </w:tcPr>
          <w:p w14:paraId="6D7E2501">
            <w:pPr>
              <w:jc w:val="left"/>
              <w:rPr>
                <w:rFonts w:hint="eastAsia" w:ascii="宋体" w:hAnsi="宋体" w:eastAsia="宋体" w:cs="宋体"/>
                <w:sz w:val="24"/>
                <w:szCs w:val="24"/>
              </w:rPr>
            </w:pPr>
            <w:r>
              <w:rPr>
                <w:rFonts w:hint="eastAsia" w:ascii="宋体" w:hAnsi="宋体" w:eastAsia="宋体" w:cs="宋体"/>
                <w:sz w:val="24"/>
                <w:szCs w:val="24"/>
              </w:rPr>
              <w:t>Festo、SMC</w:t>
            </w:r>
          </w:p>
        </w:tc>
        <w:tc>
          <w:tcPr>
            <w:tcW w:w="3050" w:type="dxa"/>
            <w:gridSpan w:val="6"/>
            <w:vAlign w:val="center"/>
          </w:tcPr>
          <w:p w14:paraId="029406DC">
            <w:pPr>
              <w:rPr>
                <w:rFonts w:hint="eastAsia" w:ascii="宋体" w:hAnsi="宋体" w:eastAsia="宋体" w:cs="宋体"/>
                <w:sz w:val="24"/>
                <w:szCs w:val="24"/>
              </w:rPr>
            </w:pPr>
            <w:r>
              <w:rPr>
                <w:rFonts w:hint="eastAsia" w:ascii="宋体" w:hAnsi="宋体" w:eastAsia="宋体" w:cs="宋体"/>
                <w:sz w:val="24"/>
                <w:szCs w:val="24"/>
              </w:rPr>
              <w:t>电子数显式</w:t>
            </w:r>
          </w:p>
        </w:tc>
      </w:tr>
      <w:tr w14:paraId="31794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23B4029C">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7</w:t>
            </w:r>
          </w:p>
        </w:tc>
        <w:tc>
          <w:tcPr>
            <w:tcW w:w="3208" w:type="dxa"/>
            <w:gridSpan w:val="4"/>
            <w:vAlign w:val="center"/>
          </w:tcPr>
          <w:p w14:paraId="495F6B1E">
            <w:pPr>
              <w:rPr>
                <w:rFonts w:hint="eastAsia" w:ascii="宋体" w:hAnsi="宋体" w:eastAsia="宋体" w:cs="宋体"/>
                <w:sz w:val="24"/>
                <w:szCs w:val="24"/>
              </w:rPr>
            </w:pPr>
            <w:r>
              <w:rPr>
                <w:rFonts w:hint="eastAsia" w:ascii="宋体" w:hAnsi="宋体" w:eastAsia="宋体" w:cs="宋体"/>
                <w:sz w:val="24"/>
                <w:szCs w:val="24"/>
              </w:rPr>
              <w:t>吸盘、真空发生器</w:t>
            </w:r>
          </w:p>
        </w:tc>
        <w:tc>
          <w:tcPr>
            <w:tcW w:w="2194" w:type="dxa"/>
            <w:gridSpan w:val="2"/>
            <w:vAlign w:val="center"/>
          </w:tcPr>
          <w:p w14:paraId="55599AA6">
            <w:pPr>
              <w:jc w:val="left"/>
              <w:rPr>
                <w:rFonts w:hint="eastAsia" w:ascii="宋体" w:hAnsi="宋体" w:eastAsia="宋体" w:cs="宋体"/>
                <w:sz w:val="24"/>
                <w:szCs w:val="24"/>
              </w:rPr>
            </w:pPr>
            <w:r>
              <w:rPr>
                <w:rFonts w:hint="eastAsia" w:ascii="宋体" w:hAnsi="宋体" w:eastAsia="宋体" w:cs="宋体"/>
                <w:sz w:val="24"/>
                <w:szCs w:val="24"/>
              </w:rPr>
              <w:t>PIAB、Festo</w:t>
            </w:r>
          </w:p>
        </w:tc>
        <w:tc>
          <w:tcPr>
            <w:tcW w:w="3050" w:type="dxa"/>
            <w:gridSpan w:val="6"/>
            <w:vAlign w:val="center"/>
          </w:tcPr>
          <w:p w14:paraId="6AA82D58">
            <w:pPr>
              <w:rPr>
                <w:rFonts w:hint="eastAsia" w:ascii="宋体" w:hAnsi="宋体" w:eastAsia="宋体" w:cs="宋体"/>
                <w:sz w:val="24"/>
                <w:szCs w:val="24"/>
              </w:rPr>
            </w:pPr>
            <w:r>
              <w:rPr>
                <w:rFonts w:hint="eastAsia" w:ascii="宋体" w:hAnsi="宋体" w:eastAsia="宋体" w:cs="宋体"/>
                <w:sz w:val="24"/>
                <w:szCs w:val="24"/>
              </w:rPr>
              <w:t>电子数显式</w:t>
            </w:r>
          </w:p>
        </w:tc>
      </w:tr>
      <w:tr w14:paraId="74294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27C32B1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8</w:t>
            </w:r>
          </w:p>
        </w:tc>
        <w:tc>
          <w:tcPr>
            <w:tcW w:w="3208" w:type="dxa"/>
            <w:gridSpan w:val="4"/>
            <w:vAlign w:val="center"/>
          </w:tcPr>
          <w:p w14:paraId="4C20D584">
            <w:pPr>
              <w:rPr>
                <w:rFonts w:hint="eastAsia" w:ascii="宋体" w:hAnsi="宋体" w:eastAsia="宋体" w:cs="宋体"/>
                <w:sz w:val="24"/>
                <w:szCs w:val="24"/>
              </w:rPr>
            </w:pPr>
            <w:r>
              <w:rPr>
                <w:rFonts w:hint="eastAsia" w:ascii="宋体" w:hAnsi="宋体" w:eastAsia="宋体" w:cs="宋体"/>
                <w:sz w:val="24"/>
                <w:szCs w:val="24"/>
              </w:rPr>
              <w:t>电机及减速机</w:t>
            </w:r>
          </w:p>
        </w:tc>
        <w:tc>
          <w:tcPr>
            <w:tcW w:w="2194" w:type="dxa"/>
            <w:gridSpan w:val="2"/>
            <w:vAlign w:val="center"/>
          </w:tcPr>
          <w:p w14:paraId="035EA998">
            <w:pPr>
              <w:jc w:val="left"/>
              <w:rPr>
                <w:rFonts w:hint="eastAsia" w:ascii="宋体" w:hAnsi="宋体" w:eastAsia="宋体" w:cs="宋体"/>
                <w:sz w:val="24"/>
                <w:szCs w:val="24"/>
              </w:rPr>
            </w:pPr>
            <w:r>
              <w:rPr>
                <w:rFonts w:hint="eastAsia" w:ascii="宋体" w:hAnsi="宋体" w:eastAsia="宋体" w:cs="宋体"/>
                <w:sz w:val="24"/>
                <w:szCs w:val="24"/>
              </w:rPr>
              <w:t>SEW、SEIMENS</w:t>
            </w:r>
          </w:p>
        </w:tc>
        <w:tc>
          <w:tcPr>
            <w:tcW w:w="3050" w:type="dxa"/>
            <w:gridSpan w:val="6"/>
            <w:vAlign w:val="center"/>
          </w:tcPr>
          <w:p w14:paraId="36A9FCB6">
            <w:pPr>
              <w:rPr>
                <w:rFonts w:hint="eastAsia" w:ascii="宋体" w:hAnsi="宋体" w:eastAsia="宋体" w:cs="宋体"/>
                <w:sz w:val="24"/>
                <w:szCs w:val="24"/>
              </w:rPr>
            </w:pPr>
            <w:r>
              <w:rPr>
                <w:rFonts w:hint="eastAsia" w:ascii="宋体" w:hAnsi="宋体" w:eastAsia="宋体" w:cs="宋体"/>
                <w:sz w:val="24"/>
                <w:szCs w:val="24"/>
              </w:rPr>
              <w:t>高速及有位置精度要求部分采用伺服电机</w:t>
            </w:r>
          </w:p>
        </w:tc>
      </w:tr>
      <w:tr w14:paraId="4918F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54D7A580">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9</w:t>
            </w:r>
          </w:p>
        </w:tc>
        <w:tc>
          <w:tcPr>
            <w:tcW w:w="3208" w:type="dxa"/>
            <w:gridSpan w:val="4"/>
            <w:vAlign w:val="center"/>
          </w:tcPr>
          <w:p w14:paraId="6B1D7FEE">
            <w:pPr>
              <w:rPr>
                <w:rFonts w:hint="eastAsia" w:ascii="宋体" w:hAnsi="宋体" w:eastAsia="宋体" w:cs="宋体"/>
                <w:sz w:val="24"/>
                <w:szCs w:val="24"/>
              </w:rPr>
            </w:pPr>
            <w:r>
              <w:rPr>
                <w:rFonts w:hint="eastAsia" w:ascii="宋体" w:hAnsi="宋体" w:eastAsia="宋体" w:cs="宋体"/>
                <w:sz w:val="24"/>
                <w:szCs w:val="24"/>
              </w:rPr>
              <w:t>变频器、伺服控制器</w:t>
            </w:r>
          </w:p>
        </w:tc>
        <w:tc>
          <w:tcPr>
            <w:tcW w:w="2194" w:type="dxa"/>
            <w:gridSpan w:val="2"/>
            <w:vAlign w:val="center"/>
          </w:tcPr>
          <w:p w14:paraId="1E55CE9E">
            <w:pPr>
              <w:jc w:val="left"/>
              <w:rPr>
                <w:rFonts w:hint="eastAsia" w:ascii="宋体" w:hAnsi="宋体" w:eastAsia="宋体" w:cs="宋体"/>
                <w:sz w:val="24"/>
                <w:szCs w:val="24"/>
              </w:rPr>
            </w:pPr>
            <w:r>
              <w:rPr>
                <w:rFonts w:hint="eastAsia" w:ascii="宋体" w:hAnsi="宋体" w:eastAsia="宋体" w:cs="宋体"/>
                <w:sz w:val="24"/>
                <w:szCs w:val="24"/>
              </w:rPr>
              <w:t>SEW、SEIMENS</w:t>
            </w:r>
          </w:p>
        </w:tc>
        <w:tc>
          <w:tcPr>
            <w:tcW w:w="3050" w:type="dxa"/>
            <w:gridSpan w:val="6"/>
            <w:vAlign w:val="center"/>
          </w:tcPr>
          <w:p w14:paraId="3F094010">
            <w:pPr>
              <w:rPr>
                <w:rFonts w:hint="eastAsia" w:ascii="宋体" w:hAnsi="宋体" w:eastAsia="宋体" w:cs="宋体"/>
                <w:sz w:val="24"/>
                <w:szCs w:val="24"/>
              </w:rPr>
            </w:pPr>
            <w:r>
              <w:rPr>
                <w:rFonts w:hint="eastAsia" w:ascii="宋体" w:hAnsi="宋体" w:eastAsia="宋体" w:cs="宋体"/>
                <w:sz w:val="24"/>
                <w:szCs w:val="24"/>
              </w:rPr>
              <w:t>配置人机界面</w:t>
            </w:r>
          </w:p>
        </w:tc>
      </w:tr>
      <w:tr w14:paraId="6E326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084960C6">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10</w:t>
            </w:r>
          </w:p>
        </w:tc>
        <w:tc>
          <w:tcPr>
            <w:tcW w:w="3208" w:type="dxa"/>
            <w:gridSpan w:val="4"/>
            <w:vAlign w:val="center"/>
          </w:tcPr>
          <w:p w14:paraId="1DF750C9">
            <w:pPr>
              <w:rPr>
                <w:rFonts w:hint="eastAsia" w:ascii="宋体" w:hAnsi="宋体" w:eastAsia="宋体" w:cs="宋体"/>
                <w:sz w:val="24"/>
                <w:szCs w:val="24"/>
              </w:rPr>
            </w:pPr>
            <w:r>
              <w:rPr>
                <w:rFonts w:hint="eastAsia" w:ascii="宋体" w:hAnsi="宋体" w:eastAsia="宋体" w:cs="宋体"/>
                <w:sz w:val="24"/>
                <w:szCs w:val="24"/>
              </w:rPr>
              <w:t>精定位转台</w:t>
            </w:r>
          </w:p>
        </w:tc>
        <w:tc>
          <w:tcPr>
            <w:tcW w:w="2194" w:type="dxa"/>
            <w:gridSpan w:val="2"/>
            <w:vAlign w:val="center"/>
          </w:tcPr>
          <w:p w14:paraId="5C1B245E">
            <w:pPr>
              <w:jc w:val="left"/>
              <w:rPr>
                <w:rFonts w:hint="eastAsia" w:ascii="宋体" w:hAnsi="宋体" w:eastAsia="宋体" w:cs="宋体"/>
                <w:sz w:val="24"/>
                <w:szCs w:val="24"/>
              </w:rPr>
            </w:pPr>
            <w:r>
              <w:rPr>
                <w:rFonts w:hint="eastAsia" w:ascii="宋体" w:hAnsi="宋体" w:eastAsia="宋体" w:cs="宋体"/>
                <w:sz w:val="24"/>
                <w:szCs w:val="24"/>
              </w:rPr>
              <w:t>WEISS、Tunkers、Goizper</w:t>
            </w:r>
          </w:p>
        </w:tc>
        <w:tc>
          <w:tcPr>
            <w:tcW w:w="3050" w:type="dxa"/>
            <w:gridSpan w:val="6"/>
            <w:vAlign w:val="center"/>
          </w:tcPr>
          <w:p w14:paraId="213FEE00">
            <w:pPr>
              <w:rPr>
                <w:rFonts w:hint="eastAsia" w:ascii="宋体" w:hAnsi="宋体" w:eastAsia="宋体" w:cs="宋体"/>
                <w:sz w:val="24"/>
                <w:szCs w:val="24"/>
              </w:rPr>
            </w:pPr>
            <w:r>
              <w:rPr>
                <w:rFonts w:hint="eastAsia" w:ascii="宋体" w:hAnsi="宋体" w:eastAsia="宋体" w:cs="宋体"/>
                <w:sz w:val="24"/>
                <w:szCs w:val="24"/>
              </w:rPr>
              <w:t>伺服电机驱动、免维护型</w:t>
            </w:r>
          </w:p>
        </w:tc>
      </w:tr>
      <w:tr w14:paraId="6D6AA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76EBA745">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11</w:t>
            </w:r>
          </w:p>
        </w:tc>
        <w:tc>
          <w:tcPr>
            <w:tcW w:w="3208" w:type="dxa"/>
            <w:gridSpan w:val="4"/>
            <w:vAlign w:val="center"/>
          </w:tcPr>
          <w:p w14:paraId="1E727085">
            <w:pPr>
              <w:rPr>
                <w:rFonts w:hint="eastAsia" w:ascii="宋体" w:hAnsi="宋体" w:eastAsia="宋体" w:cs="宋体"/>
                <w:sz w:val="24"/>
                <w:szCs w:val="24"/>
              </w:rPr>
            </w:pPr>
            <w:r>
              <w:rPr>
                <w:rFonts w:hint="eastAsia" w:ascii="宋体" w:hAnsi="宋体" w:eastAsia="宋体" w:cs="宋体"/>
                <w:sz w:val="24"/>
                <w:szCs w:val="24"/>
              </w:rPr>
              <w:t>链条、链轮、联轴器、离合器</w:t>
            </w:r>
          </w:p>
        </w:tc>
        <w:tc>
          <w:tcPr>
            <w:tcW w:w="2194" w:type="dxa"/>
            <w:gridSpan w:val="2"/>
            <w:vAlign w:val="center"/>
          </w:tcPr>
          <w:p w14:paraId="23232DB3">
            <w:pPr>
              <w:jc w:val="left"/>
              <w:rPr>
                <w:rFonts w:hint="eastAsia" w:ascii="宋体" w:hAnsi="宋体" w:eastAsia="宋体" w:cs="宋体"/>
                <w:sz w:val="24"/>
                <w:szCs w:val="24"/>
              </w:rPr>
            </w:pPr>
            <w:r>
              <w:rPr>
                <w:rFonts w:hint="eastAsia" w:ascii="宋体" w:hAnsi="宋体" w:eastAsia="宋体" w:cs="宋体"/>
                <w:sz w:val="24"/>
                <w:szCs w:val="24"/>
              </w:rPr>
              <w:t>椿本、DESTACO、卡特彼勒</w:t>
            </w:r>
          </w:p>
        </w:tc>
        <w:tc>
          <w:tcPr>
            <w:tcW w:w="3050" w:type="dxa"/>
            <w:gridSpan w:val="6"/>
            <w:vAlign w:val="center"/>
          </w:tcPr>
          <w:p w14:paraId="3390D0C6">
            <w:pPr>
              <w:rPr>
                <w:rFonts w:hint="eastAsia" w:ascii="宋体" w:hAnsi="宋体" w:eastAsia="宋体" w:cs="宋体"/>
                <w:sz w:val="24"/>
                <w:szCs w:val="24"/>
              </w:rPr>
            </w:pPr>
          </w:p>
        </w:tc>
      </w:tr>
      <w:tr w14:paraId="75C13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744E795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12</w:t>
            </w:r>
          </w:p>
        </w:tc>
        <w:tc>
          <w:tcPr>
            <w:tcW w:w="3208" w:type="dxa"/>
            <w:gridSpan w:val="4"/>
            <w:vAlign w:val="center"/>
          </w:tcPr>
          <w:p w14:paraId="3F9B62AA">
            <w:pPr>
              <w:rPr>
                <w:rFonts w:hint="eastAsia" w:ascii="宋体" w:hAnsi="宋体" w:eastAsia="宋体" w:cs="宋体"/>
                <w:sz w:val="24"/>
                <w:szCs w:val="24"/>
              </w:rPr>
            </w:pPr>
            <w:r>
              <w:rPr>
                <w:rFonts w:hint="eastAsia" w:ascii="宋体" w:hAnsi="宋体" w:eastAsia="宋体" w:cs="宋体"/>
                <w:sz w:val="24"/>
                <w:szCs w:val="24"/>
              </w:rPr>
              <w:t>导轨、滑块、齿条、丝杆、导轮等</w:t>
            </w:r>
          </w:p>
        </w:tc>
        <w:tc>
          <w:tcPr>
            <w:tcW w:w="2194" w:type="dxa"/>
            <w:gridSpan w:val="2"/>
            <w:vAlign w:val="center"/>
          </w:tcPr>
          <w:p w14:paraId="30D771E8">
            <w:pPr>
              <w:jc w:val="left"/>
              <w:rPr>
                <w:rFonts w:hint="eastAsia" w:ascii="宋体" w:hAnsi="宋体" w:eastAsia="宋体" w:cs="宋体"/>
                <w:sz w:val="24"/>
                <w:szCs w:val="24"/>
              </w:rPr>
            </w:pPr>
            <w:r>
              <w:rPr>
                <w:rFonts w:hint="eastAsia" w:ascii="宋体" w:hAnsi="宋体" w:eastAsia="宋体" w:cs="宋体"/>
                <w:sz w:val="24"/>
                <w:szCs w:val="24"/>
              </w:rPr>
              <w:t>THK、INA</w:t>
            </w:r>
          </w:p>
        </w:tc>
        <w:tc>
          <w:tcPr>
            <w:tcW w:w="3050" w:type="dxa"/>
            <w:gridSpan w:val="6"/>
            <w:vAlign w:val="center"/>
          </w:tcPr>
          <w:p w14:paraId="5C249335">
            <w:pPr>
              <w:rPr>
                <w:rFonts w:hint="eastAsia" w:ascii="宋体" w:hAnsi="宋体" w:eastAsia="宋体" w:cs="宋体"/>
                <w:sz w:val="24"/>
                <w:szCs w:val="24"/>
              </w:rPr>
            </w:pPr>
          </w:p>
        </w:tc>
      </w:tr>
      <w:tr w14:paraId="099A6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389B7A0F">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13</w:t>
            </w:r>
          </w:p>
        </w:tc>
        <w:tc>
          <w:tcPr>
            <w:tcW w:w="3208" w:type="dxa"/>
            <w:gridSpan w:val="4"/>
            <w:vAlign w:val="center"/>
          </w:tcPr>
          <w:p w14:paraId="68E52075">
            <w:pPr>
              <w:rPr>
                <w:rFonts w:hint="eastAsia" w:ascii="宋体" w:hAnsi="宋体" w:eastAsia="宋体" w:cs="宋体"/>
                <w:sz w:val="24"/>
                <w:szCs w:val="24"/>
              </w:rPr>
            </w:pPr>
            <w:r>
              <w:rPr>
                <w:rFonts w:hint="eastAsia" w:ascii="宋体" w:hAnsi="宋体" w:eastAsia="宋体" w:cs="宋体"/>
                <w:sz w:val="24"/>
                <w:szCs w:val="24"/>
              </w:rPr>
              <w:t>坦克链</w:t>
            </w:r>
          </w:p>
        </w:tc>
        <w:tc>
          <w:tcPr>
            <w:tcW w:w="2194" w:type="dxa"/>
            <w:gridSpan w:val="2"/>
            <w:vAlign w:val="center"/>
          </w:tcPr>
          <w:p w14:paraId="7CB8C6BF">
            <w:pPr>
              <w:jc w:val="left"/>
              <w:rPr>
                <w:rFonts w:hint="eastAsia" w:ascii="宋体" w:hAnsi="宋体" w:eastAsia="宋体" w:cs="宋体"/>
                <w:sz w:val="24"/>
                <w:szCs w:val="24"/>
              </w:rPr>
            </w:pPr>
            <w:r>
              <w:rPr>
                <w:rFonts w:hint="eastAsia" w:ascii="宋体" w:hAnsi="宋体" w:eastAsia="宋体" w:cs="宋体"/>
                <w:sz w:val="24"/>
                <w:szCs w:val="24"/>
              </w:rPr>
              <w:t>IGUS、MURR</w:t>
            </w:r>
          </w:p>
        </w:tc>
        <w:tc>
          <w:tcPr>
            <w:tcW w:w="3050" w:type="dxa"/>
            <w:gridSpan w:val="6"/>
            <w:vAlign w:val="center"/>
          </w:tcPr>
          <w:p w14:paraId="22066405">
            <w:pPr>
              <w:rPr>
                <w:rFonts w:hint="eastAsia" w:ascii="宋体" w:hAnsi="宋体" w:eastAsia="宋体" w:cs="宋体"/>
                <w:sz w:val="24"/>
                <w:szCs w:val="24"/>
              </w:rPr>
            </w:pPr>
          </w:p>
        </w:tc>
      </w:tr>
      <w:tr w14:paraId="375B5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524E00D4">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14</w:t>
            </w:r>
          </w:p>
        </w:tc>
        <w:tc>
          <w:tcPr>
            <w:tcW w:w="3208" w:type="dxa"/>
            <w:gridSpan w:val="4"/>
            <w:vAlign w:val="center"/>
          </w:tcPr>
          <w:p w14:paraId="712B9369">
            <w:pPr>
              <w:rPr>
                <w:rFonts w:hint="eastAsia" w:ascii="宋体" w:hAnsi="宋体" w:eastAsia="宋体" w:cs="宋体"/>
                <w:sz w:val="24"/>
                <w:szCs w:val="24"/>
              </w:rPr>
            </w:pPr>
            <w:r>
              <w:rPr>
                <w:rFonts w:hint="eastAsia" w:ascii="宋体" w:hAnsi="宋体" w:eastAsia="宋体" w:cs="宋体"/>
                <w:sz w:val="24"/>
                <w:szCs w:val="24"/>
              </w:rPr>
              <w:t>弹簧</w:t>
            </w:r>
          </w:p>
        </w:tc>
        <w:tc>
          <w:tcPr>
            <w:tcW w:w="2194" w:type="dxa"/>
            <w:gridSpan w:val="2"/>
            <w:vAlign w:val="center"/>
          </w:tcPr>
          <w:p w14:paraId="3E424B38">
            <w:pPr>
              <w:jc w:val="left"/>
              <w:rPr>
                <w:rFonts w:hint="eastAsia" w:ascii="宋体" w:hAnsi="宋体" w:eastAsia="宋体" w:cs="宋体"/>
                <w:sz w:val="24"/>
                <w:szCs w:val="24"/>
              </w:rPr>
            </w:pPr>
            <w:r>
              <w:rPr>
                <w:rFonts w:hint="eastAsia" w:ascii="宋体" w:hAnsi="宋体" w:eastAsia="宋体" w:cs="宋体"/>
                <w:sz w:val="24"/>
                <w:szCs w:val="24"/>
              </w:rPr>
              <w:t>MISUMI、GUTE</w:t>
            </w:r>
          </w:p>
        </w:tc>
        <w:tc>
          <w:tcPr>
            <w:tcW w:w="3050" w:type="dxa"/>
            <w:gridSpan w:val="6"/>
            <w:vAlign w:val="center"/>
          </w:tcPr>
          <w:p w14:paraId="0F58523E">
            <w:pPr>
              <w:rPr>
                <w:rFonts w:hint="eastAsia" w:ascii="宋体" w:hAnsi="宋体" w:eastAsia="宋体" w:cs="宋体"/>
                <w:sz w:val="24"/>
                <w:szCs w:val="24"/>
              </w:rPr>
            </w:pPr>
          </w:p>
        </w:tc>
      </w:tr>
      <w:tr w14:paraId="477CF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14:paraId="205FC8ED">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15</w:t>
            </w:r>
          </w:p>
        </w:tc>
        <w:tc>
          <w:tcPr>
            <w:tcW w:w="3208" w:type="dxa"/>
            <w:gridSpan w:val="4"/>
            <w:vAlign w:val="center"/>
          </w:tcPr>
          <w:p w14:paraId="4397E1D1">
            <w:pPr>
              <w:rPr>
                <w:rFonts w:hint="eastAsia" w:ascii="宋体" w:hAnsi="宋体" w:eastAsia="宋体" w:cs="宋体"/>
                <w:sz w:val="24"/>
                <w:szCs w:val="24"/>
              </w:rPr>
            </w:pPr>
            <w:r>
              <w:rPr>
                <w:rFonts w:hint="eastAsia" w:ascii="宋体" w:hAnsi="宋体" w:eastAsia="宋体" w:cs="宋体"/>
                <w:sz w:val="24"/>
                <w:szCs w:val="24"/>
              </w:rPr>
              <w:t>轴承、轴承座</w:t>
            </w:r>
          </w:p>
        </w:tc>
        <w:tc>
          <w:tcPr>
            <w:tcW w:w="2194" w:type="dxa"/>
            <w:gridSpan w:val="2"/>
            <w:vAlign w:val="center"/>
          </w:tcPr>
          <w:p w14:paraId="77194A5F">
            <w:pPr>
              <w:jc w:val="left"/>
              <w:rPr>
                <w:rFonts w:hint="eastAsia" w:ascii="宋体" w:hAnsi="宋体" w:eastAsia="宋体" w:cs="宋体"/>
                <w:sz w:val="24"/>
                <w:szCs w:val="24"/>
              </w:rPr>
            </w:pPr>
            <w:r>
              <w:rPr>
                <w:rFonts w:hint="eastAsia" w:ascii="宋体" w:hAnsi="宋体" w:eastAsia="宋体" w:cs="宋体"/>
                <w:sz w:val="24"/>
                <w:szCs w:val="24"/>
              </w:rPr>
              <w:t>SKF、NSK</w:t>
            </w:r>
          </w:p>
        </w:tc>
        <w:tc>
          <w:tcPr>
            <w:tcW w:w="3050" w:type="dxa"/>
            <w:gridSpan w:val="6"/>
            <w:vAlign w:val="center"/>
          </w:tcPr>
          <w:p w14:paraId="053F7043">
            <w:pPr>
              <w:rPr>
                <w:rFonts w:hint="eastAsia" w:ascii="宋体" w:hAnsi="宋体" w:eastAsia="宋体" w:cs="宋体"/>
                <w:sz w:val="24"/>
                <w:szCs w:val="24"/>
              </w:rPr>
            </w:pPr>
          </w:p>
        </w:tc>
      </w:tr>
      <w:tr w14:paraId="675B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bottom w:val="single" w:color="auto" w:sz="4" w:space="0"/>
            </w:tcBorders>
            <w:vAlign w:val="center"/>
          </w:tcPr>
          <w:p w14:paraId="489C418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16</w:t>
            </w:r>
          </w:p>
        </w:tc>
        <w:tc>
          <w:tcPr>
            <w:tcW w:w="3208" w:type="dxa"/>
            <w:gridSpan w:val="4"/>
            <w:tcBorders>
              <w:bottom w:val="single" w:color="auto" w:sz="4" w:space="0"/>
            </w:tcBorders>
            <w:vAlign w:val="center"/>
          </w:tcPr>
          <w:p w14:paraId="5135C507">
            <w:pPr>
              <w:rPr>
                <w:rFonts w:hint="eastAsia" w:ascii="宋体" w:hAnsi="宋体" w:eastAsia="宋体" w:cs="宋体"/>
                <w:sz w:val="24"/>
                <w:szCs w:val="24"/>
              </w:rPr>
            </w:pPr>
            <w:r>
              <w:rPr>
                <w:rFonts w:hint="eastAsia" w:ascii="宋体" w:hAnsi="宋体" w:eastAsia="宋体" w:cs="宋体"/>
                <w:sz w:val="24"/>
                <w:szCs w:val="24"/>
              </w:rPr>
              <w:t>液压元件</w:t>
            </w:r>
          </w:p>
        </w:tc>
        <w:tc>
          <w:tcPr>
            <w:tcW w:w="2194" w:type="dxa"/>
            <w:gridSpan w:val="2"/>
            <w:tcBorders>
              <w:bottom w:val="single" w:color="auto" w:sz="4" w:space="0"/>
            </w:tcBorders>
            <w:vAlign w:val="center"/>
          </w:tcPr>
          <w:p w14:paraId="3418F1B2">
            <w:pPr>
              <w:jc w:val="left"/>
              <w:rPr>
                <w:rFonts w:hint="eastAsia" w:ascii="宋体" w:hAnsi="宋体" w:eastAsia="宋体" w:cs="宋体"/>
                <w:sz w:val="24"/>
                <w:szCs w:val="24"/>
              </w:rPr>
            </w:pPr>
            <w:r>
              <w:rPr>
                <w:rFonts w:hint="eastAsia" w:ascii="宋体" w:hAnsi="宋体" w:eastAsia="宋体" w:cs="宋体"/>
                <w:sz w:val="24"/>
                <w:szCs w:val="24"/>
              </w:rPr>
              <w:t>力士乐、派克</w:t>
            </w:r>
          </w:p>
        </w:tc>
        <w:tc>
          <w:tcPr>
            <w:tcW w:w="3050" w:type="dxa"/>
            <w:gridSpan w:val="6"/>
            <w:vAlign w:val="center"/>
          </w:tcPr>
          <w:p w14:paraId="57985DF7">
            <w:pPr>
              <w:rPr>
                <w:rFonts w:hint="eastAsia" w:ascii="宋体" w:hAnsi="宋体" w:eastAsia="宋体" w:cs="宋体"/>
                <w:sz w:val="24"/>
                <w:szCs w:val="24"/>
              </w:rPr>
            </w:pPr>
          </w:p>
        </w:tc>
      </w:tr>
      <w:tr w14:paraId="3EDD6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bottom w:val="single" w:color="auto" w:sz="4" w:space="0"/>
            </w:tcBorders>
            <w:vAlign w:val="center"/>
          </w:tcPr>
          <w:p w14:paraId="37EE8F1D">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17</w:t>
            </w:r>
          </w:p>
        </w:tc>
        <w:tc>
          <w:tcPr>
            <w:tcW w:w="3208" w:type="dxa"/>
            <w:gridSpan w:val="4"/>
            <w:tcBorders>
              <w:bottom w:val="single" w:color="auto" w:sz="4" w:space="0"/>
            </w:tcBorders>
            <w:vAlign w:val="center"/>
          </w:tcPr>
          <w:p w14:paraId="4FA6C914">
            <w:pPr>
              <w:rPr>
                <w:rFonts w:hint="eastAsia" w:ascii="宋体" w:hAnsi="宋体" w:eastAsia="宋体" w:cs="宋体"/>
                <w:sz w:val="24"/>
                <w:szCs w:val="24"/>
              </w:rPr>
            </w:pPr>
            <w:r>
              <w:rPr>
                <w:rFonts w:hint="eastAsia" w:ascii="宋体" w:hAnsi="宋体" w:eastAsia="宋体" w:cs="宋体"/>
                <w:sz w:val="24"/>
                <w:szCs w:val="24"/>
              </w:rPr>
              <w:t>缓冲器</w:t>
            </w:r>
          </w:p>
        </w:tc>
        <w:tc>
          <w:tcPr>
            <w:tcW w:w="2194" w:type="dxa"/>
            <w:gridSpan w:val="2"/>
            <w:tcBorders>
              <w:bottom w:val="single" w:color="auto" w:sz="4" w:space="0"/>
            </w:tcBorders>
            <w:vAlign w:val="center"/>
          </w:tcPr>
          <w:p w14:paraId="31D3B6B6">
            <w:pPr>
              <w:jc w:val="left"/>
              <w:rPr>
                <w:rFonts w:hint="eastAsia" w:ascii="宋体" w:hAnsi="宋体" w:eastAsia="宋体" w:cs="宋体"/>
                <w:sz w:val="24"/>
                <w:szCs w:val="24"/>
              </w:rPr>
            </w:pPr>
            <w:r>
              <w:rPr>
                <w:rFonts w:hint="eastAsia" w:ascii="宋体" w:hAnsi="宋体" w:eastAsia="宋体" w:cs="宋体"/>
                <w:sz w:val="24"/>
                <w:szCs w:val="24"/>
              </w:rPr>
              <w:t>DAMPTAC、米塔尔</w:t>
            </w:r>
          </w:p>
        </w:tc>
        <w:tc>
          <w:tcPr>
            <w:tcW w:w="3050" w:type="dxa"/>
            <w:gridSpan w:val="6"/>
            <w:vAlign w:val="center"/>
          </w:tcPr>
          <w:p w14:paraId="4C40F7C9">
            <w:pPr>
              <w:rPr>
                <w:rFonts w:hint="eastAsia" w:ascii="宋体" w:hAnsi="宋体" w:eastAsia="宋体" w:cs="宋体"/>
                <w:sz w:val="24"/>
                <w:szCs w:val="24"/>
              </w:rPr>
            </w:pPr>
          </w:p>
        </w:tc>
      </w:tr>
      <w:tr w14:paraId="58B36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bottom w:val="single" w:color="auto" w:sz="4" w:space="0"/>
            </w:tcBorders>
            <w:vAlign w:val="center"/>
          </w:tcPr>
          <w:p w14:paraId="79B386A4">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18</w:t>
            </w:r>
          </w:p>
        </w:tc>
        <w:tc>
          <w:tcPr>
            <w:tcW w:w="3208" w:type="dxa"/>
            <w:gridSpan w:val="4"/>
            <w:tcBorders>
              <w:top w:val="single" w:color="auto" w:sz="4" w:space="0"/>
              <w:bottom w:val="single" w:color="auto" w:sz="4" w:space="0"/>
            </w:tcBorders>
            <w:vAlign w:val="center"/>
          </w:tcPr>
          <w:p w14:paraId="7518D63B">
            <w:pPr>
              <w:rPr>
                <w:rFonts w:hint="eastAsia" w:ascii="宋体" w:hAnsi="宋体" w:eastAsia="宋体" w:cs="宋体"/>
                <w:sz w:val="24"/>
                <w:szCs w:val="24"/>
              </w:rPr>
            </w:pPr>
            <w:r>
              <w:rPr>
                <w:rFonts w:hint="eastAsia" w:ascii="宋体" w:hAnsi="宋体" w:eastAsia="宋体" w:cs="宋体"/>
                <w:sz w:val="24"/>
                <w:szCs w:val="24"/>
              </w:rPr>
              <w:t>背负式AGV脚轮</w:t>
            </w:r>
          </w:p>
        </w:tc>
        <w:tc>
          <w:tcPr>
            <w:tcW w:w="2194" w:type="dxa"/>
            <w:gridSpan w:val="2"/>
            <w:tcBorders>
              <w:top w:val="single" w:color="auto" w:sz="4" w:space="0"/>
              <w:bottom w:val="single" w:color="auto" w:sz="4" w:space="0"/>
            </w:tcBorders>
            <w:vAlign w:val="center"/>
          </w:tcPr>
          <w:p w14:paraId="0726DAAA">
            <w:pPr>
              <w:jc w:val="left"/>
              <w:rPr>
                <w:rFonts w:hint="eastAsia" w:ascii="宋体" w:hAnsi="宋体" w:eastAsia="宋体" w:cs="宋体"/>
                <w:sz w:val="24"/>
                <w:szCs w:val="24"/>
              </w:rPr>
            </w:pPr>
            <w:r>
              <w:rPr>
                <w:rFonts w:hint="eastAsia" w:ascii="宋体" w:hAnsi="宋体" w:eastAsia="宋体" w:cs="宋体"/>
                <w:sz w:val="24"/>
                <w:szCs w:val="24"/>
              </w:rPr>
              <w:t>Blickle或同等品牌</w:t>
            </w:r>
          </w:p>
        </w:tc>
        <w:tc>
          <w:tcPr>
            <w:tcW w:w="3050" w:type="dxa"/>
            <w:gridSpan w:val="6"/>
            <w:vAlign w:val="center"/>
          </w:tcPr>
          <w:p w14:paraId="3280C0A4">
            <w:pPr>
              <w:rPr>
                <w:rFonts w:hint="eastAsia" w:ascii="宋体" w:hAnsi="宋体" w:eastAsia="宋体" w:cs="宋体"/>
                <w:sz w:val="24"/>
                <w:szCs w:val="24"/>
              </w:rPr>
            </w:pPr>
          </w:p>
        </w:tc>
      </w:tr>
      <w:tr w14:paraId="36A8A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bottom w:val="single" w:color="auto" w:sz="4" w:space="0"/>
            </w:tcBorders>
            <w:vAlign w:val="center"/>
          </w:tcPr>
          <w:p w14:paraId="3D28E3DE">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19</w:t>
            </w:r>
          </w:p>
        </w:tc>
        <w:tc>
          <w:tcPr>
            <w:tcW w:w="3208" w:type="dxa"/>
            <w:gridSpan w:val="4"/>
            <w:tcBorders>
              <w:top w:val="single" w:color="auto" w:sz="4" w:space="0"/>
              <w:bottom w:val="single" w:color="auto" w:sz="4" w:space="0"/>
            </w:tcBorders>
            <w:vAlign w:val="center"/>
          </w:tcPr>
          <w:p w14:paraId="512CEB05">
            <w:pPr>
              <w:rPr>
                <w:rFonts w:hint="eastAsia" w:ascii="宋体" w:hAnsi="宋体" w:eastAsia="宋体" w:cs="宋体"/>
                <w:sz w:val="24"/>
                <w:szCs w:val="24"/>
              </w:rPr>
            </w:pPr>
            <w:r>
              <w:rPr>
                <w:rFonts w:hint="eastAsia" w:ascii="宋体" w:hAnsi="宋体" w:eastAsia="宋体" w:cs="宋体"/>
                <w:sz w:val="24"/>
                <w:szCs w:val="24"/>
              </w:rPr>
              <w:t>脚轮（料箱）</w:t>
            </w:r>
          </w:p>
        </w:tc>
        <w:tc>
          <w:tcPr>
            <w:tcW w:w="2194" w:type="dxa"/>
            <w:gridSpan w:val="2"/>
            <w:tcBorders>
              <w:top w:val="single" w:color="auto" w:sz="4" w:space="0"/>
              <w:bottom w:val="single" w:color="auto" w:sz="4" w:space="0"/>
            </w:tcBorders>
            <w:vAlign w:val="center"/>
          </w:tcPr>
          <w:p w14:paraId="0034D34B">
            <w:pPr>
              <w:jc w:val="left"/>
              <w:rPr>
                <w:rFonts w:hint="eastAsia" w:ascii="宋体" w:hAnsi="宋体" w:eastAsia="宋体" w:cs="宋体"/>
                <w:sz w:val="24"/>
                <w:szCs w:val="24"/>
              </w:rPr>
            </w:pPr>
            <w:r>
              <w:rPr>
                <w:rFonts w:hint="eastAsia" w:ascii="宋体" w:hAnsi="宋体" w:eastAsia="宋体" w:cs="宋体"/>
                <w:sz w:val="24"/>
                <w:szCs w:val="24"/>
              </w:rPr>
              <w:t>科顺或同等品牌</w:t>
            </w:r>
          </w:p>
        </w:tc>
        <w:tc>
          <w:tcPr>
            <w:tcW w:w="3050" w:type="dxa"/>
            <w:gridSpan w:val="6"/>
            <w:tcBorders>
              <w:bottom w:val="single" w:color="auto" w:sz="4" w:space="0"/>
            </w:tcBorders>
            <w:vAlign w:val="center"/>
          </w:tcPr>
          <w:p w14:paraId="09C8E417">
            <w:pPr>
              <w:rPr>
                <w:rFonts w:hint="eastAsia" w:ascii="宋体" w:hAnsi="宋体" w:eastAsia="宋体" w:cs="宋体"/>
                <w:sz w:val="24"/>
                <w:szCs w:val="24"/>
              </w:rPr>
            </w:pPr>
          </w:p>
        </w:tc>
      </w:tr>
      <w:tr w14:paraId="128D3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bottom w:val="single" w:color="auto" w:sz="4" w:space="0"/>
            </w:tcBorders>
            <w:vAlign w:val="center"/>
          </w:tcPr>
          <w:p w14:paraId="2D77CD02">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20</w:t>
            </w:r>
          </w:p>
        </w:tc>
        <w:tc>
          <w:tcPr>
            <w:tcW w:w="3208" w:type="dxa"/>
            <w:gridSpan w:val="4"/>
            <w:tcBorders>
              <w:top w:val="single" w:color="auto" w:sz="4" w:space="0"/>
              <w:bottom w:val="single" w:color="auto" w:sz="4" w:space="0"/>
            </w:tcBorders>
            <w:vAlign w:val="center"/>
          </w:tcPr>
          <w:p w14:paraId="194A73B9">
            <w:pPr>
              <w:rPr>
                <w:rFonts w:hint="eastAsia" w:ascii="宋体" w:hAnsi="宋体" w:eastAsia="宋体" w:cs="宋体"/>
                <w:sz w:val="24"/>
                <w:szCs w:val="24"/>
              </w:rPr>
            </w:pPr>
            <w:r>
              <w:rPr>
                <w:rFonts w:hint="eastAsia" w:ascii="宋体" w:hAnsi="宋体" w:eastAsia="宋体" w:cs="宋体"/>
                <w:sz w:val="24"/>
                <w:szCs w:val="24"/>
              </w:rPr>
              <w:t>机器人围栏</w:t>
            </w:r>
          </w:p>
        </w:tc>
        <w:tc>
          <w:tcPr>
            <w:tcW w:w="2194" w:type="dxa"/>
            <w:gridSpan w:val="2"/>
            <w:tcBorders>
              <w:top w:val="single" w:color="auto" w:sz="4" w:space="0"/>
              <w:bottom w:val="single" w:color="auto" w:sz="4" w:space="0"/>
            </w:tcBorders>
            <w:vAlign w:val="center"/>
          </w:tcPr>
          <w:p w14:paraId="6631FA4D">
            <w:pPr>
              <w:jc w:val="left"/>
              <w:rPr>
                <w:rFonts w:hint="eastAsia" w:ascii="宋体" w:hAnsi="宋体" w:eastAsia="宋体" w:cs="宋体"/>
                <w:sz w:val="24"/>
                <w:szCs w:val="24"/>
              </w:rPr>
            </w:pPr>
            <w:r>
              <w:rPr>
                <w:rFonts w:hint="eastAsia" w:ascii="宋体" w:hAnsi="宋体" w:eastAsia="宋体" w:cs="宋体"/>
                <w:sz w:val="24"/>
                <w:szCs w:val="24"/>
              </w:rPr>
              <w:t>FATH、京美安防、贝派工业</w:t>
            </w:r>
          </w:p>
        </w:tc>
        <w:tc>
          <w:tcPr>
            <w:tcW w:w="3050" w:type="dxa"/>
            <w:gridSpan w:val="6"/>
            <w:tcBorders>
              <w:bottom w:val="single" w:color="auto" w:sz="4" w:space="0"/>
            </w:tcBorders>
            <w:vAlign w:val="center"/>
          </w:tcPr>
          <w:p w14:paraId="3A276AD8">
            <w:pPr>
              <w:rPr>
                <w:rFonts w:hint="eastAsia" w:ascii="宋体" w:hAnsi="宋体" w:eastAsia="宋体" w:cs="宋体"/>
                <w:sz w:val="24"/>
                <w:szCs w:val="24"/>
              </w:rPr>
            </w:pPr>
          </w:p>
        </w:tc>
      </w:tr>
      <w:tr w14:paraId="27BAD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bottom w:val="single" w:color="auto" w:sz="12" w:space="0"/>
            </w:tcBorders>
            <w:vAlign w:val="center"/>
          </w:tcPr>
          <w:p w14:paraId="1ED6FD2A">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21</w:t>
            </w:r>
          </w:p>
        </w:tc>
        <w:tc>
          <w:tcPr>
            <w:tcW w:w="3208" w:type="dxa"/>
            <w:gridSpan w:val="4"/>
            <w:tcBorders>
              <w:top w:val="single" w:color="auto" w:sz="4" w:space="0"/>
              <w:bottom w:val="single" w:color="auto" w:sz="12" w:space="0"/>
            </w:tcBorders>
            <w:vAlign w:val="center"/>
          </w:tcPr>
          <w:p w14:paraId="1011046C">
            <w:pPr>
              <w:rPr>
                <w:rFonts w:hint="eastAsia" w:ascii="宋体" w:hAnsi="宋体" w:eastAsia="宋体" w:cs="宋体"/>
                <w:sz w:val="24"/>
                <w:szCs w:val="24"/>
              </w:rPr>
            </w:pPr>
            <w:r>
              <w:rPr>
                <w:rFonts w:hint="eastAsia" w:ascii="宋体" w:hAnsi="宋体" w:eastAsia="宋体" w:cs="宋体"/>
                <w:kern w:val="0"/>
                <w:sz w:val="24"/>
                <w:szCs w:val="24"/>
              </w:rPr>
              <w:t>助力机械手</w:t>
            </w:r>
          </w:p>
        </w:tc>
        <w:tc>
          <w:tcPr>
            <w:tcW w:w="2194" w:type="dxa"/>
            <w:gridSpan w:val="2"/>
            <w:tcBorders>
              <w:top w:val="single" w:color="auto" w:sz="4" w:space="0"/>
              <w:bottom w:val="single" w:color="auto" w:sz="12" w:space="0"/>
            </w:tcBorders>
            <w:vAlign w:val="center"/>
          </w:tcPr>
          <w:p w14:paraId="0A170376">
            <w:pPr>
              <w:jc w:val="left"/>
              <w:rPr>
                <w:rFonts w:hint="eastAsia" w:ascii="宋体" w:hAnsi="宋体" w:eastAsia="宋体" w:cs="宋体"/>
                <w:sz w:val="24"/>
                <w:szCs w:val="24"/>
              </w:rPr>
            </w:pPr>
            <w:r>
              <w:rPr>
                <w:rFonts w:hint="eastAsia" w:ascii="宋体" w:hAnsi="宋体" w:eastAsia="宋体" w:cs="宋体"/>
                <w:sz w:val="24"/>
                <w:szCs w:val="24"/>
              </w:rPr>
              <w:t>永乾、青岛金海</w:t>
            </w:r>
          </w:p>
        </w:tc>
        <w:tc>
          <w:tcPr>
            <w:tcW w:w="3050" w:type="dxa"/>
            <w:gridSpan w:val="6"/>
            <w:tcBorders>
              <w:top w:val="single" w:color="auto" w:sz="4" w:space="0"/>
              <w:bottom w:val="single" w:color="auto" w:sz="12" w:space="0"/>
            </w:tcBorders>
            <w:vAlign w:val="center"/>
          </w:tcPr>
          <w:p w14:paraId="0EDA04DA">
            <w:pPr>
              <w:rPr>
                <w:rFonts w:hint="eastAsia" w:ascii="宋体" w:hAnsi="宋体" w:eastAsia="宋体" w:cs="宋体"/>
                <w:sz w:val="24"/>
                <w:szCs w:val="24"/>
              </w:rPr>
            </w:pPr>
          </w:p>
        </w:tc>
      </w:tr>
      <w:tr w14:paraId="3E4F5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2261" w:type="dxa"/>
          <w:jc w:val="center"/>
        </w:trPr>
        <w:tc>
          <w:tcPr>
            <w:tcW w:w="6919" w:type="dxa"/>
            <w:gridSpan w:val="9"/>
            <w:tcBorders>
              <w:top w:val="single" w:color="auto" w:sz="12" w:space="0"/>
              <w:bottom w:val="single" w:color="auto" w:sz="12" w:space="0"/>
            </w:tcBorders>
          </w:tcPr>
          <w:p w14:paraId="322B5101">
            <w:pPr>
              <w:rPr>
                <w:rFonts w:hint="eastAsia" w:ascii="宋体" w:hAnsi="宋体" w:eastAsia="宋体" w:cs="宋体"/>
                <w:b/>
                <w:sz w:val="24"/>
                <w:szCs w:val="24"/>
              </w:rPr>
            </w:pPr>
            <w:r>
              <w:rPr>
                <w:rFonts w:hint="eastAsia" w:ascii="宋体" w:hAnsi="宋体" w:eastAsia="宋体" w:cs="宋体"/>
                <w:b/>
                <w:sz w:val="24"/>
                <w:szCs w:val="24"/>
              </w:rPr>
              <w:t>机器人相关设备</w:t>
            </w:r>
          </w:p>
        </w:tc>
      </w:tr>
      <w:tr w14:paraId="0F468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tcBorders>
              <w:top w:val="single" w:color="auto" w:sz="12" w:space="0"/>
              <w:bottom w:val="single" w:color="auto" w:sz="12" w:space="0"/>
            </w:tcBorders>
            <w:vAlign w:val="center"/>
          </w:tcPr>
          <w:p w14:paraId="0875C399">
            <w:pPr>
              <w:jc w:val="center"/>
              <w:rPr>
                <w:rFonts w:hint="eastAsia" w:ascii="宋体" w:hAnsi="宋体" w:eastAsia="宋体" w:cs="宋体"/>
                <w:b/>
                <w:sz w:val="24"/>
                <w:szCs w:val="24"/>
              </w:rPr>
            </w:pPr>
            <w:r>
              <w:rPr>
                <w:rFonts w:hint="eastAsia" w:ascii="宋体" w:hAnsi="宋体" w:eastAsia="宋体" w:cs="宋体"/>
                <w:b/>
                <w:sz w:val="24"/>
                <w:szCs w:val="24"/>
              </w:rPr>
              <w:t>NO.</w:t>
            </w:r>
          </w:p>
        </w:tc>
        <w:tc>
          <w:tcPr>
            <w:tcW w:w="3131" w:type="dxa"/>
            <w:gridSpan w:val="2"/>
            <w:tcBorders>
              <w:top w:val="single" w:color="auto" w:sz="12" w:space="0"/>
              <w:bottom w:val="single" w:color="auto" w:sz="12" w:space="0"/>
            </w:tcBorders>
            <w:vAlign w:val="center"/>
          </w:tcPr>
          <w:p w14:paraId="0F66B822">
            <w:pPr>
              <w:jc w:val="center"/>
              <w:rPr>
                <w:rFonts w:hint="eastAsia" w:ascii="宋体" w:hAnsi="宋体" w:eastAsia="宋体" w:cs="宋体"/>
                <w:b/>
                <w:sz w:val="24"/>
                <w:szCs w:val="24"/>
              </w:rPr>
            </w:pPr>
            <w:r>
              <w:rPr>
                <w:rFonts w:hint="eastAsia" w:ascii="宋体" w:hAnsi="宋体" w:eastAsia="宋体" w:cs="宋体"/>
                <w:b/>
                <w:sz w:val="24"/>
                <w:szCs w:val="24"/>
              </w:rPr>
              <w:t>设备名称</w:t>
            </w:r>
          </w:p>
        </w:tc>
        <w:tc>
          <w:tcPr>
            <w:tcW w:w="2213" w:type="dxa"/>
            <w:gridSpan w:val="3"/>
            <w:tcBorders>
              <w:top w:val="single" w:color="auto" w:sz="12" w:space="0"/>
              <w:bottom w:val="single" w:color="auto" w:sz="12" w:space="0"/>
            </w:tcBorders>
            <w:vAlign w:val="center"/>
          </w:tcPr>
          <w:p w14:paraId="69792012">
            <w:pPr>
              <w:jc w:val="center"/>
              <w:rPr>
                <w:rFonts w:hint="eastAsia" w:ascii="宋体" w:hAnsi="宋体" w:eastAsia="宋体" w:cs="宋体"/>
                <w:b/>
                <w:sz w:val="24"/>
                <w:szCs w:val="24"/>
              </w:rPr>
            </w:pPr>
            <w:r>
              <w:rPr>
                <w:rFonts w:hint="eastAsia" w:ascii="宋体" w:hAnsi="宋体" w:eastAsia="宋体" w:cs="宋体"/>
                <w:b/>
                <w:sz w:val="24"/>
                <w:szCs w:val="24"/>
              </w:rPr>
              <w:t>推荐品牌</w:t>
            </w:r>
          </w:p>
        </w:tc>
        <w:tc>
          <w:tcPr>
            <w:tcW w:w="2878" w:type="dxa"/>
            <w:gridSpan w:val="3"/>
            <w:tcBorders>
              <w:top w:val="single" w:color="auto" w:sz="12" w:space="0"/>
            </w:tcBorders>
            <w:vAlign w:val="center"/>
          </w:tcPr>
          <w:p w14:paraId="4B0EE96E">
            <w:pPr>
              <w:jc w:val="center"/>
              <w:rPr>
                <w:rFonts w:hint="eastAsia" w:ascii="宋体" w:hAnsi="宋体" w:eastAsia="宋体" w:cs="宋体"/>
                <w:b/>
                <w:sz w:val="24"/>
                <w:szCs w:val="24"/>
              </w:rPr>
            </w:pPr>
            <w:r>
              <w:rPr>
                <w:rFonts w:hint="eastAsia" w:ascii="宋体" w:hAnsi="宋体" w:eastAsia="宋体" w:cs="宋体"/>
                <w:b/>
                <w:sz w:val="24"/>
                <w:szCs w:val="24"/>
              </w:rPr>
              <w:t>说明</w:t>
            </w:r>
          </w:p>
        </w:tc>
      </w:tr>
      <w:tr w14:paraId="0D740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tcBorders>
              <w:top w:val="single" w:color="auto" w:sz="12" w:space="0"/>
            </w:tcBorders>
            <w:vAlign w:val="center"/>
          </w:tcPr>
          <w:p w14:paraId="2F46BACE">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w:t>
            </w:r>
          </w:p>
        </w:tc>
        <w:tc>
          <w:tcPr>
            <w:tcW w:w="3131" w:type="dxa"/>
            <w:gridSpan w:val="2"/>
            <w:tcBorders>
              <w:top w:val="single" w:color="auto" w:sz="12" w:space="0"/>
            </w:tcBorders>
            <w:vAlign w:val="center"/>
          </w:tcPr>
          <w:p w14:paraId="36851E2F">
            <w:pPr>
              <w:rPr>
                <w:rFonts w:hint="eastAsia" w:ascii="宋体" w:hAnsi="宋体" w:eastAsia="宋体" w:cs="宋体"/>
                <w:sz w:val="24"/>
                <w:szCs w:val="24"/>
              </w:rPr>
            </w:pPr>
            <w:r>
              <w:rPr>
                <w:rFonts w:hint="eastAsia" w:ascii="宋体" w:hAnsi="宋体" w:eastAsia="宋体" w:cs="宋体"/>
                <w:sz w:val="24"/>
                <w:szCs w:val="24"/>
              </w:rPr>
              <w:t>机器人</w:t>
            </w:r>
          </w:p>
        </w:tc>
        <w:tc>
          <w:tcPr>
            <w:tcW w:w="2213" w:type="dxa"/>
            <w:gridSpan w:val="3"/>
            <w:tcBorders>
              <w:top w:val="single" w:color="auto" w:sz="12" w:space="0"/>
            </w:tcBorders>
            <w:vAlign w:val="center"/>
          </w:tcPr>
          <w:p w14:paraId="5679D880">
            <w:pPr>
              <w:rPr>
                <w:rFonts w:hint="eastAsia" w:ascii="宋体" w:hAnsi="宋体" w:eastAsia="宋体" w:cs="宋体"/>
                <w:sz w:val="24"/>
                <w:szCs w:val="24"/>
              </w:rPr>
            </w:pPr>
            <w:r>
              <w:rPr>
                <w:rFonts w:hint="eastAsia" w:ascii="宋体" w:hAnsi="宋体" w:eastAsia="宋体" w:cs="宋体"/>
                <w:sz w:val="24"/>
                <w:szCs w:val="24"/>
              </w:rPr>
              <w:t>ABB、KUKA</w:t>
            </w:r>
          </w:p>
        </w:tc>
        <w:tc>
          <w:tcPr>
            <w:tcW w:w="2878" w:type="dxa"/>
            <w:gridSpan w:val="3"/>
            <w:tcBorders>
              <w:top w:val="single" w:color="auto" w:sz="12" w:space="0"/>
            </w:tcBorders>
            <w:vAlign w:val="center"/>
          </w:tcPr>
          <w:p w14:paraId="31D46856">
            <w:pPr>
              <w:rPr>
                <w:rFonts w:hint="eastAsia" w:ascii="宋体" w:hAnsi="宋体" w:eastAsia="宋体" w:cs="宋体"/>
                <w:sz w:val="24"/>
                <w:szCs w:val="24"/>
              </w:rPr>
            </w:pPr>
          </w:p>
        </w:tc>
      </w:tr>
      <w:tr w14:paraId="4760B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5313DA3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w:t>
            </w:r>
          </w:p>
        </w:tc>
        <w:tc>
          <w:tcPr>
            <w:tcW w:w="3131" w:type="dxa"/>
            <w:gridSpan w:val="2"/>
            <w:vAlign w:val="center"/>
          </w:tcPr>
          <w:p w14:paraId="64CB2DEA">
            <w:pPr>
              <w:rPr>
                <w:rFonts w:hint="eastAsia" w:ascii="宋体" w:hAnsi="宋体" w:eastAsia="宋体" w:cs="宋体"/>
                <w:sz w:val="24"/>
                <w:szCs w:val="24"/>
              </w:rPr>
            </w:pPr>
            <w:r>
              <w:rPr>
                <w:rFonts w:hint="eastAsia" w:ascii="宋体" w:hAnsi="宋体" w:eastAsia="宋体" w:cs="宋体"/>
                <w:sz w:val="24"/>
                <w:szCs w:val="24"/>
              </w:rPr>
              <w:t>机器人七轴</w:t>
            </w:r>
          </w:p>
        </w:tc>
        <w:tc>
          <w:tcPr>
            <w:tcW w:w="2213" w:type="dxa"/>
            <w:gridSpan w:val="3"/>
            <w:vAlign w:val="center"/>
          </w:tcPr>
          <w:p w14:paraId="4EAB4F93">
            <w:pPr>
              <w:rPr>
                <w:rFonts w:hint="eastAsia" w:ascii="宋体" w:hAnsi="宋体" w:eastAsia="宋体" w:cs="宋体"/>
                <w:sz w:val="24"/>
                <w:szCs w:val="24"/>
              </w:rPr>
            </w:pPr>
            <w:r>
              <w:rPr>
                <w:rFonts w:hint="eastAsia" w:ascii="宋体" w:hAnsi="宋体" w:eastAsia="宋体" w:cs="宋体"/>
                <w:sz w:val="24"/>
                <w:szCs w:val="24"/>
              </w:rPr>
              <w:t>F.EE、GUDEL、ABB</w:t>
            </w:r>
          </w:p>
        </w:tc>
        <w:tc>
          <w:tcPr>
            <w:tcW w:w="2878" w:type="dxa"/>
            <w:gridSpan w:val="3"/>
            <w:vAlign w:val="center"/>
          </w:tcPr>
          <w:p w14:paraId="44F70C2D">
            <w:pPr>
              <w:rPr>
                <w:rFonts w:hint="eastAsia" w:ascii="宋体" w:hAnsi="宋体" w:eastAsia="宋体" w:cs="宋体"/>
                <w:sz w:val="24"/>
                <w:szCs w:val="24"/>
              </w:rPr>
            </w:pPr>
            <w:bookmarkStart w:id="43" w:name="OLE_LINK4"/>
            <w:bookmarkStart w:id="44" w:name="OLE_LINK5"/>
            <w:r>
              <w:rPr>
                <w:rFonts w:hint="eastAsia" w:ascii="宋体" w:hAnsi="宋体" w:eastAsia="宋体" w:cs="宋体"/>
                <w:sz w:val="24"/>
                <w:szCs w:val="24"/>
              </w:rPr>
              <w:t>带自动润滑设备</w:t>
            </w:r>
            <w:bookmarkEnd w:id="43"/>
            <w:bookmarkEnd w:id="44"/>
          </w:p>
        </w:tc>
      </w:tr>
      <w:tr w14:paraId="14BE6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48A004F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3</w:t>
            </w:r>
          </w:p>
        </w:tc>
        <w:tc>
          <w:tcPr>
            <w:tcW w:w="3131" w:type="dxa"/>
            <w:gridSpan w:val="2"/>
            <w:vAlign w:val="center"/>
          </w:tcPr>
          <w:p w14:paraId="3C41C34B">
            <w:pPr>
              <w:rPr>
                <w:rFonts w:hint="eastAsia" w:ascii="宋体" w:hAnsi="宋体" w:eastAsia="宋体" w:cs="宋体"/>
                <w:sz w:val="24"/>
                <w:szCs w:val="24"/>
              </w:rPr>
            </w:pPr>
            <w:r>
              <w:rPr>
                <w:rFonts w:hint="eastAsia" w:ascii="宋体" w:hAnsi="宋体" w:eastAsia="宋体" w:cs="宋体"/>
                <w:sz w:val="24"/>
                <w:szCs w:val="24"/>
              </w:rPr>
              <w:t>机器人管线包</w:t>
            </w:r>
          </w:p>
        </w:tc>
        <w:tc>
          <w:tcPr>
            <w:tcW w:w="2213" w:type="dxa"/>
            <w:gridSpan w:val="3"/>
            <w:vAlign w:val="center"/>
          </w:tcPr>
          <w:p w14:paraId="35D747B6">
            <w:pPr>
              <w:rPr>
                <w:rFonts w:hint="eastAsia" w:ascii="宋体" w:hAnsi="宋体" w:eastAsia="宋体" w:cs="宋体"/>
                <w:sz w:val="24"/>
                <w:szCs w:val="24"/>
              </w:rPr>
            </w:pPr>
            <w:r>
              <w:rPr>
                <w:rFonts w:hint="eastAsia" w:ascii="宋体" w:hAnsi="宋体" w:eastAsia="宋体" w:cs="宋体"/>
                <w:sz w:val="24"/>
                <w:szCs w:val="24"/>
              </w:rPr>
              <w:t>LEONI、RSP、MURR</w:t>
            </w:r>
          </w:p>
        </w:tc>
        <w:tc>
          <w:tcPr>
            <w:tcW w:w="2878" w:type="dxa"/>
            <w:gridSpan w:val="3"/>
            <w:vAlign w:val="center"/>
          </w:tcPr>
          <w:p w14:paraId="0D28742B">
            <w:pPr>
              <w:rPr>
                <w:rFonts w:hint="eastAsia" w:ascii="宋体" w:hAnsi="宋体" w:eastAsia="宋体" w:cs="宋体"/>
                <w:sz w:val="24"/>
                <w:szCs w:val="24"/>
              </w:rPr>
            </w:pPr>
          </w:p>
        </w:tc>
      </w:tr>
      <w:tr w14:paraId="3C724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3869A1A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4</w:t>
            </w:r>
          </w:p>
        </w:tc>
        <w:tc>
          <w:tcPr>
            <w:tcW w:w="3131" w:type="dxa"/>
            <w:gridSpan w:val="2"/>
            <w:vAlign w:val="center"/>
          </w:tcPr>
          <w:p w14:paraId="46F0A704">
            <w:pPr>
              <w:rPr>
                <w:rFonts w:hint="eastAsia" w:ascii="宋体" w:hAnsi="宋体" w:eastAsia="宋体" w:cs="宋体"/>
                <w:sz w:val="24"/>
                <w:szCs w:val="24"/>
              </w:rPr>
            </w:pPr>
            <w:r>
              <w:rPr>
                <w:rFonts w:hint="eastAsia" w:ascii="宋体" w:hAnsi="宋体" w:eastAsia="宋体" w:cs="宋体"/>
                <w:sz w:val="24"/>
                <w:szCs w:val="24"/>
              </w:rPr>
              <w:t>HIP/RIP</w:t>
            </w:r>
          </w:p>
        </w:tc>
        <w:tc>
          <w:tcPr>
            <w:tcW w:w="2213" w:type="dxa"/>
            <w:gridSpan w:val="3"/>
            <w:vAlign w:val="center"/>
          </w:tcPr>
          <w:p w14:paraId="3709E648">
            <w:pPr>
              <w:rPr>
                <w:rFonts w:hint="eastAsia" w:ascii="宋体" w:hAnsi="宋体" w:eastAsia="宋体" w:cs="宋体"/>
                <w:sz w:val="24"/>
                <w:szCs w:val="24"/>
              </w:rPr>
            </w:pPr>
            <w:r>
              <w:rPr>
                <w:rFonts w:hint="eastAsia" w:ascii="宋体" w:hAnsi="宋体" w:eastAsia="宋体" w:cs="宋体"/>
                <w:sz w:val="24"/>
                <w:szCs w:val="24"/>
              </w:rPr>
              <w:t>Festo、Rocon、SMC</w:t>
            </w:r>
          </w:p>
        </w:tc>
        <w:tc>
          <w:tcPr>
            <w:tcW w:w="2878" w:type="dxa"/>
            <w:gridSpan w:val="3"/>
            <w:vAlign w:val="center"/>
          </w:tcPr>
          <w:p w14:paraId="0BC4EFC5">
            <w:pPr>
              <w:rPr>
                <w:rFonts w:hint="eastAsia" w:ascii="宋体" w:hAnsi="宋体" w:eastAsia="宋体" w:cs="宋体"/>
                <w:sz w:val="24"/>
                <w:szCs w:val="24"/>
              </w:rPr>
            </w:pPr>
            <w:r>
              <w:rPr>
                <w:rFonts w:hint="eastAsia" w:ascii="宋体" w:hAnsi="宋体" w:eastAsia="宋体" w:cs="宋体"/>
                <w:sz w:val="24"/>
                <w:szCs w:val="24"/>
              </w:rPr>
              <w:t>具备2s内快速断水功能</w:t>
            </w:r>
          </w:p>
        </w:tc>
      </w:tr>
      <w:tr w14:paraId="4B844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350D2CB3">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5</w:t>
            </w:r>
          </w:p>
        </w:tc>
        <w:tc>
          <w:tcPr>
            <w:tcW w:w="3131" w:type="dxa"/>
            <w:gridSpan w:val="2"/>
            <w:vAlign w:val="center"/>
          </w:tcPr>
          <w:p w14:paraId="74CC0FFB">
            <w:pPr>
              <w:rPr>
                <w:rFonts w:hint="eastAsia" w:ascii="宋体" w:hAnsi="宋体" w:eastAsia="宋体" w:cs="宋体"/>
                <w:sz w:val="24"/>
                <w:szCs w:val="24"/>
              </w:rPr>
            </w:pPr>
            <w:r>
              <w:rPr>
                <w:rFonts w:hint="eastAsia" w:ascii="宋体" w:hAnsi="宋体" w:eastAsia="宋体" w:cs="宋体"/>
                <w:sz w:val="24"/>
                <w:szCs w:val="24"/>
              </w:rPr>
              <w:t>工具快换</w:t>
            </w:r>
          </w:p>
        </w:tc>
        <w:tc>
          <w:tcPr>
            <w:tcW w:w="2213" w:type="dxa"/>
            <w:gridSpan w:val="3"/>
            <w:vAlign w:val="center"/>
          </w:tcPr>
          <w:p w14:paraId="38AAB67D">
            <w:pPr>
              <w:rPr>
                <w:rFonts w:hint="eastAsia" w:ascii="宋体" w:hAnsi="宋体" w:eastAsia="宋体" w:cs="宋体"/>
                <w:sz w:val="24"/>
                <w:szCs w:val="24"/>
              </w:rPr>
            </w:pPr>
            <w:r>
              <w:rPr>
                <w:rFonts w:hint="eastAsia" w:ascii="宋体" w:hAnsi="宋体" w:eastAsia="宋体" w:cs="宋体"/>
                <w:sz w:val="24"/>
                <w:szCs w:val="24"/>
              </w:rPr>
              <w:t>ATI、Staubli</w:t>
            </w:r>
          </w:p>
        </w:tc>
        <w:tc>
          <w:tcPr>
            <w:tcW w:w="2878" w:type="dxa"/>
            <w:gridSpan w:val="3"/>
            <w:vAlign w:val="center"/>
          </w:tcPr>
          <w:p w14:paraId="1F0B2ACA">
            <w:pPr>
              <w:rPr>
                <w:rFonts w:hint="eastAsia" w:ascii="宋体" w:hAnsi="宋体" w:eastAsia="宋体" w:cs="宋体"/>
                <w:sz w:val="24"/>
                <w:szCs w:val="24"/>
              </w:rPr>
            </w:pPr>
          </w:p>
        </w:tc>
      </w:tr>
      <w:tr w14:paraId="2A886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6DA9A89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6</w:t>
            </w:r>
          </w:p>
        </w:tc>
        <w:tc>
          <w:tcPr>
            <w:tcW w:w="3131" w:type="dxa"/>
            <w:gridSpan w:val="2"/>
            <w:vAlign w:val="center"/>
          </w:tcPr>
          <w:p w14:paraId="2AF67B25">
            <w:pPr>
              <w:rPr>
                <w:rFonts w:hint="eastAsia" w:ascii="宋体" w:hAnsi="宋体" w:eastAsia="宋体" w:cs="宋体"/>
                <w:sz w:val="24"/>
                <w:szCs w:val="24"/>
              </w:rPr>
            </w:pPr>
            <w:r>
              <w:rPr>
                <w:rFonts w:hint="eastAsia" w:ascii="宋体" w:hAnsi="宋体" w:eastAsia="宋体" w:cs="宋体"/>
                <w:sz w:val="24"/>
                <w:szCs w:val="24"/>
              </w:rPr>
              <w:t>快插接头</w:t>
            </w:r>
          </w:p>
        </w:tc>
        <w:tc>
          <w:tcPr>
            <w:tcW w:w="2213" w:type="dxa"/>
            <w:gridSpan w:val="3"/>
            <w:vAlign w:val="center"/>
          </w:tcPr>
          <w:p w14:paraId="09200C5E">
            <w:pPr>
              <w:rPr>
                <w:rFonts w:hint="eastAsia" w:ascii="宋体" w:hAnsi="宋体" w:eastAsia="宋体" w:cs="宋体"/>
                <w:sz w:val="24"/>
                <w:szCs w:val="24"/>
              </w:rPr>
            </w:pPr>
            <w:r>
              <w:rPr>
                <w:rFonts w:hint="eastAsia" w:ascii="宋体" w:hAnsi="宋体" w:eastAsia="宋体" w:cs="宋体"/>
                <w:sz w:val="24"/>
                <w:szCs w:val="24"/>
              </w:rPr>
              <w:t>ATI、Staubli</w:t>
            </w:r>
          </w:p>
        </w:tc>
        <w:tc>
          <w:tcPr>
            <w:tcW w:w="2878" w:type="dxa"/>
            <w:gridSpan w:val="3"/>
            <w:vAlign w:val="center"/>
          </w:tcPr>
          <w:p w14:paraId="6881AEB8">
            <w:pPr>
              <w:rPr>
                <w:rFonts w:hint="eastAsia" w:ascii="宋体" w:hAnsi="宋体" w:eastAsia="宋体" w:cs="宋体"/>
                <w:sz w:val="24"/>
                <w:szCs w:val="24"/>
              </w:rPr>
            </w:pPr>
          </w:p>
        </w:tc>
      </w:tr>
      <w:tr w14:paraId="6076A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22A4B6EB">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7</w:t>
            </w:r>
          </w:p>
        </w:tc>
        <w:tc>
          <w:tcPr>
            <w:tcW w:w="3131" w:type="dxa"/>
            <w:gridSpan w:val="2"/>
            <w:vAlign w:val="center"/>
          </w:tcPr>
          <w:p w14:paraId="742B7B11">
            <w:pPr>
              <w:rPr>
                <w:rFonts w:hint="eastAsia" w:ascii="宋体" w:hAnsi="宋体" w:eastAsia="宋体" w:cs="宋体"/>
                <w:sz w:val="24"/>
                <w:szCs w:val="24"/>
              </w:rPr>
            </w:pPr>
            <w:r>
              <w:rPr>
                <w:rFonts w:hint="eastAsia" w:ascii="宋体" w:hAnsi="宋体" w:eastAsia="宋体" w:cs="宋体"/>
                <w:sz w:val="24"/>
                <w:szCs w:val="24"/>
              </w:rPr>
              <w:t>中频焊接控制器</w:t>
            </w:r>
          </w:p>
        </w:tc>
        <w:tc>
          <w:tcPr>
            <w:tcW w:w="2213" w:type="dxa"/>
            <w:gridSpan w:val="3"/>
            <w:vAlign w:val="center"/>
          </w:tcPr>
          <w:p w14:paraId="73F5DD92">
            <w:pPr>
              <w:rPr>
                <w:rFonts w:hint="eastAsia" w:ascii="宋体" w:hAnsi="宋体" w:eastAsia="宋体" w:cs="宋体"/>
                <w:sz w:val="24"/>
                <w:szCs w:val="24"/>
              </w:rPr>
            </w:pPr>
            <w:r>
              <w:rPr>
                <w:rFonts w:hint="eastAsia" w:ascii="宋体" w:hAnsi="宋体" w:eastAsia="宋体" w:cs="宋体"/>
                <w:sz w:val="24"/>
                <w:szCs w:val="24"/>
              </w:rPr>
              <w:t>BOSCH、HWH</w:t>
            </w:r>
          </w:p>
        </w:tc>
        <w:tc>
          <w:tcPr>
            <w:tcW w:w="2878" w:type="dxa"/>
            <w:gridSpan w:val="3"/>
            <w:vAlign w:val="center"/>
          </w:tcPr>
          <w:p w14:paraId="24019749">
            <w:pPr>
              <w:rPr>
                <w:rFonts w:hint="eastAsia" w:ascii="宋体" w:hAnsi="宋体" w:eastAsia="宋体" w:cs="宋体"/>
                <w:sz w:val="24"/>
                <w:szCs w:val="24"/>
              </w:rPr>
            </w:pPr>
            <w:r>
              <w:rPr>
                <w:rFonts w:hint="eastAsia" w:ascii="宋体" w:hAnsi="宋体" w:eastAsia="宋体" w:cs="宋体"/>
                <w:sz w:val="24"/>
                <w:szCs w:val="24"/>
              </w:rPr>
              <w:t>带自适应功能</w:t>
            </w:r>
          </w:p>
        </w:tc>
      </w:tr>
      <w:tr w14:paraId="58F79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4E125DE6">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8</w:t>
            </w:r>
          </w:p>
        </w:tc>
        <w:tc>
          <w:tcPr>
            <w:tcW w:w="3131" w:type="dxa"/>
            <w:gridSpan w:val="2"/>
            <w:vAlign w:val="center"/>
          </w:tcPr>
          <w:p w14:paraId="538E5830">
            <w:pPr>
              <w:rPr>
                <w:rFonts w:hint="eastAsia" w:ascii="宋体" w:hAnsi="宋体" w:eastAsia="宋体" w:cs="宋体"/>
                <w:sz w:val="24"/>
                <w:szCs w:val="24"/>
              </w:rPr>
            </w:pPr>
            <w:r>
              <w:rPr>
                <w:rFonts w:hint="eastAsia" w:ascii="宋体" w:hAnsi="宋体" w:eastAsia="宋体" w:cs="宋体"/>
                <w:sz w:val="24"/>
                <w:szCs w:val="24"/>
              </w:rPr>
              <w:t>中频电伺服焊枪</w:t>
            </w:r>
          </w:p>
        </w:tc>
        <w:tc>
          <w:tcPr>
            <w:tcW w:w="2213" w:type="dxa"/>
            <w:gridSpan w:val="3"/>
            <w:vAlign w:val="center"/>
          </w:tcPr>
          <w:p w14:paraId="34DCCD26">
            <w:pPr>
              <w:rPr>
                <w:rFonts w:hint="eastAsia" w:ascii="宋体" w:hAnsi="宋体" w:eastAsia="宋体" w:cs="宋体"/>
                <w:sz w:val="24"/>
                <w:szCs w:val="24"/>
              </w:rPr>
            </w:pPr>
            <w:r>
              <w:rPr>
                <w:rFonts w:hint="eastAsia" w:ascii="宋体" w:hAnsi="宋体" w:eastAsia="宋体" w:cs="宋体"/>
                <w:sz w:val="24"/>
                <w:szCs w:val="24"/>
              </w:rPr>
              <w:t>OBARA、SNG</w:t>
            </w:r>
          </w:p>
        </w:tc>
        <w:tc>
          <w:tcPr>
            <w:tcW w:w="2878" w:type="dxa"/>
            <w:gridSpan w:val="3"/>
            <w:vAlign w:val="center"/>
          </w:tcPr>
          <w:p w14:paraId="306ABAE7">
            <w:pPr>
              <w:rPr>
                <w:rFonts w:hint="eastAsia" w:ascii="宋体" w:hAnsi="宋体" w:eastAsia="宋体" w:cs="宋体"/>
                <w:sz w:val="24"/>
                <w:szCs w:val="24"/>
              </w:rPr>
            </w:pPr>
            <w:r>
              <w:rPr>
                <w:rFonts w:hint="eastAsia" w:ascii="宋体" w:hAnsi="宋体" w:eastAsia="宋体" w:cs="宋体"/>
                <w:sz w:val="24"/>
                <w:szCs w:val="24"/>
              </w:rPr>
              <w:t>含驱动系统，预留智能焊枪接口</w:t>
            </w:r>
          </w:p>
        </w:tc>
      </w:tr>
      <w:tr w14:paraId="40874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193C22D7">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9</w:t>
            </w:r>
          </w:p>
        </w:tc>
        <w:tc>
          <w:tcPr>
            <w:tcW w:w="3131" w:type="dxa"/>
            <w:gridSpan w:val="2"/>
            <w:vAlign w:val="center"/>
          </w:tcPr>
          <w:p w14:paraId="69DC0C64">
            <w:pPr>
              <w:rPr>
                <w:rFonts w:hint="eastAsia" w:ascii="宋体" w:hAnsi="宋体" w:eastAsia="宋体" w:cs="宋体"/>
                <w:sz w:val="24"/>
                <w:szCs w:val="24"/>
              </w:rPr>
            </w:pPr>
            <w:r>
              <w:rPr>
                <w:rFonts w:hint="eastAsia" w:ascii="宋体" w:hAnsi="宋体" w:eastAsia="宋体" w:cs="宋体"/>
                <w:sz w:val="24"/>
                <w:szCs w:val="24"/>
              </w:rPr>
              <w:t>焊接变压器</w:t>
            </w:r>
          </w:p>
        </w:tc>
        <w:tc>
          <w:tcPr>
            <w:tcW w:w="2213" w:type="dxa"/>
            <w:gridSpan w:val="3"/>
            <w:vAlign w:val="center"/>
          </w:tcPr>
          <w:p w14:paraId="640A7819">
            <w:pPr>
              <w:rPr>
                <w:rFonts w:hint="eastAsia" w:ascii="宋体" w:hAnsi="宋体" w:eastAsia="宋体" w:cs="宋体"/>
                <w:sz w:val="24"/>
                <w:szCs w:val="24"/>
              </w:rPr>
            </w:pPr>
            <w:r>
              <w:rPr>
                <w:rFonts w:hint="eastAsia" w:ascii="宋体" w:hAnsi="宋体" w:eastAsia="宋体" w:cs="宋体"/>
                <w:sz w:val="24"/>
                <w:szCs w:val="24"/>
              </w:rPr>
              <w:t>BOSCH或同等品牌</w:t>
            </w:r>
          </w:p>
        </w:tc>
        <w:tc>
          <w:tcPr>
            <w:tcW w:w="2878" w:type="dxa"/>
            <w:gridSpan w:val="3"/>
            <w:vAlign w:val="center"/>
          </w:tcPr>
          <w:p w14:paraId="137FD520">
            <w:pPr>
              <w:rPr>
                <w:rFonts w:hint="eastAsia" w:ascii="宋体" w:hAnsi="宋体" w:eastAsia="宋体" w:cs="宋体"/>
                <w:sz w:val="24"/>
                <w:szCs w:val="24"/>
              </w:rPr>
            </w:pPr>
          </w:p>
        </w:tc>
      </w:tr>
      <w:tr w14:paraId="74239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6281CBEB">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10</w:t>
            </w:r>
          </w:p>
        </w:tc>
        <w:tc>
          <w:tcPr>
            <w:tcW w:w="3131" w:type="dxa"/>
            <w:gridSpan w:val="2"/>
            <w:vAlign w:val="center"/>
          </w:tcPr>
          <w:p w14:paraId="7AE9EB4A">
            <w:pPr>
              <w:rPr>
                <w:rFonts w:hint="eastAsia" w:ascii="宋体" w:hAnsi="宋体" w:eastAsia="宋体" w:cs="宋体"/>
                <w:sz w:val="24"/>
                <w:szCs w:val="24"/>
              </w:rPr>
            </w:pPr>
            <w:r>
              <w:rPr>
                <w:rFonts w:hint="eastAsia" w:ascii="宋体" w:hAnsi="宋体" w:eastAsia="宋体" w:cs="宋体"/>
                <w:sz w:val="24"/>
                <w:szCs w:val="24"/>
              </w:rPr>
              <w:t>焊枪修磨器</w:t>
            </w:r>
          </w:p>
        </w:tc>
        <w:tc>
          <w:tcPr>
            <w:tcW w:w="2213" w:type="dxa"/>
            <w:gridSpan w:val="3"/>
            <w:vAlign w:val="center"/>
          </w:tcPr>
          <w:p w14:paraId="4CC916BE">
            <w:pPr>
              <w:rPr>
                <w:rFonts w:hint="eastAsia" w:ascii="宋体" w:hAnsi="宋体" w:eastAsia="宋体" w:cs="宋体"/>
                <w:sz w:val="24"/>
                <w:szCs w:val="24"/>
              </w:rPr>
            </w:pPr>
            <w:r>
              <w:rPr>
                <w:rFonts w:hint="eastAsia" w:ascii="宋体" w:hAnsi="宋体" w:eastAsia="宋体" w:cs="宋体"/>
                <w:sz w:val="24"/>
                <w:szCs w:val="24"/>
              </w:rPr>
              <w:t>Lutz、Brauer</w:t>
            </w:r>
          </w:p>
        </w:tc>
        <w:tc>
          <w:tcPr>
            <w:tcW w:w="2878" w:type="dxa"/>
            <w:gridSpan w:val="3"/>
            <w:vAlign w:val="center"/>
          </w:tcPr>
          <w:p w14:paraId="412FBF90">
            <w:pPr>
              <w:rPr>
                <w:rFonts w:hint="eastAsia" w:ascii="宋体" w:hAnsi="宋体" w:eastAsia="宋体" w:cs="宋体"/>
                <w:sz w:val="24"/>
                <w:szCs w:val="24"/>
              </w:rPr>
            </w:pPr>
            <w:r>
              <w:rPr>
                <w:rFonts w:hint="eastAsia" w:ascii="宋体" w:hAnsi="宋体" w:eastAsia="宋体" w:cs="宋体"/>
                <w:sz w:val="24"/>
                <w:szCs w:val="24"/>
              </w:rPr>
              <w:t>带自动换帽</w:t>
            </w:r>
          </w:p>
        </w:tc>
      </w:tr>
      <w:tr w14:paraId="7396C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0C1A9147">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11</w:t>
            </w:r>
          </w:p>
        </w:tc>
        <w:tc>
          <w:tcPr>
            <w:tcW w:w="3131" w:type="dxa"/>
            <w:gridSpan w:val="2"/>
            <w:vAlign w:val="center"/>
          </w:tcPr>
          <w:p w14:paraId="242527F3">
            <w:pPr>
              <w:rPr>
                <w:rFonts w:hint="eastAsia" w:ascii="宋体" w:hAnsi="宋体" w:eastAsia="宋体" w:cs="宋体"/>
                <w:sz w:val="24"/>
                <w:szCs w:val="24"/>
              </w:rPr>
            </w:pPr>
            <w:r>
              <w:rPr>
                <w:rFonts w:hint="eastAsia" w:ascii="宋体" w:hAnsi="宋体" w:eastAsia="宋体" w:cs="宋体"/>
                <w:sz w:val="24"/>
                <w:szCs w:val="24"/>
              </w:rPr>
              <w:t>自动螺柱焊机</w:t>
            </w:r>
          </w:p>
        </w:tc>
        <w:tc>
          <w:tcPr>
            <w:tcW w:w="2213" w:type="dxa"/>
            <w:gridSpan w:val="3"/>
            <w:vAlign w:val="center"/>
          </w:tcPr>
          <w:p w14:paraId="2D5DB80B">
            <w:pPr>
              <w:rPr>
                <w:rFonts w:hint="eastAsia" w:ascii="宋体" w:hAnsi="宋体" w:eastAsia="宋体" w:cs="宋体"/>
                <w:sz w:val="24"/>
                <w:szCs w:val="24"/>
              </w:rPr>
            </w:pPr>
            <w:r>
              <w:rPr>
                <w:rFonts w:hint="eastAsia" w:ascii="宋体" w:hAnsi="宋体" w:eastAsia="宋体" w:cs="宋体"/>
                <w:sz w:val="24"/>
                <w:szCs w:val="24"/>
              </w:rPr>
              <w:t>Emhart、Nelson</w:t>
            </w:r>
          </w:p>
        </w:tc>
        <w:tc>
          <w:tcPr>
            <w:tcW w:w="2878" w:type="dxa"/>
            <w:gridSpan w:val="3"/>
            <w:vAlign w:val="center"/>
          </w:tcPr>
          <w:p w14:paraId="4ECA024F">
            <w:pPr>
              <w:rPr>
                <w:rFonts w:hint="eastAsia" w:ascii="宋体" w:hAnsi="宋体" w:eastAsia="宋体" w:cs="宋体"/>
                <w:sz w:val="24"/>
                <w:szCs w:val="24"/>
              </w:rPr>
            </w:pPr>
          </w:p>
        </w:tc>
      </w:tr>
      <w:tr w14:paraId="72C2B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581F107F">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12</w:t>
            </w:r>
          </w:p>
        </w:tc>
        <w:tc>
          <w:tcPr>
            <w:tcW w:w="3131" w:type="dxa"/>
            <w:gridSpan w:val="2"/>
            <w:vAlign w:val="center"/>
          </w:tcPr>
          <w:p w14:paraId="13528076">
            <w:pPr>
              <w:rPr>
                <w:rFonts w:hint="eastAsia" w:ascii="宋体" w:hAnsi="宋体" w:eastAsia="宋体" w:cs="宋体"/>
                <w:sz w:val="24"/>
                <w:szCs w:val="24"/>
              </w:rPr>
            </w:pPr>
            <w:r>
              <w:rPr>
                <w:rFonts w:hint="eastAsia" w:ascii="宋体" w:hAnsi="宋体" w:eastAsia="宋体" w:cs="宋体"/>
                <w:sz w:val="24"/>
                <w:szCs w:val="24"/>
              </w:rPr>
              <w:t>自动弧焊设备</w:t>
            </w:r>
          </w:p>
        </w:tc>
        <w:tc>
          <w:tcPr>
            <w:tcW w:w="2213" w:type="dxa"/>
            <w:gridSpan w:val="3"/>
            <w:vAlign w:val="center"/>
          </w:tcPr>
          <w:p w14:paraId="12E408D3">
            <w:pPr>
              <w:rPr>
                <w:rFonts w:hint="eastAsia" w:ascii="宋体" w:hAnsi="宋体" w:eastAsia="宋体" w:cs="宋体"/>
                <w:sz w:val="24"/>
                <w:szCs w:val="24"/>
              </w:rPr>
            </w:pPr>
            <w:r>
              <w:rPr>
                <w:rFonts w:hint="eastAsia" w:ascii="宋体" w:hAnsi="宋体" w:eastAsia="宋体" w:cs="宋体"/>
                <w:sz w:val="24"/>
                <w:szCs w:val="24"/>
              </w:rPr>
              <w:t>Fronius或同等品牌</w:t>
            </w:r>
          </w:p>
        </w:tc>
        <w:tc>
          <w:tcPr>
            <w:tcW w:w="2878" w:type="dxa"/>
            <w:gridSpan w:val="3"/>
            <w:vAlign w:val="center"/>
          </w:tcPr>
          <w:p w14:paraId="0F3A9D6F">
            <w:pPr>
              <w:rPr>
                <w:rFonts w:hint="eastAsia" w:ascii="宋体" w:hAnsi="宋体" w:eastAsia="宋体" w:cs="宋体"/>
                <w:sz w:val="24"/>
                <w:szCs w:val="24"/>
              </w:rPr>
            </w:pPr>
            <w:r>
              <w:rPr>
                <w:rFonts w:hint="eastAsia" w:ascii="宋体" w:hAnsi="宋体" w:eastAsia="宋体" w:cs="宋体"/>
                <w:sz w:val="24"/>
                <w:szCs w:val="24"/>
              </w:rPr>
              <w:t>带校准、清枪、剪丝机构</w:t>
            </w:r>
          </w:p>
        </w:tc>
      </w:tr>
      <w:tr w14:paraId="60BF3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37500C2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13</w:t>
            </w:r>
          </w:p>
        </w:tc>
        <w:tc>
          <w:tcPr>
            <w:tcW w:w="3131" w:type="dxa"/>
            <w:gridSpan w:val="2"/>
            <w:vAlign w:val="center"/>
          </w:tcPr>
          <w:p w14:paraId="0673FEC8">
            <w:pPr>
              <w:rPr>
                <w:rFonts w:hint="eastAsia" w:ascii="宋体" w:hAnsi="宋体" w:eastAsia="宋体" w:cs="宋体"/>
                <w:sz w:val="24"/>
                <w:szCs w:val="24"/>
              </w:rPr>
            </w:pPr>
            <w:r>
              <w:rPr>
                <w:rFonts w:hint="eastAsia" w:ascii="宋体" w:hAnsi="宋体" w:eastAsia="宋体" w:cs="宋体"/>
                <w:sz w:val="24"/>
                <w:szCs w:val="24"/>
              </w:rPr>
              <w:t>涂胶系统</w:t>
            </w:r>
          </w:p>
        </w:tc>
        <w:tc>
          <w:tcPr>
            <w:tcW w:w="2213" w:type="dxa"/>
            <w:gridSpan w:val="3"/>
            <w:vAlign w:val="center"/>
          </w:tcPr>
          <w:p w14:paraId="7716A538">
            <w:pPr>
              <w:rPr>
                <w:rFonts w:hint="eastAsia" w:ascii="宋体" w:hAnsi="宋体" w:eastAsia="宋体" w:cs="宋体"/>
                <w:sz w:val="24"/>
                <w:szCs w:val="24"/>
              </w:rPr>
            </w:pPr>
            <w:r>
              <w:rPr>
                <w:rFonts w:hint="eastAsia" w:ascii="宋体" w:hAnsi="宋体" w:eastAsia="宋体" w:cs="宋体"/>
                <w:sz w:val="24"/>
                <w:szCs w:val="24"/>
              </w:rPr>
              <w:t>SCA、DOPAG</w:t>
            </w:r>
          </w:p>
        </w:tc>
        <w:tc>
          <w:tcPr>
            <w:tcW w:w="2878" w:type="dxa"/>
            <w:gridSpan w:val="3"/>
            <w:vAlign w:val="center"/>
          </w:tcPr>
          <w:p w14:paraId="782440E1">
            <w:pPr>
              <w:rPr>
                <w:rFonts w:hint="eastAsia" w:ascii="宋体" w:hAnsi="宋体" w:eastAsia="宋体" w:cs="宋体"/>
                <w:sz w:val="24"/>
                <w:szCs w:val="24"/>
              </w:rPr>
            </w:pPr>
            <w:r>
              <w:rPr>
                <w:rFonts w:hint="eastAsia" w:ascii="宋体" w:hAnsi="宋体" w:eastAsia="宋体" w:cs="宋体"/>
                <w:sz w:val="24"/>
                <w:szCs w:val="24"/>
              </w:rPr>
              <w:t>要求使用全程加热</w:t>
            </w:r>
          </w:p>
        </w:tc>
      </w:tr>
      <w:tr w14:paraId="5EC80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285E5840">
            <w:pPr>
              <w:pStyle w:val="135"/>
              <w:widowControl/>
              <w:ind w:firstLine="0" w:firstLineChars="0"/>
              <w:contextualSpacing/>
              <w:jc w:val="center"/>
              <w:rPr>
                <w:rFonts w:hint="eastAsia" w:ascii="宋体" w:hAnsi="宋体" w:eastAsia="宋体" w:cs="宋体"/>
                <w:sz w:val="24"/>
                <w:szCs w:val="24"/>
              </w:rPr>
            </w:pPr>
            <w:r>
              <w:rPr>
                <w:rFonts w:hint="eastAsia" w:ascii="宋体" w:hAnsi="宋体" w:eastAsia="宋体" w:cs="宋体"/>
                <w:sz w:val="24"/>
                <w:szCs w:val="24"/>
              </w:rPr>
              <w:t>14</w:t>
            </w:r>
          </w:p>
        </w:tc>
        <w:tc>
          <w:tcPr>
            <w:tcW w:w="3131" w:type="dxa"/>
            <w:gridSpan w:val="2"/>
            <w:vAlign w:val="center"/>
          </w:tcPr>
          <w:p w14:paraId="66D6A28A">
            <w:pPr>
              <w:rPr>
                <w:rFonts w:hint="eastAsia" w:ascii="宋体" w:hAnsi="宋体" w:eastAsia="宋体" w:cs="宋体"/>
                <w:sz w:val="24"/>
                <w:szCs w:val="24"/>
              </w:rPr>
            </w:pPr>
            <w:r>
              <w:rPr>
                <w:rFonts w:hint="eastAsia" w:ascii="宋体" w:hAnsi="宋体" w:eastAsia="宋体" w:cs="宋体"/>
                <w:sz w:val="24"/>
                <w:szCs w:val="24"/>
              </w:rPr>
              <w:t>螺母冲铆系统</w:t>
            </w:r>
          </w:p>
        </w:tc>
        <w:tc>
          <w:tcPr>
            <w:tcW w:w="2213" w:type="dxa"/>
            <w:gridSpan w:val="3"/>
            <w:vAlign w:val="center"/>
          </w:tcPr>
          <w:p w14:paraId="3E5FA505">
            <w:pPr>
              <w:rPr>
                <w:rFonts w:hint="eastAsia" w:ascii="宋体" w:hAnsi="宋体" w:eastAsia="宋体" w:cs="宋体"/>
                <w:sz w:val="24"/>
                <w:szCs w:val="24"/>
              </w:rPr>
            </w:pPr>
            <w:r>
              <w:rPr>
                <w:rFonts w:hint="eastAsia" w:ascii="宋体" w:hAnsi="宋体" w:eastAsia="宋体" w:cs="宋体"/>
                <w:sz w:val="24"/>
                <w:szCs w:val="24"/>
              </w:rPr>
              <w:t>TOX或同等级品牌</w:t>
            </w:r>
          </w:p>
        </w:tc>
        <w:tc>
          <w:tcPr>
            <w:tcW w:w="2878" w:type="dxa"/>
            <w:gridSpan w:val="3"/>
            <w:vAlign w:val="center"/>
          </w:tcPr>
          <w:p w14:paraId="538B600E">
            <w:pPr>
              <w:rPr>
                <w:rFonts w:hint="eastAsia" w:ascii="宋体" w:hAnsi="宋体" w:eastAsia="宋体" w:cs="宋体"/>
                <w:sz w:val="24"/>
                <w:szCs w:val="24"/>
              </w:rPr>
            </w:pPr>
          </w:p>
        </w:tc>
      </w:tr>
      <w:tr w14:paraId="6CCEB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34C7E614">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15</w:t>
            </w:r>
          </w:p>
        </w:tc>
        <w:tc>
          <w:tcPr>
            <w:tcW w:w="3131" w:type="dxa"/>
            <w:gridSpan w:val="2"/>
            <w:vAlign w:val="center"/>
          </w:tcPr>
          <w:p w14:paraId="2415A5F5">
            <w:pPr>
              <w:rPr>
                <w:rFonts w:hint="eastAsia" w:ascii="宋体" w:hAnsi="宋体" w:eastAsia="宋体" w:cs="宋体"/>
                <w:sz w:val="24"/>
                <w:szCs w:val="24"/>
              </w:rPr>
            </w:pPr>
            <w:r>
              <w:rPr>
                <w:rFonts w:hint="eastAsia" w:ascii="宋体" w:hAnsi="宋体" w:eastAsia="宋体" w:cs="宋体"/>
                <w:sz w:val="24"/>
                <w:szCs w:val="24"/>
              </w:rPr>
              <w:t>烟尘处理系统</w:t>
            </w:r>
          </w:p>
        </w:tc>
        <w:tc>
          <w:tcPr>
            <w:tcW w:w="2213" w:type="dxa"/>
            <w:gridSpan w:val="3"/>
            <w:vAlign w:val="center"/>
          </w:tcPr>
          <w:p w14:paraId="1EF4AEE6">
            <w:pPr>
              <w:rPr>
                <w:rFonts w:hint="eastAsia" w:ascii="宋体" w:hAnsi="宋体" w:eastAsia="宋体" w:cs="宋体"/>
                <w:sz w:val="24"/>
                <w:szCs w:val="24"/>
              </w:rPr>
            </w:pPr>
            <w:r>
              <w:rPr>
                <w:rFonts w:hint="eastAsia" w:ascii="宋体" w:hAnsi="宋体" w:eastAsia="宋体" w:cs="宋体"/>
                <w:sz w:val="24"/>
                <w:szCs w:val="24"/>
              </w:rPr>
              <w:t>KAPPER、Nederman</w:t>
            </w:r>
          </w:p>
        </w:tc>
        <w:tc>
          <w:tcPr>
            <w:tcW w:w="2878" w:type="dxa"/>
            <w:gridSpan w:val="3"/>
            <w:vAlign w:val="center"/>
          </w:tcPr>
          <w:p w14:paraId="5E48AF5E">
            <w:pPr>
              <w:rPr>
                <w:rFonts w:hint="eastAsia" w:ascii="宋体" w:hAnsi="宋体" w:eastAsia="宋体" w:cs="宋体"/>
                <w:sz w:val="24"/>
                <w:szCs w:val="24"/>
              </w:rPr>
            </w:pPr>
          </w:p>
        </w:tc>
      </w:tr>
      <w:tr w14:paraId="70DE7A92">
        <w:tblPrEx>
          <w:tblCellMar>
            <w:top w:w="0" w:type="dxa"/>
            <w:left w:w="108" w:type="dxa"/>
            <w:bottom w:w="0" w:type="dxa"/>
            <w:right w:w="108" w:type="dxa"/>
          </w:tblCellMar>
        </w:tblPrEx>
        <w:trPr>
          <w:gridAfter w:val="3"/>
          <w:wAfter w:w="172" w:type="dxa"/>
          <w:jc w:val="center"/>
        </w:trPr>
        <w:tc>
          <w:tcPr>
            <w:tcW w:w="786" w:type="dxa"/>
            <w:gridSpan w:val="2"/>
            <w:vAlign w:val="center"/>
          </w:tcPr>
          <w:p w14:paraId="228349E5">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16</w:t>
            </w:r>
          </w:p>
        </w:tc>
        <w:tc>
          <w:tcPr>
            <w:tcW w:w="3131" w:type="dxa"/>
            <w:gridSpan w:val="2"/>
            <w:vAlign w:val="center"/>
          </w:tcPr>
          <w:p w14:paraId="3A4AF520">
            <w:pPr>
              <w:rPr>
                <w:rFonts w:hint="eastAsia" w:ascii="宋体" w:hAnsi="宋体" w:eastAsia="宋体" w:cs="宋体"/>
                <w:sz w:val="24"/>
                <w:szCs w:val="24"/>
              </w:rPr>
            </w:pPr>
            <w:r>
              <w:rPr>
                <w:rFonts w:hint="eastAsia" w:ascii="宋体" w:hAnsi="宋体" w:eastAsia="宋体" w:cs="宋体"/>
                <w:sz w:val="24"/>
                <w:szCs w:val="24"/>
              </w:rPr>
              <w:t>自动打码设备</w:t>
            </w:r>
          </w:p>
        </w:tc>
        <w:tc>
          <w:tcPr>
            <w:tcW w:w="2213" w:type="dxa"/>
            <w:gridSpan w:val="3"/>
            <w:vAlign w:val="center"/>
          </w:tcPr>
          <w:p w14:paraId="41FB5EDF">
            <w:pPr>
              <w:rPr>
                <w:rFonts w:hint="eastAsia" w:ascii="宋体" w:hAnsi="宋体" w:eastAsia="宋体" w:cs="宋体"/>
                <w:sz w:val="24"/>
                <w:szCs w:val="24"/>
              </w:rPr>
            </w:pPr>
            <w:r>
              <w:rPr>
                <w:rFonts w:hint="eastAsia" w:ascii="宋体" w:hAnsi="宋体" w:eastAsia="宋体" w:cs="宋体"/>
                <w:sz w:val="24"/>
                <w:szCs w:val="24"/>
              </w:rPr>
              <w:t>金未来或同等品牌</w:t>
            </w:r>
          </w:p>
        </w:tc>
        <w:tc>
          <w:tcPr>
            <w:tcW w:w="2878" w:type="dxa"/>
            <w:gridSpan w:val="3"/>
            <w:vAlign w:val="center"/>
          </w:tcPr>
          <w:p w14:paraId="401D55B4">
            <w:pPr>
              <w:rPr>
                <w:rFonts w:hint="eastAsia" w:ascii="宋体" w:hAnsi="宋体" w:eastAsia="宋体" w:cs="宋体"/>
                <w:sz w:val="24"/>
                <w:szCs w:val="24"/>
              </w:rPr>
            </w:pPr>
            <w:r>
              <w:rPr>
                <w:rFonts w:hint="eastAsia" w:ascii="宋体" w:hAnsi="宋体" w:eastAsia="宋体" w:cs="宋体"/>
                <w:sz w:val="24"/>
                <w:szCs w:val="24"/>
              </w:rPr>
              <w:t>带视觉质量反馈系统</w:t>
            </w:r>
          </w:p>
        </w:tc>
      </w:tr>
      <w:tr w14:paraId="5AAFC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0630715C">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17</w:t>
            </w:r>
          </w:p>
        </w:tc>
        <w:tc>
          <w:tcPr>
            <w:tcW w:w="3131" w:type="dxa"/>
            <w:gridSpan w:val="2"/>
            <w:vAlign w:val="center"/>
          </w:tcPr>
          <w:p w14:paraId="103E57BF">
            <w:pPr>
              <w:rPr>
                <w:rFonts w:hint="eastAsia" w:ascii="宋体" w:hAnsi="宋体" w:eastAsia="宋体" w:cs="宋体"/>
                <w:sz w:val="24"/>
                <w:szCs w:val="24"/>
              </w:rPr>
            </w:pPr>
            <w:r>
              <w:rPr>
                <w:rFonts w:hint="eastAsia" w:ascii="宋体" w:hAnsi="宋体" w:eastAsia="宋体" w:cs="宋体"/>
                <w:sz w:val="24"/>
                <w:szCs w:val="24"/>
              </w:rPr>
              <w:t>自动在线测量系统</w:t>
            </w:r>
          </w:p>
        </w:tc>
        <w:tc>
          <w:tcPr>
            <w:tcW w:w="2213" w:type="dxa"/>
            <w:gridSpan w:val="3"/>
            <w:vAlign w:val="center"/>
          </w:tcPr>
          <w:p w14:paraId="2B6DFB9B">
            <w:pPr>
              <w:rPr>
                <w:rFonts w:hint="eastAsia" w:ascii="宋体" w:hAnsi="宋体" w:eastAsia="宋体" w:cs="宋体"/>
                <w:sz w:val="24"/>
                <w:szCs w:val="24"/>
              </w:rPr>
            </w:pPr>
            <w:r>
              <w:rPr>
                <w:rFonts w:hint="eastAsia" w:ascii="宋体" w:hAnsi="宋体" w:eastAsia="宋体" w:cs="宋体"/>
                <w:sz w:val="24"/>
                <w:szCs w:val="24"/>
              </w:rPr>
              <w:t>ISV、ZEISS、ISRA</w:t>
            </w:r>
          </w:p>
        </w:tc>
        <w:tc>
          <w:tcPr>
            <w:tcW w:w="2878" w:type="dxa"/>
            <w:gridSpan w:val="3"/>
            <w:vAlign w:val="center"/>
          </w:tcPr>
          <w:p w14:paraId="62F8BBED">
            <w:pPr>
              <w:rPr>
                <w:rFonts w:hint="eastAsia" w:ascii="宋体" w:hAnsi="宋体" w:eastAsia="宋体" w:cs="宋体"/>
                <w:sz w:val="24"/>
                <w:szCs w:val="24"/>
              </w:rPr>
            </w:pPr>
          </w:p>
        </w:tc>
      </w:tr>
      <w:tr w14:paraId="569FD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1769B7A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18</w:t>
            </w:r>
          </w:p>
        </w:tc>
        <w:tc>
          <w:tcPr>
            <w:tcW w:w="3131" w:type="dxa"/>
            <w:gridSpan w:val="2"/>
            <w:vAlign w:val="center"/>
          </w:tcPr>
          <w:p w14:paraId="08484541">
            <w:pPr>
              <w:rPr>
                <w:rFonts w:hint="eastAsia" w:ascii="宋体" w:hAnsi="宋体" w:eastAsia="宋体" w:cs="宋体"/>
                <w:sz w:val="24"/>
                <w:szCs w:val="24"/>
              </w:rPr>
            </w:pPr>
            <w:r>
              <w:rPr>
                <w:rFonts w:hint="eastAsia" w:ascii="宋体" w:hAnsi="宋体" w:eastAsia="宋体" w:cs="宋体"/>
                <w:sz w:val="24"/>
                <w:szCs w:val="24"/>
              </w:rPr>
              <w:t>视觉引导</w:t>
            </w:r>
          </w:p>
        </w:tc>
        <w:tc>
          <w:tcPr>
            <w:tcW w:w="2213" w:type="dxa"/>
            <w:gridSpan w:val="3"/>
            <w:vAlign w:val="center"/>
          </w:tcPr>
          <w:p w14:paraId="0AB5D6C2">
            <w:pPr>
              <w:rPr>
                <w:rFonts w:hint="eastAsia" w:ascii="宋体" w:hAnsi="宋体" w:eastAsia="宋体" w:cs="宋体"/>
                <w:sz w:val="24"/>
                <w:szCs w:val="24"/>
              </w:rPr>
            </w:pPr>
            <w:r>
              <w:rPr>
                <w:rFonts w:hint="eastAsia" w:ascii="宋体" w:hAnsi="宋体" w:eastAsia="宋体" w:cs="宋体"/>
                <w:sz w:val="24"/>
                <w:szCs w:val="24"/>
              </w:rPr>
              <w:t>ISV、ISRA</w:t>
            </w:r>
          </w:p>
        </w:tc>
        <w:tc>
          <w:tcPr>
            <w:tcW w:w="2878" w:type="dxa"/>
            <w:gridSpan w:val="3"/>
            <w:vAlign w:val="center"/>
          </w:tcPr>
          <w:p w14:paraId="1669E275">
            <w:pPr>
              <w:rPr>
                <w:rFonts w:hint="eastAsia" w:ascii="宋体" w:hAnsi="宋体" w:eastAsia="宋体" w:cs="宋体"/>
                <w:sz w:val="24"/>
                <w:szCs w:val="24"/>
              </w:rPr>
            </w:pPr>
          </w:p>
        </w:tc>
      </w:tr>
      <w:tr w14:paraId="3DFDA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47B907C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19</w:t>
            </w:r>
          </w:p>
        </w:tc>
        <w:tc>
          <w:tcPr>
            <w:tcW w:w="3131" w:type="dxa"/>
            <w:gridSpan w:val="2"/>
            <w:vAlign w:val="center"/>
          </w:tcPr>
          <w:p w14:paraId="13AB4890">
            <w:pPr>
              <w:rPr>
                <w:rFonts w:hint="eastAsia" w:ascii="宋体" w:hAnsi="宋体" w:eastAsia="宋体" w:cs="宋体"/>
                <w:sz w:val="24"/>
                <w:szCs w:val="24"/>
              </w:rPr>
            </w:pPr>
            <w:r>
              <w:rPr>
                <w:rFonts w:hint="eastAsia" w:ascii="宋体" w:hAnsi="宋体" w:eastAsia="宋体" w:cs="宋体"/>
                <w:sz w:val="24"/>
                <w:szCs w:val="24"/>
              </w:rPr>
              <w:t>涂胶检测</w:t>
            </w:r>
          </w:p>
        </w:tc>
        <w:tc>
          <w:tcPr>
            <w:tcW w:w="2213" w:type="dxa"/>
            <w:gridSpan w:val="3"/>
            <w:vAlign w:val="center"/>
          </w:tcPr>
          <w:p w14:paraId="627EC509">
            <w:pPr>
              <w:rPr>
                <w:rFonts w:hint="eastAsia" w:ascii="宋体" w:hAnsi="宋体" w:eastAsia="宋体" w:cs="宋体"/>
                <w:sz w:val="24"/>
                <w:szCs w:val="24"/>
              </w:rPr>
            </w:pPr>
            <w:r>
              <w:rPr>
                <w:rFonts w:hint="eastAsia" w:ascii="宋体" w:hAnsi="宋体" w:eastAsia="宋体" w:cs="宋体"/>
                <w:sz w:val="24"/>
                <w:szCs w:val="24"/>
              </w:rPr>
              <w:t>ISV、ISRA</w:t>
            </w:r>
          </w:p>
        </w:tc>
        <w:tc>
          <w:tcPr>
            <w:tcW w:w="2878" w:type="dxa"/>
            <w:gridSpan w:val="3"/>
            <w:vAlign w:val="center"/>
          </w:tcPr>
          <w:p w14:paraId="1F07E7C9">
            <w:pPr>
              <w:rPr>
                <w:rFonts w:hint="eastAsia" w:ascii="宋体" w:hAnsi="宋体" w:eastAsia="宋体" w:cs="宋体"/>
                <w:sz w:val="24"/>
                <w:szCs w:val="24"/>
              </w:rPr>
            </w:pPr>
          </w:p>
        </w:tc>
      </w:tr>
      <w:tr w14:paraId="0ADB9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vAlign w:val="center"/>
          </w:tcPr>
          <w:p w14:paraId="1B398164">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20</w:t>
            </w:r>
          </w:p>
        </w:tc>
        <w:tc>
          <w:tcPr>
            <w:tcW w:w="3131" w:type="dxa"/>
            <w:gridSpan w:val="2"/>
            <w:vAlign w:val="center"/>
          </w:tcPr>
          <w:p w14:paraId="4F53B75B">
            <w:pPr>
              <w:rPr>
                <w:rFonts w:hint="eastAsia" w:ascii="宋体" w:hAnsi="宋体" w:eastAsia="宋体" w:cs="宋体"/>
                <w:sz w:val="24"/>
                <w:szCs w:val="24"/>
              </w:rPr>
            </w:pPr>
            <w:r>
              <w:rPr>
                <w:rFonts w:hint="eastAsia" w:ascii="宋体" w:hAnsi="宋体" w:eastAsia="宋体" w:cs="宋体"/>
                <w:sz w:val="24"/>
                <w:szCs w:val="24"/>
              </w:rPr>
              <w:t>机器人抓手（八角管）</w:t>
            </w:r>
          </w:p>
        </w:tc>
        <w:tc>
          <w:tcPr>
            <w:tcW w:w="2213" w:type="dxa"/>
            <w:gridSpan w:val="3"/>
            <w:vAlign w:val="center"/>
          </w:tcPr>
          <w:p w14:paraId="26DD05F1">
            <w:pPr>
              <w:rPr>
                <w:rFonts w:hint="eastAsia" w:ascii="宋体" w:hAnsi="宋体" w:eastAsia="宋体" w:cs="宋体"/>
                <w:sz w:val="24"/>
                <w:szCs w:val="24"/>
              </w:rPr>
            </w:pPr>
            <w:r>
              <w:rPr>
                <w:rFonts w:hint="eastAsia" w:ascii="宋体" w:hAnsi="宋体" w:eastAsia="宋体" w:cs="宋体"/>
                <w:sz w:val="24"/>
                <w:szCs w:val="24"/>
              </w:rPr>
              <w:t>F.EE、Tunkers、DESTACO</w:t>
            </w:r>
          </w:p>
        </w:tc>
        <w:tc>
          <w:tcPr>
            <w:tcW w:w="2878" w:type="dxa"/>
            <w:gridSpan w:val="3"/>
            <w:vAlign w:val="center"/>
          </w:tcPr>
          <w:p w14:paraId="29737F7A">
            <w:pPr>
              <w:rPr>
                <w:rFonts w:hint="eastAsia" w:ascii="宋体" w:hAnsi="宋体" w:eastAsia="宋体" w:cs="宋体"/>
                <w:sz w:val="24"/>
                <w:szCs w:val="24"/>
              </w:rPr>
            </w:pPr>
          </w:p>
        </w:tc>
      </w:tr>
      <w:tr w14:paraId="3284C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tcBorders>
              <w:bottom w:val="single" w:color="auto" w:sz="4" w:space="0"/>
            </w:tcBorders>
            <w:vAlign w:val="center"/>
          </w:tcPr>
          <w:p w14:paraId="512BF3D0">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21</w:t>
            </w:r>
          </w:p>
        </w:tc>
        <w:tc>
          <w:tcPr>
            <w:tcW w:w="3131" w:type="dxa"/>
            <w:gridSpan w:val="2"/>
            <w:tcBorders>
              <w:bottom w:val="single" w:color="auto" w:sz="4" w:space="0"/>
            </w:tcBorders>
            <w:vAlign w:val="center"/>
          </w:tcPr>
          <w:p w14:paraId="6386604B">
            <w:pPr>
              <w:rPr>
                <w:rFonts w:hint="eastAsia" w:ascii="宋体" w:hAnsi="宋体" w:eastAsia="宋体" w:cs="宋体"/>
                <w:sz w:val="24"/>
                <w:szCs w:val="24"/>
              </w:rPr>
            </w:pPr>
            <w:r>
              <w:rPr>
                <w:rFonts w:hint="eastAsia" w:ascii="宋体" w:hAnsi="宋体" w:eastAsia="宋体" w:cs="宋体"/>
                <w:sz w:val="24"/>
                <w:szCs w:val="24"/>
              </w:rPr>
              <w:t>APC</w:t>
            </w:r>
          </w:p>
        </w:tc>
        <w:tc>
          <w:tcPr>
            <w:tcW w:w="2213" w:type="dxa"/>
            <w:gridSpan w:val="3"/>
            <w:tcBorders>
              <w:bottom w:val="single" w:color="auto" w:sz="4" w:space="0"/>
            </w:tcBorders>
            <w:vAlign w:val="center"/>
          </w:tcPr>
          <w:p w14:paraId="730A4F19">
            <w:pPr>
              <w:rPr>
                <w:rFonts w:hint="eastAsia" w:ascii="宋体" w:hAnsi="宋体" w:eastAsia="宋体" w:cs="宋体"/>
                <w:sz w:val="24"/>
                <w:szCs w:val="24"/>
              </w:rPr>
            </w:pPr>
            <w:r>
              <w:rPr>
                <w:rFonts w:hint="eastAsia" w:ascii="宋体" w:hAnsi="宋体" w:eastAsia="宋体" w:cs="宋体"/>
                <w:sz w:val="24"/>
                <w:szCs w:val="24"/>
              </w:rPr>
              <w:t>BLEICHERT、Tunkers</w:t>
            </w:r>
          </w:p>
        </w:tc>
        <w:tc>
          <w:tcPr>
            <w:tcW w:w="2878" w:type="dxa"/>
            <w:gridSpan w:val="3"/>
            <w:tcBorders>
              <w:bottom w:val="single" w:color="auto" w:sz="4" w:space="0"/>
            </w:tcBorders>
            <w:vAlign w:val="center"/>
          </w:tcPr>
          <w:p w14:paraId="214B647B">
            <w:pPr>
              <w:rPr>
                <w:rFonts w:hint="eastAsia" w:ascii="宋体" w:hAnsi="宋体" w:eastAsia="宋体" w:cs="宋体"/>
                <w:sz w:val="24"/>
                <w:szCs w:val="24"/>
              </w:rPr>
            </w:pPr>
          </w:p>
        </w:tc>
      </w:tr>
      <w:tr w14:paraId="09E6E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172" w:type="dxa"/>
          <w:jc w:val="center"/>
        </w:trPr>
        <w:tc>
          <w:tcPr>
            <w:tcW w:w="786" w:type="dxa"/>
            <w:gridSpan w:val="2"/>
            <w:tcBorders>
              <w:top w:val="single" w:color="auto" w:sz="4" w:space="0"/>
              <w:bottom w:val="single" w:color="auto" w:sz="12" w:space="0"/>
            </w:tcBorders>
            <w:vAlign w:val="center"/>
          </w:tcPr>
          <w:p w14:paraId="64108AD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22</w:t>
            </w:r>
          </w:p>
        </w:tc>
        <w:tc>
          <w:tcPr>
            <w:tcW w:w="3131" w:type="dxa"/>
            <w:gridSpan w:val="2"/>
            <w:tcBorders>
              <w:top w:val="single" w:color="auto" w:sz="4" w:space="0"/>
              <w:bottom w:val="single" w:color="auto" w:sz="12" w:space="0"/>
            </w:tcBorders>
            <w:vAlign w:val="center"/>
          </w:tcPr>
          <w:p w14:paraId="6FAF2529">
            <w:pPr>
              <w:rPr>
                <w:rFonts w:hint="eastAsia" w:ascii="宋体" w:hAnsi="宋体" w:eastAsia="宋体" w:cs="宋体"/>
                <w:sz w:val="24"/>
                <w:szCs w:val="24"/>
              </w:rPr>
            </w:pPr>
            <w:r>
              <w:rPr>
                <w:rFonts w:hint="eastAsia" w:ascii="宋体" w:hAnsi="宋体" w:eastAsia="宋体" w:cs="宋体"/>
                <w:sz w:val="24"/>
                <w:szCs w:val="24"/>
              </w:rPr>
              <w:t>AGV</w:t>
            </w:r>
          </w:p>
        </w:tc>
        <w:tc>
          <w:tcPr>
            <w:tcW w:w="2213" w:type="dxa"/>
            <w:gridSpan w:val="3"/>
            <w:tcBorders>
              <w:top w:val="single" w:color="auto" w:sz="4" w:space="0"/>
              <w:bottom w:val="single" w:color="auto" w:sz="12" w:space="0"/>
            </w:tcBorders>
            <w:vAlign w:val="center"/>
          </w:tcPr>
          <w:p w14:paraId="245BF6BA">
            <w:pPr>
              <w:rPr>
                <w:rFonts w:hint="eastAsia" w:ascii="宋体" w:hAnsi="宋体" w:eastAsia="宋体" w:cs="宋体"/>
                <w:sz w:val="24"/>
                <w:szCs w:val="24"/>
              </w:rPr>
            </w:pPr>
            <w:r>
              <w:rPr>
                <w:rFonts w:hint="eastAsia" w:ascii="宋体" w:hAnsi="宋体" w:eastAsia="宋体" w:cs="宋体"/>
                <w:sz w:val="24"/>
                <w:szCs w:val="24"/>
              </w:rPr>
              <w:t>SIASUN、WFT、临工</w:t>
            </w:r>
          </w:p>
        </w:tc>
        <w:tc>
          <w:tcPr>
            <w:tcW w:w="2878" w:type="dxa"/>
            <w:gridSpan w:val="3"/>
            <w:tcBorders>
              <w:top w:val="single" w:color="auto" w:sz="4" w:space="0"/>
              <w:bottom w:val="single" w:color="auto" w:sz="12" w:space="0"/>
            </w:tcBorders>
            <w:vAlign w:val="center"/>
          </w:tcPr>
          <w:p w14:paraId="19C8D46D">
            <w:pPr>
              <w:rPr>
                <w:rFonts w:hint="eastAsia" w:ascii="宋体" w:hAnsi="宋体" w:eastAsia="宋体" w:cs="宋体"/>
                <w:sz w:val="24"/>
                <w:szCs w:val="24"/>
              </w:rPr>
            </w:pPr>
            <w:r>
              <w:rPr>
                <w:rFonts w:hint="eastAsia" w:ascii="宋体" w:hAnsi="宋体" w:eastAsia="宋体" w:cs="宋体"/>
                <w:sz w:val="24"/>
                <w:szCs w:val="24"/>
              </w:rPr>
              <w:t>物流双向，夹具输送全向</w:t>
            </w:r>
          </w:p>
        </w:tc>
      </w:tr>
      <w:tr w14:paraId="677BE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7"/>
          <w:wAfter w:w="3663" w:type="dxa"/>
          <w:jc w:val="center"/>
        </w:trPr>
        <w:tc>
          <w:tcPr>
            <w:tcW w:w="5517" w:type="dxa"/>
            <w:gridSpan w:val="6"/>
            <w:tcBorders>
              <w:top w:val="single" w:color="auto" w:sz="12" w:space="0"/>
              <w:bottom w:val="single" w:color="auto" w:sz="12" w:space="0"/>
            </w:tcBorders>
          </w:tcPr>
          <w:p w14:paraId="24D84A51">
            <w:pPr>
              <w:rPr>
                <w:rFonts w:hint="eastAsia" w:ascii="宋体" w:hAnsi="宋体" w:eastAsia="宋体" w:cs="宋体"/>
                <w:b/>
                <w:sz w:val="24"/>
                <w:szCs w:val="24"/>
              </w:rPr>
            </w:pPr>
            <w:bookmarkStart w:id="45" w:name="_Hlk58700285"/>
            <w:r>
              <w:rPr>
                <w:rFonts w:hint="eastAsia" w:ascii="宋体" w:hAnsi="宋体" w:eastAsia="宋体" w:cs="宋体"/>
                <w:b/>
                <w:sz w:val="24"/>
                <w:szCs w:val="24"/>
              </w:rPr>
              <w:t>电气相关采购件</w:t>
            </w:r>
          </w:p>
        </w:tc>
      </w:tr>
      <w:tr w14:paraId="42170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tcBorders>
              <w:top w:val="single" w:color="auto" w:sz="12" w:space="0"/>
              <w:bottom w:val="single" w:color="auto" w:sz="12" w:space="0"/>
            </w:tcBorders>
            <w:vAlign w:val="center"/>
          </w:tcPr>
          <w:p w14:paraId="3AE39D1A">
            <w:pPr>
              <w:jc w:val="center"/>
              <w:rPr>
                <w:rFonts w:hint="eastAsia" w:ascii="宋体" w:hAnsi="宋体" w:eastAsia="宋体" w:cs="宋体"/>
                <w:b/>
                <w:sz w:val="24"/>
                <w:szCs w:val="24"/>
              </w:rPr>
            </w:pPr>
            <w:r>
              <w:rPr>
                <w:rFonts w:hint="eastAsia" w:ascii="宋体" w:hAnsi="宋体" w:eastAsia="宋体" w:cs="宋体"/>
                <w:b/>
                <w:sz w:val="24"/>
                <w:szCs w:val="24"/>
              </w:rPr>
              <w:t>NO.</w:t>
            </w:r>
          </w:p>
        </w:tc>
        <w:tc>
          <w:tcPr>
            <w:tcW w:w="2986" w:type="dxa"/>
            <w:gridSpan w:val="2"/>
            <w:tcBorders>
              <w:top w:val="single" w:color="auto" w:sz="12" w:space="0"/>
              <w:bottom w:val="single" w:color="auto" w:sz="12" w:space="0"/>
            </w:tcBorders>
            <w:vAlign w:val="center"/>
          </w:tcPr>
          <w:p w14:paraId="6FBA9C30">
            <w:pPr>
              <w:jc w:val="center"/>
              <w:rPr>
                <w:rFonts w:hint="eastAsia" w:ascii="宋体" w:hAnsi="宋体" w:eastAsia="宋体" w:cs="宋体"/>
                <w:b/>
                <w:sz w:val="24"/>
                <w:szCs w:val="24"/>
              </w:rPr>
            </w:pPr>
            <w:r>
              <w:rPr>
                <w:rFonts w:hint="eastAsia" w:ascii="宋体" w:hAnsi="宋体" w:eastAsia="宋体" w:cs="宋体"/>
                <w:b/>
                <w:sz w:val="24"/>
                <w:szCs w:val="24"/>
              </w:rPr>
              <w:t>设备名称</w:t>
            </w:r>
          </w:p>
        </w:tc>
        <w:tc>
          <w:tcPr>
            <w:tcW w:w="2409" w:type="dxa"/>
            <w:gridSpan w:val="3"/>
            <w:tcBorders>
              <w:top w:val="single" w:color="auto" w:sz="12" w:space="0"/>
              <w:bottom w:val="single" w:color="auto" w:sz="12" w:space="0"/>
            </w:tcBorders>
          </w:tcPr>
          <w:p w14:paraId="7BFA9520">
            <w:pPr>
              <w:jc w:val="center"/>
              <w:rPr>
                <w:rFonts w:hint="eastAsia" w:ascii="宋体" w:hAnsi="宋体" w:eastAsia="宋体" w:cs="宋体"/>
                <w:b/>
                <w:sz w:val="24"/>
                <w:szCs w:val="24"/>
              </w:rPr>
            </w:pPr>
            <w:r>
              <w:rPr>
                <w:rFonts w:hint="eastAsia" w:ascii="宋体" w:hAnsi="宋体" w:eastAsia="宋体" w:cs="宋体"/>
                <w:b/>
                <w:sz w:val="24"/>
                <w:szCs w:val="24"/>
              </w:rPr>
              <w:t>推荐品牌</w:t>
            </w:r>
          </w:p>
        </w:tc>
        <w:tc>
          <w:tcPr>
            <w:tcW w:w="2694" w:type="dxa"/>
            <w:gridSpan w:val="3"/>
            <w:tcBorders>
              <w:top w:val="single" w:color="auto" w:sz="12" w:space="0"/>
              <w:bottom w:val="single" w:color="auto" w:sz="12" w:space="0"/>
            </w:tcBorders>
            <w:vAlign w:val="center"/>
          </w:tcPr>
          <w:p w14:paraId="3B25F871">
            <w:pPr>
              <w:jc w:val="center"/>
              <w:rPr>
                <w:rFonts w:hint="eastAsia" w:ascii="宋体" w:hAnsi="宋体" w:eastAsia="宋体" w:cs="宋体"/>
                <w:b/>
                <w:sz w:val="24"/>
                <w:szCs w:val="24"/>
              </w:rPr>
            </w:pPr>
            <w:r>
              <w:rPr>
                <w:rFonts w:hint="eastAsia" w:ascii="宋体" w:hAnsi="宋体" w:eastAsia="宋体" w:cs="宋体"/>
                <w:b/>
                <w:sz w:val="24"/>
                <w:szCs w:val="24"/>
              </w:rPr>
              <w:t>说明</w:t>
            </w:r>
          </w:p>
        </w:tc>
      </w:tr>
      <w:tr w14:paraId="368A0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tcBorders>
              <w:top w:val="single" w:color="auto" w:sz="12" w:space="0"/>
            </w:tcBorders>
            <w:vAlign w:val="center"/>
          </w:tcPr>
          <w:p w14:paraId="773898E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w:t>
            </w:r>
          </w:p>
        </w:tc>
        <w:tc>
          <w:tcPr>
            <w:tcW w:w="2986" w:type="dxa"/>
            <w:gridSpan w:val="2"/>
            <w:vAlign w:val="center"/>
          </w:tcPr>
          <w:p w14:paraId="0C12F49E">
            <w:pPr>
              <w:rPr>
                <w:rFonts w:hint="eastAsia" w:ascii="宋体" w:hAnsi="宋体" w:eastAsia="宋体" w:cs="宋体"/>
                <w:sz w:val="24"/>
                <w:szCs w:val="24"/>
              </w:rPr>
            </w:pPr>
            <w:r>
              <w:rPr>
                <w:rFonts w:hint="eastAsia" w:ascii="宋体" w:hAnsi="宋体" w:eastAsia="宋体" w:cs="宋体"/>
                <w:sz w:val="24"/>
                <w:szCs w:val="24"/>
              </w:rPr>
              <w:t>PLC及相关元器件</w:t>
            </w:r>
          </w:p>
        </w:tc>
        <w:tc>
          <w:tcPr>
            <w:tcW w:w="2409" w:type="dxa"/>
            <w:gridSpan w:val="3"/>
            <w:vAlign w:val="center"/>
          </w:tcPr>
          <w:p w14:paraId="1B1EE234">
            <w:pPr>
              <w:jc w:val="left"/>
              <w:rPr>
                <w:rFonts w:hint="eastAsia" w:ascii="宋体" w:hAnsi="宋体" w:eastAsia="宋体" w:cs="宋体"/>
                <w:sz w:val="24"/>
                <w:szCs w:val="24"/>
              </w:rPr>
            </w:pPr>
            <w:r>
              <w:rPr>
                <w:rFonts w:hint="eastAsia" w:ascii="宋体" w:hAnsi="宋体" w:eastAsia="宋体" w:cs="宋体"/>
                <w:sz w:val="24"/>
                <w:szCs w:val="24"/>
              </w:rPr>
              <w:t>SEIMENS或同等品牌</w:t>
            </w:r>
          </w:p>
        </w:tc>
        <w:tc>
          <w:tcPr>
            <w:tcW w:w="2694" w:type="dxa"/>
            <w:gridSpan w:val="3"/>
            <w:tcBorders>
              <w:top w:val="single" w:color="auto" w:sz="12" w:space="0"/>
            </w:tcBorders>
            <w:vAlign w:val="center"/>
          </w:tcPr>
          <w:p w14:paraId="7DB67420">
            <w:pPr>
              <w:rPr>
                <w:rFonts w:hint="eastAsia" w:ascii="宋体" w:hAnsi="宋体" w:eastAsia="宋体" w:cs="宋体"/>
                <w:sz w:val="24"/>
                <w:szCs w:val="24"/>
              </w:rPr>
            </w:pPr>
            <w:r>
              <w:rPr>
                <w:rFonts w:hint="eastAsia" w:ascii="宋体" w:hAnsi="宋体" w:eastAsia="宋体" w:cs="宋体"/>
                <w:sz w:val="24"/>
                <w:szCs w:val="24"/>
              </w:rPr>
              <w:t>Profinet/以太网/同等通讯协议（1517F）</w:t>
            </w:r>
          </w:p>
        </w:tc>
      </w:tr>
      <w:tr w14:paraId="11383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D55C4BC">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w:t>
            </w:r>
          </w:p>
        </w:tc>
        <w:tc>
          <w:tcPr>
            <w:tcW w:w="2986" w:type="dxa"/>
            <w:gridSpan w:val="2"/>
            <w:vAlign w:val="center"/>
          </w:tcPr>
          <w:p w14:paraId="5261D2A4">
            <w:pPr>
              <w:rPr>
                <w:rFonts w:hint="eastAsia" w:ascii="宋体" w:hAnsi="宋体" w:eastAsia="宋体" w:cs="宋体"/>
                <w:sz w:val="24"/>
                <w:szCs w:val="24"/>
              </w:rPr>
            </w:pPr>
            <w:r>
              <w:rPr>
                <w:rFonts w:hint="eastAsia" w:ascii="宋体" w:hAnsi="宋体" w:eastAsia="宋体" w:cs="宋体"/>
                <w:sz w:val="24"/>
                <w:szCs w:val="24"/>
              </w:rPr>
              <w:t>远程接口模块</w:t>
            </w:r>
          </w:p>
        </w:tc>
        <w:tc>
          <w:tcPr>
            <w:tcW w:w="2409" w:type="dxa"/>
            <w:gridSpan w:val="3"/>
            <w:vAlign w:val="center"/>
          </w:tcPr>
          <w:p w14:paraId="54F885C8">
            <w:pPr>
              <w:jc w:val="left"/>
              <w:rPr>
                <w:rFonts w:hint="eastAsia" w:ascii="宋体" w:hAnsi="宋体" w:eastAsia="宋体" w:cs="宋体"/>
                <w:sz w:val="24"/>
                <w:szCs w:val="24"/>
              </w:rPr>
            </w:pPr>
            <w:r>
              <w:rPr>
                <w:rFonts w:hint="eastAsia" w:ascii="宋体" w:hAnsi="宋体" w:eastAsia="宋体" w:cs="宋体"/>
                <w:sz w:val="24"/>
                <w:szCs w:val="24"/>
              </w:rPr>
              <w:t>BALLUFF、SEIMENS</w:t>
            </w:r>
          </w:p>
        </w:tc>
        <w:tc>
          <w:tcPr>
            <w:tcW w:w="2694" w:type="dxa"/>
            <w:gridSpan w:val="3"/>
            <w:vAlign w:val="center"/>
          </w:tcPr>
          <w:p w14:paraId="7FBE9246">
            <w:pPr>
              <w:rPr>
                <w:rFonts w:hint="eastAsia" w:ascii="宋体" w:hAnsi="宋体" w:eastAsia="宋体" w:cs="宋体"/>
                <w:sz w:val="24"/>
                <w:szCs w:val="24"/>
              </w:rPr>
            </w:pPr>
          </w:p>
        </w:tc>
      </w:tr>
      <w:tr w14:paraId="0B1F6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737367A">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3</w:t>
            </w:r>
          </w:p>
        </w:tc>
        <w:tc>
          <w:tcPr>
            <w:tcW w:w="2986" w:type="dxa"/>
            <w:gridSpan w:val="2"/>
            <w:vAlign w:val="center"/>
          </w:tcPr>
          <w:p w14:paraId="6BF88511">
            <w:pPr>
              <w:rPr>
                <w:rFonts w:hint="eastAsia" w:ascii="宋体" w:hAnsi="宋体" w:eastAsia="宋体" w:cs="宋体"/>
                <w:sz w:val="24"/>
                <w:szCs w:val="24"/>
              </w:rPr>
            </w:pPr>
            <w:r>
              <w:rPr>
                <w:rFonts w:hint="eastAsia" w:ascii="宋体" w:hAnsi="宋体" w:eastAsia="宋体" w:cs="宋体"/>
                <w:sz w:val="24"/>
                <w:szCs w:val="24"/>
              </w:rPr>
              <w:t>HMI</w:t>
            </w:r>
          </w:p>
        </w:tc>
        <w:tc>
          <w:tcPr>
            <w:tcW w:w="2409" w:type="dxa"/>
            <w:gridSpan w:val="3"/>
            <w:vAlign w:val="center"/>
          </w:tcPr>
          <w:p w14:paraId="437F4A48">
            <w:pPr>
              <w:jc w:val="left"/>
              <w:rPr>
                <w:rFonts w:hint="eastAsia" w:ascii="宋体" w:hAnsi="宋体" w:eastAsia="宋体" w:cs="宋体"/>
                <w:sz w:val="24"/>
                <w:szCs w:val="24"/>
              </w:rPr>
            </w:pPr>
            <w:r>
              <w:rPr>
                <w:rFonts w:hint="eastAsia" w:ascii="宋体" w:hAnsi="宋体" w:eastAsia="宋体" w:cs="宋体"/>
                <w:sz w:val="24"/>
                <w:szCs w:val="24"/>
              </w:rPr>
              <w:t>SEIMENS或同等品牌</w:t>
            </w:r>
          </w:p>
        </w:tc>
        <w:tc>
          <w:tcPr>
            <w:tcW w:w="2694" w:type="dxa"/>
            <w:gridSpan w:val="3"/>
            <w:vAlign w:val="center"/>
          </w:tcPr>
          <w:p w14:paraId="0C10A847">
            <w:pPr>
              <w:rPr>
                <w:rFonts w:hint="eastAsia" w:ascii="宋体" w:hAnsi="宋体" w:eastAsia="宋体" w:cs="宋体"/>
                <w:sz w:val="24"/>
                <w:szCs w:val="24"/>
              </w:rPr>
            </w:pPr>
            <w:r>
              <w:rPr>
                <w:rFonts w:hint="eastAsia" w:ascii="宋体" w:hAnsi="宋体" w:eastAsia="宋体" w:cs="宋体"/>
                <w:sz w:val="24"/>
                <w:szCs w:val="24"/>
              </w:rPr>
              <w:t>TP2200</w:t>
            </w:r>
          </w:p>
        </w:tc>
      </w:tr>
      <w:tr w14:paraId="2ED3B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574364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4</w:t>
            </w:r>
          </w:p>
        </w:tc>
        <w:tc>
          <w:tcPr>
            <w:tcW w:w="2986" w:type="dxa"/>
            <w:gridSpan w:val="2"/>
            <w:vAlign w:val="center"/>
          </w:tcPr>
          <w:p w14:paraId="532C0DFD">
            <w:pPr>
              <w:rPr>
                <w:rFonts w:hint="eastAsia" w:ascii="宋体" w:hAnsi="宋体" w:eastAsia="宋体" w:cs="宋体"/>
                <w:sz w:val="24"/>
                <w:szCs w:val="24"/>
              </w:rPr>
            </w:pPr>
            <w:r>
              <w:rPr>
                <w:rFonts w:hint="eastAsia" w:ascii="宋体" w:hAnsi="宋体" w:eastAsia="宋体" w:cs="宋体"/>
                <w:sz w:val="24"/>
                <w:szCs w:val="24"/>
              </w:rPr>
              <w:t>上位机</w:t>
            </w:r>
          </w:p>
        </w:tc>
        <w:tc>
          <w:tcPr>
            <w:tcW w:w="2409" w:type="dxa"/>
            <w:gridSpan w:val="3"/>
            <w:vAlign w:val="center"/>
          </w:tcPr>
          <w:p w14:paraId="143C7F5E">
            <w:pPr>
              <w:jc w:val="left"/>
              <w:rPr>
                <w:rFonts w:hint="eastAsia" w:ascii="宋体" w:hAnsi="宋体" w:eastAsia="宋体" w:cs="宋体"/>
                <w:sz w:val="24"/>
                <w:szCs w:val="24"/>
              </w:rPr>
            </w:pPr>
            <w:r>
              <w:rPr>
                <w:rFonts w:hint="eastAsia" w:ascii="宋体" w:hAnsi="宋体" w:eastAsia="宋体" w:cs="宋体"/>
                <w:sz w:val="24"/>
                <w:szCs w:val="24"/>
              </w:rPr>
              <w:t>SEIMENS或同等品牌</w:t>
            </w:r>
          </w:p>
        </w:tc>
        <w:tc>
          <w:tcPr>
            <w:tcW w:w="2694" w:type="dxa"/>
            <w:gridSpan w:val="3"/>
            <w:vAlign w:val="center"/>
          </w:tcPr>
          <w:p w14:paraId="0733F7D3">
            <w:pPr>
              <w:rPr>
                <w:rFonts w:hint="eastAsia" w:ascii="宋体" w:hAnsi="宋体" w:eastAsia="宋体" w:cs="宋体"/>
                <w:sz w:val="24"/>
                <w:szCs w:val="24"/>
              </w:rPr>
            </w:pPr>
          </w:p>
        </w:tc>
      </w:tr>
      <w:tr w14:paraId="557D8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2CE14CD2">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5</w:t>
            </w:r>
          </w:p>
        </w:tc>
        <w:tc>
          <w:tcPr>
            <w:tcW w:w="2986" w:type="dxa"/>
            <w:gridSpan w:val="2"/>
            <w:vAlign w:val="center"/>
          </w:tcPr>
          <w:p w14:paraId="06F57B23">
            <w:pPr>
              <w:rPr>
                <w:rFonts w:hint="eastAsia" w:ascii="宋体" w:hAnsi="宋体" w:eastAsia="宋体" w:cs="宋体"/>
                <w:sz w:val="24"/>
                <w:szCs w:val="24"/>
              </w:rPr>
            </w:pPr>
            <w:r>
              <w:rPr>
                <w:rFonts w:hint="eastAsia" w:ascii="宋体" w:hAnsi="宋体" w:eastAsia="宋体" w:cs="宋体"/>
                <w:sz w:val="24"/>
                <w:szCs w:val="24"/>
              </w:rPr>
              <w:t>交换机</w:t>
            </w:r>
          </w:p>
        </w:tc>
        <w:tc>
          <w:tcPr>
            <w:tcW w:w="2409" w:type="dxa"/>
            <w:gridSpan w:val="3"/>
            <w:vAlign w:val="center"/>
          </w:tcPr>
          <w:p w14:paraId="03B6CF82">
            <w:pPr>
              <w:jc w:val="left"/>
              <w:rPr>
                <w:rFonts w:hint="eastAsia" w:ascii="宋体" w:hAnsi="宋体" w:eastAsia="宋体" w:cs="宋体"/>
                <w:sz w:val="24"/>
                <w:szCs w:val="24"/>
              </w:rPr>
            </w:pPr>
            <w:r>
              <w:rPr>
                <w:rFonts w:hint="eastAsia" w:ascii="宋体" w:hAnsi="宋体" w:eastAsia="宋体" w:cs="宋体"/>
                <w:sz w:val="24"/>
                <w:szCs w:val="24"/>
              </w:rPr>
              <w:t>SEIMENS或同等品牌</w:t>
            </w:r>
          </w:p>
        </w:tc>
        <w:tc>
          <w:tcPr>
            <w:tcW w:w="2694" w:type="dxa"/>
            <w:gridSpan w:val="3"/>
            <w:vAlign w:val="center"/>
          </w:tcPr>
          <w:p w14:paraId="39028214">
            <w:pPr>
              <w:rPr>
                <w:rFonts w:hint="eastAsia" w:ascii="宋体" w:hAnsi="宋体" w:eastAsia="宋体" w:cs="宋体"/>
                <w:sz w:val="24"/>
                <w:szCs w:val="24"/>
              </w:rPr>
            </w:pPr>
          </w:p>
        </w:tc>
      </w:tr>
      <w:tr w14:paraId="7C774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2247DBA2">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6</w:t>
            </w:r>
          </w:p>
        </w:tc>
        <w:tc>
          <w:tcPr>
            <w:tcW w:w="2986" w:type="dxa"/>
            <w:gridSpan w:val="2"/>
            <w:vAlign w:val="center"/>
          </w:tcPr>
          <w:p w14:paraId="633ADCD2">
            <w:pPr>
              <w:rPr>
                <w:rFonts w:hint="eastAsia" w:ascii="宋体" w:hAnsi="宋体" w:eastAsia="宋体" w:cs="宋体"/>
                <w:sz w:val="24"/>
                <w:szCs w:val="24"/>
              </w:rPr>
            </w:pPr>
            <w:r>
              <w:rPr>
                <w:rFonts w:hint="eastAsia" w:ascii="宋体" w:hAnsi="宋体" w:eastAsia="宋体" w:cs="宋体"/>
                <w:sz w:val="24"/>
                <w:szCs w:val="24"/>
              </w:rPr>
              <w:t>工控机</w:t>
            </w:r>
          </w:p>
        </w:tc>
        <w:tc>
          <w:tcPr>
            <w:tcW w:w="2409" w:type="dxa"/>
            <w:gridSpan w:val="3"/>
            <w:vAlign w:val="center"/>
          </w:tcPr>
          <w:p w14:paraId="55BC5BFD">
            <w:pPr>
              <w:jc w:val="left"/>
              <w:rPr>
                <w:rFonts w:hint="eastAsia" w:ascii="宋体" w:hAnsi="宋体" w:eastAsia="宋体" w:cs="宋体"/>
                <w:sz w:val="24"/>
                <w:szCs w:val="24"/>
              </w:rPr>
            </w:pPr>
            <w:r>
              <w:rPr>
                <w:rFonts w:hint="eastAsia" w:ascii="宋体" w:hAnsi="宋体" w:eastAsia="宋体" w:cs="宋体"/>
                <w:sz w:val="24"/>
                <w:szCs w:val="24"/>
              </w:rPr>
              <w:t>Advantech、SEIMENS</w:t>
            </w:r>
          </w:p>
        </w:tc>
        <w:tc>
          <w:tcPr>
            <w:tcW w:w="2694" w:type="dxa"/>
            <w:gridSpan w:val="3"/>
            <w:vAlign w:val="center"/>
          </w:tcPr>
          <w:p w14:paraId="7D5F2D8B">
            <w:pPr>
              <w:rPr>
                <w:rFonts w:hint="eastAsia" w:ascii="宋体" w:hAnsi="宋体" w:eastAsia="宋体" w:cs="宋体"/>
                <w:sz w:val="24"/>
                <w:szCs w:val="24"/>
              </w:rPr>
            </w:pPr>
          </w:p>
        </w:tc>
      </w:tr>
      <w:tr w14:paraId="10511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146EFA6">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7</w:t>
            </w:r>
          </w:p>
        </w:tc>
        <w:tc>
          <w:tcPr>
            <w:tcW w:w="2986" w:type="dxa"/>
            <w:gridSpan w:val="2"/>
            <w:vAlign w:val="center"/>
          </w:tcPr>
          <w:p w14:paraId="52C4E803">
            <w:pPr>
              <w:jc w:val="left"/>
              <w:rPr>
                <w:rFonts w:hint="eastAsia" w:ascii="宋体" w:hAnsi="宋体" w:eastAsia="宋体" w:cs="宋体"/>
                <w:sz w:val="24"/>
                <w:szCs w:val="24"/>
              </w:rPr>
            </w:pPr>
            <w:r>
              <w:rPr>
                <w:rFonts w:hint="eastAsia" w:ascii="宋体" w:hAnsi="宋体" w:eastAsia="宋体" w:cs="宋体"/>
                <w:sz w:val="24"/>
                <w:szCs w:val="24"/>
              </w:rPr>
              <w:t>便携式编程监控设备</w:t>
            </w:r>
          </w:p>
        </w:tc>
        <w:tc>
          <w:tcPr>
            <w:tcW w:w="2409" w:type="dxa"/>
            <w:gridSpan w:val="3"/>
            <w:vAlign w:val="center"/>
          </w:tcPr>
          <w:p w14:paraId="1C0A6EF3">
            <w:pPr>
              <w:jc w:val="left"/>
              <w:rPr>
                <w:rFonts w:hint="eastAsia" w:ascii="宋体" w:hAnsi="宋体" w:eastAsia="宋体" w:cs="宋体"/>
                <w:sz w:val="24"/>
                <w:szCs w:val="24"/>
              </w:rPr>
            </w:pPr>
            <w:r>
              <w:rPr>
                <w:rFonts w:hint="eastAsia" w:ascii="宋体" w:hAnsi="宋体" w:eastAsia="宋体" w:cs="宋体"/>
                <w:sz w:val="24"/>
                <w:szCs w:val="24"/>
              </w:rPr>
              <w:t>DELL、ThinkPad</w:t>
            </w:r>
          </w:p>
        </w:tc>
        <w:tc>
          <w:tcPr>
            <w:tcW w:w="2694" w:type="dxa"/>
            <w:gridSpan w:val="3"/>
            <w:vAlign w:val="center"/>
          </w:tcPr>
          <w:p w14:paraId="1CD14294">
            <w:pPr>
              <w:rPr>
                <w:rFonts w:hint="eastAsia" w:ascii="宋体" w:hAnsi="宋体" w:eastAsia="宋体" w:cs="宋体"/>
                <w:sz w:val="24"/>
                <w:szCs w:val="24"/>
              </w:rPr>
            </w:pPr>
            <w:r>
              <w:rPr>
                <w:rFonts w:hint="eastAsia" w:ascii="宋体" w:hAnsi="宋体" w:eastAsia="宋体" w:cs="宋体"/>
                <w:sz w:val="24"/>
                <w:szCs w:val="24"/>
              </w:rPr>
              <w:t>商用笔记本，CPU i7-9750/内存16g/独立显卡/硬盘固态1TB（不低于以上配置）</w:t>
            </w:r>
          </w:p>
        </w:tc>
      </w:tr>
      <w:tr w14:paraId="77414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13B57CC2">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8</w:t>
            </w:r>
          </w:p>
        </w:tc>
        <w:tc>
          <w:tcPr>
            <w:tcW w:w="2986" w:type="dxa"/>
            <w:gridSpan w:val="2"/>
            <w:vAlign w:val="center"/>
          </w:tcPr>
          <w:p w14:paraId="2CA100E4">
            <w:pPr>
              <w:rPr>
                <w:rFonts w:hint="eastAsia" w:ascii="宋体" w:hAnsi="宋体" w:eastAsia="宋体" w:cs="宋体"/>
                <w:sz w:val="24"/>
                <w:szCs w:val="24"/>
              </w:rPr>
            </w:pPr>
            <w:r>
              <w:rPr>
                <w:rFonts w:hint="eastAsia" w:ascii="宋体" w:hAnsi="宋体" w:eastAsia="宋体" w:cs="宋体"/>
                <w:sz w:val="24"/>
                <w:szCs w:val="24"/>
              </w:rPr>
              <w:t>接近开关</w:t>
            </w:r>
          </w:p>
        </w:tc>
        <w:tc>
          <w:tcPr>
            <w:tcW w:w="2409" w:type="dxa"/>
            <w:gridSpan w:val="3"/>
            <w:vAlign w:val="center"/>
          </w:tcPr>
          <w:p w14:paraId="03AFA366">
            <w:pPr>
              <w:jc w:val="left"/>
              <w:rPr>
                <w:rFonts w:hint="eastAsia" w:ascii="宋体" w:hAnsi="宋体" w:eastAsia="宋体" w:cs="宋体"/>
                <w:sz w:val="24"/>
                <w:szCs w:val="24"/>
              </w:rPr>
            </w:pPr>
            <w:r>
              <w:rPr>
                <w:rFonts w:hint="eastAsia" w:ascii="宋体" w:hAnsi="宋体" w:eastAsia="宋体" w:cs="宋体"/>
                <w:sz w:val="24"/>
                <w:szCs w:val="24"/>
              </w:rPr>
              <w:t>Turck、P+F、BALLUFF</w:t>
            </w:r>
          </w:p>
        </w:tc>
        <w:tc>
          <w:tcPr>
            <w:tcW w:w="2694" w:type="dxa"/>
            <w:gridSpan w:val="3"/>
            <w:vAlign w:val="center"/>
          </w:tcPr>
          <w:p w14:paraId="74E87B6F">
            <w:pPr>
              <w:rPr>
                <w:rFonts w:hint="eastAsia" w:ascii="宋体" w:hAnsi="宋体" w:eastAsia="宋体" w:cs="宋体"/>
                <w:sz w:val="24"/>
                <w:szCs w:val="24"/>
              </w:rPr>
            </w:pPr>
          </w:p>
        </w:tc>
      </w:tr>
      <w:tr w14:paraId="4CBC6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67EC9DFD">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9</w:t>
            </w:r>
          </w:p>
        </w:tc>
        <w:tc>
          <w:tcPr>
            <w:tcW w:w="2986" w:type="dxa"/>
            <w:gridSpan w:val="2"/>
            <w:vAlign w:val="center"/>
          </w:tcPr>
          <w:p w14:paraId="2E4E187E">
            <w:pPr>
              <w:rPr>
                <w:rFonts w:hint="eastAsia" w:ascii="宋体" w:hAnsi="宋体" w:eastAsia="宋体" w:cs="宋体"/>
                <w:sz w:val="24"/>
                <w:szCs w:val="24"/>
              </w:rPr>
            </w:pPr>
            <w:r>
              <w:rPr>
                <w:rFonts w:hint="eastAsia" w:ascii="宋体" w:hAnsi="宋体" w:eastAsia="宋体" w:cs="宋体"/>
                <w:sz w:val="24"/>
                <w:szCs w:val="24"/>
              </w:rPr>
              <w:t>行程开关</w:t>
            </w:r>
          </w:p>
        </w:tc>
        <w:tc>
          <w:tcPr>
            <w:tcW w:w="2409" w:type="dxa"/>
            <w:gridSpan w:val="3"/>
            <w:vAlign w:val="center"/>
          </w:tcPr>
          <w:p w14:paraId="778F5BC7">
            <w:pPr>
              <w:jc w:val="left"/>
              <w:rPr>
                <w:rFonts w:hint="eastAsia" w:ascii="宋体" w:hAnsi="宋体" w:eastAsia="宋体" w:cs="宋体"/>
                <w:sz w:val="24"/>
                <w:szCs w:val="24"/>
              </w:rPr>
            </w:pPr>
            <w:r>
              <w:rPr>
                <w:rFonts w:hint="eastAsia" w:ascii="宋体" w:hAnsi="宋体" w:eastAsia="宋体" w:cs="宋体"/>
                <w:sz w:val="24"/>
                <w:szCs w:val="24"/>
              </w:rPr>
              <w:t>BALLUFF、OMRON</w:t>
            </w:r>
          </w:p>
        </w:tc>
        <w:tc>
          <w:tcPr>
            <w:tcW w:w="2694" w:type="dxa"/>
            <w:gridSpan w:val="3"/>
            <w:vAlign w:val="center"/>
          </w:tcPr>
          <w:p w14:paraId="3B3DD8A2">
            <w:pPr>
              <w:rPr>
                <w:rFonts w:hint="eastAsia" w:ascii="宋体" w:hAnsi="宋体" w:eastAsia="宋体" w:cs="宋体"/>
                <w:sz w:val="24"/>
                <w:szCs w:val="24"/>
              </w:rPr>
            </w:pPr>
          </w:p>
        </w:tc>
      </w:tr>
      <w:tr w14:paraId="76855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318D7043">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10</w:t>
            </w:r>
          </w:p>
        </w:tc>
        <w:tc>
          <w:tcPr>
            <w:tcW w:w="2986" w:type="dxa"/>
            <w:gridSpan w:val="2"/>
            <w:vAlign w:val="center"/>
          </w:tcPr>
          <w:p w14:paraId="0B032D1E">
            <w:pPr>
              <w:rPr>
                <w:rFonts w:hint="eastAsia" w:ascii="宋体" w:hAnsi="宋体" w:eastAsia="宋体" w:cs="宋体"/>
                <w:sz w:val="24"/>
                <w:szCs w:val="24"/>
              </w:rPr>
            </w:pPr>
            <w:r>
              <w:rPr>
                <w:rFonts w:hint="eastAsia" w:ascii="宋体" w:hAnsi="宋体" w:eastAsia="宋体" w:cs="宋体"/>
                <w:sz w:val="24"/>
                <w:szCs w:val="24"/>
              </w:rPr>
              <w:t>光电开光</w:t>
            </w:r>
          </w:p>
        </w:tc>
        <w:tc>
          <w:tcPr>
            <w:tcW w:w="2409" w:type="dxa"/>
            <w:gridSpan w:val="3"/>
            <w:vAlign w:val="center"/>
          </w:tcPr>
          <w:p w14:paraId="4A7C3E53">
            <w:pPr>
              <w:jc w:val="left"/>
              <w:rPr>
                <w:rFonts w:hint="eastAsia" w:ascii="宋体" w:hAnsi="宋体" w:eastAsia="宋体" w:cs="宋体"/>
                <w:sz w:val="24"/>
                <w:szCs w:val="24"/>
              </w:rPr>
            </w:pPr>
            <w:r>
              <w:rPr>
                <w:rFonts w:hint="eastAsia" w:ascii="宋体" w:hAnsi="宋体" w:eastAsia="宋体" w:cs="宋体"/>
                <w:sz w:val="24"/>
                <w:szCs w:val="24"/>
              </w:rPr>
              <w:t>BALLUFF、OMRON、SICK</w:t>
            </w:r>
          </w:p>
        </w:tc>
        <w:tc>
          <w:tcPr>
            <w:tcW w:w="2694" w:type="dxa"/>
            <w:gridSpan w:val="3"/>
            <w:vAlign w:val="center"/>
          </w:tcPr>
          <w:p w14:paraId="530B7CB9">
            <w:pPr>
              <w:rPr>
                <w:rFonts w:hint="eastAsia" w:ascii="宋体" w:hAnsi="宋体" w:eastAsia="宋体" w:cs="宋体"/>
                <w:sz w:val="24"/>
                <w:szCs w:val="24"/>
              </w:rPr>
            </w:pPr>
          </w:p>
        </w:tc>
      </w:tr>
      <w:tr w14:paraId="4A458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3785C89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11</w:t>
            </w:r>
          </w:p>
        </w:tc>
        <w:tc>
          <w:tcPr>
            <w:tcW w:w="2986" w:type="dxa"/>
            <w:gridSpan w:val="2"/>
            <w:vAlign w:val="center"/>
          </w:tcPr>
          <w:p w14:paraId="168563AB">
            <w:pPr>
              <w:rPr>
                <w:rFonts w:hint="eastAsia" w:ascii="宋体" w:hAnsi="宋体" w:eastAsia="宋体" w:cs="宋体"/>
                <w:kern w:val="0"/>
                <w:sz w:val="24"/>
                <w:szCs w:val="24"/>
              </w:rPr>
            </w:pPr>
            <w:r>
              <w:rPr>
                <w:rFonts w:hint="eastAsia" w:ascii="宋体" w:hAnsi="宋体" w:eastAsia="宋体" w:cs="宋体"/>
                <w:kern w:val="0"/>
                <w:sz w:val="24"/>
                <w:szCs w:val="24"/>
              </w:rPr>
              <w:t>安全光栅</w:t>
            </w:r>
          </w:p>
        </w:tc>
        <w:tc>
          <w:tcPr>
            <w:tcW w:w="2409" w:type="dxa"/>
            <w:gridSpan w:val="3"/>
            <w:vAlign w:val="center"/>
          </w:tcPr>
          <w:p w14:paraId="64C1A2D1">
            <w:pPr>
              <w:jc w:val="left"/>
              <w:rPr>
                <w:rFonts w:hint="eastAsia" w:ascii="宋体" w:hAnsi="宋体" w:eastAsia="宋体" w:cs="宋体"/>
                <w:sz w:val="24"/>
                <w:szCs w:val="24"/>
              </w:rPr>
            </w:pPr>
            <w:r>
              <w:rPr>
                <w:rFonts w:hint="eastAsia" w:ascii="宋体" w:hAnsi="宋体" w:eastAsia="宋体" w:cs="宋体"/>
                <w:sz w:val="24"/>
                <w:szCs w:val="24"/>
              </w:rPr>
              <w:t>SICK、Pilz、基恩士</w:t>
            </w:r>
          </w:p>
        </w:tc>
        <w:tc>
          <w:tcPr>
            <w:tcW w:w="2694" w:type="dxa"/>
            <w:gridSpan w:val="3"/>
            <w:vAlign w:val="center"/>
          </w:tcPr>
          <w:p w14:paraId="178CD366">
            <w:pPr>
              <w:rPr>
                <w:rFonts w:hint="eastAsia" w:ascii="宋体" w:hAnsi="宋体" w:eastAsia="宋体" w:cs="宋体"/>
                <w:sz w:val="24"/>
                <w:szCs w:val="24"/>
              </w:rPr>
            </w:pPr>
          </w:p>
        </w:tc>
      </w:tr>
      <w:tr w14:paraId="4D67B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CDE32E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12</w:t>
            </w:r>
          </w:p>
        </w:tc>
        <w:tc>
          <w:tcPr>
            <w:tcW w:w="2986" w:type="dxa"/>
            <w:gridSpan w:val="2"/>
            <w:vAlign w:val="center"/>
          </w:tcPr>
          <w:p w14:paraId="72AD2DBB">
            <w:pPr>
              <w:rPr>
                <w:rFonts w:hint="eastAsia" w:ascii="宋体" w:hAnsi="宋体" w:eastAsia="宋体" w:cs="宋体"/>
                <w:kern w:val="0"/>
                <w:sz w:val="24"/>
                <w:szCs w:val="24"/>
              </w:rPr>
            </w:pPr>
            <w:r>
              <w:rPr>
                <w:rFonts w:hint="eastAsia" w:ascii="宋体" w:hAnsi="宋体" w:eastAsia="宋体" w:cs="宋体"/>
                <w:kern w:val="0"/>
                <w:sz w:val="24"/>
                <w:szCs w:val="24"/>
              </w:rPr>
              <w:t>安全扫描仪</w:t>
            </w:r>
          </w:p>
        </w:tc>
        <w:tc>
          <w:tcPr>
            <w:tcW w:w="2409" w:type="dxa"/>
            <w:gridSpan w:val="3"/>
            <w:vAlign w:val="center"/>
          </w:tcPr>
          <w:p w14:paraId="39491F37">
            <w:pPr>
              <w:jc w:val="left"/>
              <w:rPr>
                <w:rFonts w:hint="eastAsia" w:ascii="宋体" w:hAnsi="宋体" w:eastAsia="宋体" w:cs="宋体"/>
                <w:sz w:val="24"/>
                <w:szCs w:val="24"/>
              </w:rPr>
            </w:pPr>
            <w:r>
              <w:rPr>
                <w:rFonts w:hint="eastAsia" w:ascii="宋体" w:hAnsi="宋体" w:eastAsia="宋体" w:cs="宋体"/>
                <w:sz w:val="24"/>
                <w:szCs w:val="24"/>
              </w:rPr>
              <w:t>SICK、Pilz、基恩士</w:t>
            </w:r>
          </w:p>
        </w:tc>
        <w:tc>
          <w:tcPr>
            <w:tcW w:w="2694" w:type="dxa"/>
            <w:gridSpan w:val="3"/>
            <w:vAlign w:val="center"/>
          </w:tcPr>
          <w:p w14:paraId="785ECD3B">
            <w:pPr>
              <w:rPr>
                <w:rFonts w:hint="eastAsia" w:ascii="宋体" w:hAnsi="宋体" w:eastAsia="宋体" w:cs="宋体"/>
                <w:sz w:val="24"/>
                <w:szCs w:val="24"/>
              </w:rPr>
            </w:pPr>
          </w:p>
        </w:tc>
      </w:tr>
      <w:tr w14:paraId="3CAE64CD">
        <w:tblPrEx>
          <w:tblCellMar>
            <w:top w:w="0" w:type="dxa"/>
            <w:left w:w="108" w:type="dxa"/>
            <w:bottom w:w="0" w:type="dxa"/>
            <w:right w:w="108" w:type="dxa"/>
          </w:tblCellMar>
        </w:tblPrEx>
        <w:trPr>
          <w:gridAfter w:val="2"/>
          <w:wAfter w:w="141" w:type="dxa"/>
          <w:jc w:val="center"/>
        </w:trPr>
        <w:tc>
          <w:tcPr>
            <w:tcW w:w="950" w:type="dxa"/>
            <w:gridSpan w:val="3"/>
            <w:vAlign w:val="center"/>
          </w:tcPr>
          <w:p w14:paraId="642155D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13</w:t>
            </w:r>
          </w:p>
        </w:tc>
        <w:tc>
          <w:tcPr>
            <w:tcW w:w="2986" w:type="dxa"/>
            <w:gridSpan w:val="2"/>
            <w:vAlign w:val="center"/>
          </w:tcPr>
          <w:p w14:paraId="1CC4D7D2">
            <w:pPr>
              <w:rPr>
                <w:rFonts w:hint="eastAsia" w:ascii="宋体" w:hAnsi="宋体" w:eastAsia="宋体" w:cs="宋体"/>
                <w:sz w:val="24"/>
                <w:szCs w:val="24"/>
              </w:rPr>
            </w:pPr>
            <w:r>
              <w:rPr>
                <w:rFonts w:hint="eastAsia" w:ascii="宋体" w:hAnsi="宋体" w:eastAsia="宋体" w:cs="宋体"/>
                <w:kern w:val="0"/>
                <w:sz w:val="24"/>
                <w:szCs w:val="24"/>
              </w:rPr>
              <w:t>安全门锁</w:t>
            </w:r>
          </w:p>
        </w:tc>
        <w:tc>
          <w:tcPr>
            <w:tcW w:w="2409" w:type="dxa"/>
            <w:gridSpan w:val="3"/>
            <w:vAlign w:val="center"/>
          </w:tcPr>
          <w:p w14:paraId="53F73C9B">
            <w:pPr>
              <w:jc w:val="left"/>
              <w:rPr>
                <w:rFonts w:hint="eastAsia" w:ascii="宋体" w:hAnsi="宋体" w:eastAsia="宋体" w:cs="宋体"/>
                <w:sz w:val="24"/>
                <w:szCs w:val="24"/>
              </w:rPr>
            </w:pPr>
            <w:r>
              <w:rPr>
                <w:rFonts w:hint="eastAsia" w:ascii="宋体" w:hAnsi="宋体" w:eastAsia="宋体" w:cs="宋体"/>
                <w:sz w:val="24"/>
                <w:szCs w:val="24"/>
              </w:rPr>
              <w:t>EUCHNER、Pilz</w:t>
            </w:r>
          </w:p>
        </w:tc>
        <w:tc>
          <w:tcPr>
            <w:tcW w:w="2694" w:type="dxa"/>
            <w:gridSpan w:val="3"/>
            <w:vAlign w:val="center"/>
          </w:tcPr>
          <w:p w14:paraId="72F28DB1">
            <w:pPr>
              <w:rPr>
                <w:rFonts w:hint="eastAsia" w:ascii="宋体" w:hAnsi="宋体" w:eastAsia="宋体" w:cs="宋体"/>
                <w:sz w:val="24"/>
                <w:szCs w:val="24"/>
              </w:rPr>
            </w:pPr>
          </w:p>
        </w:tc>
      </w:tr>
      <w:tr w14:paraId="33BAE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0DB21695">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14</w:t>
            </w:r>
          </w:p>
        </w:tc>
        <w:tc>
          <w:tcPr>
            <w:tcW w:w="2986" w:type="dxa"/>
            <w:gridSpan w:val="2"/>
            <w:vAlign w:val="center"/>
          </w:tcPr>
          <w:p w14:paraId="6A56F3FB">
            <w:pPr>
              <w:rPr>
                <w:rFonts w:hint="eastAsia" w:ascii="宋体" w:hAnsi="宋体" w:eastAsia="宋体" w:cs="宋体"/>
                <w:kern w:val="0"/>
                <w:sz w:val="24"/>
                <w:szCs w:val="24"/>
              </w:rPr>
            </w:pPr>
            <w:r>
              <w:rPr>
                <w:rFonts w:hint="eastAsia" w:ascii="宋体" w:hAnsi="宋体" w:eastAsia="宋体" w:cs="宋体"/>
                <w:kern w:val="0"/>
                <w:sz w:val="24"/>
                <w:szCs w:val="24"/>
              </w:rPr>
              <w:t>安全继电器</w:t>
            </w:r>
          </w:p>
        </w:tc>
        <w:tc>
          <w:tcPr>
            <w:tcW w:w="2409" w:type="dxa"/>
            <w:gridSpan w:val="3"/>
            <w:vAlign w:val="center"/>
          </w:tcPr>
          <w:p w14:paraId="5AC7AE8C">
            <w:pPr>
              <w:jc w:val="left"/>
              <w:rPr>
                <w:rFonts w:hint="eastAsia" w:ascii="宋体" w:hAnsi="宋体" w:eastAsia="宋体" w:cs="宋体"/>
                <w:sz w:val="24"/>
                <w:szCs w:val="24"/>
              </w:rPr>
            </w:pPr>
            <w:r>
              <w:rPr>
                <w:rFonts w:hint="eastAsia" w:ascii="宋体" w:hAnsi="宋体" w:eastAsia="宋体" w:cs="宋体"/>
                <w:sz w:val="24"/>
                <w:szCs w:val="24"/>
              </w:rPr>
              <w:t>Pilz、SEIMENS</w:t>
            </w:r>
          </w:p>
        </w:tc>
        <w:tc>
          <w:tcPr>
            <w:tcW w:w="2694" w:type="dxa"/>
            <w:gridSpan w:val="3"/>
            <w:vAlign w:val="center"/>
          </w:tcPr>
          <w:p w14:paraId="283AF0DA">
            <w:pPr>
              <w:rPr>
                <w:rFonts w:hint="eastAsia" w:ascii="宋体" w:hAnsi="宋体" w:eastAsia="宋体" w:cs="宋体"/>
                <w:sz w:val="24"/>
                <w:szCs w:val="24"/>
              </w:rPr>
            </w:pPr>
          </w:p>
        </w:tc>
      </w:tr>
      <w:tr w14:paraId="42160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05543B01">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15</w:t>
            </w:r>
          </w:p>
        </w:tc>
        <w:tc>
          <w:tcPr>
            <w:tcW w:w="2986" w:type="dxa"/>
            <w:gridSpan w:val="2"/>
            <w:vAlign w:val="center"/>
          </w:tcPr>
          <w:p w14:paraId="11A96CFE">
            <w:pPr>
              <w:rPr>
                <w:rFonts w:hint="eastAsia" w:ascii="宋体" w:hAnsi="宋体" w:eastAsia="宋体" w:cs="宋体"/>
                <w:sz w:val="24"/>
                <w:szCs w:val="24"/>
              </w:rPr>
            </w:pPr>
            <w:r>
              <w:rPr>
                <w:rFonts w:hint="eastAsia" w:ascii="宋体" w:hAnsi="宋体" w:eastAsia="宋体" w:cs="宋体"/>
                <w:kern w:val="0"/>
                <w:sz w:val="24"/>
                <w:szCs w:val="24"/>
              </w:rPr>
              <w:t>RFID</w:t>
            </w:r>
          </w:p>
        </w:tc>
        <w:tc>
          <w:tcPr>
            <w:tcW w:w="2409" w:type="dxa"/>
            <w:gridSpan w:val="3"/>
            <w:vAlign w:val="center"/>
          </w:tcPr>
          <w:p w14:paraId="47F9FA83">
            <w:pPr>
              <w:jc w:val="left"/>
              <w:rPr>
                <w:rFonts w:hint="eastAsia" w:ascii="宋体" w:hAnsi="宋体" w:eastAsia="宋体" w:cs="宋体"/>
                <w:sz w:val="24"/>
                <w:szCs w:val="24"/>
              </w:rPr>
            </w:pPr>
            <w:r>
              <w:rPr>
                <w:rFonts w:hint="eastAsia" w:ascii="宋体" w:hAnsi="宋体" w:eastAsia="宋体" w:cs="宋体"/>
                <w:sz w:val="24"/>
                <w:szCs w:val="24"/>
              </w:rPr>
              <w:t>SEIMENS、P+F</w:t>
            </w:r>
          </w:p>
        </w:tc>
        <w:tc>
          <w:tcPr>
            <w:tcW w:w="2694" w:type="dxa"/>
            <w:gridSpan w:val="3"/>
            <w:vAlign w:val="center"/>
          </w:tcPr>
          <w:p w14:paraId="7CEB48CA">
            <w:pPr>
              <w:rPr>
                <w:rFonts w:hint="eastAsia" w:ascii="宋体" w:hAnsi="宋体" w:eastAsia="宋体" w:cs="宋体"/>
                <w:sz w:val="24"/>
                <w:szCs w:val="24"/>
              </w:rPr>
            </w:pPr>
          </w:p>
        </w:tc>
      </w:tr>
      <w:tr w14:paraId="3B8A1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7BE0ED54">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16</w:t>
            </w:r>
          </w:p>
        </w:tc>
        <w:tc>
          <w:tcPr>
            <w:tcW w:w="2986" w:type="dxa"/>
            <w:gridSpan w:val="2"/>
            <w:vAlign w:val="center"/>
          </w:tcPr>
          <w:p w14:paraId="7DAE963F">
            <w:pPr>
              <w:rPr>
                <w:rFonts w:hint="eastAsia" w:ascii="宋体" w:hAnsi="宋体" w:eastAsia="宋体" w:cs="宋体"/>
                <w:sz w:val="24"/>
                <w:szCs w:val="24"/>
              </w:rPr>
            </w:pPr>
            <w:r>
              <w:rPr>
                <w:rFonts w:hint="eastAsia" w:ascii="宋体" w:hAnsi="宋体" w:eastAsia="宋体" w:cs="宋体"/>
                <w:kern w:val="0"/>
                <w:sz w:val="24"/>
                <w:szCs w:val="24"/>
              </w:rPr>
              <w:t>接线端子</w:t>
            </w:r>
          </w:p>
        </w:tc>
        <w:tc>
          <w:tcPr>
            <w:tcW w:w="2409" w:type="dxa"/>
            <w:gridSpan w:val="3"/>
            <w:vAlign w:val="center"/>
          </w:tcPr>
          <w:p w14:paraId="6F441EBC">
            <w:pPr>
              <w:jc w:val="left"/>
              <w:rPr>
                <w:rFonts w:hint="eastAsia" w:ascii="宋体" w:hAnsi="宋体" w:eastAsia="宋体" w:cs="宋体"/>
                <w:sz w:val="24"/>
                <w:szCs w:val="24"/>
              </w:rPr>
            </w:pPr>
            <w:r>
              <w:rPr>
                <w:rFonts w:hint="eastAsia" w:ascii="宋体" w:hAnsi="宋体" w:eastAsia="宋体" w:cs="宋体"/>
                <w:sz w:val="24"/>
                <w:szCs w:val="24"/>
              </w:rPr>
              <w:t>MURR、Weidmuller</w:t>
            </w:r>
          </w:p>
        </w:tc>
        <w:tc>
          <w:tcPr>
            <w:tcW w:w="2694" w:type="dxa"/>
            <w:gridSpan w:val="3"/>
            <w:vAlign w:val="center"/>
          </w:tcPr>
          <w:p w14:paraId="367249A0">
            <w:pPr>
              <w:rPr>
                <w:rFonts w:hint="eastAsia" w:ascii="宋体" w:hAnsi="宋体" w:eastAsia="宋体" w:cs="宋体"/>
                <w:sz w:val="24"/>
                <w:szCs w:val="24"/>
              </w:rPr>
            </w:pPr>
          </w:p>
        </w:tc>
      </w:tr>
      <w:tr w14:paraId="26283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3940509C">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17</w:t>
            </w:r>
          </w:p>
        </w:tc>
        <w:tc>
          <w:tcPr>
            <w:tcW w:w="2986" w:type="dxa"/>
            <w:gridSpan w:val="2"/>
            <w:vAlign w:val="center"/>
          </w:tcPr>
          <w:p w14:paraId="7FFE7F34">
            <w:pPr>
              <w:rPr>
                <w:rFonts w:hint="eastAsia" w:ascii="宋体" w:hAnsi="宋体" w:eastAsia="宋体" w:cs="宋体"/>
                <w:kern w:val="0"/>
                <w:sz w:val="24"/>
                <w:szCs w:val="24"/>
              </w:rPr>
            </w:pPr>
            <w:r>
              <w:rPr>
                <w:rFonts w:hint="eastAsia" w:ascii="宋体" w:hAnsi="宋体" w:eastAsia="宋体" w:cs="宋体"/>
                <w:kern w:val="0"/>
                <w:sz w:val="24"/>
                <w:szCs w:val="24"/>
              </w:rPr>
              <w:t>多芯插头</w:t>
            </w:r>
          </w:p>
        </w:tc>
        <w:tc>
          <w:tcPr>
            <w:tcW w:w="2409" w:type="dxa"/>
            <w:gridSpan w:val="3"/>
            <w:vAlign w:val="center"/>
          </w:tcPr>
          <w:p w14:paraId="62AD13D4">
            <w:pPr>
              <w:jc w:val="left"/>
              <w:rPr>
                <w:rFonts w:hint="eastAsia" w:ascii="宋体" w:hAnsi="宋体" w:eastAsia="宋体" w:cs="宋体"/>
                <w:sz w:val="24"/>
                <w:szCs w:val="24"/>
              </w:rPr>
            </w:pPr>
            <w:r>
              <w:rPr>
                <w:rFonts w:hint="eastAsia" w:ascii="宋体" w:hAnsi="宋体" w:eastAsia="宋体" w:cs="宋体"/>
                <w:sz w:val="24"/>
                <w:szCs w:val="24"/>
              </w:rPr>
              <w:t>Harting或同等品牌</w:t>
            </w:r>
          </w:p>
        </w:tc>
        <w:tc>
          <w:tcPr>
            <w:tcW w:w="2694" w:type="dxa"/>
            <w:gridSpan w:val="3"/>
            <w:vAlign w:val="center"/>
          </w:tcPr>
          <w:p w14:paraId="7E31DB16">
            <w:pPr>
              <w:rPr>
                <w:rFonts w:hint="eastAsia" w:ascii="宋体" w:hAnsi="宋体" w:eastAsia="宋体" w:cs="宋体"/>
                <w:sz w:val="24"/>
                <w:szCs w:val="24"/>
              </w:rPr>
            </w:pPr>
          </w:p>
        </w:tc>
      </w:tr>
      <w:tr w14:paraId="2097A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5968B71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18</w:t>
            </w:r>
          </w:p>
        </w:tc>
        <w:tc>
          <w:tcPr>
            <w:tcW w:w="2986" w:type="dxa"/>
            <w:gridSpan w:val="2"/>
            <w:vAlign w:val="center"/>
          </w:tcPr>
          <w:p w14:paraId="602F23FE">
            <w:pPr>
              <w:rPr>
                <w:rFonts w:hint="eastAsia" w:ascii="宋体" w:hAnsi="宋体" w:eastAsia="宋体" w:cs="宋体"/>
                <w:sz w:val="24"/>
                <w:szCs w:val="24"/>
              </w:rPr>
            </w:pPr>
            <w:r>
              <w:rPr>
                <w:rFonts w:hint="eastAsia" w:ascii="宋体" w:hAnsi="宋体" w:eastAsia="宋体" w:cs="宋体"/>
                <w:kern w:val="0"/>
                <w:sz w:val="24"/>
                <w:szCs w:val="24"/>
              </w:rPr>
              <w:t>动力电缆</w:t>
            </w:r>
          </w:p>
        </w:tc>
        <w:tc>
          <w:tcPr>
            <w:tcW w:w="2409" w:type="dxa"/>
            <w:gridSpan w:val="3"/>
            <w:vAlign w:val="center"/>
          </w:tcPr>
          <w:p w14:paraId="29D98A0C">
            <w:pPr>
              <w:jc w:val="left"/>
              <w:rPr>
                <w:rFonts w:hint="eastAsia" w:ascii="宋体" w:hAnsi="宋体" w:eastAsia="宋体" w:cs="宋体"/>
                <w:sz w:val="24"/>
                <w:szCs w:val="24"/>
              </w:rPr>
            </w:pPr>
            <w:r>
              <w:rPr>
                <w:rFonts w:hint="eastAsia" w:ascii="宋体" w:hAnsi="宋体" w:eastAsia="宋体" w:cs="宋体"/>
                <w:sz w:val="24"/>
                <w:szCs w:val="24"/>
              </w:rPr>
              <w:t>LAPP、上上</w:t>
            </w:r>
          </w:p>
        </w:tc>
        <w:tc>
          <w:tcPr>
            <w:tcW w:w="2694" w:type="dxa"/>
            <w:gridSpan w:val="3"/>
            <w:vAlign w:val="center"/>
          </w:tcPr>
          <w:p w14:paraId="02B683D7">
            <w:pPr>
              <w:rPr>
                <w:rFonts w:hint="eastAsia" w:ascii="宋体" w:hAnsi="宋体" w:eastAsia="宋体" w:cs="宋体"/>
                <w:sz w:val="24"/>
                <w:szCs w:val="24"/>
              </w:rPr>
            </w:pPr>
          </w:p>
        </w:tc>
      </w:tr>
      <w:tr w14:paraId="4B3B3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78E0FEF2">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19</w:t>
            </w:r>
          </w:p>
        </w:tc>
        <w:tc>
          <w:tcPr>
            <w:tcW w:w="2986" w:type="dxa"/>
            <w:gridSpan w:val="2"/>
            <w:vAlign w:val="center"/>
          </w:tcPr>
          <w:p w14:paraId="0E52D7F6">
            <w:pPr>
              <w:rPr>
                <w:rFonts w:hint="eastAsia" w:ascii="宋体" w:hAnsi="宋体" w:eastAsia="宋体" w:cs="宋体"/>
                <w:sz w:val="24"/>
                <w:szCs w:val="24"/>
              </w:rPr>
            </w:pPr>
            <w:r>
              <w:rPr>
                <w:rFonts w:hint="eastAsia" w:ascii="宋体" w:hAnsi="宋体" w:eastAsia="宋体" w:cs="宋体"/>
                <w:kern w:val="0"/>
                <w:sz w:val="24"/>
                <w:szCs w:val="24"/>
              </w:rPr>
              <w:t>柔性电缆</w:t>
            </w:r>
          </w:p>
        </w:tc>
        <w:tc>
          <w:tcPr>
            <w:tcW w:w="2409" w:type="dxa"/>
            <w:gridSpan w:val="3"/>
            <w:vAlign w:val="center"/>
          </w:tcPr>
          <w:p w14:paraId="5D5B66CD">
            <w:pPr>
              <w:jc w:val="left"/>
              <w:rPr>
                <w:rFonts w:hint="eastAsia" w:ascii="宋体" w:hAnsi="宋体" w:eastAsia="宋体" w:cs="宋体"/>
                <w:sz w:val="24"/>
                <w:szCs w:val="24"/>
              </w:rPr>
            </w:pPr>
            <w:r>
              <w:rPr>
                <w:rFonts w:hint="eastAsia" w:ascii="宋体" w:hAnsi="宋体" w:eastAsia="宋体" w:cs="宋体"/>
                <w:sz w:val="24"/>
                <w:szCs w:val="24"/>
              </w:rPr>
              <w:t>LAPP、LEONI</w:t>
            </w:r>
          </w:p>
        </w:tc>
        <w:tc>
          <w:tcPr>
            <w:tcW w:w="2694" w:type="dxa"/>
            <w:gridSpan w:val="3"/>
            <w:vAlign w:val="center"/>
          </w:tcPr>
          <w:p w14:paraId="6C6C334D">
            <w:pPr>
              <w:rPr>
                <w:rFonts w:hint="eastAsia" w:ascii="宋体" w:hAnsi="宋体" w:eastAsia="宋体" w:cs="宋体"/>
                <w:sz w:val="24"/>
                <w:szCs w:val="24"/>
              </w:rPr>
            </w:pPr>
          </w:p>
        </w:tc>
      </w:tr>
      <w:tr w14:paraId="4828F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5394761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20</w:t>
            </w:r>
          </w:p>
        </w:tc>
        <w:tc>
          <w:tcPr>
            <w:tcW w:w="2986" w:type="dxa"/>
            <w:gridSpan w:val="2"/>
            <w:vAlign w:val="center"/>
          </w:tcPr>
          <w:p w14:paraId="0DD0BCD4">
            <w:pPr>
              <w:rPr>
                <w:rFonts w:hint="eastAsia" w:ascii="宋体" w:hAnsi="宋体" w:eastAsia="宋体" w:cs="宋体"/>
                <w:kern w:val="0"/>
                <w:sz w:val="24"/>
                <w:szCs w:val="24"/>
              </w:rPr>
            </w:pPr>
            <w:r>
              <w:rPr>
                <w:rFonts w:hint="eastAsia" w:ascii="宋体" w:hAnsi="宋体" w:eastAsia="宋体" w:cs="宋体"/>
                <w:kern w:val="0"/>
                <w:sz w:val="24"/>
                <w:szCs w:val="24"/>
              </w:rPr>
              <w:t>通信电缆</w:t>
            </w:r>
          </w:p>
        </w:tc>
        <w:tc>
          <w:tcPr>
            <w:tcW w:w="2409" w:type="dxa"/>
            <w:gridSpan w:val="3"/>
            <w:vAlign w:val="center"/>
          </w:tcPr>
          <w:p w14:paraId="0B728B58">
            <w:pPr>
              <w:jc w:val="left"/>
              <w:rPr>
                <w:rFonts w:hint="eastAsia" w:ascii="宋体" w:hAnsi="宋体" w:eastAsia="宋体" w:cs="宋体"/>
                <w:sz w:val="24"/>
                <w:szCs w:val="24"/>
              </w:rPr>
            </w:pPr>
            <w:r>
              <w:rPr>
                <w:rFonts w:hint="eastAsia" w:ascii="宋体" w:hAnsi="宋体" w:eastAsia="宋体" w:cs="宋体"/>
                <w:sz w:val="24"/>
                <w:szCs w:val="24"/>
              </w:rPr>
              <w:t>LEONI、SEIMENS</w:t>
            </w:r>
          </w:p>
        </w:tc>
        <w:tc>
          <w:tcPr>
            <w:tcW w:w="2694" w:type="dxa"/>
            <w:gridSpan w:val="3"/>
            <w:vAlign w:val="center"/>
          </w:tcPr>
          <w:p w14:paraId="14D12FAC">
            <w:pPr>
              <w:rPr>
                <w:rFonts w:hint="eastAsia" w:ascii="宋体" w:hAnsi="宋体" w:eastAsia="宋体" w:cs="宋体"/>
                <w:sz w:val="24"/>
                <w:szCs w:val="24"/>
              </w:rPr>
            </w:pPr>
          </w:p>
        </w:tc>
      </w:tr>
      <w:tr w14:paraId="7A057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579F2ADE">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21</w:t>
            </w:r>
          </w:p>
        </w:tc>
        <w:tc>
          <w:tcPr>
            <w:tcW w:w="2986" w:type="dxa"/>
            <w:gridSpan w:val="2"/>
            <w:vAlign w:val="center"/>
          </w:tcPr>
          <w:p w14:paraId="4BEBD5F1">
            <w:pPr>
              <w:rPr>
                <w:rFonts w:hint="eastAsia" w:ascii="宋体" w:hAnsi="宋体" w:eastAsia="宋体" w:cs="宋体"/>
                <w:kern w:val="0"/>
                <w:sz w:val="24"/>
                <w:szCs w:val="24"/>
              </w:rPr>
            </w:pPr>
            <w:r>
              <w:rPr>
                <w:rFonts w:hint="eastAsia" w:ascii="宋体" w:hAnsi="宋体" w:eastAsia="宋体" w:cs="宋体"/>
                <w:kern w:val="0"/>
                <w:sz w:val="24"/>
                <w:szCs w:val="24"/>
              </w:rPr>
              <w:t>信号线</w:t>
            </w:r>
          </w:p>
        </w:tc>
        <w:tc>
          <w:tcPr>
            <w:tcW w:w="2409" w:type="dxa"/>
            <w:gridSpan w:val="3"/>
            <w:vAlign w:val="center"/>
          </w:tcPr>
          <w:p w14:paraId="49BF05EE">
            <w:pPr>
              <w:jc w:val="left"/>
              <w:rPr>
                <w:rFonts w:hint="eastAsia" w:ascii="宋体" w:hAnsi="宋体" w:eastAsia="宋体" w:cs="宋体"/>
                <w:sz w:val="24"/>
                <w:szCs w:val="24"/>
              </w:rPr>
            </w:pPr>
            <w:r>
              <w:rPr>
                <w:rFonts w:hint="eastAsia" w:ascii="宋体" w:hAnsi="宋体" w:eastAsia="宋体" w:cs="宋体"/>
                <w:sz w:val="24"/>
                <w:szCs w:val="24"/>
              </w:rPr>
              <w:t>BALLUFF、Turck</w:t>
            </w:r>
          </w:p>
        </w:tc>
        <w:tc>
          <w:tcPr>
            <w:tcW w:w="2694" w:type="dxa"/>
            <w:gridSpan w:val="3"/>
            <w:vAlign w:val="center"/>
          </w:tcPr>
          <w:p w14:paraId="7E50ACB8">
            <w:pPr>
              <w:rPr>
                <w:rFonts w:hint="eastAsia" w:ascii="宋体" w:hAnsi="宋体" w:eastAsia="宋体" w:cs="宋体"/>
                <w:sz w:val="24"/>
                <w:szCs w:val="24"/>
              </w:rPr>
            </w:pPr>
          </w:p>
        </w:tc>
      </w:tr>
      <w:tr w14:paraId="07450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05C5B63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22</w:t>
            </w:r>
          </w:p>
        </w:tc>
        <w:tc>
          <w:tcPr>
            <w:tcW w:w="2986" w:type="dxa"/>
            <w:gridSpan w:val="2"/>
            <w:vAlign w:val="center"/>
          </w:tcPr>
          <w:p w14:paraId="46070E6A">
            <w:pPr>
              <w:rPr>
                <w:rFonts w:hint="eastAsia" w:ascii="宋体" w:hAnsi="宋体" w:eastAsia="宋体" w:cs="宋体"/>
                <w:sz w:val="24"/>
                <w:szCs w:val="24"/>
              </w:rPr>
            </w:pPr>
            <w:r>
              <w:rPr>
                <w:rFonts w:hint="eastAsia" w:ascii="宋体" w:hAnsi="宋体" w:eastAsia="宋体" w:cs="宋体"/>
                <w:kern w:val="0"/>
                <w:sz w:val="24"/>
                <w:szCs w:val="24"/>
              </w:rPr>
              <w:t>低压电器元件</w:t>
            </w:r>
          </w:p>
        </w:tc>
        <w:tc>
          <w:tcPr>
            <w:tcW w:w="2409" w:type="dxa"/>
            <w:gridSpan w:val="3"/>
            <w:vAlign w:val="center"/>
          </w:tcPr>
          <w:p w14:paraId="73A16232">
            <w:pPr>
              <w:jc w:val="left"/>
              <w:rPr>
                <w:rFonts w:hint="eastAsia" w:ascii="宋体" w:hAnsi="宋体" w:eastAsia="宋体" w:cs="宋体"/>
                <w:sz w:val="24"/>
                <w:szCs w:val="24"/>
              </w:rPr>
            </w:pPr>
            <w:r>
              <w:rPr>
                <w:rFonts w:hint="eastAsia" w:ascii="宋体" w:hAnsi="宋体" w:eastAsia="宋体" w:cs="宋体"/>
                <w:kern w:val="0"/>
                <w:sz w:val="24"/>
                <w:szCs w:val="24"/>
              </w:rPr>
              <w:t>Schneider、SEIMENS</w:t>
            </w:r>
          </w:p>
        </w:tc>
        <w:tc>
          <w:tcPr>
            <w:tcW w:w="2694" w:type="dxa"/>
            <w:gridSpan w:val="3"/>
            <w:vAlign w:val="center"/>
          </w:tcPr>
          <w:p w14:paraId="6FC152AB">
            <w:pPr>
              <w:rPr>
                <w:rFonts w:hint="eastAsia" w:ascii="宋体" w:hAnsi="宋体" w:eastAsia="宋体" w:cs="宋体"/>
                <w:sz w:val="24"/>
                <w:szCs w:val="24"/>
              </w:rPr>
            </w:pPr>
          </w:p>
        </w:tc>
      </w:tr>
      <w:tr w14:paraId="431EB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25647C7B">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23</w:t>
            </w:r>
          </w:p>
        </w:tc>
        <w:tc>
          <w:tcPr>
            <w:tcW w:w="2986" w:type="dxa"/>
            <w:gridSpan w:val="2"/>
            <w:vAlign w:val="center"/>
          </w:tcPr>
          <w:p w14:paraId="636915E9">
            <w:pPr>
              <w:rPr>
                <w:rFonts w:hint="eastAsia" w:ascii="宋体" w:hAnsi="宋体" w:eastAsia="宋体" w:cs="宋体"/>
                <w:sz w:val="24"/>
                <w:szCs w:val="24"/>
              </w:rPr>
            </w:pPr>
            <w:r>
              <w:rPr>
                <w:rFonts w:hint="eastAsia" w:ascii="宋体" w:hAnsi="宋体" w:eastAsia="宋体" w:cs="宋体"/>
                <w:kern w:val="0"/>
                <w:sz w:val="24"/>
                <w:szCs w:val="24"/>
              </w:rPr>
              <w:t>按钮、选择开关，指示灯等</w:t>
            </w:r>
          </w:p>
        </w:tc>
        <w:tc>
          <w:tcPr>
            <w:tcW w:w="2409" w:type="dxa"/>
            <w:gridSpan w:val="3"/>
            <w:vAlign w:val="center"/>
          </w:tcPr>
          <w:p w14:paraId="1286D5F4">
            <w:pPr>
              <w:jc w:val="left"/>
              <w:rPr>
                <w:rFonts w:hint="eastAsia" w:ascii="宋体" w:hAnsi="宋体" w:eastAsia="宋体" w:cs="宋体"/>
                <w:sz w:val="24"/>
                <w:szCs w:val="24"/>
              </w:rPr>
            </w:pPr>
            <w:r>
              <w:rPr>
                <w:rFonts w:hint="eastAsia" w:ascii="宋体" w:hAnsi="宋体" w:eastAsia="宋体" w:cs="宋体"/>
                <w:kern w:val="0"/>
                <w:sz w:val="24"/>
                <w:szCs w:val="24"/>
              </w:rPr>
              <w:t>Schneider、SEIMENS</w:t>
            </w:r>
          </w:p>
        </w:tc>
        <w:tc>
          <w:tcPr>
            <w:tcW w:w="2694" w:type="dxa"/>
            <w:gridSpan w:val="3"/>
            <w:vAlign w:val="center"/>
          </w:tcPr>
          <w:p w14:paraId="0F3D878E">
            <w:pPr>
              <w:rPr>
                <w:rFonts w:hint="eastAsia" w:ascii="宋体" w:hAnsi="宋体" w:eastAsia="宋体" w:cs="宋体"/>
                <w:sz w:val="24"/>
                <w:szCs w:val="24"/>
              </w:rPr>
            </w:pPr>
          </w:p>
        </w:tc>
      </w:tr>
      <w:tr w14:paraId="6CC25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308DA148">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24</w:t>
            </w:r>
          </w:p>
        </w:tc>
        <w:tc>
          <w:tcPr>
            <w:tcW w:w="2986" w:type="dxa"/>
            <w:gridSpan w:val="2"/>
            <w:vAlign w:val="center"/>
          </w:tcPr>
          <w:p w14:paraId="608BAADD">
            <w:pPr>
              <w:rPr>
                <w:rFonts w:hint="eastAsia" w:ascii="宋体" w:hAnsi="宋体" w:eastAsia="宋体" w:cs="宋体"/>
                <w:sz w:val="24"/>
                <w:szCs w:val="24"/>
              </w:rPr>
            </w:pPr>
            <w:r>
              <w:rPr>
                <w:rFonts w:hint="eastAsia" w:ascii="宋体" w:hAnsi="宋体" w:eastAsia="宋体" w:cs="宋体"/>
                <w:kern w:val="0"/>
                <w:sz w:val="24"/>
                <w:szCs w:val="24"/>
              </w:rPr>
              <w:t>开关电源</w:t>
            </w:r>
          </w:p>
        </w:tc>
        <w:tc>
          <w:tcPr>
            <w:tcW w:w="2409" w:type="dxa"/>
            <w:gridSpan w:val="3"/>
            <w:vAlign w:val="center"/>
          </w:tcPr>
          <w:p w14:paraId="1733A16A">
            <w:pPr>
              <w:jc w:val="left"/>
              <w:rPr>
                <w:rFonts w:hint="eastAsia" w:ascii="宋体" w:hAnsi="宋体" w:eastAsia="宋体" w:cs="宋体"/>
                <w:b/>
                <w:bCs/>
                <w:sz w:val="24"/>
                <w:szCs w:val="24"/>
              </w:rPr>
            </w:pPr>
            <w:r>
              <w:rPr>
                <w:rFonts w:hint="eastAsia" w:ascii="宋体" w:hAnsi="宋体" w:eastAsia="宋体" w:cs="宋体"/>
                <w:kern w:val="0"/>
                <w:sz w:val="24"/>
                <w:szCs w:val="24"/>
              </w:rPr>
              <w:t>Phoenix、MURR</w:t>
            </w:r>
          </w:p>
        </w:tc>
        <w:tc>
          <w:tcPr>
            <w:tcW w:w="2694" w:type="dxa"/>
            <w:gridSpan w:val="3"/>
            <w:vAlign w:val="center"/>
          </w:tcPr>
          <w:p w14:paraId="5989205A">
            <w:pPr>
              <w:rPr>
                <w:rFonts w:hint="eastAsia" w:ascii="宋体" w:hAnsi="宋体" w:eastAsia="宋体" w:cs="宋体"/>
                <w:sz w:val="24"/>
                <w:szCs w:val="24"/>
              </w:rPr>
            </w:pPr>
          </w:p>
        </w:tc>
      </w:tr>
      <w:tr w14:paraId="51D9C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6EA03115">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25</w:t>
            </w:r>
          </w:p>
        </w:tc>
        <w:tc>
          <w:tcPr>
            <w:tcW w:w="2986" w:type="dxa"/>
            <w:gridSpan w:val="2"/>
            <w:vAlign w:val="center"/>
          </w:tcPr>
          <w:p w14:paraId="21FCC075">
            <w:pPr>
              <w:rPr>
                <w:rFonts w:hint="eastAsia" w:ascii="宋体" w:hAnsi="宋体" w:eastAsia="宋体" w:cs="宋体"/>
                <w:sz w:val="24"/>
                <w:szCs w:val="24"/>
              </w:rPr>
            </w:pPr>
            <w:r>
              <w:rPr>
                <w:rFonts w:hint="eastAsia" w:ascii="宋体" w:hAnsi="宋体" w:eastAsia="宋体" w:cs="宋体"/>
                <w:kern w:val="0"/>
                <w:sz w:val="24"/>
                <w:szCs w:val="24"/>
              </w:rPr>
              <w:t>指示塔灯</w:t>
            </w:r>
          </w:p>
        </w:tc>
        <w:tc>
          <w:tcPr>
            <w:tcW w:w="2409" w:type="dxa"/>
            <w:gridSpan w:val="3"/>
            <w:vAlign w:val="center"/>
          </w:tcPr>
          <w:p w14:paraId="3A173391">
            <w:pPr>
              <w:jc w:val="left"/>
              <w:rPr>
                <w:rFonts w:hint="eastAsia" w:ascii="宋体" w:hAnsi="宋体" w:eastAsia="宋体" w:cs="宋体"/>
                <w:sz w:val="24"/>
                <w:szCs w:val="24"/>
              </w:rPr>
            </w:pPr>
            <w:r>
              <w:rPr>
                <w:rFonts w:hint="eastAsia" w:ascii="宋体" w:hAnsi="宋体" w:eastAsia="宋体" w:cs="宋体"/>
                <w:kern w:val="0"/>
                <w:sz w:val="24"/>
                <w:szCs w:val="24"/>
              </w:rPr>
              <w:t>Schneider、BALLUFF</w:t>
            </w:r>
          </w:p>
        </w:tc>
        <w:tc>
          <w:tcPr>
            <w:tcW w:w="2694" w:type="dxa"/>
            <w:gridSpan w:val="3"/>
            <w:vAlign w:val="center"/>
          </w:tcPr>
          <w:p w14:paraId="2F05EE7E">
            <w:pPr>
              <w:rPr>
                <w:rFonts w:hint="eastAsia" w:ascii="宋体" w:hAnsi="宋体" w:eastAsia="宋体" w:cs="宋体"/>
                <w:sz w:val="24"/>
                <w:szCs w:val="24"/>
              </w:rPr>
            </w:pPr>
          </w:p>
        </w:tc>
      </w:tr>
      <w:tr w14:paraId="660A9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12D57987">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26</w:t>
            </w:r>
          </w:p>
        </w:tc>
        <w:tc>
          <w:tcPr>
            <w:tcW w:w="2986" w:type="dxa"/>
            <w:gridSpan w:val="2"/>
            <w:vAlign w:val="center"/>
          </w:tcPr>
          <w:p w14:paraId="083B8244">
            <w:pPr>
              <w:rPr>
                <w:rFonts w:hint="eastAsia" w:ascii="宋体" w:hAnsi="宋体" w:eastAsia="宋体" w:cs="宋体"/>
                <w:sz w:val="24"/>
                <w:szCs w:val="24"/>
              </w:rPr>
            </w:pPr>
            <w:r>
              <w:rPr>
                <w:rFonts w:hint="eastAsia" w:ascii="宋体" w:hAnsi="宋体" w:eastAsia="宋体" w:cs="宋体"/>
                <w:kern w:val="0"/>
                <w:sz w:val="24"/>
                <w:szCs w:val="24"/>
              </w:rPr>
              <w:t>机柜（配电柜、控制柜、变频柜等）</w:t>
            </w:r>
          </w:p>
        </w:tc>
        <w:tc>
          <w:tcPr>
            <w:tcW w:w="2409" w:type="dxa"/>
            <w:gridSpan w:val="3"/>
            <w:vAlign w:val="center"/>
          </w:tcPr>
          <w:p w14:paraId="3887D2E4">
            <w:pPr>
              <w:jc w:val="left"/>
              <w:rPr>
                <w:rFonts w:hint="eastAsia" w:ascii="宋体" w:hAnsi="宋体" w:eastAsia="宋体" w:cs="宋体"/>
                <w:sz w:val="24"/>
                <w:szCs w:val="24"/>
              </w:rPr>
            </w:pPr>
            <w:r>
              <w:rPr>
                <w:rFonts w:hint="eastAsia" w:ascii="宋体" w:hAnsi="宋体" w:eastAsia="宋体" w:cs="宋体"/>
                <w:w w:val="95"/>
                <w:sz w:val="24"/>
                <w:szCs w:val="24"/>
              </w:rPr>
              <w:t>Rittal</w:t>
            </w:r>
            <w:r>
              <w:rPr>
                <w:rFonts w:hint="eastAsia" w:ascii="宋体" w:hAnsi="宋体" w:eastAsia="宋体" w:cs="宋体"/>
                <w:sz w:val="24"/>
                <w:szCs w:val="24"/>
              </w:rPr>
              <w:t>或同等品牌</w:t>
            </w:r>
          </w:p>
        </w:tc>
        <w:tc>
          <w:tcPr>
            <w:tcW w:w="2694" w:type="dxa"/>
            <w:gridSpan w:val="3"/>
            <w:vAlign w:val="center"/>
          </w:tcPr>
          <w:p w14:paraId="4884E15B">
            <w:pPr>
              <w:rPr>
                <w:rFonts w:hint="eastAsia" w:ascii="宋体" w:hAnsi="宋体" w:eastAsia="宋体" w:cs="宋体"/>
                <w:sz w:val="24"/>
                <w:szCs w:val="24"/>
              </w:rPr>
            </w:pPr>
            <w:r>
              <w:rPr>
                <w:rFonts w:hint="eastAsia" w:ascii="宋体" w:hAnsi="宋体" w:eastAsia="宋体" w:cs="宋体"/>
                <w:kern w:val="0"/>
                <w:sz w:val="24"/>
                <w:szCs w:val="24"/>
              </w:rPr>
              <w:t>PLC控制柜、变频器柜配置原装空调（自蒸发）</w:t>
            </w:r>
          </w:p>
        </w:tc>
      </w:tr>
      <w:tr w14:paraId="0BCA9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DD37377">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27</w:t>
            </w:r>
          </w:p>
        </w:tc>
        <w:tc>
          <w:tcPr>
            <w:tcW w:w="2986" w:type="dxa"/>
            <w:gridSpan w:val="2"/>
            <w:vAlign w:val="center"/>
          </w:tcPr>
          <w:p w14:paraId="60FBD89C">
            <w:pPr>
              <w:rPr>
                <w:rFonts w:hint="eastAsia" w:ascii="宋体" w:hAnsi="宋体" w:eastAsia="宋体" w:cs="宋体"/>
                <w:kern w:val="0"/>
                <w:sz w:val="24"/>
                <w:szCs w:val="24"/>
              </w:rPr>
            </w:pPr>
            <w:r>
              <w:rPr>
                <w:rFonts w:hint="eastAsia" w:ascii="宋体" w:hAnsi="宋体" w:eastAsia="宋体" w:cs="宋体"/>
                <w:kern w:val="0"/>
                <w:sz w:val="24"/>
                <w:szCs w:val="24"/>
              </w:rPr>
              <w:t>无线耦合器</w:t>
            </w:r>
          </w:p>
        </w:tc>
        <w:tc>
          <w:tcPr>
            <w:tcW w:w="2409" w:type="dxa"/>
            <w:gridSpan w:val="3"/>
            <w:vAlign w:val="center"/>
          </w:tcPr>
          <w:p w14:paraId="6F995CDE">
            <w:pPr>
              <w:jc w:val="left"/>
              <w:rPr>
                <w:rFonts w:hint="eastAsia" w:ascii="宋体" w:hAnsi="宋体" w:eastAsia="宋体" w:cs="宋体"/>
                <w:w w:val="95"/>
                <w:sz w:val="24"/>
                <w:szCs w:val="24"/>
              </w:rPr>
            </w:pPr>
            <w:r>
              <w:rPr>
                <w:rFonts w:hint="eastAsia" w:ascii="宋体" w:hAnsi="宋体" w:eastAsia="宋体" w:cs="宋体"/>
                <w:w w:val="95"/>
                <w:sz w:val="24"/>
                <w:szCs w:val="24"/>
              </w:rPr>
              <w:t>BALLUFF</w:t>
            </w:r>
            <w:r>
              <w:rPr>
                <w:rFonts w:hint="eastAsia" w:ascii="宋体" w:hAnsi="宋体" w:eastAsia="宋体" w:cs="宋体"/>
                <w:sz w:val="24"/>
                <w:szCs w:val="24"/>
              </w:rPr>
              <w:t>或同等品牌</w:t>
            </w:r>
          </w:p>
        </w:tc>
        <w:tc>
          <w:tcPr>
            <w:tcW w:w="2694" w:type="dxa"/>
            <w:gridSpan w:val="3"/>
            <w:vAlign w:val="center"/>
          </w:tcPr>
          <w:p w14:paraId="54841EBD">
            <w:pPr>
              <w:rPr>
                <w:rFonts w:hint="eastAsia" w:ascii="宋体" w:hAnsi="宋体" w:eastAsia="宋体" w:cs="宋体"/>
                <w:kern w:val="0"/>
                <w:sz w:val="24"/>
                <w:szCs w:val="24"/>
              </w:rPr>
            </w:pPr>
          </w:p>
        </w:tc>
      </w:tr>
      <w:tr w14:paraId="281B6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41" w:type="dxa"/>
          <w:jc w:val="center"/>
        </w:trPr>
        <w:tc>
          <w:tcPr>
            <w:tcW w:w="950" w:type="dxa"/>
            <w:gridSpan w:val="3"/>
            <w:vAlign w:val="center"/>
          </w:tcPr>
          <w:p w14:paraId="4BCDBF99">
            <w:pPr>
              <w:widowControl/>
              <w:contextualSpacing/>
              <w:jc w:val="center"/>
              <w:rPr>
                <w:rFonts w:hint="eastAsia" w:ascii="宋体" w:hAnsi="宋体" w:eastAsia="宋体" w:cs="宋体"/>
                <w:sz w:val="24"/>
                <w:szCs w:val="24"/>
              </w:rPr>
            </w:pPr>
            <w:r>
              <w:rPr>
                <w:rFonts w:hint="eastAsia" w:ascii="宋体" w:hAnsi="宋体" w:eastAsia="宋体" w:cs="宋体"/>
                <w:sz w:val="24"/>
                <w:szCs w:val="24"/>
              </w:rPr>
              <w:t>28</w:t>
            </w:r>
          </w:p>
        </w:tc>
        <w:tc>
          <w:tcPr>
            <w:tcW w:w="2986" w:type="dxa"/>
            <w:gridSpan w:val="2"/>
            <w:vAlign w:val="center"/>
          </w:tcPr>
          <w:p w14:paraId="0AE11C0B">
            <w:pPr>
              <w:rPr>
                <w:rFonts w:hint="eastAsia" w:ascii="宋体" w:hAnsi="宋体" w:eastAsia="宋体" w:cs="宋体"/>
                <w:kern w:val="0"/>
                <w:sz w:val="24"/>
                <w:szCs w:val="24"/>
              </w:rPr>
            </w:pPr>
            <w:r>
              <w:rPr>
                <w:rFonts w:hint="eastAsia" w:ascii="宋体" w:hAnsi="宋体" w:eastAsia="宋体" w:cs="宋体"/>
                <w:kern w:val="0"/>
                <w:sz w:val="24"/>
                <w:szCs w:val="24"/>
              </w:rPr>
              <w:t>端子标识</w:t>
            </w:r>
          </w:p>
        </w:tc>
        <w:tc>
          <w:tcPr>
            <w:tcW w:w="2409" w:type="dxa"/>
            <w:gridSpan w:val="3"/>
            <w:vAlign w:val="center"/>
          </w:tcPr>
          <w:p w14:paraId="7DAF5116">
            <w:pPr>
              <w:jc w:val="left"/>
              <w:rPr>
                <w:rFonts w:hint="eastAsia" w:ascii="宋体" w:hAnsi="宋体" w:eastAsia="宋体" w:cs="宋体"/>
                <w:w w:val="95"/>
                <w:sz w:val="24"/>
                <w:szCs w:val="24"/>
              </w:rPr>
            </w:pPr>
            <w:r>
              <w:rPr>
                <w:rFonts w:hint="eastAsia" w:ascii="宋体" w:hAnsi="宋体" w:eastAsia="宋体" w:cs="宋体"/>
                <w:sz w:val="24"/>
                <w:szCs w:val="24"/>
              </w:rPr>
              <w:t>MURR或同等品牌</w:t>
            </w:r>
          </w:p>
        </w:tc>
        <w:tc>
          <w:tcPr>
            <w:tcW w:w="2694" w:type="dxa"/>
            <w:gridSpan w:val="3"/>
            <w:vAlign w:val="center"/>
          </w:tcPr>
          <w:p w14:paraId="3EFBF141">
            <w:pPr>
              <w:rPr>
                <w:rFonts w:hint="eastAsia" w:ascii="宋体" w:hAnsi="宋体" w:eastAsia="宋体" w:cs="宋体"/>
                <w:kern w:val="0"/>
                <w:sz w:val="24"/>
                <w:szCs w:val="24"/>
              </w:rPr>
            </w:pPr>
          </w:p>
        </w:tc>
      </w:tr>
      <w:bookmarkEnd w:id="41"/>
      <w:bookmarkEnd w:id="45"/>
    </w:tbl>
    <w:p w14:paraId="426B0CA7">
      <w:pPr>
        <w:spacing w:line="360" w:lineRule="auto"/>
        <w:ind w:firstLine="560" w:firstLineChars="200"/>
        <w:rPr>
          <w:rFonts w:hint="eastAsia" w:ascii="宋体" w:hAnsi="宋体" w:eastAsia="等线" w:cs="宋体"/>
          <w:sz w:val="28"/>
          <w:szCs w:val="28"/>
        </w:rPr>
      </w:pPr>
      <w:r>
        <w:rPr>
          <w:rFonts w:ascii="宋体" w:hAnsi="宋体" w:eastAsia="等线" w:cs="宋体"/>
          <w:sz w:val="28"/>
          <w:szCs w:val="28"/>
        </w:rPr>
        <w:br w:type="page"/>
      </w:r>
    </w:p>
    <w:p w14:paraId="0FDCEEA7">
      <w:pPr>
        <w:keepNext/>
        <w:keepLines/>
        <w:spacing w:before="120" w:after="120" w:line="360" w:lineRule="auto"/>
        <w:jc w:val="center"/>
        <w:outlineLvl w:val="0"/>
        <w:rPr>
          <w:rFonts w:hint="eastAsia" w:ascii="黑体" w:hAnsi="黑体" w:eastAsia="黑体" w:cs="黑体"/>
          <w:kern w:val="44"/>
          <w:sz w:val="28"/>
          <w:szCs w:val="28"/>
        </w:rPr>
      </w:pPr>
      <w:bookmarkStart w:id="46" w:name="_Toc20308"/>
      <w:r>
        <w:rPr>
          <w:rFonts w:hint="eastAsia" w:ascii="黑体" w:hAnsi="黑体" w:eastAsia="黑体" w:cs="黑体"/>
          <w:kern w:val="44"/>
          <w:sz w:val="28"/>
          <w:szCs w:val="28"/>
        </w:rPr>
        <w:t>第二章</w:t>
      </w:r>
      <w:r>
        <w:rPr>
          <w:rFonts w:ascii="黑体" w:hAnsi="黑体" w:eastAsia="黑体" w:cs="黑体"/>
          <w:kern w:val="44"/>
          <w:sz w:val="28"/>
          <w:szCs w:val="28"/>
        </w:rPr>
        <w:t xml:space="preserve">  </w:t>
      </w:r>
      <w:r>
        <w:rPr>
          <w:rFonts w:hint="eastAsia" w:ascii="黑体" w:hAnsi="黑体" w:eastAsia="黑体" w:cs="黑体"/>
          <w:kern w:val="44"/>
          <w:sz w:val="28"/>
          <w:szCs w:val="28"/>
        </w:rPr>
        <w:t>技术要求</w:t>
      </w:r>
      <w:bookmarkEnd w:id="40"/>
      <w:bookmarkEnd w:id="46"/>
    </w:p>
    <w:p w14:paraId="4006CE1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一、特别提示</w:t>
      </w:r>
    </w:p>
    <w:p w14:paraId="09C1E8F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、本章技术要求，仅对功能、设计、结构、性能、安装和试验检验等方面，提出了最低和一般性的技术要求，并未对一切技术细节作出规定。</w:t>
      </w:r>
    </w:p>
    <w:p w14:paraId="2B3FFDC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、本技术要求所使用的标准、规范等，如与投标方所执行的标准、规范不一致时，应按高于本技术要求所列的标准、规范执行。</w:t>
      </w:r>
    </w:p>
    <w:p w14:paraId="7A209F0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、投标方认为所供货物必需由招标方配备、解决或提供的其它要求，如设备基础隔振和减振设施、软化水、洁净气源等，均应在投标文件“技术偏离”中予以充分说明。</w:t>
      </w:r>
    </w:p>
    <w:p w14:paraId="669DA87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方应根据招投标货物具体要求，提出对厂房、设备基础（或安装平台）、公用设施、消防、环保等超出招标文件、投标文件、答疑文件、技术交流文件、技术协议书和合同等规定的、有特殊需要的解释、说明和要求。</w:t>
      </w:r>
    </w:p>
    <w:p w14:paraId="216B02C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、无论是否有技术偏离，投标方均应在投标文件“技术偏离”中明确作出有无说明。若有异议，不管是多么微小，投标方必须予以明确和详细的说明或澄清。</w:t>
      </w:r>
    </w:p>
    <w:p w14:paraId="2C646ED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、为避免投标方优势在招标评审时漏项，质保期超出本技术标书要求的，应当在投标文件“技术偏离”中特别注明。</w:t>
      </w:r>
    </w:p>
    <w:p w14:paraId="18D1710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、投标文件中，针对“特别提示”条款所做的回应，将作为投标方能否中标的重要依据之一。</w:t>
      </w:r>
    </w:p>
    <w:p w14:paraId="7612158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二、基本要求</w:t>
      </w:r>
    </w:p>
    <w:p w14:paraId="5185F6B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、投标方所供的货物，必须符合中国最新版的法律、法规和相关标准、规范的要求，符合项目所在地政府有关特殊要求。</w:t>
      </w:r>
    </w:p>
    <w:p w14:paraId="1E7A60B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、投标方所供货物涉及的专利权技术以及知识产权保护的其它技术等，应保证招标方不因此受到任何侵权指控以及实际损失。</w:t>
      </w:r>
    </w:p>
    <w:p w14:paraId="761ECFE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、投标方应保证所供货物的先进性、可靠性、经济性和实用性，并为全新货物（或设备）。</w:t>
      </w:r>
    </w:p>
    <w:p w14:paraId="093D98C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、投标方应满足招标方提出的各项技术要求，必要时应当免费提供技术承诺或担保。</w:t>
      </w:r>
    </w:p>
    <w:p w14:paraId="787E8E6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、投标方应保证所供货物（或设备）为中国政府指定或规定的主管部门公布的非淘汰货物（或设备），并尽力提供中国政府指定或规定的主管部门认可的环保型和节能型货物（或设备）。</w:t>
      </w:r>
    </w:p>
    <w:p w14:paraId="0D84BE9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、投标方应保证所供货物的完整性和成套性，能保证货物的正常运行、使用。</w:t>
      </w:r>
    </w:p>
    <w:p w14:paraId="43D8593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、投标方应对招标方采购的货物所涉及的技术、产能等信息负有保密义务，招标方拥有追究投标方泄密责任的权利；招标方如有需要，投标方应无条件签署保密协议。</w:t>
      </w:r>
    </w:p>
    <w:p w14:paraId="00457AD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三、执行标准</w:t>
      </w:r>
    </w:p>
    <w:p w14:paraId="2EFB218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、招标方此处所列标准仅为涉及的主要标准，而且不保证其为最新版执行标准；投标方应当在投标文件中认真予以填写、补充和修改完善。</w:t>
      </w:r>
    </w:p>
    <w:p w14:paraId="4AFE480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、投标方需要执行的标准，应当采用所供货物通过招标方组织的最终验收之日已经开始执行的最新标准。</w:t>
      </w:r>
    </w:p>
    <w:p w14:paraId="56D9EE0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14:paraId="3E7B265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、采购货物没有国家或专业（部）标准的，按企业标准执行时，投标方应在合同签署之前，将所涉及的企业标准提供给招标方确认。</w:t>
      </w:r>
    </w:p>
    <w:p w14:paraId="0D32BA8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、采购货物如果采用国际标准，其执行标准由投标方提供、招标方确认。</w:t>
      </w:r>
    </w:p>
    <w:p w14:paraId="0C2F6DC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、采购货物所涉及的标准不统一时，原则上按照最严格标准执行。</w:t>
      </w:r>
    </w:p>
    <w:p w14:paraId="5F23288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、主要适用的标准如下：</w:t>
      </w:r>
    </w:p>
    <w:p w14:paraId="6376B79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DB37/2376-2019</w:t>
      </w:r>
      <w:r>
        <w:rPr>
          <w:rFonts w:hint="eastAsia" w:ascii="宋体" w:hAnsi="宋体" w:eastAsia="宋体" w:cs="宋体"/>
          <w:sz w:val="24"/>
          <w:szCs w:val="24"/>
        </w:rPr>
        <w:t>《区域性大气污染物综合排放标准》表</w:t>
      </w:r>
      <w:r>
        <w:rPr>
          <w:rFonts w:ascii="宋体" w:hAnsi="宋体" w:eastAsia="宋体" w:cs="宋体"/>
          <w:sz w:val="24"/>
          <w:szCs w:val="24"/>
        </w:rPr>
        <w:t>1</w:t>
      </w:r>
      <w:r>
        <w:rPr>
          <w:rFonts w:hint="eastAsia" w:ascii="宋体" w:hAnsi="宋体" w:eastAsia="宋体" w:cs="宋体"/>
          <w:sz w:val="24"/>
          <w:szCs w:val="24"/>
        </w:rPr>
        <w:t>重点控制区限值要求</w:t>
      </w:r>
    </w:p>
    <w:p w14:paraId="0B00441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GB12348</w:t>
      </w:r>
      <w:r>
        <w:rPr>
          <w:rFonts w:hint="eastAsia" w:ascii="宋体" w:hAnsi="宋体" w:eastAsia="宋体" w:cs="宋体"/>
          <w:sz w:val="24"/>
          <w:szCs w:val="24"/>
        </w:rPr>
        <w:t>－</w:t>
      </w:r>
      <w:r>
        <w:rPr>
          <w:rFonts w:ascii="宋体" w:hAnsi="宋体" w:eastAsia="宋体" w:cs="宋体"/>
          <w:sz w:val="24"/>
          <w:szCs w:val="24"/>
        </w:rPr>
        <w:t xml:space="preserve">2008 </w:t>
      </w:r>
      <w:r>
        <w:rPr>
          <w:rFonts w:hint="eastAsia" w:ascii="宋体" w:hAnsi="宋体" w:eastAsia="宋体" w:cs="宋体"/>
          <w:sz w:val="24"/>
          <w:szCs w:val="24"/>
        </w:rPr>
        <w:t>《工业企业厂界环境噪声排放标准》中</w:t>
      </w:r>
      <w:r>
        <w:rPr>
          <w:rFonts w:ascii="宋体" w:hAnsi="宋体" w:eastAsia="宋体" w:cs="宋体"/>
          <w:sz w:val="24"/>
          <w:szCs w:val="24"/>
        </w:rPr>
        <w:t>2</w:t>
      </w:r>
      <w:r>
        <w:rPr>
          <w:rFonts w:hint="eastAsia" w:ascii="宋体" w:hAnsi="宋体" w:eastAsia="宋体" w:cs="宋体"/>
          <w:sz w:val="24"/>
          <w:szCs w:val="24"/>
        </w:rPr>
        <w:t>类标准</w:t>
      </w:r>
    </w:p>
    <w:p w14:paraId="6EF521C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GB3095-2012 </w:t>
      </w:r>
      <w:r>
        <w:rPr>
          <w:rFonts w:hint="eastAsia" w:ascii="宋体" w:hAnsi="宋体" w:eastAsia="宋体" w:cs="宋体"/>
          <w:sz w:val="24"/>
          <w:szCs w:val="24"/>
        </w:rPr>
        <w:t>《环境空气质量标准》二级标准</w:t>
      </w:r>
    </w:p>
    <w:p w14:paraId="27C3C56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GB/T 18883-2022 </w:t>
      </w:r>
      <w:r>
        <w:rPr>
          <w:rFonts w:hint="eastAsia" w:ascii="宋体" w:hAnsi="宋体" w:eastAsia="宋体" w:cs="宋体"/>
          <w:sz w:val="24"/>
          <w:szCs w:val="24"/>
        </w:rPr>
        <w:t>《室内空气质量标准》</w:t>
      </w:r>
    </w:p>
    <w:p w14:paraId="560D21F6">
      <w:pPr>
        <w:spacing w:line="360" w:lineRule="auto"/>
        <w:ind w:firstLine="480" w:firstLineChars="200"/>
        <w:rPr>
          <w:rFonts w:hint="eastAsia" w:ascii="宋体" w:hAnsi="宋体" w:eastAsia="宋体" w:cs="宋体"/>
          <w:color w:val="FF0000"/>
          <w:sz w:val="24"/>
          <w:szCs w:val="24"/>
          <w:highlight w:val="yellow"/>
        </w:rPr>
      </w:pPr>
      <w:r>
        <w:rPr>
          <w:rFonts w:ascii="宋体" w:hAnsi="宋体" w:eastAsia="宋体" w:cs="宋体"/>
          <w:sz w:val="24"/>
          <w:szCs w:val="24"/>
        </w:rPr>
        <w:t xml:space="preserve">JBJ16-2000 </w:t>
      </w:r>
      <w:r>
        <w:rPr>
          <w:rFonts w:hint="eastAsia" w:ascii="宋体" w:hAnsi="宋体" w:eastAsia="宋体" w:cs="宋体"/>
          <w:sz w:val="24"/>
          <w:szCs w:val="24"/>
        </w:rPr>
        <w:t>《机械工业环境保护设计规范》</w:t>
      </w:r>
    </w:p>
    <w:p w14:paraId="510B9630">
      <w:pPr>
        <w:spacing w:line="360" w:lineRule="auto"/>
        <w:ind w:firstLine="361" w:firstLineChars="150"/>
        <w:rPr>
          <w:rFonts w:hint="eastAsia" w:ascii="宋体" w:hAnsi="宋体" w:eastAsia="宋体" w:cs="宋体"/>
          <w:b/>
          <w:sz w:val="24"/>
          <w:szCs w:val="24"/>
        </w:rPr>
      </w:pPr>
      <w:r>
        <w:rPr>
          <w:rFonts w:hint="eastAsia" w:ascii="宋体" w:hAnsi="宋体" w:eastAsia="宋体" w:cs="宋体"/>
          <w:b/>
          <w:sz w:val="24"/>
          <w:szCs w:val="24"/>
        </w:rPr>
        <w:t>四、货物需求一览表</w:t>
      </w:r>
    </w:p>
    <w:p w14:paraId="3B5B72DF">
      <w:pPr>
        <w:spacing w:line="360" w:lineRule="auto"/>
        <w:ind w:firstLine="360" w:firstLineChars="150"/>
        <w:rPr>
          <w:rFonts w:hint="eastAsia" w:ascii="宋体" w:hAnsi="宋体" w:eastAsia="宋体" w:cs="宋体"/>
          <w:b/>
          <w:sz w:val="24"/>
          <w:szCs w:val="24"/>
        </w:rPr>
      </w:pPr>
      <w:r>
        <w:rPr>
          <w:rFonts w:hint="eastAsia" w:ascii="宋体" w:hAnsi="宋体" w:eastAsia="宋体" w:cs="宋体"/>
          <w:sz w:val="24"/>
          <w:szCs w:val="24"/>
        </w:rPr>
        <w:t>详见第二节采购货物主要构成一览表。</w:t>
      </w:r>
    </w:p>
    <w:p w14:paraId="74E1EE28">
      <w:pPr>
        <w:spacing w:line="360" w:lineRule="auto"/>
        <w:ind w:firstLine="361" w:firstLineChars="150"/>
        <w:rPr>
          <w:rFonts w:hint="eastAsia" w:ascii="宋体" w:hAnsi="宋体" w:eastAsia="宋体" w:cs="宋体"/>
          <w:b/>
          <w:sz w:val="24"/>
          <w:szCs w:val="24"/>
        </w:rPr>
      </w:pPr>
      <w:r>
        <w:rPr>
          <w:rFonts w:hint="eastAsia" w:ascii="宋体" w:hAnsi="宋体" w:eastAsia="宋体" w:cs="宋体"/>
          <w:b/>
          <w:sz w:val="24"/>
          <w:szCs w:val="24"/>
        </w:rPr>
        <w:t>五、技术规范</w:t>
      </w:r>
    </w:p>
    <w:p w14:paraId="546665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1.项目概况</w:t>
      </w:r>
    </w:p>
    <w:p w14:paraId="6BAA24F9">
      <w:pPr>
        <w:spacing w:line="300" w:lineRule="auto"/>
        <w:ind w:firstLine="480" w:firstLineChars="200"/>
        <w:jc w:val="left"/>
        <w:rPr>
          <w:rFonts w:hint="eastAsia" w:ascii="宋体" w:hAnsi="宋体" w:eastAsia="宋体" w:cs="Arial"/>
          <w:sz w:val="24"/>
          <w:szCs w:val="24"/>
        </w:rPr>
      </w:pPr>
      <w:bookmarkStart w:id="47" w:name="_Toc165994290"/>
      <w:bookmarkStart w:id="48" w:name="_Toc7543484"/>
      <w:r>
        <w:rPr>
          <w:rFonts w:hint="eastAsia" w:ascii="宋体" w:hAnsi="宋体" w:eastAsia="宋体" w:cs="Arial"/>
          <w:sz w:val="24"/>
          <w:szCs w:val="24"/>
        </w:rPr>
        <w:t>对焊装二分线自动化线体、冲压分线冲铆工作站进行产线改造，新增相关设备，满足汕德卡提升驾驶室特殊配置的量产需求，提高产品一致性。</w:t>
      </w:r>
    </w:p>
    <w:p w14:paraId="120C9F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2.工艺方案</w:t>
      </w:r>
      <w:bookmarkEnd w:id="47"/>
      <w:bookmarkEnd w:id="48"/>
    </w:p>
    <w:p w14:paraId="43AA6439">
      <w:pPr>
        <w:spacing w:line="360" w:lineRule="auto"/>
        <w:ind w:firstLine="480" w:firstLineChars="200"/>
        <w:rPr>
          <w:rFonts w:hint="eastAsia" w:ascii="宋体" w:hAnsi="宋体" w:eastAsia="宋体" w:cs="宋体"/>
          <w:sz w:val="24"/>
          <w:szCs w:val="24"/>
        </w:rPr>
      </w:pPr>
      <w:bookmarkStart w:id="49" w:name="_Toc7543485"/>
      <w:r>
        <w:rPr>
          <w:rFonts w:hint="eastAsia" w:ascii="宋体" w:hAnsi="宋体" w:eastAsia="宋体" w:cs="宋体"/>
          <w:sz w:val="24"/>
          <w:szCs w:val="24"/>
        </w:rPr>
        <w:t>招标</w:t>
      </w:r>
      <w:r>
        <w:rPr>
          <w:rFonts w:ascii="宋体" w:hAnsi="宋体" w:eastAsia="宋体" w:cs="宋体"/>
          <w:sz w:val="24"/>
          <w:szCs w:val="24"/>
        </w:rPr>
        <w:t>方再次强调：</w:t>
      </w:r>
      <w:r>
        <w:rPr>
          <w:rFonts w:hint="eastAsia" w:ascii="宋体" w:hAnsi="宋体" w:eastAsia="宋体" w:cs="宋体"/>
          <w:sz w:val="24"/>
          <w:szCs w:val="24"/>
        </w:rPr>
        <w:t>招标</w:t>
      </w:r>
      <w:r>
        <w:rPr>
          <w:rFonts w:ascii="宋体" w:hAnsi="宋体" w:eastAsia="宋体" w:cs="宋体"/>
          <w:sz w:val="24"/>
          <w:szCs w:val="24"/>
        </w:rPr>
        <w:t>方在本招标任务书中向投标方介绍的方案为基本方案，投标方既要遵循</w:t>
      </w:r>
      <w:r>
        <w:rPr>
          <w:rFonts w:hint="eastAsia" w:ascii="宋体" w:hAnsi="宋体" w:eastAsia="宋体" w:cs="宋体"/>
          <w:sz w:val="24"/>
          <w:szCs w:val="24"/>
        </w:rPr>
        <w:t>招标</w:t>
      </w:r>
      <w:r>
        <w:rPr>
          <w:rFonts w:ascii="宋体" w:hAnsi="宋体" w:eastAsia="宋体" w:cs="宋体"/>
          <w:sz w:val="24"/>
          <w:szCs w:val="24"/>
        </w:rPr>
        <w:t>方的基本方案所提出的前提条件和构思方案，又要依据</w:t>
      </w:r>
      <w:r>
        <w:rPr>
          <w:rFonts w:hint="eastAsia" w:ascii="宋体" w:hAnsi="宋体" w:eastAsia="宋体" w:cs="宋体"/>
          <w:sz w:val="24"/>
          <w:szCs w:val="24"/>
        </w:rPr>
        <w:t>招标</w:t>
      </w:r>
      <w:r>
        <w:rPr>
          <w:rFonts w:ascii="宋体" w:hAnsi="宋体" w:eastAsia="宋体" w:cs="宋体"/>
          <w:sz w:val="24"/>
          <w:szCs w:val="24"/>
        </w:rPr>
        <w:t>方所提供的有关产品及工艺信息资料，在经过仔细、认真的工艺分析后作出自己的投标工艺方案，该方案的最终结果应能满足</w:t>
      </w:r>
      <w:r>
        <w:rPr>
          <w:rFonts w:hint="eastAsia" w:ascii="宋体" w:hAnsi="宋体" w:eastAsia="宋体" w:cs="宋体"/>
          <w:sz w:val="24"/>
          <w:szCs w:val="24"/>
        </w:rPr>
        <w:t>招标</w:t>
      </w:r>
      <w:r>
        <w:rPr>
          <w:rFonts w:ascii="宋体" w:hAnsi="宋体" w:eastAsia="宋体" w:cs="宋体"/>
          <w:sz w:val="24"/>
          <w:szCs w:val="24"/>
        </w:rPr>
        <w:t>方对本项目在产品质量、生产能力、安全、环境、人机工程等方面的要求</w:t>
      </w:r>
    </w:p>
    <w:p w14:paraId="5208E3F0">
      <w:pPr>
        <w:spacing w:line="360" w:lineRule="auto"/>
        <w:ind w:firstLine="462" w:firstLineChars="200"/>
        <w:jc w:val="left"/>
        <w:rPr>
          <w:rFonts w:hint="eastAsia" w:ascii="宋体" w:hAnsi="宋体" w:eastAsia="宋体"/>
          <w:b/>
          <w:bCs/>
          <w:sz w:val="23"/>
          <w:szCs w:val="23"/>
        </w:rPr>
      </w:pPr>
      <w:bookmarkStart w:id="50" w:name="_Hlk174724355"/>
      <w:r>
        <w:rPr>
          <w:rFonts w:hint="eastAsia" w:ascii="宋体" w:hAnsi="宋体" w:eastAsia="宋体"/>
          <w:b/>
          <w:bCs/>
          <w:sz w:val="23"/>
          <w:szCs w:val="23"/>
        </w:rPr>
        <w:t>（1）后围自动化单元</w:t>
      </w:r>
    </w:p>
    <w:p w14:paraId="4C8AB4E6">
      <w:pPr>
        <w:spacing w:line="360" w:lineRule="auto"/>
        <w:ind w:firstLine="460" w:firstLineChars="200"/>
        <w:jc w:val="left"/>
        <w:rPr>
          <w:rFonts w:hint="eastAsia" w:ascii="宋体" w:hAnsi="宋体" w:eastAsia="宋体"/>
          <w:sz w:val="23"/>
          <w:szCs w:val="23"/>
        </w:rPr>
      </w:pPr>
      <w:r>
        <w:rPr>
          <w:rFonts w:hint="eastAsia" w:ascii="宋体" w:hAnsi="宋体" w:eastAsia="宋体"/>
          <w:sz w:val="23"/>
          <w:szCs w:val="23"/>
          <w:highlight w:val="none"/>
        </w:rPr>
        <w:t>赢彻</w:t>
      </w:r>
      <w:r>
        <w:rPr>
          <w:rFonts w:hint="eastAsia" w:ascii="宋体" w:hAnsi="宋体" w:eastAsia="宋体"/>
          <w:sz w:val="23"/>
          <w:szCs w:val="23"/>
        </w:rPr>
        <w:t>驾驶室配置需要在后围焊接三个加强板，原有夹紧单元会对其焊接轨迹造成干涉，改造上件转台，对夹紧单元位置进行调整，避让焊接轨迹，增加定位机构，保证六角孔同心度，后续补焊夹具夹紧单元进行避让。增加PLC新车型程序并对机器人进行调试。</w:t>
      </w:r>
    </w:p>
    <w:p w14:paraId="4603C877">
      <w:pPr>
        <w:spacing w:line="360" w:lineRule="auto"/>
        <w:ind w:firstLine="460" w:firstLineChars="200"/>
        <w:jc w:val="left"/>
        <w:rPr>
          <w:rFonts w:hint="eastAsia" w:ascii="宋体" w:hAnsi="宋体" w:eastAsia="宋体"/>
          <w:sz w:val="23"/>
          <w:szCs w:val="23"/>
        </w:rPr>
      </w:pPr>
      <w:r>
        <w:rPr>
          <w:rFonts w:ascii="宋体" w:hAnsi="宋体" w:eastAsia="宋体"/>
          <w:sz w:val="23"/>
          <w:szCs w:val="23"/>
        </w:rPr>
        <w:drawing>
          <wp:inline distT="0" distB="0" distL="0" distR="0">
            <wp:extent cx="5296535" cy="4055110"/>
            <wp:effectExtent l="0" t="0" r="0" b="0"/>
            <wp:docPr id="624760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60860" name="图片 1"/>
                    <pic:cNvPicPr>
                      <a:picLocks noChangeAspect="1"/>
                    </pic:cNvPicPr>
                  </pic:nvPicPr>
                  <pic:blipFill>
                    <a:blip r:embed="rId48"/>
                    <a:stretch>
                      <a:fillRect/>
                    </a:stretch>
                  </pic:blipFill>
                  <pic:spPr>
                    <a:xfrm>
                      <a:off x="0" y="0"/>
                      <a:ext cx="5304880" cy="4061334"/>
                    </a:xfrm>
                    <a:prstGeom prst="rect">
                      <a:avLst/>
                    </a:prstGeom>
                  </pic:spPr>
                </pic:pic>
              </a:graphicData>
            </a:graphic>
          </wp:inline>
        </w:drawing>
      </w:r>
    </w:p>
    <w:p w14:paraId="1DB7D720">
      <w:pPr>
        <w:spacing w:line="360" w:lineRule="auto"/>
        <w:ind w:firstLine="460" w:firstLineChars="200"/>
        <w:jc w:val="left"/>
        <w:rPr>
          <w:rFonts w:hint="eastAsia" w:ascii="宋体" w:hAnsi="宋体" w:eastAsia="宋体"/>
          <w:sz w:val="23"/>
          <w:szCs w:val="23"/>
        </w:rPr>
      </w:pPr>
      <w:r>
        <w:rPr>
          <w:rFonts w:ascii="宋体" w:hAnsi="宋体" w:eastAsia="宋体"/>
          <w:sz w:val="23"/>
          <w:szCs w:val="23"/>
        </w:rPr>
        <w:drawing>
          <wp:inline distT="0" distB="0" distL="0" distR="0">
            <wp:extent cx="2940050" cy="1986915"/>
            <wp:effectExtent l="0" t="0" r="0" b="0"/>
            <wp:docPr id="400942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42363"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945630" cy="1990850"/>
                    </a:xfrm>
                    <a:prstGeom prst="rect">
                      <a:avLst/>
                    </a:prstGeom>
                    <a:noFill/>
                    <a:ln>
                      <a:noFill/>
                    </a:ln>
                  </pic:spPr>
                </pic:pic>
              </a:graphicData>
            </a:graphic>
          </wp:inline>
        </w:drawing>
      </w:r>
      <w:r>
        <w:rPr>
          <w:rFonts w:ascii="宋体" w:hAnsi="宋体" w:eastAsia="宋体"/>
          <w:sz w:val="23"/>
          <w:szCs w:val="23"/>
        </w:rPr>
        <w:drawing>
          <wp:inline distT="0" distB="0" distL="0" distR="0">
            <wp:extent cx="2460625" cy="1987550"/>
            <wp:effectExtent l="0" t="0" r="0" b="0"/>
            <wp:docPr id="371808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0894"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68472" cy="1993516"/>
                    </a:xfrm>
                    <a:prstGeom prst="rect">
                      <a:avLst/>
                    </a:prstGeom>
                    <a:noFill/>
                    <a:ln>
                      <a:noFill/>
                    </a:ln>
                  </pic:spPr>
                </pic:pic>
              </a:graphicData>
            </a:graphic>
          </wp:inline>
        </w:drawing>
      </w:r>
    </w:p>
    <w:p w14:paraId="56941487">
      <w:pPr>
        <w:spacing w:line="360" w:lineRule="auto"/>
        <w:ind w:firstLine="462" w:firstLineChars="200"/>
        <w:jc w:val="left"/>
        <w:rPr>
          <w:rFonts w:hint="eastAsia" w:ascii="宋体" w:hAnsi="宋体" w:eastAsia="宋体"/>
          <w:b/>
          <w:bCs/>
          <w:sz w:val="23"/>
          <w:szCs w:val="23"/>
        </w:rPr>
      </w:pPr>
      <w:r>
        <w:rPr>
          <w:rFonts w:hint="eastAsia" w:ascii="宋体" w:hAnsi="宋体" w:eastAsia="宋体"/>
          <w:b/>
          <w:bCs/>
          <w:sz w:val="23"/>
          <w:szCs w:val="23"/>
        </w:rPr>
        <w:t>（2）前围模块冲铆工作站</w:t>
      </w:r>
    </w:p>
    <w:p w14:paraId="0FE07465">
      <w:pPr>
        <w:spacing w:line="360" w:lineRule="auto"/>
        <w:ind w:firstLine="460" w:firstLineChars="200"/>
        <w:rPr>
          <w:rFonts w:hint="eastAsia" w:ascii="宋体" w:hAnsi="宋体" w:eastAsia="宋体"/>
          <w:sz w:val="23"/>
          <w:szCs w:val="23"/>
        </w:rPr>
      </w:pPr>
      <w:r>
        <w:rPr>
          <w:rFonts w:hint="eastAsia" w:ascii="宋体" w:hAnsi="宋体" w:eastAsia="宋体"/>
          <w:sz w:val="23"/>
          <w:szCs w:val="23"/>
        </w:rPr>
        <w:t>冲压车间有两台冲铆工作站，位于冲压车间中跨，主要负责汕德卡和TX驾驶室前围模块外板得铆接螺母作业。</w:t>
      </w:r>
    </w:p>
    <w:p w14:paraId="26760B18">
      <w:pPr>
        <w:spacing w:line="360" w:lineRule="auto"/>
        <w:ind w:firstLine="420" w:firstLineChars="200"/>
        <w:rPr>
          <w:rFonts w:hint="eastAsia" w:ascii="宋体" w:hAnsi="宋体" w:eastAsia="宋体"/>
          <w:sz w:val="23"/>
          <w:szCs w:val="23"/>
        </w:rPr>
      </w:pPr>
      <w:r>
        <w:drawing>
          <wp:inline distT="0" distB="0" distL="0" distR="0">
            <wp:extent cx="5867400" cy="2462530"/>
            <wp:effectExtent l="0" t="0" r="0" b="0"/>
            <wp:docPr id="715576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6183" name="图片 1"/>
                    <pic:cNvPicPr>
                      <a:picLocks noChangeAspect="1"/>
                    </pic:cNvPicPr>
                  </pic:nvPicPr>
                  <pic:blipFill>
                    <a:blip r:embed="rId51"/>
                    <a:stretch>
                      <a:fillRect/>
                    </a:stretch>
                  </pic:blipFill>
                  <pic:spPr>
                    <a:xfrm>
                      <a:off x="0" y="0"/>
                      <a:ext cx="5867400" cy="2462530"/>
                    </a:xfrm>
                    <a:prstGeom prst="rect">
                      <a:avLst/>
                    </a:prstGeom>
                  </pic:spPr>
                </pic:pic>
              </a:graphicData>
            </a:graphic>
          </wp:inline>
        </w:drawing>
      </w:r>
    </w:p>
    <w:p w14:paraId="432C8CBD">
      <w:pPr>
        <w:spacing w:line="360" w:lineRule="auto"/>
        <w:ind w:firstLine="460" w:firstLineChars="200"/>
        <w:jc w:val="center"/>
        <w:rPr>
          <w:rFonts w:hint="eastAsia" w:ascii="宋体" w:hAnsi="宋体" w:eastAsia="宋体"/>
          <w:sz w:val="23"/>
          <w:szCs w:val="23"/>
        </w:rPr>
      </w:pPr>
      <w:r>
        <w:rPr>
          <w:rFonts w:hint="eastAsia" w:ascii="宋体" w:hAnsi="宋体" w:eastAsia="宋体"/>
          <w:sz w:val="23"/>
          <w:szCs w:val="23"/>
        </w:rPr>
        <w:t>铆接工作站布局图示意</w:t>
      </w:r>
    </w:p>
    <w:p w14:paraId="6B6D60B9">
      <w:pPr>
        <w:spacing w:line="360" w:lineRule="auto"/>
        <w:ind w:firstLine="420" w:firstLineChars="200"/>
        <w:jc w:val="center"/>
        <w:rPr>
          <w:rFonts w:hint="eastAsia" w:ascii="宋体" w:hAnsi="宋体" w:eastAsia="宋体"/>
          <w:sz w:val="23"/>
          <w:szCs w:val="23"/>
        </w:rPr>
      </w:pPr>
      <w:r>
        <w:drawing>
          <wp:inline distT="0" distB="0" distL="0" distR="0">
            <wp:extent cx="5867400" cy="3446145"/>
            <wp:effectExtent l="0" t="0" r="0" b="0"/>
            <wp:docPr id="191958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161" name="图片 1"/>
                    <pic:cNvPicPr>
                      <a:picLocks noChangeAspect="1"/>
                    </pic:cNvPicPr>
                  </pic:nvPicPr>
                  <pic:blipFill>
                    <a:blip r:embed="rId52"/>
                    <a:srcRect l="2110" t="2488" r="-2110" b="-2488"/>
                    <a:stretch>
                      <a:fillRect/>
                    </a:stretch>
                  </pic:blipFill>
                  <pic:spPr>
                    <a:xfrm>
                      <a:off x="0" y="0"/>
                      <a:ext cx="5867400" cy="3446145"/>
                    </a:xfrm>
                    <a:prstGeom prst="rect">
                      <a:avLst/>
                    </a:prstGeom>
                    <a:ln>
                      <a:noFill/>
                    </a:ln>
                  </pic:spPr>
                </pic:pic>
              </a:graphicData>
            </a:graphic>
          </wp:inline>
        </w:drawing>
      </w:r>
    </w:p>
    <w:p w14:paraId="3233EF3B">
      <w:pPr>
        <w:spacing w:line="360" w:lineRule="auto"/>
        <w:ind w:firstLine="460" w:firstLineChars="200"/>
        <w:jc w:val="center"/>
        <w:rPr>
          <w:rFonts w:hint="eastAsia" w:ascii="宋体" w:hAnsi="宋体" w:eastAsia="宋体"/>
          <w:sz w:val="23"/>
          <w:szCs w:val="23"/>
        </w:rPr>
      </w:pPr>
      <w:r>
        <w:rPr>
          <w:rFonts w:hint="eastAsia" w:ascii="宋体" w:hAnsi="宋体" w:eastAsia="宋体"/>
          <w:sz w:val="23"/>
          <w:szCs w:val="23"/>
        </w:rPr>
        <w:t>冲铆站图示</w:t>
      </w:r>
    </w:p>
    <w:p w14:paraId="220EAF0B">
      <w:pPr>
        <w:spacing w:line="360" w:lineRule="auto"/>
        <w:ind w:firstLine="460" w:firstLineChars="200"/>
        <w:rPr>
          <w:rFonts w:hint="eastAsia" w:ascii="宋体" w:hAnsi="宋体" w:eastAsia="宋体"/>
          <w:sz w:val="23"/>
          <w:szCs w:val="23"/>
        </w:rPr>
      </w:pPr>
      <w:r>
        <w:rPr>
          <w:rFonts w:hint="eastAsia" w:ascii="宋体" w:hAnsi="宋体" w:eastAsia="宋体"/>
          <w:sz w:val="23"/>
          <w:szCs w:val="23"/>
        </w:rPr>
        <w:t>人工将板件放到上件台工装，机器人抓取冲压件到压铆位置，铆接32-37个螺母后将件放到下件台，人工装框，由于压铆螺母设计变更，需要对机器人抓手进行更新，原抓手采用航空铝管，强度不好，长时间工作容易疲劳断裂，TOX站圆管已经更换3次，本次更新将圆铝管改为打孔铝合金八角管，连接件按照八角铝管设计，变更定位气缸和夹紧气缸安装位置，同时进一步增加工装柔性化程度，工装结构重新设计，不再覆盖产品件上方，完全避开压铆缸工作空间，完成前围模块外677F左右置车型各新增两处电器盒安装压铆螺母加工作业，同时为后续设计变更流出冗余量。</w:t>
      </w:r>
    </w:p>
    <w:p w14:paraId="534096B9">
      <w:pPr>
        <w:spacing w:line="360" w:lineRule="auto"/>
        <w:ind w:firstLine="420" w:firstLineChars="200"/>
        <w:rPr>
          <w:rFonts w:hint="eastAsia" w:ascii="宋体" w:hAnsi="宋体" w:eastAsia="宋体"/>
          <w:sz w:val="23"/>
          <w:szCs w:val="23"/>
        </w:rPr>
      </w:pPr>
      <w:r>
        <w:drawing>
          <wp:inline distT="0" distB="0" distL="0" distR="0">
            <wp:extent cx="5759450" cy="2157095"/>
            <wp:effectExtent l="0" t="0" r="0" b="0"/>
            <wp:docPr id="535635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35638" name="图片 1"/>
                    <pic:cNvPicPr>
                      <a:picLocks noChangeAspect="1"/>
                    </pic:cNvPicPr>
                  </pic:nvPicPr>
                  <pic:blipFill>
                    <a:blip r:embed="rId53"/>
                    <a:stretch>
                      <a:fillRect/>
                    </a:stretch>
                  </pic:blipFill>
                  <pic:spPr>
                    <a:xfrm>
                      <a:off x="0" y="0"/>
                      <a:ext cx="5759450" cy="2157095"/>
                    </a:xfrm>
                    <a:prstGeom prst="rect">
                      <a:avLst/>
                    </a:prstGeom>
                  </pic:spPr>
                </pic:pic>
              </a:graphicData>
            </a:graphic>
          </wp:inline>
        </w:drawing>
      </w:r>
    </w:p>
    <w:bookmarkEnd w:id="50"/>
    <w:p w14:paraId="0B0B7ADC">
      <w:pPr>
        <w:spacing w:line="360" w:lineRule="auto"/>
        <w:ind w:firstLine="480" w:firstLineChars="200"/>
        <w:rPr>
          <w:rFonts w:hint="eastAsia" w:ascii="宋体" w:hAnsi="宋体" w:eastAsia="宋体" w:cs="宋体"/>
          <w:sz w:val="24"/>
          <w:szCs w:val="24"/>
        </w:rPr>
      </w:pPr>
      <w:bookmarkStart w:id="51" w:name="_Toc165994291"/>
      <w:r>
        <w:rPr>
          <w:rFonts w:hint="eastAsia" w:ascii="宋体" w:hAnsi="宋体" w:eastAsia="宋体" w:cs="宋体"/>
          <w:sz w:val="24"/>
          <w:szCs w:val="24"/>
        </w:rPr>
        <w:t>4.技术规范</w:t>
      </w:r>
      <w:bookmarkEnd w:id="49"/>
      <w:bookmarkEnd w:id="51"/>
      <w:bookmarkStart w:id="52" w:name="_Toc7536389"/>
      <w:bookmarkEnd w:id="52"/>
      <w:bookmarkStart w:id="53" w:name="_Toc6756342"/>
      <w:bookmarkEnd w:id="53"/>
      <w:bookmarkStart w:id="54" w:name="_Toc6756341"/>
      <w:bookmarkEnd w:id="54"/>
      <w:bookmarkStart w:id="55" w:name="_Toc6755710"/>
      <w:bookmarkEnd w:id="55"/>
      <w:bookmarkStart w:id="56" w:name="_Toc6756343"/>
      <w:bookmarkEnd w:id="56"/>
      <w:bookmarkStart w:id="57" w:name="_Toc7536390"/>
      <w:bookmarkEnd w:id="57"/>
      <w:bookmarkStart w:id="58" w:name="_Toc165994295"/>
      <w:bookmarkEnd w:id="58"/>
      <w:bookmarkStart w:id="59" w:name="_Toc165994292"/>
      <w:bookmarkEnd w:id="59"/>
      <w:bookmarkStart w:id="60" w:name="_Toc7543487"/>
      <w:bookmarkEnd w:id="60"/>
      <w:bookmarkStart w:id="61" w:name="_Toc7543486"/>
      <w:bookmarkEnd w:id="61"/>
      <w:bookmarkStart w:id="62" w:name="_Toc165993914"/>
      <w:bookmarkEnd w:id="62"/>
      <w:bookmarkStart w:id="63" w:name="_Toc6755712"/>
      <w:bookmarkEnd w:id="63"/>
      <w:bookmarkStart w:id="64" w:name="_Toc7543489"/>
      <w:bookmarkEnd w:id="64"/>
      <w:bookmarkStart w:id="65" w:name="_Toc165993913"/>
      <w:bookmarkEnd w:id="65"/>
      <w:bookmarkStart w:id="66" w:name="_Toc165994294"/>
      <w:bookmarkEnd w:id="66"/>
      <w:bookmarkStart w:id="67" w:name="_Toc165993916"/>
      <w:bookmarkEnd w:id="67"/>
      <w:bookmarkStart w:id="68" w:name="_Toc7543488"/>
      <w:bookmarkEnd w:id="68"/>
      <w:bookmarkStart w:id="69" w:name="_Toc7536387"/>
      <w:bookmarkEnd w:id="69"/>
      <w:bookmarkStart w:id="70" w:name="_Toc6756340"/>
      <w:bookmarkEnd w:id="70"/>
      <w:bookmarkStart w:id="71" w:name="_Toc7536388"/>
      <w:bookmarkEnd w:id="71"/>
      <w:bookmarkStart w:id="72" w:name="_Toc165994293"/>
      <w:bookmarkEnd w:id="72"/>
      <w:bookmarkStart w:id="73" w:name="_Toc6755713"/>
      <w:bookmarkEnd w:id="73"/>
      <w:bookmarkStart w:id="74" w:name="_Toc165993915"/>
      <w:bookmarkEnd w:id="74"/>
      <w:bookmarkStart w:id="75" w:name="_Toc6755711"/>
      <w:bookmarkEnd w:id="75"/>
    </w:p>
    <w:p w14:paraId="4CBB627B">
      <w:pPr>
        <w:spacing w:line="360" w:lineRule="auto"/>
        <w:ind w:firstLine="480" w:firstLineChars="200"/>
        <w:rPr>
          <w:rFonts w:hint="eastAsia" w:ascii="宋体" w:hAnsi="宋体" w:eastAsia="宋体" w:cs="宋体"/>
          <w:sz w:val="24"/>
          <w:szCs w:val="24"/>
        </w:rPr>
      </w:pPr>
      <w:bookmarkStart w:id="76" w:name="_Toc7543490"/>
      <w:r>
        <w:rPr>
          <w:rFonts w:hint="eastAsia" w:ascii="宋体" w:hAnsi="宋体" w:eastAsia="宋体" w:cs="宋体"/>
          <w:sz w:val="24"/>
          <w:szCs w:val="24"/>
        </w:rPr>
        <w:t>4.1★产品质量标准</w:t>
      </w:r>
      <w:bookmarkEnd w:id="76"/>
    </w:p>
    <w:p w14:paraId="22621BB8">
      <w:pPr>
        <w:spacing w:line="360" w:lineRule="auto"/>
        <w:ind w:firstLine="480" w:firstLineChars="200"/>
        <w:rPr>
          <w:rFonts w:hint="eastAsia" w:ascii="宋体" w:hAnsi="宋体" w:eastAsia="宋体" w:cs="宋体"/>
          <w:sz w:val="24"/>
          <w:szCs w:val="24"/>
        </w:rPr>
      </w:pPr>
      <w:bookmarkStart w:id="77" w:name="_Toc340913564"/>
      <w:r>
        <w:rPr>
          <w:rFonts w:hint="eastAsia" w:ascii="宋体" w:hAnsi="宋体" w:eastAsia="宋体" w:cs="宋体"/>
          <w:sz w:val="24"/>
          <w:szCs w:val="24"/>
        </w:rPr>
        <w:t>4.1.1产品尺寸精度要求</w:t>
      </w:r>
      <w:bookmarkEnd w:id="77"/>
    </w:p>
    <w:p w14:paraId="779E6A6C">
      <w:pPr>
        <w:spacing w:line="360" w:lineRule="auto"/>
        <w:ind w:firstLine="480" w:firstLineChars="200"/>
        <w:rPr>
          <w:rFonts w:hint="eastAsia" w:ascii="宋体" w:hAnsi="宋体" w:eastAsia="宋体" w:cs="宋体"/>
          <w:sz w:val="24"/>
          <w:szCs w:val="24"/>
        </w:rPr>
      </w:pPr>
      <w:bookmarkStart w:id="78" w:name="_Toc340913565"/>
      <w:r>
        <w:rPr>
          <w:rFonts w:hint="eastAsia" w:ascii="宋体" w:hAnsi="宋体" w:eastAsia="宋体" w:cs="宋体"/>
          <w:sz w:val="24"/>
          <w:szCs w:val="24"/>
        </w:rPr>
        <w:t>各阶段尺寸控制精度</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308"/>
        <w:gridCol w:w="1596"/>
        <w:gridCol w:w="1596"/>
        <w:gridCol w:w="1451"/>
        <w:gridCol w:w="1507"/>
        <w:gridCol w:w="957"/>
      </w:tblGrid>
      <w:tr w14:paraId="4A95B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9" w:type="pct"/>
            <w:vMerge w:val="restart"/>
            <w:vAlign w:val="center"/>
          </w:tcPr>
          <w:p w14:paraId="7FE3DA76">
            <w:pPr>
              <w:spacing w:line="360" w:lineRule="auto"/>
              <w:jc w:val="center"/>
              <w:rPr>
                <w:rFonts w:hint="eastAsia" w:ascii="宋体" w:hAnsi="宋体" w:eastAsia="宋体" w:cs="宋体"/>
                <w:sz w:val="24"/>
                <w:szCs w:val="24"/>
              </w:rPr>
            </w:pPr>
            <w:r>
              <w:rPr>
                <w:rFonts w:ascii="宋体" w:hAnsi="宋体" w:eastAsia="宋体" w:cs="宋体"/>
                <w:sz w:val="24"/>
                <w:szCs w:val="24"/>
              </w:rPr>
              <w:t>No.</w:t>
            </w:r>
          </w:p>
        </w:tc>
        <w:tc>
          <w:tcPr>
            <w:tcW w:w="704" w:type="pct"/>
            <w:vMerge w:val="restart"/>
            <w:vAlign w:val="center"/>
          </w:tcPr>
          <w:p w14:paraId="141BA37A">
            <w:pPr>
              <w:spacing w:line="360" w:lineRule="auto"/>
              <w:rPr>
                <w:rFonts w:hint="eastAsia" w:ascii="宋体" w:hAnsi="宋体" w:eastAsia="宋体" w:cs="宋体"/>
                <w:sz w:val="24"/>
                <w:szCs w:val="24"/>
              </w:rPr>
            </w:pPr>
            <w:r>
              <w:rPr>
                <w:rFonts w:hint="eastAsia" w:ascii="宋体" w:hAnsi="宋体" w:eastAsia="宋体" w:cs="宋体"/>
                <w:sz w:val="24"/>
                <w:szCs w:val="24"/>
              </w:rPr>
              <w:t>开发阶段</w:t>
            </w:r>
          </w:p>
        </w:tc>
        <w:tc>
          <w:tcPr>
            <w:tcW w:w="1718" w:type="pct"/>
            <w:gridSpan w:val="2"/>
          </w:tcPr>
          <w:p w14:paraId="21798C1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分总成关键尺寸合格率</w:t>
            </w:r>
          </w:p>
        </w:tc>
        <w:tc>
          <w:tcPr>
            <w:tcW w:w="1592" w:type="pct"/>
            <w:gridSpan w:val="2"/>
            <w:vAlign w:val="center"/>
          </w:tcPr>
          <w:p w14:paraId="7682F4C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分总成全尺寸合格率</w:t>
            </w:r>
          </w:p>
        </w:tc>
        <w:tc>
          <w:tcPr>
            <w:tcW w:w="515" w:type="pct"/>
            <w:vMerge w:val="restart"/>
            <w:vAlign w:val="center"/>
          </w:tcPr>
          <w:p w14:paraId="0455C5B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F948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vAlign w:val="center"/>
          </w:tcPr>
          <w:p w14:paraId="445CB304">
            <w:pPr>
              <w:spacing w:line="360" w:lineRule="auto"/>
              <w:ind w:firstLine="480" w:firstLineChars="200"/>
              <w:rPr>
                <w:rFonts w:hint="eastAsia" w:ascii="宋体" w:hAnsi="宋体" w:eastAsia="宋体" w:cs="宋体"/>
                <w:sz w:val="24"/>
                <w:szCs w:val="24"/>
              </w:rPr>
            </w:pPr>
          </w:p>
        </w:tc>
        <w:tc>
          <w:tcPr>
            <w:tcW w:w="704" w:type="pct"/>
            <w:vMerge w:val="continue"/>
            <w:vAlign w:val="center"/>
          </w:tcPr>
          <w:p w14:paraId="2161E4AB">
            <w:pPr>
              <w:spacing w:line="360" w:lineRule="auto"/>
              <w:ind w:firstLine="480" w:firstLineChars="200"/>
              <w:rPr>
                <w:rFonts w:hint="eastAsia" w:ascii="宋体" w:hAnsi="宋体" w:eastAsia="宋体" w:cs="宋体"/>
                <w:sz w:val="24"/>
                <w:szCs w:val="24"/>
              </w:rPr>
            </w:pPr>
          </w:p>
        </w:tc>
        <w:tc>
          <w:tcPr>
            <w:tcW w:w="859" w:type="pct"/>
          </w:tcPr>
          <w:p w14:paraId="18F4F8C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1.0</w:t>
            </w:r>
            <w:r>
              <w:rPr>
                <w:rFonts w:hint="eastAsia" w:ascii="宋体" w:hAnsi="宋体" w:eastAsia="宋体" w:cs="宋体"/>
                <w:sz w:val="24"/>
                <w:szCs w:val="24"/>
              </w:rPr>
              <w:t>mm</w:t>
            </w:r>
          </w:p>
        </w:tc>
        <w:tc>
          <w:tcPr>
            <w:tcW w:w="859" w:type="pct"/>
          </w:tcPr>
          <w:p w14:paraId="02A78AC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1.5mm</w:t>
            </w:r>
          </w:p>
        </w:tc>
        <w:tc>
          <w:tcPr>
            <w:tcW w:w="781" w:type="pct"/>
          </w:tcPr>
          <w:p w14:paraId="0B627D0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1.0</w:t>
            </w:r>
            <w:r>
              <w:rPr>
                <w:rFonts w:hint="eastAsia" w:ascii="宋体" w:hAnsi="宋体" w:eastAsia="宋体" w:cs="宋体"/>
                <w:sz w:val="24"/>
                <w:szCs w:val="24"/>
              </w:rPr>
              <w:t>mm</w:t>
            </w:r>
          </w:p>
        </w:tc>
        <w:tc>
          <w:tcPr>
            <w:tcW w:w="810" w:type="pct"/>
          </w:tcPr>
          <w:p w14:paraId="336BCD5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1.5mm</w:t>
            </w:r>
          </w:p>
        </w:tc>
        <w:tc>
          <w:tcPr>
            <w:tcW w:w="515" w:type="pct"/>
            <w:vMerge w:val="continue"/>
            <w:vAlign w:val="center"/>
          </w:tcPr>
          <w:p w14:paraId="758E09C5">
            <w:pPr>
              <w:spacing w:line="360" w:lineRule="auto"/>
              <w:ind w:firstLine="480" w:firstLineChars="200"/>
              <w:rPr>
                <w:rFonts w:hint="eastAsia" w:ascii="宋体" w:hAnsi="宋体" w:eastAsia="宋体" w:cs="宋体"/>
                <w:sz w:val="24"/>
                <w:szCs w:val="24"/>
              </w:rPr>
            </w:pPr>
          </w:p>
        </w:tc>
      </w:tr>
      <w:tr w14:paraId="4FB35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1516BB0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04" w:type="pct"/>
            <w:vAlign w:val="center"/>
          </w:tcPr>
          <w:p w14:paraId="7FEC1E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w:t>
            </w:r>
          </w:p>
        </w:tc>
        <w:tc>
          <w:tcPr>
            <w:tcW w:w="859" w:type="pct"/>
          </w:tcPr>
          <w:p w14:paraId="3E105A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78</w:t>
            </w:r>
            <w:r>
              <w:rPr>
                <w:rFonts w:ascii="宋体" w:hAnsi="宋体" w:eastAsia="宋体" w:cs="宋体"/>
                <w:sz w:val="24"/>
                <w:szCs w:val="24"/>
              </w:rPr>
              <w:t>%</w:t>
            </w:r>
          </w:p>
        </w:tc>
        <w:tc>
          <w:tcPr>
            <w:tcW w:w="859" w:type="pct"/>
          </w:tcPr>
          <w:p w14:paraId="68E0205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90%</w:t>
            </w:r>
          </w:p>
        </w:tc>
        <w:tc>
          <w:tcPr>
            <w:tcW w:w="781" w:type="pct"/>
            <w:vAlign w:val="center"/>
          </w:tcPr>
          <w:p w14:paraId="3B92CC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w:t>
            </w:r>
          </w:p>
        </w:tc>
        <w:tc>
          <w:tcPr>
            <w:tcW w:w="810" w:type="pct"/>
            <w:vAlign w:val="center"/>
          </w:tcPr>
          <w:p w14:paraId="303699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88</w:t>
            </w:r>
            <w:r>
              <w:rPr>
                <w:rFonts w:ascii="宋体" w:hAnsi="宋体" w:eastAsia="宋体" w:cs="宋体"/>
                <w:sz w:val="24"/>
                <w:szCs w:val="24"/>
              </w:rPr>
              <w:t>%</w:t>
            </w:r>
          </w:p>
        </w:tc>
        <w:tc>
          <w:tcPr>
            <w:tcW w:w="515" w:type="pct"/>
            <w:vAlign w:val="center"/>
          </w:tcPr>
          <w:p w14:paraId="1C731D5B">
            <w:pPr>
              <w:spacing w:line="360" w:lineRule="auto"/>
              <w:ind w:firstLine="480" w:firstLineChars="200"/>
              <w:rPr>
                <w:rFonts w:hint="eastAsia" w:ascii="宋体" w:hAnsi="宋体" w:eastAsia="宋体" w:cs="宋体"/>
                <w:sz w:val="24"/>
                <w:szCs w:val="24"/>
              </w:rPr>
            </w:pPr>
          </w:p>
        </w:tc>
      </w:tr>
      <w:tr w14:paraId="28395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5C7FA66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704" w:type="pct"/>
            <w:vAlign w:val="center"/>
          </w:tcPr>
          <w:p w14:paraId="079D34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SOP</w:t>
            </w:r>
          </w:p>
        </w:tc>
        <w:tc>
          <w:tcPr>
            <w:tcW w:w="859" w:type="pct"/>
          </w:tcPr>
          <w:p w14:paraId="0DD261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88</w:t>
            </w:r>
            <w:r>
              <w:rPr>
                <w:rFonts w:ascii="宋体" w:hAnsi="宋体" w:eastAsia="宋体" w:cs="宋体"/>
                <w:sz w:val="24"/>
                <w:szCs w:val="24"/>
              </w:rPr>
              <w:t>%</w:t>
            </w:r>
          </w:p>
        </w:tc>
        <w:tc>
          <w:tcPr>
            <w:tcW w:w="859" w:type="pct"/>
          </w:tcPr>
          <w:p w14:paraId="2B97A24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5</w:t>
            </w:r>
            <w:r>
              <w:rPr>
                <w:rFonts w:ascii="宋体" w:hAnsi="宋体" w:eastAsia="宋体" w:cs="宋体"/>
                <w:sz w:val="24"/>
                <w:szCs w:val="24"/>
              </w:rPr>
              <w:t>%</w:t>
            </w:r>
          </w:p>
        </w:tc>
        <w:tc>
          <w:tcPr>
            <w:tcW w:w="781" w:type="pct"/>
            <w:vAlign w:val="center"/>
          </w:tcPr>
          <w:p w14:paraId="3B469E1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80%</w:t>
            </w:r>
          </w:p>
        </w:tc>
        <w:tc>
          <w:tcPr>
            <w:tcW w:w="810" w:type="pct"/>
            <w:vAlign w:val="center"/>
          </w:tcPr>
          <w:p w14:paraId="0D6CB4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w:t>
            </w:r>
            <w:r>
              <w:rPr>
                <w:rFonts w:ascii="宋体" w:hAnsi="宋体" w:eastAsia="宋体" w:cs="宋体"/>
                <w:sz w:val="24"/>
                <w:szCs w:val="24"/>
              </w:rPr>
              <w:t>%</w:t>
            </w:r>
          </w:p>
        </w:tc>
        <w:tc>
          <w:tcPr>
            <w:tcW w:w="515" w:type="pct"/>
            <w:vAlign w:val="center"/>
          </w:tcPr>
          <w:p w14:paraId="09597E84">
            <w:pPr>
              <w:spacing w:line="360" w:lineRule="auto"/>
              <w:ind w:firstLine="480" w:firstLineChars="200"/>
              <w:rPr>
                <w:rFonts w:hint="eastAsia" w:ascii="宋体" w:hAnsi="宋体" w:eastAsia="宋体" w:cs="宋体"/>
                <w:sz w:val="24"/>
                <w:szCs w:val="24"/>
              </w:rPr>
            </w:pPr>
          </w:p>
        </w:tc>
      </w:tr>
    </w:tbl>
    <w:p w14:paraId="3BEC3F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4.1.2产品焊接质量</w:t>
      </w:r>
      <w:bookmarkEnd w:id="78"/>
      <w:r>
        <w:rPr>
          <w:rFonts w:hint="eastAsia" w:ascii="宋体" w:hAnsi="宋体" w:eastAsia="宋体" w:cs="宋体"/>
          <w:sz w:val="24"/>
          <w:szCs w:val="24"/>
        </w:rPr>
        <w:t>要求</w:t>
      </w:r>
    </w:p>
    <w:p w14:paraId="18671F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焊接质量标准</w:t>
      </w:r>
    </w:p>
    <w:tbl>
      <w:tblPr>
        <w:tblStyle w:val="39"/>
        <w:tblW w:w="9327" w:type="dxa"/>
        <w:tblInd w:w="-5" w:type="dxa"/>
        <w:tblLayout w:type="autofit"/>
        <w:tblCellMar>
          <w:top w:w="0" w:type="dxa"/>
          <w:left w:w="108" w:type="dxa"/>
          <w:bottom w:w="0" w:type="dxa"/>
          <w:right w:w="108" w:type="dxa"/>
        </w:tblCellMar>
      </w:tblPr>
      <w:tblGrid>
        <w:gridCol w:w="1056"/>
        <w:gridCol w:w="1836"/>
        <w:gridCol w:w="4626"/>
        <w:gridCol w:w="1809"/>
      </w:tblGrid>
      <w:tr w14:paraId="48593823">
        <w:tblPrEx>
          <w:tblCellMar>
            <w:top w:w="0" w:type="dxa"/>
            <w:left w:w="108" w:type="dxa"/>
            <w:bottom w:w="0" w:type="dxa"/>
            <w:right w:w="108" w:type="dxa"/>
          </w:tblCellMar>
        </w:tblPrEx>
        <w:trPr>
          <w:trHeight w:val="294" w:hRule="atLeast"/>
        </w:trPr>
        <w:tc>
          <w:tcPr>
            <w:tcW w:w="1056" w:type="dxa"/>
            <w:tcBorders>
              <w:top w:val="single" w:color="000000" w:sz="12" w:space="0"/>
              <w:bottom w:val="single" w:color="000000" w:sz="4" w:space="0"/>
              <w:right w:val="single" w:color="000000" w:sz="4" w:space="0"/>
            </w:tcBorders>
            <w:vAlign w:val="center"/>
          </w:tcPr>
          <w:p w14:paraId="3718D6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No</w:t>
            </w:r>
            <w:r>
              <w:rPr>
                <w:rFonts w:ascii="宋体" w:hAnsi="宋体" w:eastAsia="宋体" w:cs="宋体"/>
                <w:sz w:val="24"/>
                <w:szCs w:val="24"/>
              </w:rPr>
              <w:t>.</w:t>
            </w:r>
          </w:p>
        </w:tc>
        <w:tc>
          <w:tcPr>
            <w:tcW w:w="1836" w:type="dxa"/>
            <w:tcBorders>
              <w:top w:val="single" w:color="000000" w:sz="12" w:space="0"/>
              <w:left w:val="single" w:color="000000" w:sz="4" w:space="0"/>
              <w:bottom w:val="single" w:color="000000" w:sz="4" w:space="0"/>
              <w:right w:val="single" w:color="000000" w:sz="4" w:space="0"/>
            </w:tcBorders>
            <w:vAlign w:val="center"/>
          </w:tcPr>
          <w:p w14:paraId="27861AD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4626" w:type="dxa"/>
            <w:tcBorders>
              <w:top w:val="single" w:color="000000" w:sz="12" w:space="0"/>
              <w:left w:val="single" w:color="000000" w:sz="4" w:space="0"/>
              <w:bottom w:val="single" w:color="000000" w:sz="4" w:space="0"/>
              <w:right w:val="single" w:color="000000" w:sz="4" w:space="0"/>
            </w:tcBorders>
            <w:vAlign w:val="center"/>
          </w:tcPr>
          <w:p w14:paraId="2956904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w:t>
            </w:r>
          </w:p>
        </w:tc>
        <w:tc>
          <w:tcPr>
            <w:tcW w:w="1809" w:type="dxa"/>
            <w:tcBorders>
              <w:top w:val="single" w:color="000000" w:sz="12" w:space="0"/>
              <w:left w:val="single" w:color="000000" w:sz="4" w:space="0"/>
              <w:bottom w:val="single" w:color="000000" w:sz="4" w:space="0"/>
            </w:tcBorders>
          </w:tcPr>
          <w:p w14:paraId="23BCE27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0DDF8C1B">
        <w:tblPrEx>
          <w:tblCellMar>
            <w:top w:w="0" w:type="dxa"/>
            <w:left w:w="108" w:type="dxa"/>
            <w:bottom w:w="0" w:type="dxa"/>
            <w:right w:w="108" w:type="dxa"/>
          </w:tblCellMar>
        </w:tblPrEx>
        <w:trPr>
          <w:trHeight w:val="288" w:hRule="atLeast"/>
        </w:trPr>
        <w:tc>
          <w:tcPr>
            <w:tcW w:w="1056" w:type="dxa"/>
            <w:tcBorders>
              <w:top w:val="single" w:color="000000" w:sz="4" w:space="0"/>
              <w:bottom w:val="single" w:color="000000" w:sz="4" w:space="0"/>
              <w:right w:val="single" w:color="000000" w:sz="4" w:space="0"/>
            </w:tcBorders>
            <w:vAlign w:val="center"/>
          </w:tcPr>
          <w:p w14:paraId="4AF90568">
            <w:pPr>
              <w:spacing w:line="360" w:lineRule="auto"/>
              <w:jc w:val="center"/>
              <w:rPr>
                <w:rFonts w:hint="eastAsia" w:ascii="宋体" w:hAnsi="宋体" w:eastAsia="宋体" w:cs="宋体"/>
                <w:sz w:val="24"/>
                <w:szCs w:val="24"/>
              </w:rPr>
            </w:pPr>
            <w:r>
              <w:rPr>
                <w:rFonts w:ascii="宋体" w:hAnsi="宋体" w:eastAsia="宋体" w:cs="宋体"/>
                <w:sz w:val="24"/>
                <w:szCs w:val="24"/>
              </w:rPr>
              <w:t>1</w:t>
            </w:r>
          </w:p>
        </w:tc>
        <w:tc>
          <w:tcPr>
            <w:tcW w:w="1836" w:type="dxa"/>
            <w:tcBorders>
              <w:top w:val="single" w:color="000000" w:sz="4" w:space="0"/>
              <w:left w:val="single" w:color="000000" w:sz="4" w:space="0"/>
              <w:bottom w:val="single" w:color="000000" w:sz="4" w:space="0"/>
              <w:right w:val="single" w:color="000000" w:sz="4" w:space="0"/>
            </w:tcBorders>
            <w:vAlign w:val="center"/>
          </w:tcPr>
          <w:p w14:paraId="70EA64B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螺柱焊接质量</w:t>
            </w:r>
          </w:p>
        </w:tc>
        <w:tc>
          <w:tcPr>
            <w:tcW w:w="4626" w:type="dxa"/>
            <w:tcBorders>
              <w:top w:val="single" w:color="000000" w:sz="4" w:space="0"/>
              <w:left w:val="single" w:color="000000" w:sz="4" w:space="0"/>
              <w:bottom w:val="single" w:color="auto" w:sz="4" w:space="0"/>
              <w:right w:val="single" w:color="000000" w:sz="4" w:space="0"/>
            </w:tcBorders>
            <w:vAlign w:val="center"/>
          </w:tcPr>
          <w:p w14:paraId="26F2695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M3374-2009电弧螺柱焊接头质量保证</w:t>
            </w:r>
          </w:p>
        </w:tc>
        <w:tc>
          <w:tcPr>
            <w:tcW w:w="1809" w:type="dxa"/>
            <w:tcBorders>
              <w:top w:val="single" w:color="000000" w:sz="4" w:space="0"/>
              <w:left w:val="single" w:color="000000" w:sz="4" w:space="0"/>
              <w:bottom w:val="single" w:color="auto" w:sz="4" w:space="0"/>
            </w:tcBorders>
          </w:tcPr>
          <w:p w14:paraId="0B6A65E4">
            <w:pPr>
              <w:spacing w:line="360" w:lineRule="auto"/>
              <w:ind w:firstLine="480" w:firstLineChars="200"/>
              <w:jc w:val="center"/>
              <w:rPr>
                <w:rFonts w:hint="eastAsia" w:ascii="宋体" w:hAnsi="宋体" w:eastAsia="宋体" w:cs="宋体"/>
                <w:sz w:val="24"/>
                <w:szCs w:val="24"/>
              </w:rPr>
            </w:pPr>
          </w:p>
        </w:tc>
      </w:tr>
      <w:tr w14:paraId="0DB9430F">
        <w:tblPrEx>
          <w:tblCellMar>
            <w:top w:w="0" w:type="dxa"/>
            <w:left w:w="108" w:type="dxa"/>
            <w:bottom w:w="0" w:type="dxa"/>
            <w:right w:w="108" w:type="dxa"/>
          </w:tblCellMar>
        </w:tblPrEx>
        <w:trPr>
          <w:trHeight w:val="288" w:hRule="atLeast"/>
        </w:trPr>
        <w:tc>
          <w:tcPr>
            <w:tcW w:w="1056" w:type="dxa"/>
            <w:tcBorders>
              <w:top w:val="single" w:color="000000" w:sz="4" w:space="0"/>
              <w:bottom w:val="single" w:color="000000" w:sz="4" w:space="0"/>
              <w:right w:val="single" w:color="000000" w:sz="4" w:space="0"/>
            </w:tcBorders>
            <w:vAlign w:val="center"/>
          </w:tcPr>
          <w:p w14:paraId="4067E9D5">
            <w:pPr>
              <w:spacing w:line="360" w:lineRule="auto"/>
              <w:jc w:val="center"/>
              <w:rPr>
                <w:rFonts w:hint="eastAsia" w:ascii="宋体" w:hAnsi="宋体" w:eastAsia="宋体" w:cs="宋体"/>
                <w:sz w:val="24"/>
                <w:szCs w:val="24"/>
              </w:rPr>
            </w:pPr>
            <w:r>
              <w:rPr>
                <w:rFonts w:ascii="宋体" w:hAnsi="宋体" w:eastAsia="宋体" w:cs="宋体"/>
                <w:sz w:val="24"/>
                <w:szCs w:val="24"/>
              </w:rPr>
              <w:t>2</w:t>
            </w:r>
          </w:p>
        </w:tc>
        <w:tc>
          <w:tcPr>
            <w:tcW w:w="1836" w:type="dxa"/>
            <w:tcBorders>
              <w:top w:val="single" w:color="000000" w:sz="4" w:space="0"/>
              <w:left w:val="single" w:color="000000" w:sz="4" w:space="0"/>
              <w:bottom w:val="single" w:color="000000" w:sz="4" w:space="0"/>
              <w:right w:val="single" w:color="000000" w:sz="4" w:space="0"/>
            </w:tcBorders>
            <w:vAlign w:val="center"/>
          </w:tcPr>
          <w:p w14:paraId="136115F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MIG/MAG焊接</w:t>
            </w:r>
          </w:p>
        </w:tc>
        <w:tc>
          <w:tcPr>
            <w:tcW w:w="4626" w:type="dxa"/>
            <w:tcBorders>
              <w:top w:val="single" w:color="auto" w:sz="4" w:space="0"/>
              <w:left w:val="single" w:color="000000" w:sz="4" w:space="0"/>
              <w:bottom w:val="single" w:color="auto" w:sz="4" w:space="0"/>
              <w:right w:val="single" w:color="000000" w:sz="4" w:space="0"/>
            </w:tcBorders>
            <w:vAlign w:val="center"/>
          </w:tcPr>
          <w:p w14:paraId="6D480AF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JG56401-86电弧焊技术条件</w:t>
            </w:r>
          </w:p>
        </w:tc>
        <w:tc>
          <w:tcPr>
            <w:tcW w:w="1809" w:type="dxa"/>
            <w:tcBorders>
              <w:top w:val="single" w:color="auto" w:sz="4" w:space="0"/>
              <w:left w:val="single" w:color="000000" w:sz="4" w:space="0"/>
              <w:bottom w:val="single" w:color="auto" w:sz="4" w:space="0"/>
            </w:tcBorders>
          </w:tcPr>
          <w:p w14:paraId="3DEFD304">
            <w:pPr>
              <w:spacing w:line="360" w:lineRule="auto"/>
              <w:ind w:firstLine="480" w:firstLineChars="200"/>
              <w:jc w:val="center"/>
              <w:rPr>
                <w:rFonts w:hint="eastAsia" w:ascii="宋体" w:hAnsi="宋体" w:eastAsia="宋体" w:cs="宋体"/>
                <w:sz w:val="24"/>
                <w:szCs w:val="24"/>
              </w:rPr>
            </w:pPr>
          </w:p>
        </w:tc>
      </w:tr>
      <w:tr w14:paraId="1127A290">
        <w:tblPrEx>
          <w:tblCellMar>
            <w:top w:w="0" w:type="dxa"/>
            <w:left w:w="108" w:type="dxa"/>
            <w:bottom w:w="0" w:type="dxa"/>
            <w:right w:w="108" w:type="dxa"/>
          </w:tblCellMar>
        </w:tblPrEx>
        <w:trPr>
          <w:trHeight w:val="288" w:hRule="atLeast"/>
        </w:trPr>
        <w:tc>
          <w:tcPr>
            <w:tcW w:w="1056" w:type="dxa"/>
            <w:tcBorders>
              <w:top w:val="single" w:color="000000" w:sz="4" w:space="0"/>
              <w:bottom w:val="single" w:color="000000" w:sz="12" w:space="0"/>
              <w:right w:val="single" w:color="000000" w:sz="4" w:space="0"/>
            </w:tcBorders>
            <w:vAlign w:val="center"/>
          </w:tcPr>
          <w:p w14:paraId="541E5C7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836" w:type="dxa"/>
            <w:tcBorders>
              <w:top w:val="single" w:color="000000" w:sz="4" w:space="0"/>
              <w:left w:val="single" w:color="000000" w:sz="4" w:space="0"/>
              <w:bottom w:val="single" w:color="000000" w:sz="12" w:space="0"/>
              <w:right w:val="single" w:color="000000" w:sz="4" w:space="0"/>
            </w:tcBorders>
            <w:vAlign w:val="center"/>
          </w:tcPr>
          <w:p w14:paraId="4EF4AB9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点焊质量</w:t>
            </w:r>
          </w:p>
        </w:tc>
        <w:tc>
          <w:tcPr>
            <w:tcW w:w="4626" w:type="dxa"/>
            <w:tcBorders>
              <w:top w:val="single" w:color="auto" w:sz="4" w:space="0"/>
              <w:left w:val="single" w:color="000000" w:sz="4" w:space="0"/>
              <w:bottom w:val="single" w:color="000000" w:sz="12" w:space="0"/>
              <w:right w:val="single" w:color="000000" w:sz="4" w:space="0"/>
            </w:tcBorders>
            <w:vAlign w:val="center"/>
          </w:tcPr>
          <w:p w14:paraId="39DDE05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QZZ</w:t>
            </w:r>
            <w:r>
              <w:rPr>
                <w:rFonts w:ascii="宋体" w:hAnsi="宋体" w:eastAsia="宋体" w:cs="宋体"/>
                <w:sz w:val="24"/>
                <w:szCs w:val="24"/>
              </w:rPr>
              <w:t>30025-20</w:t>
            </w:r>
            <w:r>
              <w:rPr>
                <w:rFonts w:hint="eastAsia" w:ascii="宋体" w:hAnsi="宋体" w:eastAsia="宋体" w:cs="宋体"/>
                <w:sz w:val="24"/>
                <w:szCs w:val="24"/>
              </w:rPr>
              <w:t>19点焊技术条件</w:t>
            </w:r>
          </w:p>
        </w:tc>
        <w:tc>
          <w:tcPr>
            <w:tcW w:w="1809" w:type="dxa"/>
            <w:tcBorders>
              <w:top w:val="single" w:color="auto" w:sz="4" w:space="0"/>
              <w:left w:val="single" w:color="000000" w:sz="4" w:space="0"/>
              <w:bottom w:val="single" w:color="000000" w:sz="12" w:space="0"/>
            </w:tcBorders>
          </w:tcPr>
          <w:p w14:paraId="212B87A9">
            <w:pPr>
              <w:spacing w:line="360" w:lineRule="auto"/>
              <w:ind w:firstLine="480" w:firstLineChars="200"/>
              <w:jc w:val="center"/>
              <w:rPr>
                <w:rFonts w:hint="eastAsia" w:ascii="宋体" w:hAnsi="宋体" w:eastAsia="宋体" w:cs="宋体"/>
                <w:sz w:val="24"/>
                <w:szCs w:val="24"/>
              </w:rPr>
            </w:pPr>
          </w:p>
        </w:tc>
      </w:tr>
    </w:tbl>
    <w:p w14:paraId="7B5079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各阶段焊接质量要求</w:t>
      </w:r>
    </w:p>
    <w:tbl>
      <w:tblPr>
        <w:tblStyle w:val="39"/>
        <w:tblW w:w="9327" w:type="dxa"/>
        <w:tblInd w:w="-5" w:type="dxa"/>
        <w:tblLayout w:type="autofit"/>
        <w:tblCellMar>
          <w:top w:w="0" w:type="dxa"/>
          <w:left w:w="108" w:type="dxa"/>
          <w:bottom w:w="0" w:type="dxa"/>
          <w:right w:w="108" w:type="dxa"/>
        </w:tblCellMar>
      </w:tblPr>
      <w:tblGrid>
        <w:gridCol w:w="1057"/>
        <w:gridCol w:w="1821"/>
        <w:gridCol w:w="2089"/>
        <w:gridCol w:w="1820"/>
        <w:gridCol w:w="2540"/>
      </w:tblGrid>
      <w:tr w14:paraId="3409FF29">
        <w:tblPrEx>
          <w:tblCellMar>
            <w:top w:w="0" w:type="dxa"/>
            <w:left w:w="108" w:type="dxa"/>
            <w:bottom w:w="0" w:type="dxa"/>
            <w:right w:w="108" w:type="dxa"/>
          </w:tblCellMar>
        </w:tblPrEx>
        <w:trPr>
          <w:trHeight w:val="294" w:hRule="atLeast"/>
        </w:trPr>
        <w:tc>
          <w:tcPr>
            <w:tcW w:w="1057" w:type="dxa"/>
            <w:vMerge w:val="restart"/>
            <w:tcBorders>
              <w:top w:val="single" w:color="000000" w:sz="12" w:space="0"/>
              <w:right w:val="single" w:color="000000" w:sz="4" w:space="0"/>
            </w:tcBorders>
            <w:vAlign w:val="center"/>
          </w:tcPr>
          <w:p w14:paraId="26C2D8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No</w:t>
            </w:r>
            <w:r>
              <w:rPr>
                <w:rFonts w:ascii="宋体" w:hAnsi="宋体" w:eastAsia="宋体" w:cs="宋体"/>
                <w:sz w:val="24"/>
                <w:szCs w:val="24"/>
              </w:rPr>
              <w:t>.</w:t>
            </w:r>
          </w:p>
        </w:tc>
        <w:tc>
          <w:tcPr>
            <w:tcW w:w="1821" w:type="dxa"/>
            <w:vMerge w:val="restart"/>
            <w:tcBorders>
              <w:top w:val="single" w:color="000000" w:sz="12" w:space="0"/>
              <w:left w:val="single" w:color="000000" w:sz="4" w:space="0"/>
              <w:right w:val="single" w:color="000000" w:sz="4" w:space="0"/>
            </w:tcBorders>
            <w:vAlign w:val="center"/>
          </w:tcPr>
          <w:p w14:paraId="5EB239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开发阶段</w:t>
            </w:r>
          </w:p>
        </w:tc>
        <w:tc>
          <w:tcPr>
            <w:tcW w:w="3909" w:type="dxa"/>
            <w:gridSpan w:val="2"/>
            <w:tcBorders>
              <w:top w:val="single" w:color="000000" w:sz="12" w:space="0"/>
              <w:left w:val="single" w:color="000000" w:sz="4" w:space="0"/>
              <w:bottom w:val="single" w:color="000000" w:sz="4" w:space="0"/>
              <w:right w:val="single" w:color="000000" w:sz="4" w:space="0"/>
            </w:tcBorders>
            <w:vAlign w:val="center"/>
          </w:tcPr>
          <w:p w14:paraId="5120207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分总成强度</w:t>
            </w:r>
          </w:p>
        </w:tc>
        <w:tc>
          <w:tcPr>
            <w:tcW w:w="2540" w:type="dxa"/>
            <w:vMerge w:val="restart"/>
            <w:tcBorders>
              <w:top w:val="single" w:color="000000" w:sz="12" w:space="0"/>
              <w:left w:val="single" w:color="000000" w:sz="4" w:space="0"/>
            </w:tcBorders>
            <w:vAlign w:val="center"/>
          </w:tcPr>
          <w:p w14:paraId="3EAE46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w:t>
            </w:r>
          </w:p>
        </w:tc>
      </w:tr>
      <w:tr w14:paraId="4982905B">
        <w:tblPrEx>
          <w:tblCellMar>
            <w:top w:w="0" w:type="dxa"/>
            <w:left w:w="108" w:type="dxa"/>
            <w:bottom w:w="0" w:type="dxa"/>
            <w:right w:w="108" w:type="dxa"/>
          </w:tblCellMar>
        </w:tblPrEx>
        <w:trPr>
          <w:trHeight w:val="288" w:hRule="atLeast"/>
        </w:trPr>
        <w:tc>
          <w:tcPr>
            <w:tcW w:w="1057" w:type="dxa"/>
            <w:vMerge w:val="continue"/>
            <w:tcBorders>
              <w:bottom w:val="single" w:color="000000" w:sz="4" w:space="0"/>
              <w:right w:val="single" w:color="000000" w:sz="4" w:space="0"/>
            </w:tcBorders>
            <w:vAlign w:val="center"/>
          </w:tcPr>
          <w:p w14:paraId="53DCD3AD">
            <w:pPr>
              <w:spacing w:line="360" w:lineRule="auto"/>
              <w:ind w:firstLine="480" w:firstLineChars="200"/>
              <w:rPr>
                <w:rFonts w:hint="eastAsia" w:ascii="宋体" w:hAnsi="宋体" w:eastAsia="宋体" w:cs="宋体"/>
                <w:sz w:val="24"/>
                <w:szCs w:val="24"/>
              </w:rPr>
            </w:pPr>
          </w:p>
        </w:tc>
        <w:tc>
          <w:tcPr>
            <w:tcW w:w="1821" w:type="dxa"/>
            <w:vMerge w:val="continue"/>
            <w:tcBorders>
              <w:left w:val="single" w:color="000000" w:sz="4" w:space="0"/>
              <w:bottom w:val="single" w:color="000000" w:sz="4" w:space="0"/>
              <w:right w:val="single" w:color="000000" w:sz="4" w:space="0"/>
            </w:tcBorders>
            <w:vAlign w:val="center"/>
          </w:tcPr>
          <w:p w14:paraId="3007C808">
            <w:pPr>
              <w:spacing w:line="360" w:lineRule="auto"/>
              <w:ind w:firstLine="480" w:firstLineChars="200"/>
              <w:rPr>
                <w:rFonts w:hint="eastAsia" w:ascii="宋体" w:hAnsi="宋体" w:eastAsia="宋体" w:cs="宋体"/>
                <w:sz w:val="24"/>
                <w:szCs w:val="24"/>
              </w:rPr>
            </w:pPr>
          </w:p>
        </w:tc>
        <w:tc>
          <w:tcPr>
            <w:tcW w:w="2089" w:type="dxa"/>
            <w:tcBorders>
              <w:top w:val="single" w:color="000000" w:sz="4" w:space="0"/>
              <w:left w:val="single" w:color="000000" w:sz="4" w:space="0"/>
              <w:bottom w:val="single" w:color="auto" w:sz="4" w:space="0"/>
              <w:right w:val="single" w:color="auto" w:sz="4" w:space="0"/>
            </w:tcBorders>
            <w:vAlign w:val="center"/>
          </w:tcPr>
          <w:p w14:paraId="19EB02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关键焊点</w:t>
            </w:r>
          </w:p>
        </w:tc>
        <w:tc>
          <w:tcPr>
            <w:tcW w:w="1820" w:type="dxa"/>
            <w:tcBorders>
              <w:top w:val="single" w:color="000000" w:sz="4" w:space="0"/>
              <w:left w:val="single" w:color="auto" w:sz="4" w:space="0"/>
              <w:bottom w:val="single" w:color="auto" w:sz="4" w:space="0"/>
              <w:right w:val="single" w:color="000000" w:sz="4" w:space="0"/>
            </w:tcBorders>
            <w:vAlign w:val="center"/>
          </w:tcPr>
          <w:p w14:paraId="78D8EA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全车焊点</w:t>
            </w:r>
          </w:p>
        </w:tc>
        <w:tc>
          <w:tcPr>
            <w:tcW w:w="2540" w:type="dxa"/>
            <w:vMerge w:val="continue"/>
            <w:tcBorders>
              <w:left w:val="single" w:color="000000" w:sz="4" w:space="0"/>
              <w:bottom w:val="single" w:color="auto" w:sz="4" w:space="0"/>
            </w:tcBorders>
          </w:tcPr>
          <w:p w14:paraId="5E3AED97">
            <w:pPr>
              <w:spacing w:line="360" w:lineRule="auto"/>
              <w:ind w:firstLine="480" w:firstLineChars="200"/>
              <w:rPr>
                <w:rFonts w:hint="eastAsia" w:ascii="宋体" w:hAnsi="宋体" w:eastAsia="宋体" w:cs="宋体"/>
                <w:sz w:val="24"/>
                <w:szCs w:val="24"/>
              </w:rPr>
            </w:pPr>
          </w:p>
        </w:tc>
      </w:tr>
      <w:tr w14:paraId="69302413">
        <w:tblPrEx>
          <w:tblCellMar>
            <w:top w:w="0" w:type="dxa"/>
            <w:left w:w="108" w:type="dxa"/>
            <w:bottom w:w="0" w:type="dxa"/>
            <w:right w:w="108" w:type="dxa"/>
          </w:tblCellMar>
        </w:tblPrEx>
        <w:trPr>
          <w:trHeight w:val="288" w:hRule="atLeast"/>
        </w:trPr>
        <w:tc>
          <w:tcPr>
            <w:tcW w:w="1057" w:type="dxa"/>
            <w:tcBorders>
              <w:top w:val="single" w:color="000000" w:sz="4" w:space="0"/>
              <w:bottom w:val="single" w:color="000000" w:sz="4" w:space="0"/>
              <w:right w:val="single" w:color="000000" w:sz="4" w:space="0"/>
            </w:tcBorders>
            <w:vAlign w:val="center"/>
          </w:tcPr>
          <w:p w14:paraId="058F667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p>
        </w:tc>
        <w:tc>
          <w:tcPr>
            <w:tcW w:w="1821" w:type="dxa"/>
            <w:tcBorders>
              <w:top w:val="single" w:color="000000" w:sz="4" w:space="0"/>
              <w:left w:val="single" w:color="000000" w:sz="4" w:space="0"/>
              <w:bottom w:val="single" w:color="000000" w:sz="4" w:space="0"/>
              <w:right w:val="single" w:color="000000" w:sz="4" w:space="0"/>
            </w:tcBorders>
            <w:vAlign w:val="center"/>
          </w:tcPr>
          <w:p w14:paraId="62F9A8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w:t>
            </w:r>
          </w:p>
        </w:tc>
        <w:tc>
          <w:tcPr>
            <w:tcW w:w="2089" w:type="dxa"/>
            <w:tcBorders>
              <w:top w:val="single" w:color="000000" w:sz="4" w:space="0"/>
              <w:left w:val="single" w:color="000000" w:sz="4" w:space="0"/>
              <w:bottom w:val="single" w:color="auto" w:sz="4" w:space="0"/>
              <w:right w:val="single" w:color="auto" w:sz="4" w:space="0"/>
            </w:tcBorders>
            <w:vAlign w:val="center"/>
          </w:tcPr>
          <w:p w14:paraId="1FF86B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100%</w:t>
            </w:r>
          </w:p>
        </w:tc>
        <w:tc>
          <w:tcPr>
            <w:tcW w:w="1820" w:type="dxa"/>
            <w:tcBorders>
              <w:top w:val="single" w:color="000000" w:sz="4" w:space="0"/>
              <w:left w:val="single" w:color="auto" w:sz="4" w:space="0"/>
              <w:bottom w:val="single" w:color="auto" w:sz="4" w:space="0"/>
              <w:right w:val="single" w:color="000000" w:sz="4" w:space="0"/>
            </w:tcBorders>
          </w:tcPr>
          <w:p w14:paraId="679A6B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99%</w:t>
            </w:r>
          </w:p>
        </w:tc>
        <w:tc>
          <w:tcPr>
            <w:tcW w:w="2540" w:type="dxa"/>
            <w:tcBorders>
              <w:top w:val="single" w:color="000000" w:sz="4" w:space="0"/>
              <w:left w:val="single" w:color="000000" w:sz="4" w:space="0"/>
              <w:bottom w:val="single" w:color="auto" w:sz="4" w:space="0"/>
            </w:tcBorders>
          </w:tcPr>
          <w:p w14:paraId="0935E282">
            <w:pPr>
              <w:spacing w:line="360" w:lineRule="auto"/>
              <w:ind w:firstLine="480" w:firstLineChars="200"/>
              <w:rPr>
                <w:rFonts w:hint="eastAsia" w:ascii="宋体" w:hAnsi="宋体" w:eastAsia="宋体" w:cs="宋体"/>
                <w:sz w:val="24"/>
                <w:szCs w:val="24"/>
              </w:rPr>
            </w:pPr>
          </w:p>
        </w:tc>
      </w:tr>
      <w:tr w14:paraId="6E1BF15F">
        <w:tblPrEx>
          <w:tblCellMar>
            <w:top w:w="0" w:type="dxa"/>
            <w:left w:w="108" w:type="dxa"/>
            <w:bottom w:w="0" w:type="dxa"/>
            <w:right w:w="108" w:type="dxa"/>
          </w:tblCellMar>
        </w:tblPrEx>
        <w:trPr>
          <w:trHeight w:val="288" w:hRule="atLeast"/>
        </w:trPr>
        <w:tc>
          <w:tcPr>
            <w:tcW w:w="1057" w:type="dxa"/>
            <w:tcBorders>
              <w:top w:val="single" w:color="000000" w:sz="4" w:space="0"/>
              <w:bottom w:val="single" w:color="000000" w:sz="12" w:space="0"/>
              <w:right w:val="single" w:color="000000" w:sz="4" w:space="0"/>
            </w:tcBorders>
            <w:vAlign w:val="center"/>
          </w:tcPr>
          <w:p w14:paraId="51E0D9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p>
        </w:tc>
        <w:tc>
          <w:tcPr>
            <w:tcW w:w="1821" w:type="dxa"/>
            <w:tcBorders>
              <w:top w:val="single" w:color="000000" w:sz="4" w:space="0"/>
              <w:left w:val="single" w:color="000000" w:sz="4" w:space="0"/>
              <w:bottom w:val="single" w:color="000000" w:sz="12" w:space="0"/>
              <w:right w:val="single" w:color="000000" w:sz="4" w:space="0"/>
            </w:tcBorders>
            <w:vAlign w:val="center"/>
          </w:tcPr>
          <w:p w14:paraId="25D021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SOP</w:t>
            </w:r>
          </w:p>
        </w:tc>
        <w:tc>
          <w:tcPr>
            <w:tcW w:w="2089" w:type="dxa"/>
            <w:tcBorders>
              <w:top w:val="single" w:color="auto" w:sz="4" w:space="0"/>
              <w:left w:val="single" w:color="000000" w:sz="4" w:space="0"/>
              <w:bottom w:val="single" w:color="000000" w:sz="12" w:space="0"/>
              <w:right w:val="single" w:color="auto" w:sz="4" w:space="0"/>
            </w:tcBorders>
            <w:vAlign w:val="center"/>
          </w:tcPr>
          <w:p w14:paraId="2E9A60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100%</w:t>
            </w:r>
          </w:p>
        </w:tc>
        <w:tc>
          <w:tcPr>
            <w:tcW w:w="1820" w:type="dxa"/>
            <w:tcBorders>
              <w:top w:val="single" w:color="auto" w:sz="4" w:space="0"/>
              <w:left w:val="single" w:color="auto" w:sz="4" w:space="0"/>
              <w:bottom w:val="single" w:color="000000" w:sz="12" w:space="0"/>
              <w:right w:val="single" w:color="000000" w:sz="4" w:space="0"/>
            </w:tcBorders>
          </w:tcPr>
          <w:p w14:paraId="2864BE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99%</w:t>
            </w:r>
          </w:p>
        </w:tc>
        <w:tc>
          <w:tcPr>
            <w:tcW w:w="2540" w:type="dxa"/>
            <w:tcBorders>
              <w:top w:val="single" w:color="auto" w:sz="4" w:space="0"/>
              <w:left w:val="single" w:color="000000" w:sz="4" w:space="0"/>
              <w:bottom w:val="single" w:color="000000" w:sz="12" w:space="0"/>
            </w:tcBorders>
          </w:tcPr>
          <w:p w14:paraId="5F44B8AE">
            <w:pPr>
              <w:spacing w:line="360" w:lineRule="auto"/>
              <w:ind w:firstLine="480" w:firstLineChars="200"/>
              <w:rPr>
                <w:rFonts w:hint="eastAsia" w:ascii="宋体" w:hAnsi="宋体" w:eastAsia="宋体" w:cs="宋体"/>
                <w:sz w:val="24"/>
                <w:szCs w:val="24"/>
              </w:rPr>
            </w:pPr>
          </w:p>
        </w:tc>
      </w:tr>
    </w:tbl>
    <w:p w14:paraId="3BCB23D5">
      <w:pPr>
        <w:spacing w:line="360" w:lineRule="auto"/>
        <w:ind w:firstLine="480" w:firstLineChars="200"/>
        <w:rPr>
          <w:rFonts w:hint="eastAsia" w:ascii="宋体" w:hAnsi="宋体" w:eastAsia="宋体" w:cs="宋体"/>
          <w:sz w:val="24"/>
          <w:szCs w:val="24"/>
        </w:rPr>
      </w:pPr>
      <w:bookmarkStart w:id="79" w:name="_Toc7543492"/>
      <w:r>
        <w:rPr>
          <w:rFonts w:hint="eastAsia" w:ascii="宋体" w:hAnsi="宋体" w:eastAsia="宋体" w:cs="宋体"/>
          <w:sz w:val="24"/>
          <w:szCs w:val="24"/>
        </w:rPr>
        <w:t>4.2夹具设计要求</w:t>
      </w:r>
      <w:bookmarkEnd w:id="79"/>
    </w:p>
    <w:p w14:paraId="6DEC559A">
      <w:pPr>
        <w:spacing w:line="360" w:lineRule="auto"/>
        <w:ind w:firstLine="480" w:firstLineChars="200"/>
        <w:rPr>
          <w:rFonts w:hint="eastAsia" w:ascii="宋体" w:hAnsi="宋体" w:eastAsia="宋体" w:cs="宋体"/>
          <w:sz w:val="24"/>
          <w:szCs w:val="24"/>
        </w:rPr>
      </w:pPr>
      <w:bookmarkStart w:id="80" w:name="_Hlk8477181"/>
      <w:r>
        <w:rPr>
          <w:rFonts w:hint="eastAsia" w:ascii="宋体" w:hAnsi="宋体" w:eastAsia="宋体" w:cs="宋体"/>
          <w:sz w:val="24"/>
          <w:szCs w:val="24"/>
        </w:rPr>
        <w:t>4.2.1焊装夹具应满足产品结构、工艺和生产纲领的要求，夹具应有合理的定位夹紧机构和支撑装置，保证组件定位可靠，焊接质量稳定。</w:t>
      </w:r>
    </w:p>
    <w:p w14:paraId="2E6334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4.2.2夹具底座板应涂防飞溅漆，底座板上平面应加工有基准线和基准孔。</w:t>
      </w:r>
    </w:p>
    <w:p w14:paraId="46E195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4.2.3当定位销与车身坐标系之间有一定角度（大于5º时）、定位销不垂直于底板、定位孔不可见或者为了方便上件/取件时，设计为伸缩销。</w:t>
      </w:r>
    </w:p>
    <w:p w14:paraId="53265D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4.2.4夹具的定位基准应以招标方提供给的产品图GD＆T和RPS信息为基础，并保证前后工序夹具定位系统基准统一。为更有效地保证产品定位稳定，根据实际情况可以增加相应的定位机构，但必须经招标方认可。</w:t>
      </w:r>
    </w:p>
    <w:p w14:paraId="3347FD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4.2.5夹具的最终设计应保证焊接的通过性及操作性。</w:t>
      </w:r>
    </w:p>
    <w:p w14:paraId="57C1BE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4.2.6夹具应有完善的装配定位基准，便于夹具制造、装配、调试和维修。</w:t>
      </w:r>
    </w:p>
    <w:p w14:paraId="5A9294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4.2.7夹具设计应充分考虑操作方便和安全可靠、维护修理方便，应保证焊接、装卸工件方便，使焊接件处于最佳焊接位置，夹具设计在保证工艺要求和刚度的情况下结构应简单合理。</w:t>
      </w:r>
    </w:p>
    <w:p w14:paraId="120F8E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4.2.8夹具图纸图面应符合招标方要求，夹具总图应有详细的夹具零件清单（或单独编制）、气动原理图、电控原理图、夹具安装图和三维图纸（电子版CatiaV5R20），PD/PS等，夹具设计图必须完整、正确。二维图纸应有三个方向的坐标线（间距为100mm），夹具设计图应反映出各定位尺寸、升降装置置、尺寸和支撑面型面尺寸。</w:t>
      </w:r>
    </w:p>
    <w:p w14:paraId="37E12C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4.2.9夹具设计图纸制图采用中国制图标准或ISO制图标准，文字采用中文简化字；规格和单位采用中国工业标准或ISO国际标准。</w:t>
      </w:r>
    </w:p>
    <w:p w14:paraId="50616B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4.2.10外购件按照招标方要求采购。外购件要求使用外购件厂家标准零件。</w:t>
      </w:r>
    </w:p>
    <w:p w14:paraId="5587BC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4.2.11定位销采用可拆卸结构。凸焊螺母孔尽量不作定位基准孔，如用作定位基准孔必须保证不影响后序工位的装配焊接，且前后工序应尽可能基准统一。</w:t>
      </w:r>
    </w:p>
    <w:p w14:paraId="000EBF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4.2.12夹具定位面、支撑面、垫片、夹紧块、挡块、基准销连接方式：长度小于60mm时采用两销一螺方式，长度大于等于60mm时采用两销两螺的方式；定位销上应有防焊渣保护装置。</w:t>
      </w:r>
    </w:p>
    <w:p w14:paraId="7E361E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4.2.13标准支撑面和压紧面尺寸为19mm×19mm，并做倒角处理</w:t>
      </w:r>
      <w:r>
        <w:rPr>
          <w:rFonts w:ascii="宋体" w:hAnsi="宋体" w:eastAsia="宋体" w:cs="宋体"/>
          <w:sz w:val="24"/>
          <w:szCs w:val="24"/>
        </w:rPr>
        <w:t>。</w:t>
      </w:r>
    </w:p>
    <w:p w14:paraId="398C53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4.2.14夹具材料选用标准：</w:t>
      </w:r>
    </w:p>
    <w:p w14:paraId="1AFF8A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BASE板：Q235</w:t>
      </w:r>
      <w:r>
        <w:rPr>
          <w:rFonts w:ascii="宋体" w:hAnsi="宋体" w:eastAsia="宋体" w:cs="宋体"/>
          <w:sz w:val="24"/>
          <w:szCs w:val="24"/>
        </w:rPr>
        <w:t>。</w:t>
      </w:r>
    </w:p>
    <w:p w14:paraId="7D0953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胎模：</w:t>
      </w:r>
      <w:r>
        <w:rPr>
          <w:rFonts w:ascii="宋体" w:hAnsi="宋体" w:eastAsia="宋体" w:cs="宋体"/>
          <w:sz w:val="24"/>
          <w:szCs w:val="24"/>
        </w:rPr>
        <w:t>GGG70L</w:t>
      </w:r>
      <w:r>
        <w:rPr>
          <w:rFonts w:hint="eastAsia" w:ascii="宋体" w:hAnsi="宋体" w:eastAsia="宋体" w:cs="宋体"/>
          <w:sz w:val="24"/>
          <w:szCs w:val="24"/>
        </w:rPr>
        <w:t>，</w:t>
      </w:r>
      <w:r>
        <w:rPr>
          <w:rFonts w:ascii="宋体" w:hAnsi="宋体" w:eastAsia="宋体" w:cs="宋体"/>
          <w:sz w:val="24"/>
          <w:szCs w:val="24"/>
        </w:rPr>
        <w:t>工作表面需要进行热处理（激光热处理），表面硬度达到HRC</w:t>
      </w:r>
      <w:r>
        <w:rPr>
          <w:rFonts w:hint="eastAsia" w:ascii="宋体" w:hAnsi="宋体" w:eastAsia="宋体" w:cs="宋体"/>
          <w:sz w:val="24"/>
          <w:szCs w:val="24"/>
        </w:rPr>
        <w:t>55</w:t>
      </w:r>
      <w:r>
        <w:rPr>
          <w:rFonts w:ascii="宋体" w:hAnsi="宋体" w:eastAsia="宋体" w:cs="宋体"/>
          <w:sz w:val="24"/>
          <w:szCs w:val="24"/>
        </w:rPr>
        <w:t>-</w:t>
      </w:r>
      <w:r>
        <w:rPr>
          <w:rFonts w:hint="eastAsia" w:ascii="宋体" w:hAnsi="宋体" w:eastAsia="宋体" w:cs="宋体"/>
          <w:sz w:val="24"/>
          <w:szCs w:val="24"/>
        </w:rPr>
        <w:t>6</w:t>
      </w:r>
      <w:r>
        <w:rPr>
          <w:rFonts w:ascii="宋体" w:hAnsi="宋体" w:eastAsia="宋体" w:cs="宋体"/>
          <w:sz w:val="24"/>
          <w:szCs w:val="24"/>
        </w:rPr>
        <w:t>2，</w:t>
      </w:r>
      <w:r>
        <w:rPr>
          <w:rFonts w:hint="eastAsia" w:ascii="宋体" w:hAnsi="宋体" w:eastAsia="宋体" w:cs="宋体"/>
          <w:sz w:val="24"/>
          <w:szCs w:val="24"/>
        </w:rPr>
        <w:t>硬度</w:t>
      </w:r>
      <w:r>
        <w:rPr>
          <w:rFonts w:ascii="宋体" w:hAnsi="宋体" w:eastAsia="宋体" w:cs="宋体"/>
          <w:sz w:val="24"/>
          <w:szCs w:val="24"/>
        </w:rPr>
        <w:t>深度0.8</w:t>
      </w:r>
      <w:r>
        <w:rPr>
          <w:rFonts w:hint="eastAsia" w:ascii="宋体" w:hAnsi="宋体" w:eastAsia="宋体" w:cs="宋体"/>
          <w:sz w:val="24"/>
          <w:szCs w:val="24"/>
        </w:rPr>
        <w:t>mm</w:t>
      </w:r>
      <w:r>
        <w:rPr>
          <w:rFonts w:ascii="宋体" w:hAnsi="宋体" w:eastAsia="宋体" w:cs="宋体"/>
          <w:sz w:val="24"/>
          <w:szCs w:val="24"/>
        </w:rPr>
        <w:t>-1mm，表面光洁度要求Ra=</w:t>
      </w:r>
      <w:r>
        <w:rPr>
          <w:rFonts w:hint="eastAsia" w:ascii="宋体" w:hAnsi="宋体" w:eastAsia="宋体" w:cs="宋体"/>
          <w:sz w:val="24"/>
          <w:szCs w:val="24"/>
        </w:rPr>
        <w:t>0.8</w:t>
      </w:r>
      <w:r>
        <w:rPr>
          <w:rFonts w:ascii="宋体" w:hAnsi="宋体" w:eastAsia="宋体" w:cs="宋体"/>
          <w:sz w:val="24"/>
          <w:szCs w:val="24"/>
        </w:rPr>
        <w:t>μm。</w:t>
      </w:r>
    </w:p>
    <w:p w14:paraId="6A510A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连接块：45#钢</w:t>
      </w:r>
      <w:r>
        <w:rPr>
          <w:rFonts w:ascii="宋体" w:hAnsi="宋体" w:eastAsia="宋体" w:cs="宋体"/>
          <w:sz w:val="24"/>
          <w:szCs w:val="24"/>
        </w:rPr>
        <w:t>。</w:t>
      </w:r>
    </w:p>
    <w:p w14:paraId="1C1B5B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定位块、支撑块：</w:t>
      </w:r>
      <w:r>
        <w:rPr>
          <w:rFonts w:ascii="宋体" w:hAnsi="宋体" w:eastAsia="宋体" w:cs="宋体"/>
          <w:sz w:val="24"/>
          <w:szCs w:val="24"/>
        </w:rPr>
        <w:t>42CrMo</w:t>
      </w:r>
      <w:r>
        <w:rPr>
          <w:rFonts w:hint="eastAsia" w:ascii="宋体" w:hAnsi="宋体" w:eastAsia="宋体" w:cs="宋体"/>
          <w:sz w:val="24"/>
          <w:szCs w:val="24"/>
        </w:rPr>
        <w:t>，局部淬火处理HRC45-50，发黑，位置度±0.2mm，并做倒角处理。</w:t>
      </w:r>
    </w:p>
    <w:p w14:paraId="6CBB9B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连接臂：Q235。</w:t>
      </w:r>
    </w:p>
    <w:p w14:paraId="3A44DD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限位块：20Cr；渗碳淬火深度0.8-1.2mm，表面防锈处理；硬度要求HRC58-62。</w:t>
      </w:r>
    </w:p>
    <w:p w14:paraId="13CA4F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定位销材料采用：</w:t>
      </w:r>
      <w:r>
        <w:rPr>
          <w:rFonts w:ascii="宋体" w:hAnsi="宋体" w:eastAsia="宋体" w:cs="宋体"/>
          <w:sz w:val="24"/>
          <w:szCs w:val="24"/>
        </w:rPr>
        <w:t>42CrMo</w:t>
      </w:r>
      <w:r>
        <w:rPr>
          <w:rFonts w:hint="eastAsia" w:ascii="宋体" w:hAnsi="宋体" w:eastAsia="宋体" w:cs="宋体"/>
          <w:sz w:val="24"/>
          <w:szCs w:val="24"/>
        </w:rPr>
        <w:t>，表面防锈处理，硬度要求：HRC55-60。</w:t>
      </w:r>
    </w:p>
    <w:p w14:paraId="0F32A8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4.2.15需要多位置进行焊接的夹具，应设有旋转机构。</w:t>
      </w:r>
    </w:p>
    <w:p w14:paraId="33638C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4.2.16垫片厚度规格要求：出厂后厂家提供垫片规格为：2+1+1+0.5+0.5，处理方式：发黑。</w:t>
      </w:r>
    </w:p>
    <w:p w14:paraId="403C05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4.2.17夹具的夹紧装置原则以气动夹紧为主，简单单体夹具（夹紧点少于3处）可采用手动夹紧，原则上不采用手持夹具。</w:t>
      </w:r>
    </w:p>
    <w:p w14:paraId="52439F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4.2.18当BASE台面小于8</w:t>
      </w:r>
      <w:r>
        <w:rPr>
          <w:rFonts w:ascii="宋体" w:hAnsi="宋体" w:eastAsia="宋体" w:cs="宋体"/>
          <w:sz w:val="24"/>
          <w:szCs w:val="24"/>
        </w:rPr>
        <w:t>00mm×</w:t>
      </w:r>
      <w:r>
        <w:rPr>
          <w:rFonts w:hint="eastAsia" w:ascii="宋体" w:hAnsi="宋体" w:eastAsia="宋体" w:cs="宋体"/>
          <w:sz w:val="24"/>
          <w:szCs w:val="24"/>
        </w:rPr>
        <w:t>8</w:t>
      </w:r>
      <w:r>
        <w:rPr>
          <w:rFonts w:ascii="宋体" w:hAnsi="宋体" w:eastAsia="宋体" w:cs="宋体"/>
          <w:sz w:val="24"/>
          <w:szCs w:val="24"/>
        </w:rPr>
        <w:t>00mm</w:t>
      </w:r>
      <w:r>
        <w:rPr>
          <w:rFonts w:hint="eastAsia" w:ascii="宋体" w:hAnsi="宋体" w:eastAsia="宋体" w:cs="宋体"/>
          <w:sz w:val="24"/>
          <w:szCs w:val="24"/>
        </w:rPr>
        <w:t>时，底座加强筋选用</w:t>
      </w:r>
      <w:r>
        <w:rPr>
          <w:rFonts w:ascii="宋体" w:hAnsi="宋体" w:eastAsia="宋体" w:cs="宋体"/>
          <w:sz w:val="24"/>
          <w:szCs w:val="24"/>
        </w:rPr>
        <w:t>10#</w:t>
      </w:r>
      <w:r>
        <w:rPr>
          <w:rFonts w:hint="eastAsia" w:ascii="宋体" w:hAnsi="宋体" w:eastAsia="宋体" w:cs="宋体"/>
          <w:sz w:val="24"/>
          <w:szCs w:val="24"/>
        </w:rPr>
        <w:t>槽钢；当BASE台面小于</w:t>
      </w:r>
      <w:r>
        <w:rPr>
          <w:rFonts w:ascii="宋体" w:hAnsi="宋体" w:eastAsia="宋体" w:cs="宋体"/>
          <w:sz w:val="24"/>
          <w:szCs w:val="24"/>
        </w:rPr>
        <w:t>1600mm×1600mm</w:t>
      </w:r>
      <w:r>
        <w:rPr>
          <w:rFonts w:hint="eastAsia" w:ascii="宋体" w:hAnsi="宋体" w:eastAsia="宋体" w:cs="宋体"/>
          <w:sz w:val="24"/>
          <w:szCs w:val="24"/>
        </w:rPr>
        <w:t>时，底座加强筋选用</w:t>
      </w:r>
      <w:r>
        <w:rPr>
          <w:rFonts w:ascii="宋体" w:hAnsi="宋体" w:eastAsia="宋体" w:cs="宋体"/>
          <w:sz w:val="24"/>
          <w:szCs w:val="24"/>
        </w:rPr>
        <w:t>1</w:t>
      </w:r>
      <w:r>
        <w:rPr>
          <w:rFonts w:hint="eastAsia" w:ascii="宋体" w:hAnsi="宋体" w:eastAsia="宋体" w:cs="宋体"/>
          <w:sz w:val="24"/>
          <w:szCs w:val="24"/>
        </w:rPr>
        <w:t>4</w:t>
      </w:r>
      <w:r>
        <w:rPr>
          <w:rFonts w:ascii="宋体" w:hAnsi="宋体" w:eastAsia="宋体" w:cs="宋体"/>
          <w:sz w:val="24"/>
          <w:szCs w:val="24"/>
        </w:rPr>
        <w:t>#</w:t>
      </w:r>
      <w:r>
        <w:rPr>
          <w:rFonts w:hint="eastAsia" w:ascii="宋体" w:hAnsi="宋体" w:eastAsia="宋体" w:cs="宋体"/>
          <w:sz w:val="24"/>
          <w:szCs w:val="24"/>
        </w:rPr>
        <w:t>槽钢；当BASE台面大于</w:t>
      </w:r>
      <w:r>
        <w:rPr>
          <w:rFonts w:ascii="宋体" w:hAnsi="宋体" w:eastAsia="宋体" w:cs="宋体"/>
          <w:sz w:val="24"/>
          <w:szCs w:val="24"/>
        </w:rPr>
        <w:t>1600mm×1600mm</w:t>
      </w:r>
      <w:r>
        <w:rPr>
          <w:rFonts w:hint="eastAsia" w:ascii="宋体" w:hAnsi="宋体" w:eastAsia="宋体" w:cs="宋体"/>
          <w:sz w:val="24"/>
          <w:szCs w:val="24"/>
        </w:rPr>
        <w:t>时，底座加强筋选用</w:t>
      </w:r>
      <w:r>
        <w:rPr>
          <w:rFonts w:ascii="宋体" w:hAnsi="宋体" w:eastAsia="宋体" w:cs="宋体"/>
          <w:sz w:val="24"/>
          <w:szCs w:val="24"/>
        </w:rPr>
        <w:t>16#</w:t>
      </w:r>
      <w:r>
        <w:rPr>
          <w:rFonts w:hint="eastAsia" w:ascii="宋体" w:hAnsi="宋体" w:eastAsia="宋体" w:cs="宋体"/>
          <w:sz w:val="24"/>
          <w:szCs w:val="24"/>
        </w:rPr>
        <w:t>以上的槽钢；底座周边槽钢开口向外，中间加强筋用槽钢间距不宜大于10</w:t>
      </w:r>
      <w:r>
        <w:rPr>
          <w:rFonts w:ascii="宋体" w:hAnsi="宋体" w:eastAsia="宋体" w:cs="宋体"/>
          <w:sz w:val="24"/>
          <w:szCs w:val="24"/>
        </w:rPr>
        <w:t>00mm</w:t>
      </w:r>
      <w:r>
        <w:rPr>
          <w:rFonts w:hint="eastAsia" w:ascii="宋体" w:hAnsi="宋体" w:eastAsia="宋体" w:cs="宋体"/>
          <w:sz w:val="24"/>
          <w:szCs w:val="24"/>
        </w:rPr>
        <w:t>。槽钢要求井字排布，间距600mm。</w:t>
      </w:r>
    </w:p>
    <w:p w14:paraId="01DB6C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4.2.19为了便于测量，BASE板应设置FARO的放置位置，BASE板外形尺寸超过1500×1500时，加工坐标两个方向的基准槽，基准槽位置应设置在坐标整数值、便于测量（或坐标中心位置）。</w:t>
      </w:r>
    </w:p>
    <w:p w14:paraId="4E3C05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4.2.20夹具操作高度800mm，底座轮廓应尽量与工件轮廓相似，不要有突出角，并尽量往里收，方便工人接近作业位置。手工夹具，为了不影响操作者的作业，地脚支架应设在夹具的内侧。</w:t>
      </w:r>
    </w:p>
    <w:p w14:paraId="3D00A2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4.2.21夹具结构设计时，应充分考虑保证夹具具有足够的强度和刚度；应保证制件在夹具内能以最有利的顺序组焊，并保证焊接时防止制件的变形，包括热影响的变形。必须保证定位端部（夹具基准）的刚性。使用10Kg的力向下压时，定位端部的变形量应该在0.1mm以下。作用力的方向取决于车身零件的定位方向，即装配车身零件时的受力方向。</w:t>
      </w:r>
    </w:p>
    <w:p w14:paraId="2A3132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4.2.22所有气缸要带有缓动装置，气阀等元件装有消声器。</w:t>
      </w:r>
    </w:p>
    <w:p w14:paraId="5D2063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4.2.23应充分考虑易磨损件的拆换方便，以利于夹具修理。</w:t>
      </w:r>
    </w:p>
    <w:p w14:paraId="737D47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4.2.24气缸运动不得有干涉、不得碰伤制件、避免伤害操作人的身体、动作应平稳、可靠。</w:t>
      </w:r>
    </w:p>
    <w:p w14:paraId="476D45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4.2.25焊装夹具所有基准销（主基准销除外）、基准块、支撑面、垫块、夹紧块、挡块，均为可调，调整量为5mm；带台阶定位销可三个方向调整，不带台阶定位销与基准块可两个方向调整。基准销固定方法原则上使用螺纹销，如果空间狭小，可以使用顶丝销。定位销本体采用防转结构。</w:t>
      </w:r>
    </w:p>
    <w:p w14:paraId="40A7B3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4.2.26操作按钮要求双手按钮，安装在夹具上。焊装分总成夹具安装移动脚轮，并设有刹车、调水平装置。</w:t>
      </w:r>
    </w:p>
    <w:p w14:paraId="618BA8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4.2.27焊装夹具应以通用气动夹紧为主，考虑互锁、防错等装置，同时各夹紧点设互锁装置。如焊接完成后，有任何一个夹紧器不打开或基准销没有退回，举升机构不能举升和整个自动搬运线不能动作。</w:t>
      </w:r>
    </w:p>
    <w:p w14:paraId="4801FE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4.2.28导轨要求有飞溅防护装置，防护装置要方便维修。</w:t>
      </w:r>
    </w:p>
    <w:p w14:paraId="21F82B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4.2.29螺柱焊、弧焊等夹具要求有接地线装置。</w:t>
      </w:r>
    </w:p>
    <w:p w14:paraId="2C76BC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4.2.30夹具的涂色要求：合同签定后由买方提供颜色样本。</w:t>
      </w:r>
    </w:p>
    <w:p w14:paraId="0D9D9E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4.2.31基准面、基准销等定位基准块应采用相应热处理，BASE板等大的钢结构应采用退火处理以消除应力，组装后用三坐标测量。验收时，必须提供BASE板热处理记录。</w:t>
      </w:r>
    </w:p>
    <w:p w14:paraId="75887E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4.2.32夹具精度要求：</w:t>
      </w:r>
    </w:p>
    <w:p w14:paraId="7F41F0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BASE板平面度：0.1/1000mm；</w:t>
      </w:r>
    </w:p>
    <w:p w14:paraId="77CA8B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BASE板坐标线刻度公差：</w:t>
      </w:r>
      <w:r>
        <w:rPr>
          <w:rFonts w:ascii="宋体" w:hAnsi="宋体" w:eastAsia="宋体" w:cs="宋体"/>
          <w:sz w:val="24"/>
          <w:szCs w:val="24"/>
        </w:rPr>
        <w:t>±</w:t>
      </w:r>
      <w:r>
        <w:rPr>
          <w:rFonts w:hint="eastAsia" w:ascii="宋体" w:hAnsi="宋体" w:eastAsia="宋体" w:cs="宋体"/>
          <w:sz w:val="24"/>
          <w:szCs w:val="24"/>
        </w:rPr>
        <w:t>0.05mm；</w:t>
      </w:r>
    </w:p>
    <w:p w14:paraId="05B112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主基准面形状公差：</w:t>
      </w:r>
      <w:r>
        <w:rPr>
          <w:rFonts w:ascii="宋体" w:hAnsi="宋体" w:eastAsia="宋体" w:cs="宋体"/>
          <w:sz w:val="24"/>
          <w:szCs w:val="24"/>
        </w:rPr>
        <w:t>±</w:t>
      </w:r>
      <w:r>
        <w:rPr>
          <w:rFonts w:hint="eastAsia" w:ascii="宋体" w:hAnsi="宋体" w:eastAsia="宋体" w:cs="宋体"/>
          <w:sz w:val="24"/>
          <w:szCs w:val="24"/>
        </w:rPr>
        <w:t>0.10mm；</w:t>
      </w:r>
    </w:p>
    <w:p w14:paraId="2B730D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BASE基准孔与基准面的公差为±0.05mm，加工精度为+0.00～-0.05mm；</w:t>
      </w:r>
    </w:p>
    <w:p w14:paraId="07C7C3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基准销位置公差：</w:t>
      </w:r>
      <w:r>
        <w:rPr>
          <w:rFonts w:ascii="宋体" w:hAnsi="宋体" w:eastAsia="宋体" w:cs="宋体"/>
          <w:sz w:val="24"/>
          <w:szCs w:val="24"/>
        </w:rPr>
        <w:t>±</w:t>
      </w:r>
      <w:r>
        <w:rPr>
          <w:rFonts w:hint="eastAsia" w:ascii="宋体" w:hAnsi="宋体" w:eastAsia="宋体" w:cs="宋体"/>
          <w:sz w:val="24"/>
          <w:szCs w:val="24"/>
        </w:rPr>
        <w:t>0.10mm；</w:t>
      </w:r>
    </w:p>
    <w:p w14:paraId="6B6A41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基准销表面光洁度：Ra1.6；</w:t>
      </w:r>
    </w:p>
    <w:p w14:paraId="107B4A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基准销的外径公差：直径（公称直径-0.1mm）+0.00~-0.05mm；</w:t>
      </w:r>
    </w:p>
    <w:p w14:paraId="1E95AF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基准销的有效长度：3~5mm；</w:t>
      </w:r>
    </w:p>
    <w:p w14:paraId="62067C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基准面之间的精度允许±0.1mm，测量面之间的精度允许±0.2mm。</w:t>
      </w:r>
    </w:p>
    <w:p w14:paraId="122E50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4.2.33下列情况之一时，必须给夹持臂配用限位块：</w:t>
      </w:r>
    </w:p>
    <w:p w14:paraId="05DA3A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夹持臂上有基准销时；</w:t>
      </w:r>
    </w:p>
    <w:p w14:paraId="637589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夹持臂压头作用于斜面上时；</w:t>
      </w:r>
    </w:p>
    <w:p w14:paraId="67AB99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夹持板太长时（长度＞</w:t>
      </w:r>
      <w:r>
        <w:rPr>
          <w:rFonts w:ascii="宋体" w:hAnsi="宋体" w:eastAsia="宋体" w:cs="宋体"/>
          <w:sz w:val="24"/>
          <w:szCs w:val="24"/>
        </w:rPr>
        <w:t>250mm</w:t>
      </w:r>
      <w:r>
        <w:rPr>
          <w:rFonts w:hint="eastAsia" w:ascii="宋体" w:hAnsi="宋体" w:eastAsia="宋体" w:cs="宋体"/>
          <w:sz w:val="24"/>
          <w:szCs w:val="24"/>
        </w:rPr>
        <w:t>）；</w:t>
      </w:r>
    </w:p>
    <w:p w14:paraId="359CFB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有侧向压紧动作时；</w:t>
      </w:r>
    </w:p>
    <w:p w14:paraId="541407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夹持板整体太重时；</w:t>
      </w:r>
    </w:p>
    <w:p w14:paraId="7900BB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夹持臂悬空时；</w:t>
      </w:r>
    </w:p>
    <w:p w14:paraId="4AD0C2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夹持臂夹持于外板表面时；</w:t>
      </w:r>
    </w:p>
    <w:p w14:paraId="45DE0C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夹持臂夹持于外板斜面时（角度＞</w:t>
      </w:r>
      <w:r>
        <w:rPr>
          <w:rFonts w:ascii="宋体" w:hAnsi="宋体" w:eastAsia="宋体" w:cs="宋体"/>
          <w:sz w:val="24"/>
          <w:szCs w:val="24"/>
        </w:rPr>
        <w:t>150</w:t>
      </w:r>
      <w:r>
        <w:rPr>
          <w:rFonts w:hint="eastAsia" w:ascii="宋体" w:hAnsi="宋体" w:eastAsia="宋体" w:cs="宋体"/>
          <w:sz w:val="24"/>
          <w:szCs w:val="24"/>
        </w:rPr>
        <w:t>）；</w:t>
      </w:r>
    </w:p>
    <w:p w14:paraId="73BC9A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夹持臂有多点夹持面时；</w:t>
      </w:r>
    </w:p>
    <w:p w14:paraId="28E338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夹紧板的产品接触面全部达到80%。</w:t>
      </w:r>
    </w:p>
    <w:p w14:paraId="61C4BF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4.2.34焊装夹具设计</w:t>
      </w:r>
      <w:r>
        <w:rPr>
          <w:rFonts w:ascii="宋体" w:hAnsi="宋体" w:eastAsia="宋体" w:cs="宋体"/>
          <w:sz w:val="24"/>
          <w:szCs w:val="24"/>
        </w:rPr>
        <w:t>时汽车覆盖件的外表面有防止出现焊点压痕的保护</w:t>
      </w:r>
      <w:r>
        <w:rPr>
          <w:rFonts w:hint="eastAsia" w:ascii="宋体" w:hAnsi="宋体" w:eastAsia="宋体" w:cs="宋体"/>
          <w:sz w:val="24"/>
          <w:szCs w:val="24"/>
        </w:rPr>
        <w:t>措施</w:t>
      </w:r>
      <w:r>
        <w:rPr>
          <w:rFonts w:ascii="宋体" w:hAnsi="宋体" w:eastAsia="宋体" w:cs="宋体"/>
          <w:sz w:val="24"/>
          <w:szCs w:val="24"/>
        </w:rPr>
        <w:t>，保护板的材料选用CuCr1Zr(铬锆铜),其有效板厚</w:t>
      </w:r>
      <w:r>
        <w:rPr>
          <w:rFonts w:hint="eastAsia" w:ascii="宋体" w:hAnsi="宋体" w:eastAsia="宋体" w:cs="宋体"/>
          <w:sz w:val="24"/>
          <w:szCs w:val="24"/>
        </w:rPr>
        <w:t>10</w:t>
      </w:r>
      <w:r>
        <w:rPr>
          <w:rFonts w:ascii="宋体" w:hAnsi="宋体" w:eastAsia="宋体" w:cs="宋体"/>
          <w:sz w:val="24"/>
          <w:szCs w:val="24"/>
        </w:rPr>
        <w:t>～</w:t>
      </w:r>
      <w:r>
        <w:rPr>
          <w:rFonts w:hint="eastAsia" w:ascii="宋体" w:hAnsi="宋体" w:eastAsia="宋体" w:cs="宋体"/>
          <w:sz w:val="24"/>
          <w:szCs w:val="24"/>
        </w:rPr>
        <w:t>12</w:t>
      </w:r>
      <w:r>
        <w:rPr>
          <w:rFonts w:ascii="宋体" w:hAnsi="宋体" w:eastAsia="宋体" w:cs="宋体"/>
          <w:sz w:val="24"/>
          <w:szCs w:val="24"/>
        </w:rPr>
        <w:t>mm</w:t>
      </w:r>
      <w:r>
        <w:rPr>
          <w:rFonts w:hint="eastAsia" w:ascii="宋体" w:hAnsi="宋体" w:eastAsia="宋体" w:cs="宋体"/>
          <w:sz w:val="24"/>
          <w:szCs w:val="24"/>
        </w:rPr>
        <w:t>。</w:t>
      </w:r>
    </w:p>
    <w:p w14:paraId="745CAC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4.2.35对刚性</w:t>
      </w:r>
      <w:r>
        <w:rPr>
          <w:rFonts w:ascii="宋体" w:hAnsi="宋体" w:eastAsia="宋体" w:cs="宋体"/>
          <w:sz w:val="24"/>
          <w:szCs w:val="24"/>
        </w:rPr>
        <w:t>较差的大型零件应考虑工件</w:t>
      </w:r>
      <w:r>
        <w:rPr>
          <w:rFonts w:hint="eastAsia" w:ascii="宋体" w:hAnsi="宋体" w:eastAsia="宋体" w:cs="宋体"/>
          <w:sz w:val="24"/>
          <w:szCs w:val="24"/>
        </w:rPr>
        <w:t>举升</w:t>
      </w:r>
      <w:r>
        <w:rPr>
          <w:rFonts w:ascii="宋体" w:hAnsi="宋体" w:eastAsia="宋体" w:cs="宋体"/>
          <w:sz w:val="24"/>
          <w:szCs w:val="24"/>
        </w:rPr>
        <w:t>机构，</w:t>
      </w:r>
      <w:r>
        <w:rPr>
          <w:rFonts w:hint="eastAsia" w:ascii="宋体" w:hAnsi="宋体" w:eastAsia="宋体" w:cs="宋体"/>
          <w:sz w:val="24"/>
          <w:szCs w:val="24"/>
        </w:rPr>
        <w:t>举升机构支撑块材料为聚氨脂（HRC60—80）；采用一体式举升机构，上升端、下降端碰到限位器都应停止。</w:t>
      </w:r>
    </w:p>
    <w:p w14:paraId="0F6F7E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4.2.36</w:t>
      </w:r>
      <w:r>
        <w:rPr>
          <w:rFonts w:ascii="宋体" w:hAnsi="宋体" w:eastAsia="宋体" w:cs="宋体"/>
          <w:sz w:val="24"/>
          <w:szCs w:val="24"/>
        </w:rPr>
        <w:t>对不便于施焊的焊点应设计焊枪导向机构，保证焊接点的准确位置</w:t>
      </w:r>
      <w:r>
        <w:rPr>
          <w:rFonts w:hint="eastAsia" w:ascii="宋体" w:hAnsi="宋体" w:eastAsia="宋体" w:cs="宋体"/>
          <w:sz w:val="24"/>
          <w:szCs w:val="24"/>
        </w:rPr>
        <w:t>，焊枪导向块的材料选用MC尼龙。</w:t>
      </w:r>
    </w:p>
    <w:p w14:paraId="042A53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4.2.37有弧焊工艺的弧焊夹具靠近弧焊部位的定位面、定位销、压紧块</w:t>
      </w:r>
      <w:r>
        <w:rPr>
          <w:rFonts w:ascii="宋体" w:hAnsi="宋体" w:eastAsia="宋体" w:cs="宋体"/>
          <w:sz w:val="24"/>
          <w:szCs w:val="24"/>
        </w:rPr>
        <w:t>材料</w:t>
      </w:r>
      <w:r>
        <w:rPr>
          <w:rFonts w:hint="eastAsia" w:ascii="宋体" w:hAnsi="宋体" w:eastAsia="宋体" w:cs="宋体"/>
          <w:sz w:val="24"/>
          <w:szCs w:val="24"/>
        </w:rPr>
        <w:t>采用</w:t>
      </w:r>
      <w:r>
        <w:rPr>
          <w:rFonts w:ascii="宋体" w:hAnsi="宋体" w:eastAsia="宋体" w:cs="宋体"/>
          <w:sz w:val="24"/>
          <w:szCs w:val="24"/>
        </w:rPr>
        <w:t>CuCr1Zr(铬锆铜)</w:t>
      </w:r>
      <w:r>
        <w:rPr>
          <w:rFonts w:hint="eastAsia" w:ascii="宋体" w:hAnsi="宋体" w:eastAsia="宋体" w:cs="宋体"/>
          <w:sz w:val="24"/>
          <w:szCs w:val="24"/>
        </w:rPr>
        <w:t>。螺柱焊定位导套材料采用不锈钢。</w:t>
      </w:r>
    </w:p>
    <w:p w14:paraId="4927FD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4.2.38基准BASE的网格线和基准孔：网格线应与产品设计的坐标线对应。网格线的深度、宽度均为</w:t>
      </w:r>
      <w:r>
        <w:rPr>
          <w:rFonts w:ascii="宋体" w:hAnsi="宋体" w:eastAsia="宋体" w:cs="宋体"/>
          <w:sz w:val="24"/>
          <w:szCs w:val="24"/>
        </w:rPr>
        <w:t>0.3mm</w:t>
      </w:r>
      <w:r>
        <w:rPr>
          <w:rFonts w:hint="eastAsia" w:ascii="宋体" w:hAnsi="宋体" w:eastAsia="宋体" w:cs="宋体"/>
          <w:sz w:val="24"/>
          <w:szCs w:val="24"/>
        </w:rPr>
        <w:t>～0.4</w:t>
      </w:r>
      <w:r>
        <w:rPr>
          <w:rFonts w:ascii="宋体" w:hAnsi="宋体" w:eastAsia="宋体" w:cs="宋体"/>
          <w:sz w:val="24"/>
          <w:szCs w:val="24"/>
        </w:rPr>
        <w:t>mm</w:t>
      </w:r>
      <w:r>
        <w:rPr>
          <w:rFonts w:hint="eastAsia" w:ascii="宋体" w:hAnsi="宋体" w:eastAsia="宋体" w:cs="宋体"/>
          <w:sz w:val="24"/>
          <w:szCs w:val="24"/>
        </w:rPr>
        <w:t>，其间距为</w:t>
      </w:r>
      <w:r>
        <w:rPr>
          <w:rFonts w:ascii="宋体" w:hAnsi="宋体" w:eastAsia="宋体" w:cs="宋体"/>
          <w:sz w:val="24"/>
          <w:szCs w:val="24"/>
        </w:rPr>
        <w:t>200mm</w:t>
      </w:r>
      <w:r>
        <w:rPr>
          <w:rFonts w:hint="eastAsia" w:ascii="宋体" w:hAnsi="宋体" w:eastAsia="宋体" w:cs="宋体"/>
          <w:sz w:val="24"/>
          <w:szCs w:val="24"/>
        </w:rPr>
        <w:t>。网格线和基准孔都应以坐标标识出来（都应标出三维坐标值）。为了便于测量，夹具基准孔在平台上的位置不应与其它装置干涉，夹具基准孔的位置、数量3处以上，间距1200mm以内，具体位置、数量在图纸会签时确定。基准孔坐标要求打码在基准孔附近，并对基准孔进行防护。</w:t>
      </w:r>
    </w:p>
    <w:p w14:paraId="1DF283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4.2.39夹具基准孔的尺寸、精度：</w:t>
      </w:r>
    </w:p>
    <w:p w14:paraId="2E7957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夹具基准孔的直径以及公差为Ф10mmH7</w:t>
      </w:r>
    </w:p>
    <w:p w14:paraId="64CD90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夹具基准孔间的相对位置公差±0.02mm</w:t>
      </w:r>
    </w:p>
    <w:p w14:paraId="65DE0B7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1720215" cy="1238250"/>
            <wp:effectExtent l="0" t="0" r="6985" b="635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758013" cy="1265112"/>
                    </a:xfrm>
                    <a:prstGeom prst="rect">
                      <a:avLst/>
                    </a:prstGeom>
                    <a:noFill/>
                    <a:ln>
                      <a:noFill/>
                    </a:ln>
                  </pic:spPr>
                </pic:pic>
              </a:graphicData>
            </a:graphic>
          </wp:inline>
        </w:drawing>
      </w:r>
    </w:p>
    <w:p w14:paraId="486D4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4.2.40保护盖交货时，夹具基准孔中应装入Ф10mmL30mm的销，装上保护盖。</w:t>
      </w:r>
    </w:p>
    <w:p w14:paraId="2B956F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4.2.41标识在夹具基准孔的旁边打上夹具基准孔的位置标记。</w:t>
      </w:r>
    </w:p>
    <w:p w14:paraId="69A65F3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2283460" cy="971550"/>
            <wp:effectExtent l="0" t="0" r="2540" b="635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294604" cy="976158"/>
                    </a:xfrm>
                    <a:prstGeom prst="rect">
                      <a:avLst/>
                    </a:prstGeom>
                    <a:noFill/>
                    <a:ln>
                      <a:noFill/>
                    </a:ln>
                  </pic:spPr>
                </pic:pic>
              </a:graphicData>
            </a:graphic>
          </wp:inline>
        </w:drawing>
      </w:r>
    </w:p>
    <w:p w14:paraId="775F0722">
      <w:pPr>
        <w:spacing w:line="360" w:lineRule="auto"/>
        <w:ind w:firstLine="480" w:firstLineChars="200"/>
        <w:rPr>
          <w:rFonts w:hint="eastAsia" w:ascii="宋体" w:hAnsi="宋体" w:eastAsia="宋体" w:cs="宋体"/>
          <w:sz w:val="24"/>
          <w:szCs w:val="24"/>
        </w:rPr>
      </w:pPr>
    </w:p>
    <w:p w14:paraId="51ED07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4.2.42焊接夹具的气管应该配置在夹具平台的上面或侧面，禁止在平台的底面配管。气管要有铝制标识，外漏气管进行防护。</w:t>
      </w:r>
    </w:p>
    <w:p w14:paraId="10B7E9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4.2.43夹紧器应该垂直夹紧在车身零件上，不能垂直夹紧时，角度应控制在5度以内。</w:t>
      </w:r>
    </w:p>
    <w:p w14:paraId="2C7371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夹紧时，夹紧臂的横向摆动为0.5mm以内。</w:t>
      </w:r>
    </w:p>
    <w:p w14:paraId="322EDC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夹紧角度超过5度，横向摆动超过0.5mm时，需设夹紧器的限位机构。</w:t>
      </w:r>
    </w:p>
    <w:p w14:paraId="25E491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4.2.44所有定位销、内六角螺栓应装有保护盖。所有安装螺母应防松,到厂前所有紧固件必须有紧固标示。</w:t>
      </w:r>
    </w:p>
    <w:p w14:paraId="65BAEC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4.2.45承包商制造的焊装夹具应符合车身技术部认可的标准或规范，以及设计图纸和设计任务书的要求（除车身技术部提出的特定要求外），各种动作可靠。</w:t>
      </w:r>
    </w:p>
    <w:p w14:paraId="097708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4.2.46夹具材料的变更应优于原设计规定的材料,经设计人员认可并办理有关更改手续后,由车身技术部确认。</w:t>
      </w:r>
    </w:p>
    <w:p w14:paraId="020DC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4.2.47夹具零件加工质量和总成装配质量应作好详细检测记录。</w:t>
      </w:r>
    </w:p>
    <w:p w14:paraId="4022BE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4.2.48焊装夹具装配完成后，必须经过零部件试装，试装中发现的夹具缺陷应及时进行调整，并做好详细记录。</w:t>
      </w:r>
    </w:p>
    <w:p w14:paraId="40BBEB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4.2.49为了确保夹具的装配质量及精度检测的方便，应注意以下几项：</w:t>
      </w:r>
    </w:p>
    <w:p w14:paraId="753EDF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在夹具装配前，应对夹具BASE进行精度确认，并作好记录。</w:t>
      </w:r>
    </w:p>
    <w:p w14:paraId="3BB02D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在对定位、夹紧和支撑型面进行测量之前，被测件型面R部位的夹角和棱边都应保留，以便给测量工作带来方便，待测量完毕后，车身技术部和承包商验收签字，将上述尖角或棱边修圆。</w:t>
      </w:r>
    </w:p>
    <w:p w14:paraId="461379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4.2.50所有焊接件消除应力后进行加工。</w:t>
      </w:r>
    </w:p>
    <w:p w14:paraId="7A29C1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4.2.51焊装夹具上应安装标牌，在标牌上应标有总成件名称和编号、焊装夹具名称和编号、制造厂名和制造日期，质量和轮廓尺寸。</w:t>
      </w:r>
    </w:p>
    <w:p w14:paraId="0514B5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4.2.52自动点焊机座需有绝缘措施。</w:t>
      </w:r>
    </w:p>
    <w:p w14:paraId="068B4E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4.2.53外购件采购时,应有产品合格证。气动元件和其它外购件、标准件入库前也应经过验收并记录。</w:t>
      </w:r>
    </w:p>
    <w:p w14:paraId="2483CE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4.2.54焊接结构件（含热处理后），必须经过喷砂、打磨清理，合格后涂上底漆，发送加工或装配。</w:t>
      </w:r>
    </w:p>
    <w:p w14:paraId="67E4B9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4.2.55基准BASE板加工后，厚度不小于30mm，BASE的槽钢和钢板焊前应校平，焊后应经退火和校平后再进行机加工，加工好后，台面进行油封。</w:t>
      </w:r>
    </w:p>
    <w:p w14:paraId="01ACAFEE">
      <w:pPr>
        <w:spacing w:line="360" w:lineRule="auto"/>
        <w:ind w:firstLine="480" w:firstLineChars="200"/>
        <w:rPr>
          <w:rFonts w:hint="eastAsia" w:ascii="宋体" w:hAnsi="宋体" w:eastAsia="宋体" w:cs="宋体"/>
          <w:sz w:val="24"/>
          <w:szCs w:val="24"/>
        </w:rPr>
      </w:pPr>
      <w:bookmarkStart w:id="81" w:name="_Toc7543493"/>
      <w:r>
        <w:rPr>
          <w:rFonts w:hint="eastAsia" w:ascii="宋体" w:hAnsi="宋体" w:eastAsia="宋体" w:cs="宋体"/>
          <w:sz w:val="24"/>
          <w:szCs w:val="24"/>
        </w:rPr>
        <w:t>4.3抓手设计要求</w:t>
      </w:r>
      <w:bookmarkEnd w:id="81"/>
    </w:p>
    <w:p w14:paraId="3DDF59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4.3.1搬运抓手</w:t>
      </w:r>
    </w:p>
    <w:p w14:paraId="6ED607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搬运抓手主要用来实现简单的将零部件从A点搬运至B点，并保证传输过程零件无相对滑动。</w:t>
      </w:r>
    </w:p>
    <w:p w14:paraId="240B07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4.3.1.1</w:t>
      </w:r>
      <w:r>
        <w:rPr>
          <w:rFonts w:ascii="宋体" w:hAnsi="宋体" w:eastAsia="宋体" w:cs="宋体"/>
          <w:sz w:val="24"/>
          <w:szCs w:val="24"/>
        </w:rPr>
        <w:t>使用标准八角管铝型材作为框架结构。</w:t>
      </w:r>
    </w:p>
    <w:p w14:paraId="54EDD9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4.3.1.2</w:t>
      </w:r>
      <w:r>
        <w:rPr>
          <w:rFonts w:ascii="宋体" w:hAnsi="宋体" w:eastAsia="宋体" w:cs="宋体"/>
          <w:sz w:val="24"/>
          <w:szCs w:val="24"/>
        </w:rPr>
        <w:t>含有模块化的抓手部件、吸盘、定位销和传感器的标准化应用。</w:t>
      </w:r>
    </w:p>
    <w:p w14:paraId="5FC0BA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4.3.1.3</w:t>
      </w:r>
      <w:r>
        <w:rPr>
          <w:rFonts w:ascii="宋体" w:hAnsi="宋体" w:eastAsia="宋体" w:cs="宋体"/>
          <w:sz w:val="24"/>
          <w:szCs w:val="24"/>
        </w:rPr>
        <w:t>根据图纸安装吸盘和接近开关传感器，并根据零件校准。</w:t>
      </w:r>
    </w:p>
    <w:p w14:paraId="5AE46D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4.3.1.4</w:t>
      </w:r>
      <w:r>
        <w:rPr>
          <w:rFonts w:ascii="宋体" w:hAnsi="宋体" w:eastAsia="宋体" w:cs="宋体"/>
          <w:sz w:val="24"/>
          <w:szCs w:val="24"/>
        </w:rPr>
        <w:t>通过管材及紧固件实现可调节功能。</w:t>
      </w:r>
    </w:p>
    <w:p w14:paraId="2370BF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4.3.1.5</w:t>
      </w:r>
      <w:r>
        <w:rPr>
          <w:rFonts w:ascii="宋体" w:hAnsi="宋体" w:eastAsia="宋体" w:cs="宋体"/>
          <w:sz w:val="24"/>
          <w:szCs w:val="24"/>
        </w:rPr>
        <w:t>保持标准孔尺寸；因此必须在八边形管（轮廓）和连接紧固件中间至少有一个排成直线的孔，且用装配销能够锁住。例外情况必须在设计评审时候决定。应该被固定在正确位置后，释放装配过程使用的定位工具。然后，测量抓手，盖上内八角螺栓帽。</w:t>
      </w:r>
    </w:p>
    <w:p w14:paraId="522D49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4.3.1.6</w:t>
      </w:r>
      <w:r>
        <w:rPr>
          <w:rFonts w:ascii="宋体" w:hAnsi="宋体" w:eastAsia="宋体" w:cs="宋体"/>
          <w:sz w:val="24"/>
          <w:szCs w:val="24"/>
        </w:rPr>
        <w:t>定位销（固定的或者可收缩的）数量应该在设计评审时确定。一般情况下，主要部件应该有两个定位销。</w:t>
      </w:r>
    </w:p>
    <w:p w14:paraId="32A0AA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4.3.1.7</w:t>
      </w:r>
      <w:r>
        <w:rPr>
          <w:rFonts w:ascii="宋体" w:hAnsi="宋体" w:eastAsia="宋体" w:cs="宋体"/>
          <w:sz w:val="24"/>
          <w:szCs w:val="24"/>
        </w:rPr>
        <w:t>可收缩销被用于下面所列情况：</w:t>
      </w:r>
    </w:p>
    <w:p w14:paraId="393A574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两个定位孔不相互平行；</w:t>
      </w:r>
    </w:p>
    <w:p w14:paraId="6993379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零部件不稳定。</w:t>
      </w:r>
    </w:p>
    <w:p w14:paraId="1DD496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4.3.1.8</w:t>
      </w:r>
      <w:r>
        <w:rPr>
          <w:rFonts w:ascii="宋体" w:hAnsi="宋体" w:eastAsia="宋体" w:cs="宋体"/>
          <w:sz w:val="24"/>
          <w:szCs w:val="24"/>
        </w:rPr>
        <w:t>如果多个零件同时定位，在设计评审时候确定小零件是否需要定位销或者只用型面块就足够了。</w:t>
      </w:r>
    </w:p>
    <w:p w14:paraId="5F08E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4.3.1.9</w:t>
      </w:r>
      <w:r>
        <w:rPr>
          <w:rFonts w:ascii="宋体" w:hAnsi="宋体" w:eastAsia="宋体" w:cs="宋体"/>
          <w:sz w:val="24"/>
          <w:szCs w:val="24"/>
        </w:rPr>
        <w:t>定位销：销直径=(孔径-0.3mm)伸缩销旁需要有支撑块自动从料箱抓料抓手。</w:t>
      </w:r>
    </w:p>
    <w:p w14:paraId="309F75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4.3.1.10</w:t>
      </w:r>
      <w:r>
        <w:rPr>
          <w:rFonts w:ascii="宋体" w:hAnsi="宋体" w:eastAsia="宋体" w:cs="宋体"/>
          <w:sz w:val="24"/>
          <w:szCs w:val="24"/>
        </w:rPr>
        <w:t>允许组件位置有±3mm误差。</w:t>
      </w:r>
    </w:p>
    <w:p w14:paraId="43B4F2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4.3.2工艺抓手</w:t>
      </w:r>
    </w:p>
    <w:p w14:paraId="502FB3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4.3.2.1</w:t>
      </w:r>
      <w:r>
        <w:rPr>
          <w:rFonts w:ascii="宋体" w:hAnsi="宋体" w:eastAsia="宋体" w:cs="宋体"/>
          <w:sz w:val="24"/>
          <w:szCs w:val="24"/>
        </w:rPr>
        <w:t>带有导向或者定位零件的抓手，用于焊接、冲铆和涂胶等工艺</w:t>
      </w:r>
      <w:r>
        <w:rPr>
          <w:rFonts w:hint="eastAsia" w:ascii="宋体" w:hAnsi="宋体" w:eastAsia="宋体" w:cs="宋体"/>
          <w:sz w:val="24"/>
          <w:szCs w:val="24"/>
        </w:rPr>
        <w:t>。</w:t>
      </w:r>
    </w:p>
    <w:p w14:paraId="16E992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4.3.2.2</w:t>
      </w:r>
      <w:r>
        <w:rPr>
          <w:rFonts w:ascii="宋体" w:hAnsi="宋体" w:eastAsia="宋体" w:cs="宋体"/>
          <w:sz w:val="24"/>
          <w:szCs w:val="24"/>
        </w:rPr>
        <w:t>使用标准八角管铝型材作为框架结构。</w:t>
      </w:r>
    </w:p>
    <w:p w14:paraId="06D2DB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4.3.2.3</w:t>
      </w:r>
      <w:r>
        <w:rPr>
          <w:rFonts w:ascii="宋体" w:hAnsi="宋体" w:eastAsia="宋体" w:cs="宋体"/>
          <w:sz w:val="24"/>
          <w:szCs w:val="24"/>
        </w:rPr>
        <w:t>使用可调节模块的抓手零件。</w:t>
      </w:r>
    </w:p>
    <w:p w14:paraId="284D18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4.3.2.4</w:t>
      </w:r>
      <w:r>
        <w:rPr>
          <w:rFonts w:ascii="宋体" w:hAnsi="宋体" w:eastAsia="宋体" w:cs="宋体"/>
          <w:sz w:val="24"/>
          <w:szCs w:val="24"/>
        </w:rPr>
        <w:t>使用标准夹头和定位销设计。</w:t>
      </w:r>
    </w:p>
    <w:p w14:paraId="71B478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4.3.2.5</w:t>
      </w:r>
      <w:r>
        <w:rPr>
          <w:rFonts w:ascii="宋体" w:hAnsi="宋体" w:eastAsia="宋体" w:cs="宋体"/>
          <w:sz w:val="24"/>
          <w:szCs w:val="24"/>
        </w:rPr>
        <w:t>定位销：用依照“机械设计标准”的标准销，销直径=（孔径-0.</w:t>
      </w:r>
      <w:r>
        <w:rPr>
          <w:rFonts w:hint="eastAsia" w:ascii="宋体" w:hAnsi="宋体" w:eastAsia="宋体" w:cs="宋体"/>
          <w:sz w:val="24"/>
          <w:szCs w:val="24"/>
        </w:rPr>
        <w:t>2</w:t>
      </w:r>
      <w:r>
        <w:rPr>
          <w:rFonts w:ascii="宋体" w:hAnsi="宋体" w:eastAsia="宋体" w:cs="宋体"/>
          <w:sz w:val="24"/>
          <w:szCs w:val="24"/>
        </w:rPr>
        <w:t>mm）</w:t>
      </w:r>
    </w:p>
    <w:p w14:paraId="4EA0FB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4.3.2.6</w:t>
      </w:r>
      <w:r>
        <w:rPr>
          <w:rFonts w:ascii="宋体" w:hAnsi="宋体" w:eastAsia="宋体" w:cs="宋体"/>
          <w:sz w:val="24"/>
          <w:szCs w:val="24"/>
        </w:rPr>
        <w:t>保持标准孔尺寸，因此必须在八边形管(轮廓)和连接紧固件中间至少有一个排成直线的孔，且用装配销能够锁住。例外情况必须在设计评审时候确定。</w:t>
      </w:r>
    </w:p>
    <w:p w14:paraId="5E854E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4.3.2.7</w:t>
      </w:r>
      <w:r>
        <w:rPr>
          <w:rFonts w:ascii="宋体" w:hAnsi="宋体" w:eastAsia="宋体" w:cs="宋体"/>
          <w:sz w:val="24"/>
          <w:szCs w:val="24"/>
        </w:rPr>
        <w:t>在装配时，八角形管和圆管应该被固定在正确位置后，释放装配过程使用的定位工具。然后测量抓手，盖上内八角螺栓帽。</w:t>
      </w:r>
    </w:p>
    <w:p w14:paraId="4D884F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4.3.2.8</w:t>
      </w:r>
      <w:r>
        <w:rPr>
          <w:rFonts w:ascii="宋体" w:hAnsi="宋体" w:eastAsia="宋体" w:cs="宋体"/>
          <w:sz w:val="24"/>
          <w:szCs w:val="24"/>
        </w:rPr>
        <w:t>通常来说，一个主要部件应该有2个定位销。</w:t>
      </w:r>
    </w:p>
    <w:p w14:paraId="471A91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4.3.2.9</w:t>
      </w:r>
      <w:r>
        <w:rPr>
          <w:rFonts w:ascii="宋体" w:hAnsi="宋体" w:eastAsia="宋体" w:cs="宋体"/>
          <w:sz w:val="24"/>
          <w:szCs w:val="24"/>
        </w:rPr>
        <w:t>如果有多个零件，定位销（固定式和可伸缩式）的数量应该在设计评审时确定。</w:t>
      </w:r>
    </w:p>
    <w:p w14:paraId="497EA7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4.3.2.10</w:t>
      </w:r>
      <w:r>
        <w:rPr>
          <w:rFonts w:ascii="宋体" w:hAnsi="宋体" w:eastAsia="宋体" w:cs="宋体"/>
          <w:sz w:val="24"/>
          <w:szCs w:val="24"/>
        </w:rPr>
        <w:t>可收缩销被用于下面所列情况：</w:t>
      </w:r>
    </w:p>
    <w:p w14:paraId="1811E2D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两个定位孔不相互平行；</w:t>
      </w:r>
    </w:p>
    <w:p w14:paraId="729A18D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零部件不稳定。</w:t>
      </w:r>
    </w:p>
    <w:p w14:paraId="7EB445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4.3.2.11</w:t>
      </w:r>
      <w:r>
        <w:rPr>
          <w:rFonts w:ascii="宋体" w:hAnsi="宋体" w:eastAsia="宋体" w:cs="宋体"/>
          <w:sz w:val="24"/>
          <w:szCs w:val="24"/>
        </w:rPr>
        <w:t>如果多个零件同时定位，在设计评审时候确定小零件是否需要定位销或者只用型面块。</w:t>
      </w:r>
    </w:p>
    <w:p w14:paraId="3C032F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4.3.2.12</w:t>
      </w:r>
      <w:r>
        <w:rPr>
          <w:rFonts w:ascii="宋体" w:hAnsi="宋体" w:eastAsia="宋体" w:cs="宋体"/>
          <w:sz w:val="24"/>
          <w:szCs w:val="24"/>
        </w:rPr>
        <w:t>定位销结构需要有垫片调整。</w:t>
      </w:r>
    </w:p>
    <w:p w14:paraId="1BB6BD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4.3.2.13</w:t>
      </w:r>
      <w:r>
        <w:rPr>
          <w:rFonts w:ascii="宋体" w:hAnsi="宋体" w:eastAsia="宋体" w:cs="宋体"/>
          <w:sz w:val="24"/>
          <w:szCs w:val="24"/>
        </w:rPr>
        <w:t>与其他部件的干涉距离至少保持在10mm以上。</w:t>
      </w:r>
    </w:p>
    <w:p w14:paraId="5DAE29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4.3.2.14</w:t>
      </w:r>
      <w:r>
        <w:rPr>
          <w:rFonts w:ascii="宋体" w:hAnsi="宋体" w:eastAsia="宋体" w:cs="宋体"/>
          <w:sz w:val="24"/>
          <w:szCs w:val="24"/>
        </w:rPr>
        <w:t>抓手到焊枪电极帽或者工艺部件的距离至少保证5mm以上。</w:t>
      </w:r>
    </w:p>
    <w:p w14:paraId="41E627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4.3.3定位抓手</w:t>
      </w:r>
    </w:p>
    <w:p w14:paraId="648C5D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4.3.3.1</w:t>
      </w:r>
      <w:r>
        <w:rPr>
          <w:rFonts w:ascii="宋体" w:hAnsi="宋体" w:eastAsia="宋体" w:cs="宋体"/>
          <w:sz w:val="24"/>
          <w:szCs w:val="24"/>
        </w:rPr>
        <w:t>用于定位焊的定位抓手（GEO抓手）</w:t>
      </w:r>
      <w:r>
        <w:rPr>
          <w:rFonts w:hint="eastAsia" w:ascii="宋体" w:hAnsi="宋体" w:eastAsia="宋体" w:cs="宋体"/>
          <w:sz w:val="24"/>
          <w:szCs w:val="24"/>
        </w:rPr>
        <w:t>，</w:t>
      </w:r>
      <w:r>
        <w:rPr>
          <w:rFonts w:ascii="宋体" w:hAnsi="宋体" w:eastAsia="宋体" w:cs="宋体"/>
          <w:sz w:val="24"/>
          <w:szCs w:val="24"/>
        </w:rPr>
        <w:t>机器人将GEO抓手搬运至车身</w:t>
      </w:r>
      <w:r>
        <w:rPr>
          <w:rFonts w:hint="eastAsia" w:ascii="宋体" w:hAnsi="宋体" w:eastAsia="宋体" w:cs="宋体"/>
          <w:sz w:val="24"/>
          <w:szCs w:val="24"/>
        </w:rPr>
        <w:t>，</w:t>
      </w:r>
      <w:r>
        <w:rPr>
          <w:rFonts w:ascii="宋体" w:hAnsi="宋体" w:eastAsia="宋体" w:cs="宋体"/>
          <w:sz w:val="24"/>
          <w:szCs w:val="24"/>
        </w:rPr>
        <w:t>抓手被锁定在车身工装上</w:t>
      </w:r>
      <w:r>
        <w:rPr>
          <w:rFonts w:hint="eastAsia" w:ascii="宋体" w:hAnsi="宋体" w:eastAsia="宋体" w:cs="宋体"/>
          <w:sz w:val="24"/>
          <w:szCs w:val="24"/>
        </w:rPr>
        <w:t>，</w:t>
      </w:r>
      <w:r>
        <w:rPr>
          <w:rFonts w:ascii="宋体" w:hAnsi="宋体" w:eastAsia="宋体" w:cs="宋体"/>
          <w:sz w:val="24"/>
          <w:szCs w:val="24"/>
        </w:rPr>
        <w:t>抓手夹紧未焊接的散零件</w:t>
      </w:r>
      <w:r>
        <w:rPr>
          <w:rFonts w:hint="eastAsia" w:ascii="宋体" w:hAnsi="宋体" w:eastAsia="宋体" w:cs="宋体"/>
          <w:sz w:val="24"/>
          <w:szCs w:val="24"/>
        </w:rPr>
        <w:t>，</w:t>
      </w:r>
      <w:r>
        <w:rPr>
          <w:rFonts w:ascii="宋体" w:hAnsi="宋体" w:eastAsia="宋体" w:cs="宋体"/>
          <w:sz w:val="24"/>
          <w:szCs w:val="24"/>
        </w:rPr>
        <w:t>机器人抓手抓住被夹头夹紧的未被连接的零件固定在工装上。</w:t>
      </w:r>
    </w:p>
    <w:p w14:paraId="543D66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4.3.3.2</w:t>
      </w:r>
      <w:r>
        <w:rPr>
          <w:rFonts w:ascii="宋体" w:hAnsi="宋体" w:eastAsia="宋体" w:cs="宋体"/>
          <w:sz w:val="24"/>
          <w:szCs w:val="24"/>
        </w:rPr>
        <w:t>遵循机械设计规定，按普通定位工装标准设计，非标钢框架结构。</w:t>
      </w:r>
    </w:p>
    <w:p w14:paraId="5B08BE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4.3.3.3</w:t>
      </w:r>
      <w:r>
        <w:rPr>
          <w:rFonts w:ascii="宋体" w:hAnsi="宋体" w:eastAsia="宋体" w:cs="宋体"/>
          <w:sz w:val="24"/>
          <w:szCs w:val="24"/>
        </w:rPr>
        <w:t>必须测量整个抓手并提供测量报告。</w:t>
      </w:r>
    </w:p>
    <w:p w14:paraId="44CB8A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4.3.3.4</w:t>
      </w:r>
      <w:r>
        <w:rPr>
          <w:rFonts w:ascii="宋体" w:hAnsi="宋体" w:eastAsia="宋体" w:cs="宋体"/>
          <w:sz w:val="24"/>
          <w:szCs w:val="24"/>
        </w:rPr>
        <w:t>可垫片调整。</w:t>
      </w:r>
    </w:p>
    <w:p w14:paraId="52247B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4.3.3.5</w:t>
      </w:r>
      <w:r>
        <w:rPr>
          <w:rFonts w:ascii="宋体" w:hAnsi="宋体" w:eastAsia="宋体" w:cs="宋体"/>
          <w:sz w:val="24"/>
          <w:szCs w:val="24"/>
        </w:rPr>
        <w:t>销径=(孔径-0.1mm)。</w:t>
      </w:r>
    </w:p>
    <w:p w14:paraId="61C27B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4.3.3.6</w:t>
      </w:r>
      <w:r>
        <w:rPr>
          <w:rFonts w:ascii="宋体" w:hAnsi="宋体" w:eastAsia="宋体" w:cs="宋体"/>
          <w:sz w:val="24"/>
          <w:szCs w:val="24"/>
        </w:rPr>
        <w:t>定位销（固定式和可伸缩式）的数量应该在设计评审时确定。</w:t>
      </w:r>
    </w:p>
    <w:p w14:paraId="7C0B21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4.3.3.7</w:t>
      </w:r>
      <w:r>
        <w:rPr>
          <w:rFonts w:ascii="宋体" w:hAnsi="宋体" w:eastAsia="宋体" w:cs="宋体"/>
          <w:sz w:val="24"/>
          <w:szCs w:val="24"/>
        </w:rPr>
        <w:t>标准：主要部件应该有2个定位销。例如：如果两个孔不平行则使用1个固定式定位销和1个可伸缩销，如果零件不稳定则使用2个可伸缩销。</w:t>
      </w:r>
    </w:p>
    <w:p w14:paraId="6973AE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4.3.3.8</w:t>
      </w:r>
      <w:r>
        <w:rPr>
          <w:rFonts w:ascii="宋体" w:hAnsi="宋体" w:eastAsia="宋体" w:cs="宋体"/>
          <w:sz w:val="24"/>
          <w:szCs w:val="24"/>
        </w:rPr>
        <w:t>在测量后（包括测量报告+销固定），盖上内八角螺栓帽。</w:t>
      </w:r>
    </w:p>
    <w:p w14:paraId="1534A2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4.3.3.9</w:t>
      </w:r>
      <w:r>
        <w:rPr>
          <w:rFonts w:ascii="宋体" w:hAnsi="宋体" w:eastAsia="宋体" w:cs="宋体"/>
          <w:sz w:val="24"/>
          <w:szCs w:val="24"/>
        </w:rPr>
        <w:t>输送及精确定位</w:t>
      </w:r>
      <w:r>
        <w:rPr>
          <w:rFonts w:hint="eastAsia" w:ascii="宋体" w:hAnsi="宋体" w:eastAsia="宋体" w:cs="宋体"/>
          <w:sz w:val="24"/>
          <w:szCs w:val="24"/>
        </w:rPr>
        <w:t>（精度与GEO工装一致）。</w:t>
      </w:r>
    </w:p>
    <w:p w14:paraId="1F26147E">
      <w:pPr>
        <w:spacing w:line="360" w:lineRule="auto"/>
        <w:ind w:firstLine="480" w:firstLineChars="200"/>
        <w:rPr>
          <w:rFonts w:hint="eastAsia" w:ascii="宋体" w:hAnsi="宋体" w:eastAsia="宋体" w:cs="宋体"/>
          <w:sz w:val="24"/>
          <w:szCs w:val="24"/>
        </w:rPr>
      </w:pPr>
      <w:bookmarkStart w:id="82" w:name="_Toc526801739"/>
      <w:r>
        <w:rPr>
          <w:rFonts w:hint="eastAsia" w:ascii="宋体" w:hAnsi="宋体" w:eastAsia="宋体" w:cs="宋体"/>
          <w:sz w:val="24"/>
          <w:szCs w:val="24"/>
        </w:rPr>
        <w:t>4.4气动元件</w:t>
      </w:r>
    </w:p>
    <w:p w14:paraId="42B32A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4.4.1气路设计规范标准</w:t>
      </w:r>
      <w:bookmarkEnd w:id="82"/>
    </w:p>
    <w:p w14:paraId="1BC41200">
      <w:pPr>
        <w:spacing w:line="360" w:lineRule="auto"/>
        <w:ind w:firstLine="480" w:firstLineChars="200"/>
        <w:rPr>
          <w:rFonts w:hint="eastAsia" w:ascii="宋体" w:hAnsi="宋体" w:eastAsia="宋体" w:cs="宋体"/>
          <w:sz w:val="24"/>
          <w:szCs w:val="24"/>
        </w:rPr>
      </w:pPr>
      <w:bookmarkStart w:id="83" w:name="_Toc526801740"/>
      <w:r>
        <w:rPr>
          <w:rFonts w:hint="eastAsia" w:ascii="宋体" w:hAnsi="宋体" w:eastAsia="宋体" w:cs="宋体"/>
          <w:sz w:val="24"/>
          <w:szCs w:val="24"/>
        </w:rPr>
        <w:t>4.4.1.1系统安全性要求</w:t>
      </w:r>
      <w:bookmarkEnd w:id="83"/>
    </w:p>
    <w:p w14:paraId="713273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设备终端气源处理元件之前必须安装截止阀，截止阀安装位置必须保证无遮挡，且必须能够实现手动锁定。</w:t>
      </w:r>
    </w:p>
    <w:p w14:paraId="463C84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气源截止阀、压力控制阀和流量控制上必须具备可靠的方法锁定当前的设置。</w:t>
      </w:r>
    </w:p>
    <w:p w14:paraId="1C3A3B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压缩空气进入设备之前应先通过压力传感器进行监控，确保压力在设备要求的安全范围之内。</w:t>
      </w:r>
    </w:p>
    <w:p w14:paraId="01333C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设计时应考虑在任何情况下切断气源后，产品、机构等因各种原因导致的任何可能动作。对于存在安全隐患的位置，必须通过锁定机构等保持原位。</w:t>
      </w:r>
    </w:p>
    <w:p w14:paraId="1E2346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焊接强磁环境下，应选用合适的耐强磁气缸及磁性开关。</w:t>
      </w:r>
    </w:p>
    <w:p w14:paraId="2D2B10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启动设备时，要注意防范气缸急速动作而造成安全事故，应独立配置缓慢启动阀进行控制。</w:t>
      </w:r>
    </w:p>
    <w:p w14:paraId="17A1BA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气管应采纳管夹、扎带等摆动限制措施，以避免气管干涉机构动作，同时防止气管异常脱落时不会随意摆动。</w:t>
      </w:r>
    </w:p>
    <w:p w14:paraId="1FE05A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有气动元件的外置排气口的场合，应安装消音器。对于特殊高压排气等工位，应该进行必要遮盖以防止产生伤害。</w:t>
      </w:r>
    </w:p>
    <w:p w14:paraId="6CA543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必须使用双层耐燃气管，阻燃性必须符合UL-94标准V-0。弧焊工位建议采用三层阻燃气管。</w:t>
      </w:r>
    </w:p>
    <w:p w14:paraId="006AA0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气管接头、调速阀等全部采用阻燃性树脂或金属材质。</w:t>
      </w:r>
    </w:p>
    <w:p w14:paraId="4211BD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气动系统声音不得超过85分贝。</w:t>
      </w:r>
    </w:p>
    <w:p w14:paraId="34CFFAE9">
      <w:pPr>
        <w:spacing w:line="360" w:lineRule="auto"/>
        <w:ind w:firstLine="480" w:firstLineChars="200"/>
        <w:rPr>
          <w:rFonts w:hint="eastAsia" w:ascii="宋体" w:hAnsi="宋体" w:eastAsia="宋体" w:cs="宋体"/>
          <w:sz w:val="24"/>
          <w:szCs w:val="24"/>
        </w:rPr>
      </w:pPr>
      <w:bookmarkStart w:id="84" w:name="_Toc526801741"/>
      <w:r>
        <w:rPr>
          <w:rFonts w:hint="eastAsia" w:ascii="宋体" w:hAnsi="宋体" w:eastAsia="宋体" w:cs="宋体"/>
          <w:sz w:val="24"/>
          <w:szCs w:val="24"/>
        </w:rPr>
        <w:t>4.4.1.2气源处理设计要求</w:t>
      </w:r>
      <w:bookmarkEnd w:id="84"/>
    </w:p>
    <w:p w14:paraId="754DCF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设备前端气源处理系统应保证进入设备的气源质量，终端压缩空气等级应高于ISO8573-1标准5.4.3级或GBT13277-91标准3.4.3级以上，即粒子尺寸≤5μm</w:t>
      </w:r>
      <w:r>
        <w:rPr>
          <w:rFonts w:ascii="宋体" w:hAnsi="宋体" w:eastAsia="宋体" w:cs="宋体"/>
          <w:sz w:val="24"/>
          <w:szCs w:val="24"/>
        </w:rPr>
        <w:t>，压力露点值≤3℃，含油等级≤1mg/m3</w:t>
      </w:r>
      <w:r>
        <w:rPr>
          <w:rFonts w:hint="eastAsia" w:ascii="宋体" w:hAnsi="宋体" w:eastAsia="宋体" w:cs="宋体"/>
          <w:sz w:val="24"/>
          <w:szCs w:val="24"/>
        </w:rPr>
        <w:t>。</w:t>
      </w:r>
    </w:p>
    <w:p w14:paraId="59A037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气动系统设计时，应使用免润滑的元件。除非有特殊要求（如调整线气动工具润滑），气源处理元件无需配置油雾器。</w:t>
      </w:r>
    </w:p>
    <w:p w14:paraId="33D9BC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整个气动系统的设计使用压力应在</w:t>
      </w:r>
      <w:r>
        <w:rPr>
          <w:rFonts w:ascii="宋体" w:hAnsi="宋体" w:eastAsia="宋体" w:cs="宋体"/>
          <w:sz w:val="24"/>
          <w:szCs w:val="24"/>
        </w:rPr>
        <w:t>0.4MPa至</w:t>
      </w:r>
      <w:r>
        <w:rPr>
          <w:rFonts w:hint="eastAsia" w:ascii="宋体" w:hAnsi="宋体" w:eastAsia="宋体" w:cs="宋体"/>
          <w:sz w:val="24"/>
          <w:szCs w:val="24"/>
        </w:rPr>
        <w:t>0.6MPa之间。个别工位压力不足或要求使用更高压力时，可使用增压阀。</w:t>
      </w:r>
    </w:p>
    <w:p w14:paraId="4D190E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所有文件和设备标签上应标明使用压力范围，且在压力表内部或表面用颜色等进行区分。</w:t>
      </w:r>
    </w:p>
    <w:p w14:paraId="59D574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所有压力表必须外置可拆卸，便于定期检查和校准。</w:t>
      </w:r>
    </w:p>
    <w:p w14:paraId="5AFD77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选用压力表时，压力表的使用量程应比最高指示压力低20%左右。</w:t>
      </w:r>
    </w:p>
    <w:p w14:paraId="6FF960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气源处理单元配置推荐：</w:t>
      </w:r>
    </w:p>
    <w:p w14:paraId="2CF4A5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手动夹具配置：残压释放阀、过滤减压阀、分气模块；</w:t>
      </w:r>
    </w:p>
    <w:p w14:paraId="68CC8A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气动工具配置：残压释放阀、过滤减压阀、油雾器。</w:t>
      </w:r>
    </w:p>
    <w:p w14:paraId="3016EDF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951230" cy="1348740"/>
            <wp:effectExtent l="0" t="0" r="1270" b="10160"/>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951470" cy="1349015"/>
                    </a:xfrm>
                    <a:prstGeom prst="rect">
                      <a:avLst/>
                    </a:prstGeom>
                  </pic:spPr>
                </pic:pic>
              </a:graphicData>
            </a:graphic>
          </wp:inline>
        </w:drawing>
      </w:r>
      <w:r>
        <w:rPr>
          <w:rFonts w:ascii="宋体" w:hAnsi="宋体" w:eastAsia="宋体" w:cs="宋体"/>
          <w:sz w:val="24"/>
          <w:szCs w:val="24"/>
        </w:rPr>
        <w:drawing>
          <wp:inline distT="0" distB="0" distL="0" distR="0">
            <wp:extent cx="1236345" cy="1438275"/>
            <wp:effectExtent l="0" t="0" r="8255" b="952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236345" cy="1438275"/>
                    </a:xfrm>
                    <a:prstGeom prst="rect">
                      <a:avLst/>
                    </a:prstGeom>
                  </pic:spPr>
                </pic:pic>
              </a:graphicData>
            </a:graphic>
          </wp:inline>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-2779395</wp:posOffset>
            </wp:positionH>
            <wp:positionV relativeFrom="paragraph">
              <wp:posOffset>349885</wp:posOffset>
            </wp:positionV>
            <wp:extent cx="1371600" cy="1945005"/>
            <wp:effectExtent l="0" t="0" r="0" b="10795"/>
            <wp:wrapNone/>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371600" cy="1945106"/>
                    </a:xfrm>
                    <a:prstGeom prst="rect">
                      <a:avLst/>
                    </a:prstGeom>
                  </pic:spPr>
                </pic:pic>
              </a:graphicData>
            </a:graphic>
          </wp:anchor>
        </w:drawing>
      </w:r>
    </w:p>
    <w:p w14:paraId="1F2EC23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mc:AlternateContent>
          <mc:Choice Requires="wps">
            <w:drawing>
              <wp:inline distT="0" distB="0" distL="114300" distR="114300">
                <wp:extent cx="3619500" cy="276225"/>
                <wp:effectExtent l="0" t="0" r="0" b="0"/>
                <wp:docPr id="49" name="文本框 49"/>
                <wp:cNvGraphicFramePr/>
                <a:graphic xmlns:a="http://schemas.openxmlformats.org/drawingml/2006/main">
                  <a:graphicData uri="http://schemas.microsoft.com/office/word/2010/wordprocessingShape">
                    <wps:wsp>
                      <wps:cNvSpPr txBox="1"/>
                      <wps:spPr>
                        <a:xfrm>
                          <a:off x="0" y="0"/>
                          <a:ext cx="3619500" cy="276225"/>
                        </a:xfrm>
                        <a:prstGeom prst="rect">
                          <a:avLst/>
                        </a:prstGeom>
                        <a:noFill/>
                        <a:ln>
                          <a:noFill/>
                        </a:ln>
                      </wps:spPr>
                      <wps:txbx>
                        <w:txbxContent>
                          <w:p w14:paraId="68303801">
                            <w:pPr>
                              <w:jc w:val="center"/>
                              <w:rPr>
                                <w:rFonts w:hint="eastAsia" w:ascii="宋体" w:hAnsi="宋体" w:eastAsia="宋体"/>
                                <w:sz w:val="24"/>
                                <w:szCs w:val="24"/>
                              </w:rPr>
                            </w:pPr>
                            <w:r>
                              <w:rPr>
                                <w:rFonts w:hint="eastAsia" w:ascii="宋体" w:hAnsi="宋体" w:eastAsia="宋体"/>
                                <w:sz w:val="24"/>
                                <w:szCs w:val="24"/>
                              </w:rPr>
                              <w:t>手动夹具三联件</w:t>
                            </w:r>
                            <w:r>
                              <w:rPr>
                                <w:rFonts w:ascii="宋体" w:hAnsi="宋体" w:eastAsia="宋体"/>
                                <w:sz w:val="24"/>
                                <w:szCs w:val="24"/>
                              </w:rPr>
                              <w:t>气动工具三联件</w:t>
                            </w:r>
                          </w:p>
                        </w:txbxContent>
                      </wps:txbx>
                      <wps:bodyPr upright="1"/>
                    </wps:wsp>
                  </a:graphicData>
                </a:graphic>
              </wp:inline>
            </w:drawing>
          </mc:Choice>
          <mc:Fallback>
            <w:pict>
              <v:shape id="_x0000_s1026" o:spid="_x0000_s1026" o:spt="202" type="#_x0000_t202" style="height:21.75pt;width:285pt;" filled="f" stroked="f" coordsize="21600,21600" o:gfxdata="UEsDBAoAAAAAAIdO4kAAAAAAAAAAAAAAAAAEAAAAZHJzL1BLAwQUAAAACACHTuJAo/AmRdIAAAAE&#10;AQAADwAAAGRycy9kb3ducmV2LnhtbE2PwU7DMBBE70j8g7VI3Kjd0hQI2fRQxBVEKUjc3HibRMTr&#10;KHab8PcsXOAy0mhWM2+L9eQ7daIhtoER5jMDirgKruUaYff6eHULKibLznaBCeGLIqzL87PC5i6M&#10;/EKnbaqVlHDMLUKTUp9rHauGvI2z0BNLdgiDt0nsUGs32FHKfacXxqy0ty3LQmN72jRUfW6PHuHt&#10;6fDxvjTP9YPP+jFMRrO/04iXF3NzDyrRlP6O4Qdf0KEUpn04souqQ5BH0q9Klt0YsXuE5XUGuiz0&#10;f/jyG1BLAwQUAAAACACHTuJAnWqvBa4BAABQAwAADgAAAGRycy9lMm9Eb2MueG1srVNLbtswEN0X&#10;6B0I7mvKauMmguUAgZFuirZA2gPQFGkR4A8c2pIv0N6gq26677l8jg4px0nTTRbZUOSb0Zt5b8jl&#10;9WgN2csI2ruWzmcVJdIJ32m3bem3r7dvLimBxF3HjXeypQcJ9Hr1+tVyCI2sfe9NJyNBEgfNEFra&#10;pxQaxkD00nKY+SAdBpWPlic8xi3rIh+Q3RpWV9WCDT52IXohARBdT0F6YozPIfRKaSHXXuysdGli&#10;jdLwhJKg1wHoqnSrlBTps1IgEzEtRaWprFgE95u8stWSN9vIQ6/FqQX+nBaeaLJcOyx6plrzxMku&#10;6v+orBbRg1dpJrxlk5DiCKqYV0+8uet5kEULWg3hbDq8HK34tP8Sie5a+u6KEsctTvz488fx15/j&#10;7+8EMTRoCNBg3l3AzDTe+BGvzT0OCGbdo4o2f1ERwTjaezjbK8dEBIJvF/OriwpDAmP1+0VdX2Qa&#10;9vB3iJA+SG9J3rQ04viKq3z/EdKUep+Sizl/q40pIzTuHwA5M8Jy61OLeZfGzXjSs/HdAeXsQtTb&#10;HksVQSUdjS49nS5FnuTjcyF9eAi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PwJkXSAAAABAEA&#10;AA8AAAAAAAAAAQAgAAAAIgAAAGRycy9kb3ducmV2LnhtbFBLAQIUABQAAAAIAIdO4kCdaq8FrgEA&#10;AFADAAAOAAAAAAAAAAEAIAAAACEBAABkcnMvZTJvRG9jLnhtbFBLBQYAAAAABgAGAFkBAABBBQAA&#10;AAA=&#10;">
                <v:fill on="f" focussize="0,0"/>
                <v:stroke on="f"/>
                <v:imagedata o:title=""/>
                <o:lock v:ext="edit" aspectratio="f"/>
                <v:textbox>
                  <w:txbxContent>
                    <w:p w14:paraId="68303801">
                      <w:pPr>
                        <w:jc w:val="center"/>
                        <w:rPr>
                          <w:rFonts w:hint="eastAsia" w:ascii="宋体" w:hAnsi="宋体" w:eastAsia="宋体"/>
                          <w:sz w:val="24"/>
                          <w:szCs w:val="24"/>
                        </w:rPr>
                      </w:pPr>
                      <w:r>
                        <w:rPr>
                          <w:rFonts w:hint="eastAsia" w:ascii="宋体" w:hAnsi="宋体" w:eastAsia="宋体"/>
                          <w:sz w:val="24"/>
                          <w:szCs w:val="24"/>
                        </w:rPr>
                        <w:t>手动夹具三联件</w:t>
                      </w:r>
                      <w:r>
                        <w:rPr>
                          <w:rFonts w:ascii="宋体" w:hAnsi="宋体" w:eastAsia="宋体"/>
                          <w:sz w:val="24"/>
                          <w:szCs w:val="24"/>
                        </w:rPr>
                        <w:t>气动工具三联件</w:t>
                      </w:r>
                    </w:p>
                  </w:txbxContent>
                </v:textbox>
                <w10:wrap type="none"/>
                <w10:anchorlock/>
              </v:shape>
            </w:pict>
          </mc:Fallback>
        </mc:AlternateContent>
      </w:r>
    </w:p>
    <w:p w14:paraId="54713999">
      <w:pPr>
        <w:spacing w:line="360" w:lineRule="auto"/>
        <w:ind w:firstLine="480" w:firstLineChars="200"/>
        <w:rPr>
          <w:rFonts w:hint="eastAsia" w:ascii="宋体" w:hAnsi="宋体" w:eastAsia="宋体" w:cs="宋体"/>
          <w:sz w:val="24"/>
          <w:szCs w:val="24"/>
        </w:rPr>
      </w:pPr>
      <w:bookmarkStart w:id="85" w:name="_Toc526801742"/>
      <w:r>
        <w:rPr>
          <w:rFonts w:hint="eastAsia" w:ascii="宋体" w:hAnsi="宋体" w:eastAsia="宋体" w:cs="宋体"/>
          <w:sz w:val="24"/>
          <w:szCs w:val="24"/>
        </w:rPr>
        <w:t>4.4.1.3控制元件设计要求</w:t>
      </w:r>
      <w:bookmarkEnd w:id="85"/>
    </w:p>
    <w:p w14:paraId="08EAE4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控制元件和调节元件应该位于机械外部的明显位置，便于后期维护操作。</w:t>
      </w:r>
    </w:p>
    <w:p w14:paraId="148978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所有电磁阀都必须带有指示灯，以显示电磁阀线圈上电情况。</w:t>
      </w:r>
    </w:p>
    <w:p w14:paraId="291EFD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所有电磁阀需要具备手动按钮，以便在必要时通过手动操作实现电磁阀切换。</w:t>
      </w:r>
    </w:p>
    <w:p w14:paraId="12C7E6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所有主线工位必须采用阀岛控制（除停放架）。</w:t>
      </w:r>
    </w:p>
    <w:p w14:paraId="7D827E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阀岛集装阀采用右侧进气方式，超过6片阀增加左侧进气排气模块。</w:t>
      </w:r>
    </w:p>
    <w:p w14:paraId="4366BD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阀岛集装阀消音器必须水平或者竖直向下安装，不可倒装或倾斜。</w:t>
      </w:r>
    </w:p>
    <w:p w14:paraId="35ED74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阀岛集装阀支持集成单独调压、供气、排气功能等。</w:t>
      </w:r>
    </w:p>
    <w:p w14:paraId="69DD9A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阀岛使用符合招标方要求的电气系统总线通讯协议。</w:t>
      </w:r>
    </w:p>
    <w:p w14:paraId="4F73D1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阀岛控制模块外壳必须接地，接地线材料宜使用铜编织。</w:t>
      </w:r>
    </w:p>
    <w:p w14:paraId="224647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阀岛控制模块最多携带</w:t>
      </w:r>
      <w:r>
        <w:rPr>
          <w:rFonts w:ascii="宋体" w:hAnsi="宋体" w:eastAsia="宋体" w:cs="宋体"/>
          <w:sz w:val="24"/>
          <w:szCs w:val="24"/>
        </w:rPr>
        <w:t>8</w:t>
      </w:r>
      <w:r>
        <w:rPr>
          <w:rFonts w:hint="eastAsia" w:ascii="宋体" w:hAnsi="宋体" w:eastAsia="宋体" w:cs="宋体"/>
          <w:sz w:val="24"/>
          <w:szCs w:val="24"/>
        </w:rPr>
        <w:t>个输入/输出模块。</w:t>
      </w:r>
    </w:p>
    <w:p w14:paraId="1D0171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阀岛中有未使用接口的场合，应用防尘防水盖覆盖处理。</w:t>
      </w:r>
    </w:p>
    <w:p w14:paraId="667375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阀岛安装部分必须带有防火帘。</w:t>
      </w:r>
    </w:p>
    <w:p w14:paraId="7098F1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阀岛要求金属外壳，防护等级IP65。</w:t>
      </w:r>
    </w:p>
    <w:p w14:paraId="1DDC218C">
      <w:pPr>
        <w:spacing w:line="360" w:lineRule="auto"/>
        <w:ind w:firstLine="480" w:firstLineChars="200"/>
        <w:rPr>
          <w:rFonts w:hint="eastAsia" w:ascii="宋体" w:hAnsi="宋体" w:eastAsia="宋体" w:cs="宋体"/>
          <w:sz w:val="24"/>
          <w:szCs w:val="24"/>
        </w:rPr>
      </w:pPr>
      <w:bookmarkStart w:id="86" w:name="_Toc526801743"/>
      <w:r>
        <w:rPr>
          <w:rFonts w:hint="eastAsia" w:ascii="宋体" w:hAnsi="宋体" w:eastAsia="宋体" w:cs="宋体"/>
          <w:sz w:val="24"/>
          <w:szCs w:val="24"/>
        </w:rPr>
        <w:t>4.4.1.4真空元件设计要求</w:t>
      </w:r>
      <w:bookmarkEnd w:id="86"/>
    </w:p>
    <w:p w14:paraId="7FDE25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真空发生器的供给气源应有净化措施，空气洁净、不含油雾。</w:t>
      </w:r>
    </w:p>
    <w:p w14:paraId="708DC3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真空发生器的供给压力应设置在0.4至0.45MPa之间。</w:t>
      </w:r>
    </w:p>
    <w:p w14:paraId="455A26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真空发生器与吸盘之间连接管应尽量短而直，连接管不得承受外力（管与接头要求使用同品牌供应商，以保证气密性）。</w:t>
      </w:r>
    </w:p>
    <w:p w14:paraId="4A2980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真空发生器排气口处必须无阻碍，使用时不能堵塞，以免影响真空发生器性能。</w:t>
      </w:r>
    </w:p>
    <w:p w14:paraId="0043AB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真空回路必须设置真空压力开关，以便随时监控真空压力变化，防止各种原因使吸盘真空度未达到要求而导致工件未吸附或跌落。</w:t>
      </w:r>
    </w:p>
    <w:p w14:paraId="26ABC7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真空回路中真空压力开关之前必须加装过滤器，防止劣质空气质量对元件造成损害。</w:t>
      </w:r>
    </w:p>
    <w:p w14:paraId="405DDD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优先选择集装式真空发生器，集成真空压力开关、真空供给&amp;破坏阀、过滤器、节能等功能。</w:t>
      </w:r>
    </w:p>
    <w:p w14:paraId="57EAAE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真空发生器应与吸盘一一对应，若单个真空发生器需要同时带多个吸盘，必须选用带单向阀的真空吸盘。</w:t>
      </w:r>
    </w:p>
    <w:p w14:paraId="7AD66EA3">
      <w:pPr>
        <w:spacing w:line="360" w:lineRule="auto"/>
        <w:ind w:firstLine="480" w:firstLineChars="200"/>
        <w:rPr>
          <w:rFonts w:hint="eastAsia" w:ascii="宋体" w:hAnsi="宋体" w:eastAsia="宋体" w:cs="宋体"/>
          <w:sz w:val="24"/>
          <w:szCs w:val="24"/>
        </w:rPr>
      </w:pPr>
      <w:bookmarkStart w:id="87" w:name="_Toc526801744"/>
      <w:r>
        <w:rPr>
          <w:rFonts w:hint="eastAsia" w:ascii="宋体" w:hAnsi="宋体" w:eastAsia="宋体" w:cs="宋体"/>
          <w:sz w:val="24"/>
          <w:szCs w:val="24"/>
        </w:rPr>
        <w:t>4.4.1.5气缸设计要求</w:t>
      </w:r>
      <w:bookmarkEnd w:id="87"/>
    </w:p>
    <w:p w14:paraId="771833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焊接环境有较多灰尘和焊渣，推荐选用带强力刮尘圈气缸。</w:t>
      </w:r>
    </w:p>
    <w:p w14:paraId="0FFEF5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气缸活塞杆应不承受任何横向负载和偏心负载，有横向负载时，活塞杆应加导向装置，或选用带档杆气缸等；有偏心负载时，活塞杆前端与负载必须使用浮动接头或万向节。</w:t>
      </w:r>
    </w:p>
    <w:p w14:paraId="50238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安装耳环式和耳轴式气缸时，应保证气缸的摆动和负载的摆动在同一个平面内。</w:t>
      </w:r>
    </w:p>
    <w:p w14:paraId="1F1460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根据气缸使用环境选用合适的缓冲方式或装置，确保气缸运行顺畅无憋气和反弹现象。</w:t>
      </w:r>
    </w:p>
    <w:p w14:paraId="537AD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气缸的安装形式和安装位置合理，易于更换，缓冲阀和磁性开关等应留出适当调整和维护空间，保证可维护性。</w:t>
      </w:r>
    </w:p>
    <w:p w14:paraId="4EAC4A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在防止下落等有要求的工况下，为确保安全，气缸必须带锁紧功能。</w:t>
      </w:r>
    </w:p>
    <w:p w14:paraId="3312D9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带锁气缸解锁前，务必将气缸、电磁阀等调整至安全状态，防止解锁后急速动作导致事故。</w:t>
      </w:r>
    </w:p>
    <w:p w14:paraId="31FD4C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夹紧气缸应带自锁结构，以确保在失去工作气压时工件仍处于夹紧状态。</w:t>
      </w:r>
    </w:p>
    <w:p w14:paraId="1525D1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焊装工艺不建议使用无杆气缸，若必须使用，无杆气缸的安装应该远离污染源并采取表面防护措施，如防尘罩。</w:t>
      </w:r>
    </w:p>
    <w:p w14:paraId="48D2BE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夹紧气缸使用注意事项：</w:t>
      </w:r>
    </w:p>
    <w:p w14:paraId="305DE6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夹紧臂打开/夹紧动作时间在1秒以上(夹紧缸进气/出气口必须配置调速阀)；</w:t>
      </w:r>
    </w:p>
    <w:p w14:paraId="33AF72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夹紧臂前端负载设置必须在产品要求范围内。</w:t>
      </w:r>
    </w:p>
    <w:p w14:paraId="5DC858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销钉气缸使用注意事项：</w:t>
      </w:r>
    </w:p>
    <w:p w14:paraId="6DC960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偏心定位需要在产品要求范围内使用；</w:t>
      </w:r>
    </w:p>
    <w:p w14:paraId="37C344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根据磁场环境选择合适的磁环及磁性开关类型。</w:t>
      </w:r>
    </w:p>
    <w:p w14:paraId="77A003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锁紧气缸使用注意事项</w:t>
      </w:r>
    </w:p>
    <w:p w14:paraId="079521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锁紧类型有单向、双向之分，使用单向锁时要明确锁紧方向；</w:t>
      </w:r>
    </w:p>
    <w:p w14:paraId="09F84A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锁紧单元采用通气解锁，务必确认锁紧控制气路是否合理。</w:t>
      </w:r>
    </w:p>
    <w:p w14:paraId="236A0B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4.4.2管路连接示意</w:t>
      </w:r>
    </w:p>
    <w:p w14:paraId="6FA5F9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4.4.2.1自工工位管路连接示意</w:t>
      </w:r>
    </w:p>
    <w:p w14:paraId="62D04E6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4752975" cy="3222625"/>
            <wp:effectExtent l="0" t="0" r="9525" b="317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noChangeArrowheads="1"/>
                    </pic:cNvPicPr>
                  </pic:nvPicPr>
                  <pic:blipFill>
                    <a:blip r:embed="rId58"/>
                    <a:srcRect/>
                    <a:stretch>
                      <a:fillRect/>
                    </a:stretch>
                  </pic:blipFill>
                  <pic:spPr>
                    <a:xfrm>
                      <a:off x="0" y="0"/>
                      <a:ext cx="4752975" cy="3222714"/>
                    </a:xfrm>
                    <a:prstGeom prst="rect">
                      <a:avLst/>
                    </a:prstGeom>
                    <a:noFill/>
                    <a:ln w="9525">
                      <a:noFill/>
                      <a:miter lim="800000"/>
                      <a:headEnd/>
                      <a:tailEnd/>
                    </a:ln>
                  </pic:spPr>
                </pic:pic>
              </a:graphicData>
            </a:graphic>
          </wp:inline>
        </w:drawing>
      </w:r>
    </w:p>
    <w:p w14:paraId="3C1DCF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4.4.2.2手工工位管路连接示意</w:t>
      </w:r>
    </w:p>
    <w:p w14:paraId="01D4F12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4514850" cy="2303780"/>
            <wp:effectExtent l="0" t="0" r="6350" b="7620"/>
            <wp:docPr id="71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图片 12"/>
                    <pic:cNvPicPr>
                      <a:picLocks noChangeAspect="1" noChangeArrowheads="1"/>
                    </pic:cNvPicPr>
                  </pic:nvPicPr>
                  <pic:blipFill>
                    <a:blip r:embed="rId59"/>
                    <a:srcRect/>
                    <a:stretch>
                      <a:fillRect/>
                    </a:stretch>
                  </pic:blipFill>
                  <pic:spPr>
                    <a:xfrm>
                      <a:off x="0" y="0"/>
                      <a:ext cx="4541146" cy="2317736"/>
                    </a:xfrm>
                    <a:prstGeom prst="rect">
                      <a:avLst/>
                    </a:prstGeom>
                    <a:noFill/>
                    <a:ln w="9525">
                      <a:noFill/>
                      <a:miter lim="800000"/>
                      <a:headEnd/>
                      <a:tailEnd/>
                    </a:ln>
                  </pic:spPr>
                </pic:pic>
              </a:graphicData>
            </a:graphic>
          </wp:inline>
        </w:drawing>
      </w:r>
    </w:p>
    <w:p w14:paraId="650396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4.5电气控制系统</w:t>
      </w:r>
    </w:p>
    <w:p w14:paraId="732A75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4.5.1通用要求</w:t>
      </w:r>
    </w:p>
    <w:p w14:paraId="5BEF6E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自动化系统安全等级满足SIL3级要求。</w:t>
      </w:r>
    </w:p>
    <w:p w14:paraId="613ACE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自动化系统</w:t>
      </w:r>
      <w:r>
        <w:rPr>
          <w:rFonts w:ascii="宋体" w:hAnsi="宋体" w:eastAsia="宋体" w:cs="宋体"/>
          <w:sz w:val="24"/>
          <w:szCs w:val="24"/>
        </w:rPr>
        <w:t>满足生产工艺节拍并稳定可靠</w:t>
      </w:r>
      <w:r>
        <w:rPr>
          <w:rFonts w:hint="eastAsia" w:ascii="宋体" w:hAnsi="宋体" w:eastAsia="宋体" w:cs="宋体"/>
          <w:sz w:val="24"/>
          <w:szCs w:val="24"/>
        </w:rPr>
        <w:t>运行</w:t>
      </w:r>
      <w:r>
        <w:rPr>
          <w:rFonts w:ascii="宋体" w:hAnsi="宋体" w:eastAsia="宋体" w:cs="宋体"/>
          <w:sz w:val="24"/>
          <w:szCs w:val="24"/>
        </w:rPr>
        <w:t>。</w:t>
      </w:r>
    </w:p>
    <w:p w14:paraId="1D8622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所有设备的安装位置必须易于调试和维护。</w:t>
      </w:r>
    </w:p>
    <w:p w14:paraId="4828F0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承包商应提供2台便携式编程电脑,预装正版系统软件及PLC编程软件。</w:t>
      </w:r>
    </w:p>
    <w:p w14:paraId="685169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所有购买的设备都需要原厂家提供培训，培训内容如产品的结构、性能、使用要求、维护保养方法（包含焊接控制器、电极修磨器、涂胶机、螺柱焊机、焊枪、工具快换装置、变频器、机器人、PLC等）。</w:t>
      </w:r>
    </w:p>
    <w:p w14:paraId="7062BC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所有设备都需要提供调试维护用设备工具（编程设备、专用工具等）。</w:t>
      </w:r>
    </w:p>
    <w:p w14:paraId="6A5CAE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所有控制柜的摆放需要留出维修空间，</w:t>
      </w:r>
      <w:r>
        <w:rPr>
          <w:rFonts w:ascii="宋体" w:hAnsi="宋体" w:eastAsia="宋体" w:cs="宋体"/>
          <w:sz w:val="24"/>
          <w:szCs w:val="24"/>
        </w:rPr>
        <w:t>不影响物流</w:t>
      </w:r>
      <w:r>
        <w:rPr>
          <w:rFonts w:hint="eastAsia" w:ascii="宋体" w:hAnsi="宋体" w:eastAsia="宋体" w:cs="宋体"/>
          <w:sz w:val="24"/>
          <w:szCs w:val="24"/>
        </w:rPr>
        <w:t>和</w:t>
      </w:r>
      <w:r>
        <w:rPr>
          <w:rFonts w:ascii="宋体" w:hAnsi="宋体" w:eastAsia="宋体" w:cs="宋体"/>
          <w:sz w:val="24"/>
          <w:szCs w:val="24"/>
        </w:rPr>
        <w:t>占用通道</w:t>
      </w:r>
      <w:r>
        <w:rPr>
          <w:rFonts w:hint="eastAsia" w:ascii="宋体" w:hAnsi="宋体" w:eastAsia="宋体" w:cs="宋体"/>
          <w:sz w:val="24"/>
          <w:szCs w:val="24"/>
        </w:rPr>
        <w:t>。</w:t>
      </w:r>
    </w:p>
    <w:p w14:paraId="14B0C9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所有焊接飞溅可能涉及的模块、电磁阀、水气电缆接头等都应有防保护措施，且措施得当、合理，保护严密周到。阀岛应有箱式防护装置，需防水、防尘、防踩踏、防碰撞。</w:t>
      </w:r>
    </w:p>
    <w:p w14:paraId="08FE6C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HARTING插头四角应装有定位销。</w:t>
      </w:r>
    </w:p>
    <w:p w14:paraId="4F2308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光栅支架要选用原厂安装支架，再加装保护罩的形式，保护罩的大小要考虑支架调整的便利性。</w:t>
      </w:r>
    </w:p>
    <w:p w14:paraId="113BA8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防护</w:t>
      </w:r>
      <w:r>
        <w:rPr>
          <w:rFonts w:ascii="宋体" w:hAnsi="宋体" w:eastAsia="宋体" w:cs="宋体"/>
          <w:sz w:val="24"/>
          <w:szCs w:val="24"/>
        </w:rPr>
        <w:t>等级</w:t>
      </w:r>
      <w:r>
        <w:rPr>
          <w:rFonts w:hint="eastAsia" w:ascii="宋体" w:hAnsi="宋体" w:eastAsia="宋体" w:cs="宋体"/>
          <w:sz w:val="24"/>
          <w:szCs w:val="24"/>
        </w:rPr>
        <w:t>I</w:t>
      </w:r>
      <w:r>
        <w:rPr>
          <w:rFonts w:ascii="宋体" w:hAnsi="宋体" w:eastAsia="宋体" w:cs="宋体"/>
          <w:sz w:val="24"/>
          <w:szCs w:val="24"/>
        </w:rPr>
        <w:t>P67</w:t>
      </w:r>
      <w:r>
        <w:rPr>
          <w:rFonts w:hint="eastAsia" w:ascii="宋体" w:hAnsi="宋体" w:eastAsia="宋体" w:cs="宋体"/>
          <w:sz w:val="24"/>
          <w:szCs w:val="24"/>
        </w:rPr>
        <w:t>模块的预留接口要加装塑料盖防护。</w:t>
      </w:r>
    </w:p>
    <w:p w14:paraId="1CABC4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禁止使用</w:t>
      </w:r>
      <w:r>
        <w:rPr>
          <w:rFonts w:ascii="宋体" w:hAnsi="宋体" w:eastAsia="宋体" w:cs="宋体"/>
          <w:sz w:val="24"/>
          <w:szCs w:val="24"/>
        </w:rPr>
        <w:t>防护等级</w:t>
      </w:r>
      <w:r>
        <w:rPr>
          <w:rFonts w:hint="eastAsia" w:ascii="宋体" w:hAnsi="宋体" w:eastAsia="宋体" w:cs="宋体"/>
          <w:sz w:val="24"/>
          <w:szCs w:val="24"/>
        </w:rPr>
        <w:t>I</w:t>
      </w:r>
      <w:r>
        <w:rPr>
          <w:rFonts w:ascii="宋体" w:hAnsi="宋体" w:eastAsia="宋体" w:cs="宋体"/>
          <w:sz w:val="24"/>
          <w:szCs w:val="24"/>
        </w:rPr>
        <w:t>P67</w:t>
      </w:r>
      <w:r>
        <w:rPr>
          <w:rFonts w:hint="eastAsia" w:ascii="宋体" w:hAnsi="宋体" w:eastAsia="宋体" w:cs="宋体"/>
          <w:sz w:val="24"/>
          <w:szCs w:val="24"/>
        </w:rPr>
        <w:t>的</w:t>
      </w:r>
      <w:r>
        <w:rPr>
          <w:rFonts w:ascii="宋体" w:hAnsi="宋体" w:eastAsia="宋体" w:cs="宋体"/>
          <w:sz w:val="24"/>
          <w:szCs w:val="24"/>
        </w:rPr>
        <w:t>中继模块或具有中继功能的端子箱</w:t>
      </w:r>
      <w:r>
        <w:rPr>
          <w:rFonts w:hint="eastAsia" w:ascii="宋体" w:hAnsi="宋体" w:eastAsia="宋体" w:cs="宋体"/>
          <w:sz w:val="24"/>
          <w:szCs w:val="24"/>
        </w:rPr>
        <w:t>，所有电缆的外皮剥线不能过长。</w:t>
      </w:r>
    </w:p>
    <w:p w14:paraId="42791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在应用于操作且需要移动的场合，电缆必须是柔性电缆。</w:t>
      </w:r>
    </w:p>
    <w:p w14:paraId="6D2269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直线导轨必须装有防护，且防护装置防烫、防飞溅。</w:t>
      </w:r>
    </w:p>
    <w:p w14:paraId="72F58F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导线的横截面积必须符合国家标准，必须满足设备和电气元件正常稳定运转。</w:t>
      </w:r>
    </w:p>
    <w:p w14:paraId="391058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现场所有的安全设备（急停开关，安全门，安全光栅等）全部为双通道回路，直接接入安全模块，不允许现场串接。</w:t>
      </w:r>
    </w:p>
    <w:p w14:paraId="2CF442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光栅或激光扫描器：自动生产线的人工上件工位或人工工作区域应该使用光栅或者激光扫描器防护，不同的</w:t>
      </w:r>
      <w:r>
        <w:rPr>
          <w:rFonts w:ascii="宋体" w:hAnsi="宋体" w:eastAsia="宋体" w:cs="宋体"/>
          <w:sz w:val="24"/>
          <w:szCs w:val="24"/>
        </w:rPr>
        <w:t>PLC</w:t>
      </w:r>
      <w:r>
        <w:rPr>
          <w:rFonts w:hint="eastAsia" w:ascii="宋体" w:hAnsi="宋体" w:eastAsia="宋体" w:cs="宋体"/>
          <w:sz w:val="24"/>
          <w:szCs w:val="24"/>
        </w:rPr>
        <w:t>安全区域之间也应设置安全光栅进行分区防护。</w:t>
      </w:r>
    </w:p>
    <w:p w14:paraId="3EBD73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安全门：原则上每个机器人工位应在工位两侧分别配置安全门一套，安全门采用快插式接线、安全锁需</w:t>
      </w:r>
      <w:r>
        <w:rPr>
          <w:rFonts w:ascii="宋体" w:hAnsi="宋体" w:eastAsia="宋体" w:cs="宋体"/>
          <w:sz w:val="24"/>
          <w:szCs w:val="24"/>
        </w:rPr>
        <w:t>带有挂维修锁功能和电磁</w:t>
      </w:r>
      <w:r>
        <w:rPr>
          <w:rFonts w:hint="eastAsia" w:ascii="宋体" w:hAnsi="宋体" w:eastAsia="宋体" w:cs="宋体"/>
          <w:sz w:val="24"/>
          <w:szCs w:val="24"/>
        </w:rPr>
        <w:t>吸合</w:t>
      </w:r>
      <w:r>
        <w:rPr>
          <w:rFonts w:ascii="宋体" w:hAnsi="宋体" w:eastAsia="宋体" w:cs="宋体"/>
          <w:sz w:val="24"/>
          <w:szCs w:val="24"/>
        </w:rPr>
        <w:t>和放开功能</w:t>
      </w:r>
      <w:r>
        <w:rPr>
          <w:rFonts w:hint="eastAsia" w:ascii="宋体" w:hAnsi="宋体" w:eastAsia="宋体" w:cs="宋体"/>
          <w:sz w:val="24"/>
          <w:szCs w:val="24"/>
        </w:rPr>
        <w:t>，每个安全门配备红色</w:t>
      </w:r>
      <w:r>
        <w:rPr>
          <w:rFonts w:ascii="宋体" w:hAnsi="宋体" w:eastAsia="宋体" w:cs="宋体"/>
          <w:sz w:val="24"/>
          <w:szCs w:val="24"/>
        </w:rPr>
        <w:t>柱灯</w:t>
      </w:r>
      <w:r>
        <w:rPr>
          <w:rFonts w:hint="eastAsia" w:ascii="宋体" w:hAnsi="宋体" w:eastAsia="宋体" w:cs="宋体"/>
          <w:sz w:val="24"/>
          <w:szCs w:val="24"/>
        </w:rPr>
        <w:t>。</w:t>
      </w:r>
    </w:p>
    <w:p w14:paraId="25B349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紧急停止：</w:t>
      </w:r>
      <w:r>
        <w:rPr>
          <w:rFonts w:ascii="宋体" w:hAnsi="宋体" w:eastAsia="宋体" w:cs="宋体"/>
          <w:sz w:val="24"/>
          <w:szCs w:val="24"/>
        </w:rPr>
        <w:t>每台机器必须有一个或几个紧急停止装置，所有操作员的控制台上都必须有这些紧急停止设备</w:t>
      </w:r>
      <w:r>
        <w:rPr>
          <w:rFonts w:hint="eastAsia" w:ascii="宋体" w:hAnsi="宋体" w:eastAsia="宋体" w:cs="宋体"/>
          <w:sz w:val="24"/>
          <w:szCs w:val="24"/>
        </w:rPr>
        <w:t>，</w:t>
      </w:r>
      <w:r>
        <w:rPr>
          <w:rFonts w:ascii="宋体" w:hAnsi="宋体" w:eastAsia="宋体" w:cs="宋体"/>
          <w:sz w:val="24"/>
          <w:szCs w:val="24"/>
        </w:rPr>
        <w:t>并且在其它地方如果有紧急关闭的需要也可有这些装置</w:t>
      </w:r>
      <w:r>
        <w:rPr>
          <w:rFonts w:hint="eastAsia" w:ascii="宋体" w:hAnsi="宋体" w:eastAsia="宋体" w:cs="宋体"/>
          <w:sz w:val="24"/>
          <w:szCs w:val="24"/>
        </w:rPr>
        <w:t>。</w:t>
      </w:r>
    </w:p>
    <w:p w14:paraId="617025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传感器：所有到位开关形式为接近开关，所有极限开关形式为行程开关，所有焊接区传感器采用防磁防焊型，所有光电开关采用背景抑制功能型，且感应距离可调、暗通/亮通可调。检测工件等易碰撞部位传感器应为高强度防碰撞型，如金属或陶瓷材质。</w:t>
      </w:r>
    </w:p>
    <w:p w14:paraId="177090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所有需要识别车型等信息的线体前后必须配置RFID读写装置，支持PROFINET/以太网/同等通讯协议等通讯协议。</w:t>
      </w:r>
    </w:p>
    <w:p w14:paraId="6ED74D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所有载码体需存储区至少500字节；写入次数</w:t>
      </w:r>
      <w:r>
        <w:rPr>
          <w:rFonts w:ascii="宋体" w:hAnsi="宋体" w:eastAsia="宋体" w:cs="宋体"/>
          <w:sz w:val="24"/>
          <w:szCs w:val="24"/>
        </w:rPr>
        <w:t>≥10</w:t>
      </w:r>
      <w:r>
        <w:rPr>
          <w:rFonts w:hint="eastAsia" w:ascii="宋体" w:hAnsi="宋体" w:eastAsia="宋体" w:cs="宋体"/>
          <w:sz w:val="24"/>
          <w:szCs w:val="24"/>
        </w:rPr>
        <w:t>万次，读取无限次，数据存储时间</w:t>
      </w:r>
      <w:r>
        <w:rPr>
          <w:rFonts w:ascii="宋体" w:hAnsi="宋体" w:eastAsia="宋体" w:cs="宋体"/>
          <w:sz w:val="24"/>
          <w:szCs w:val="24"/>
        </w:rPr>
        <w:t>≥10</w:t>
      </w:r>
      <w:r>
        <w:rPr>
          <w:rFonts w:hint="eastAsia" w:ascii="宋体" w:hAnsi="宋体" w:eastAsia="宋体" w:cs="宋体"/>
          <w:sz w:val="24"/>
          <w:szCs w:val="24"/>
        </w:rPr>
        <w:t>年；读写装置</w:t>
      </w:r>
      <w:r>
        <w:rPr>
          <w:rFonts w:ascii="宋体" w:hAnsi="宋体" w:eastAsia="宋体" w:cs="宋体"/>
          <w:sz w:val="24"/>
          <w:szCs w:val="24"/>
        </w:rPr>
        <w:t>和网</w:t>
      </w:r>
      <w:r>
        <w:rPr>
          <w:rFonts w:hint="eastAsia" w:ascii="宋体" w:hAnsi="宋体" w:eastAsia="宋体" w:cs="宋体"/>
          <w:sz w:val="24"/>
          <w:szCs w:val="24"/>
        </w:rPr>
        <w:t>关</w:t>
      </w:r>
      <w:r>
        <w:rPr>
          <w:rFonts w:ascii="宋体" w:hAnsi="宋体" w:eastAsia="宋体" w:cs="宋体"/>
          <w:sz w:val="24"/>
          <w:szCs w:val="24"/>
        </w:rPr>
        <w:t>达到</w:t>
      </w:r>
      <w:r>
        <w:rPr>
          <w:rFonts w:hint="eastAsia" w:ascii="宋体" w:hAnsi="宋体" w:eastAsia="宋体" w:cs="宋体"/>
          <w:sz w:val="24"/>
          <w:szCs w:val="24"/>
        </w:rPr>
        <w:t>防护等级</w:t>
      </w:r>
      <w:r>
        <w:rPr>
          <w:rFonts w:ascii="宋体" w:hAnsi="宋体" w:eastAsia="宋体" w:cs="宋体"/>
          <w:sz w:val="24"/>
          <w:szCs w:val="24"/>
        </w:rPr>
        <w:t>IP67</w:t>
      </w:r>
      <w:r>
        <w:rPr>
          <w:rFonts w:hint="eastAsia" w:ascii="宋体" w:hAnsi="宋体" w:eastAsia="宋体" w:cs="宋体"/>
          <w:sz w:val="24"/>
          <w:szCs w:val="24"/>
        </w:rPr>
        <w:t>。</w:t>
      </w:r>
    </w:p>
    <w:p w14:paraId="26C3E4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激光条码读写装置，要求光源抗干扰性</w:t>
      </w:r>
      <w:r>
        <w:rPr>
          <w:rFonts w:ascii="宋体" w:hAnsi="宋体" w:eastAsia="宋体" w:cs="宋体"/>
          <w:sz w:val="24"/>
          <w:szCs w:val="24"/>
        </w:rPr>
        <w:t>≥</w:t>
      </w:r>
      <w:r>
        <w:rPr>
          <w:rFonts w:hint="eastAsia" w:ascii="宋体" w:hAnsi="宋体" w:eastAsia="宋体" w:cs="宋体"/>
          <w:sz w:val="24"/>
          <w:szCs w:val="24"/>
        </w:rPr>
        <w:t>7000</w:t>
      </w:r>
      <w:r>
        <w:rPr>
          <w:rFonts w:ascii="宋体" w:hAnsi="宋体" w:eastAsia="宋体" w:cs="宋体"/>
          <w:sz w:val="24"/>
          <w:szCs w:val="24"/>
        </w:rPr>
        <w:t>Lux</w:t>
      </w:r>
      <w:r>
        <w:rPr>
          <w:rFonts w:hint="eastAsia" w:ascii="宋体" w:hAnsi="宋体" w:eastAsia="宋体" w:cs="宋体"/>
          <w:sz w:val="24"/>
          <w:szCs w:val="24"/>
        </w:rPr>
        <w:t>；可用于条码读取显示和参数调整。激光条码读写装置</w:t>
      </w:r>
      <w:r>
        <w:rPr>
          <w:rFonts w:ascii="宋体" w:hAnsi="宋体" w:eastAsia="宋体" w:cs="宋体"/>
          <w:sz w:val="24"/>
          <w:szCs w:val="24"/>
        </w:rPr>
        <w:t>用于高速滚床、升降机等需要准确定位的设备</w:t>
      </w:r>
      <w:r>
        <w:rPr>
          <w:rFonts w:hint="eastAsia" w:ascii="宋体" w:hAnsi="宋体" w:eastAsia="宋体" w:cs="宋体"/>
          <w:sz w:val="24"/>
          <w:szCs w:val="24"/>
        </w:rPr>
        <w:t>，主要</w:t>
      </w:r>
      <w:r>
        <w:rPr>
          <w:rFonts w:ascii="宋体" w:hAnsi="宋体" w:eastAsia="宋体" w:cs="宋体"/>
          <w:sz w:val="24"/>
          <w:szCs w:val="24"/>
        </w:rPr>
        <w:t>应用于</w:t>
      </w:r>
      <w:r>
        <w:rPr>
          <w:rFonts w:hint="eastAsia" w:ascii="宋体" w:hAnsi="宋体" w:eastAsia="宋体" w:cs="宋体"/>
          <w:sz w:val="24"/>
          <w:szCs w:val="24"/>
        </w:rPr>
        <w:t>机器人工位、上件工位、</w:t>
      </w:r>
      <w:r>
        <w:rPr>
          <w:rFonts w:ascii="宋体" w:hAnsi="宋体" w:eastAsia="宋体" w:cs="宋体"/>
          <w:sz w:val="24"/>
          <w:szCs w:val="24"/>
        </w:rPr>
        <w:t>升降机工位</w:t>
      </w:r>
      <w:r>
        <w:rPr>
          <w:rFonts w:hint="eastAsia" w:ascii="宋体" w:hAnsi="宋体" w:eastAsia="宋体" w:cs="宋体"/>
          <w:sz w:val="24"/>
          <w:szCs w:val="24"/>
        </w:rPr>
        <w:t>等。</w:t>
      </w:r>
    </w:p>
    <w:p w14:paraId="34BE62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漏电保护器：对于照明、插座、工具用电源，电源回路需配置漏电保护器。</w:t>
      </w:r>
    </w:p>
    <w:p w14:paraId="28C199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中间继电器：</w:t>
      </w:r>
      <w:r>
        <w:rPr>
          <w:rFonts w:ascii="宋体" w:hAnsi="宋体" w:eastAsia="宋体" w:cs="宋体"/>
          <w:sz w:val="24"/>
          <w:szCs w:val="24"/>
        </w:rPr>
        <w:t>继电器在正常负荷下，电寿命不低于1</w:t>
      </w:r>
      <w:r>
        <w:rPr>
          <w:rFonts w:hint="eastAsia" w:ascii="宋体" w:hAnsi="宋体" w:eastAsia="宋体" w:cs="宋体"/>
          <w:sz w:val="24"/>
          <w:szCs w:val="24"/>
        </w:rPr>
        <w:t>0</w:t>
      </w:r>
      <w:r>
        <w:rPr>
          <w:rFonts w:ascii="宋体" w:hAnsi="宋体" w:eastAsia="宋体" w:cs="宋体"/>
          <w:sz w:val="24"/>
          <w:szCs w:val="24"/>
        </w:rPr>
        <w:t>万次</w:t>
      </w:r>
      <w:r>
        <w:rPr>
          <w:rFonts w:hint="eastAsia" w:ascii="宋体" w:hAnsi="宋体" w:eastAsia="宋体" w:cs="宋体"/>
          <w:sz w:val="24"/>
          <w:szCs w:val="24"/>
        </w:rPr>
        <w:t>。</w:t>
      </w:r>
    </w:p>
    <w:p w14:paraId="188301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光栅保护</w:t>
      </w:r>
      <w:r>
        <w:rPr>
          <w:rFonts w:ascii="宋体" w:hAnsi="宋体" w:eastAsia="宋体" w:cs="宋体"/>
          <w:sz w:val="24"/>
          <w:szCs w:val="24"/>
        </w:rPr>
        <w:t>区域处需</w:t>
      </w:r>
      <w:r>
        <w:rPr>
          <w:rFonts w:hint="eastAsia" w:ascii="宋体" w:hAnsi="宋体" w:eastAsia="宋体" w:cs="宋体"/>
          <w:sz w:val="24"/>
          <w:szCs w:val="24"/>
        </w:rPr>
        <w:t>配置红色柱灯及复位按钮盒。</w:t>
      </w:r>
    </w:p>
    <w:p w14:paraId="4369AE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w:t>
      </w:r>
      <w:r>
        <w:rPr>
          <w:rFonts w:ascii="宋体" w:hAnsi="宋体" w:eastAsia="宋体" w:cs="宋体"/>
          <w:sz w:val="24"/>
          <w:szCs w:val="24"/>
        </w:rPr>
        <w:t>、HMI等重要</w:t>
      </w:r>
      <w:r>
        <w:rPr>
          <w:rFonts w:hint="eastAsia" w:ascii="宋体" w:hAnsi="宋体" w:eastAsia="宋体" w:cs="宋体"/>
          <w:sz w:val="24"/>
          <w:szCs w:val="24"/>
        </w:rPr>
        <w:t>控制</w:t>
      </w:r>
      <w:r>
        <w:rPr>
          <w:rFonts w:ascii="宋体" w:hAnsi="宋体" w:eastAsia="宋体" w:cs="宋体"/>
          <w:sz w:val="24"/>
          <w:szCs w:val="24"/>
        </w:rPr>
        <w:t>设备的</w:t>
      </w:r>
      <w:r>
        <w:rPr>
          <w:rFonts w:hint="eastAsia" w:ascii="宋体" w:hAnsi="宋体" w:eastAsia="宋体" w:cs="宋体"/>
          <w:sz w:val="24"/>
          <w:szCs w:val="24"/>
        </w:rPr>
        <w:t>柱灯</w:t>
      </w:r>
      <w:r>
        <w:rPr>
          <w:rFonts w:ascii="宋体" w:hAnsi="宋体" w:eastAsia="宋体" w:cs="宋体"/>
          <w:sz w:val="24"/>
          <w:szCs w:val="24"/>
        </w:rPr>
        <w:t>采用三色组合形式</w:t>
      </w:r>
      <w:r>
        <w:rPr>
          <w:rFonts w:hint="eastAsia" w:ascii="宋体" w:hAnsi="宋体" w:eastAsia="宋体" w:cs="宋体"/>
          <w:sz w:val="24"/>
          <w:szCs w:val="24"/>
        </w:rPr>
        <w:t>。</w:t>
      </w:r>
    </w:p>
    <w:p w14:paraId="799724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各系统均</w:t>
      </w:r>
      <w:r>
        <w:rPr>
          <w:rFonts w:ascii="宋体" w:hAnsi="宋体" w:eastAsia="宋体" w:cs="宋体"/>
          <w:sz w:val="24"/>
          <w:szCs w:val="24"/>
        </w:rPr>
        <w:t>由各自独立的PLC控制并根据实际情况</w:t>
      </w:r>
      <w:r>
        <w:rPr>
          <w:rFonts w:hint="eastAsia" w:ascii="宋体" w:hAnsi="宋体" w:eastAsia="宋体" w:cs="宋体"/>
          <w:sz w:val="24"/>
          <w:szCs w:val="24"/>
        </w:rPr>
        <w:t>合理</w:t>
      </w:r>
      <w:r>
        <w:rPr>
          <w:rFonts w:ascii="宋体" w:hAnsi="宋体" w:eastAsia="宋体" w:cs="宋体"/>
          <w:sz w:val="24"/>
          <w:szCs w:val="24"/>
        </w:rPr>
        <w:t>分配控制区域和系统</w:t>
      </w:r>
      <w:r>
        <w:rPr>
          <w:rFonts w:hint="eastAsia" w:ascii="宋体" w:hAnsi="宋体" w:eastAsia="宋体" w:cs="宋体"/>
          <w:sz w:val="24"/>
          <w:szCs w:val="24"/>
        </w:rPr>
        <w:t>PLC</w:t>
      </w:r>
      <w:r>
        <w:rPr>
          <w:rFonts w:ascii="宋体" w:hAnsi="宋体" w:eastAsia="宋体" w:cs="宋体"/>
          <w:sz w:val="24"/>
          <w:szCs w:val="24"/>
        </w:rPr>
        <w:t>数量</w:t>
      </w:r>
      <w:r>
        <w:rPr>
          <w:rFonts w:hint="eastAsia" w:ascii="宋体" w:hAnsi="宋体" w:eastAsia="宋体" w:cs="宋体"/>
          <w:sz w:val="24"/>
          <w:szCs w:val="24"/>
        </w:rPr>
        <w:t>。</w:t>
      </w:r>
    </w:p>
    <w:p w14:paraId="531613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存在前后动作逻辑关系的各应用单元间必须具有可靠的机械互锁与程序互锁的关系，前后不能产生误操作，以免产生危险。</w:t>
      </w:r>
    </w:p>
    <w:p w14:paraId="1AC6BC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为缩短投入下款车型时的改造周期，一期电控设计时需考虑后期预留设备。</w:t>
      </w:r>
    </w:p>
    <w:p w14:paraId="728AD8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所有导线采用绝缘线鼻子压接，不能采用焊接。</w:t>
      </w:r>
    </w:p>
    <w:p w14:paraId="1E46E6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w:t>
      </w:r>
      <w:r>
        <w:rPr>
          <w:rFonts w:ascii="宋体" w:hAnsi="宋体" w:eastAsia="宋体" w:cs="宋体"/>
          <w:sz w:val="24"/>
          <w:szCs w:val="24"/>
        </w:rPr>
        <w:t>设备（</w:t>
      </w:r>
      <w:r>
        <w:rPr>
          <w:rFonts w:hint="eastAsia" w:ascii="宋体" w:hAnsi="宋体" w:eastAsia="宋体" w:cs="宋体"/>
          <w:sz w:val="24"/>
          <w:szCs w:val="24"/>
        </w:rPr>
        <w:t>按钮</w:t>
      </w:r>
      <w:r>
        <w:rPr>
          <w:rFonts w:ascii="宋体" w:hAnsi="宋体" w:eastAsia="宋体" w:cs="宋体"/>
          <w:sz w:val="24"/>
          <w:szCs w:val="24"/>
        </w:rPr>
        <w:t>、开关</w:t>
      </w:r>
      <w:r>
        <w:rPr>
          <w:rFonts w:hint="eastAsia" w:ascii="宋体" w:hAnsi="宋体" w:eastAsia="宋体" w:cs="宋体"/>
          <w:sz w:val="24"/>
          <w:szCs w:val="24"/>
        </w:rPr>
        <w:t>、</w:t>
      </w:r>
      <w:r>
        <w:rPr>
          <w:rFonts w:ascii="宋体" w:hAnsi="宋体" w:eastAsia="宋体" w:cs="宋体"/>
          <w:sz w:val="24"/>
          <w:szCs w:val="24"/>
        </w:rPr>
        <w:t>电缆、阀岛、柜体箱体等设备）</w:t>
      </w:r>
      <w:r>
        <w:rPr>
          <w:rFonts w:hint="eastAsia" w:ascii="宋体" w:hAnsi="宋体" w:eastAsia="宋体" w:cs="宋体"/>
          <w:sz w:val="24"/>
          <w:szCs w:val="24"/>
        </w:rPr>
        <w:t>需要</w:t>
      </w:r>
      <w:r>
        <w:rPr>
          <w:rFonts w:ascii="宋体" w:hAnsi="宋体" w:eastAsia="宋体" w:cs="宋体"/>
          <w:sz w:val="24"/>
          <w:szCs w:val="24"/>
        </w:rPr>
        <w:t>有标牌标识，便于维修。</w:t>
      </w:r>
    </w:p>
    <w:p w14:paraId="01A8CE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每个</w:t>
      </w:r>
      <w:r>
        <w:rPr>
          <w:rFonts w:ascii="宋体" w:hAnsi="宋体" w:eastAsia="宋体" w:cs="宋体"/>
          <w:sz w:val="24"/>
          <w:szCs w:val="24"/>
        </w:rPr>
        <w:t>电源柜柜体面板</w:t>
      </w:r>
      <w:r>
        <w:rPr>
          <w:rFonts w:hint="eastAsia" w:ascii="宋体" w:hAnsi="宋体" w:eastAsia="宋体" w:cs="宋体"/>
          <w:sz w:val="24"/>
          <w:szCs w:val="24"/>
        </w:rPr>
        <w:t>配置多功能</w:t>
      </w:r>
      <w:r>
        <w:rPr>
          <w:rFonts w:ascii="宋体" w:hAnsi="宋体" w:eastAsia="宋体" w:cs="宋体"/>
          <w:sz w:val="24"/>
          <w:szCs w:val="24"/>
        </w:rPr>
        <w:t>远程智能仪表，具备与能源管理系统对接的功能。</w:t>
      </w:r>
    </w:p>
    <w:p w14:paraId="490A53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机器人</w:t>
      </w:r>
      <w:r>
        <w:rPr>
          <w:rFonts w:ascii="宋体" w:hAnsi="宋体" w:eastAsia="宋体" w:cs="宋体"/>
          <w:sz w:val="24"/>
          <w:szCs w:val="24"/>
        </w:rPr>
        <w:t>换枪盘</w:t>
      </w:r>
      <w:r>
        <w:rPr>
          <w:rFonts w:hint="eastAsia" w:ascii="宋体" w:hAnsi="宋体" w:eastAsia="宋体" w:cs="宋体"/>
          <w:sz w:val="24"/>
          <w:szCs w:val="24"/>
        </w:rPr>
        <w:t>具有节点</w:t>
      </w:r>
      <w:r>
        <w:rPr>
          <w:rFonts w:ascii="宋体" w:hAnsi="宋体" w:eastAsia="宋体" w:cs="宋体"/>
          <w:sz w:val="24"/>
          <w:szCs w:val="24"/>
        </w:rPr>
        <w:t>通讯功能，</w:t>
      </w:r>
      <w:r>
        <w:rPr>
          <w:rFonts w:hint="eastAsia" w:ascii="宋体" w:hAnsi="宋体" w:eastAsia="宋体" w:cs="宋体"/>
          <w:sz w:val="24"/>
          <w:szCs w:val="24"/>
        </w:rPr>
        <w:t>与</w:t>
      </w:r>
      <w:r>
        <w:rPr>
          <w:rFonts w:ascii="宋体" w:hAnsi="宋体" w:eastAsia="宋体" w:cs="宋体"/>
          <w:sz w:val="24"/>
          <w:szCs w:val="24"/>
        </w:rPr>
        <w:t>机器人控制柜</w:t>
      </w:r>
      <w:r>
        <w:rPr>
          <w:rFonts w:hint="eastAsia" w:ascii="宋体" w:hAnsi="宋体" w:eastAsia="宋体" w:cs="宋体"/>
          <w:sz w:val="24"/>
          <w:szCs w:val="24"/>
        </w:rPr>
        <w:t>进行</w:t>
      </w:r>
      <w:r>
        <w:rPr>
          <w:rFonts w:ascii="宋体" w:hAnsi="宋体" w:eastAsia="宋体" w:cs="宋体"/>
          <w:sz w:val="24"/>
          <w:szCs w:val="24"/>
        </w:rPr>
        <w:t>PROFINET/以太网/同等通讯协议</w:t>
      </w:r>
      <w:r>
        <w:rPr>
          <w:rFonts w:hint="eastAsia" w:ascii="宋体" w:hAnsi="宋体" w:eastAsia="宋体" w:cs="宋体"/>
          <w:sz w:val="24"/>
          <w:szCs w:val="24"/>
        </w:rPr>
        <w:t>通讯</w:t>
      </w:r>
      <w:r>
        <w:rPr>
          <w:rFonts w:ascii="宋体" w:hAnsi="宋体" w:eastAsia="宋体" w:cs="宋体"/>
          <w:sz w:val="24"/>
          <w:szCs w:val="24"/>
        </w:rPr>
        <w:t>。</w:t>
      </w:r>
    </w:p>
    <w:p w14:paraId="2BC25E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w:t>
      </w:r>
      <w:r>
        <w:rPr>
          <w:rFonts w:ascii="宋体" w:hAnsi="宋体" w:eastAsia="宋体" w:cs="宋体"/>
          <w:sz w:val="24"/>
          <w:szCs w:val="24"/>
        </w:rPr>
        <w:t>变频器</w:t>
      </w:r>
      <w:r>
        <w:rPr>
          <w:rFonts w:hint="eastAsia" w:ascii="宋体" w:hAnsi="宋体" w:eastAsia="宋体" w:cs="宋体"/>
          <w:sz w:val="24"/>
          <w:szCs w:val="24"/>
        </w:rPr>
        <w:t>必须</w:t>
      </w:r>
      <w:r>
        <w:rPr>
          <w:rFonts w:ascii="宋体" w:hAnsi="宋体" w:eastAsia="宋体" w:cs="宋体"/>
          <w:sz w:val="24"/>
          <w:szCs w:val="24"/>
        </w:rPr>
        <w:t>配置</w:t>
      </w:r>
      <w:r>
        <w:rPr>
          <w:rFonts w:hint="eastAsia" w:ascii="宋体" w:hAnsi="宋体" w:eastAsia="宋体" w:cs="宋体"/>
          <w:sz w:val="24"/>
          <w:szCs w:val="24"/>
        </w:rPr>
        <w:t>单独</w:t>
      </w:r>
      <w:r>
        <w:rPr>
          <w:rFonts w:ascii="宋体" w:hAnsi="宋体" w:eastAsia="宋体" w:cs="宋体"/>
          <w:sz w:val="24"/>
          <w:szCs w:val="24"/>
        </w:rPr>
        <w:t>的操作面板，便于</w:t>
      </w:r>
      <w:r>
        <w:rPr>
          <w:rFonts w:hint="eastAsia" w:ascii="宋体" w:hAnsi="宋体" w:eastAsia="宋体" w:cs="宋体"/>
          <w:sz w:val="24"/>
          <w:szCs w:val="24"/>
        </w:rPr>
        <w:t>操作</w:t>
      </w:r>
      <w:r>
        <w:rPr>
          <w:rFonts w:ascii="宋体" w:hAnsi="宋体" w:eastAsia="宋体" w:cs="宋体"/>
          <w:sz w:val="24"/>
          <w:szCs w:val="24"/>
        </w:rPr>
        <w:t>和维护。</w:t>
      </w:r>
    </w:p>
    <w:p w14:paraId="0B7017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4.5.2通讯网络架构标准</w:t>
      </w:r>
    </w:p>
    <w:p w14:paraId="221DA5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此网络架构中，一个控制分区应仅有一套</w:t>
      </w:r>
      <w:r>
        <w:rPr>
          <w:rFonts w:ascii="宋体" w:hAnsi="宋体" w:eastAsia="宋体" w:cs="宋体"/>
          <w:sz w:val="24"/>
          <w:szCs w:val="24"/>
        </w:rPr>
        <w:t>PLC</w:t>
      </w:r>
      <w:r>
        <w:rPr>
          <w:rFonts w:hint="eastAsia" w:ascii="宋体" w:hAnsi="宋体" w:eastAsia="宋体" w:cs="宋体"/>
          <w:sz w:val="24"/>
          <w:szCs w:val="24"/>
        </w:rPr>
        <w:t>，可处理普通任务和安全任务。现场安全信号和常规信号均通过同一介质总线上传</w:t>
      </w:r>
      <w:r>
        <w:rPr>
          <w:rFonts w:ascii="宋体" w:hAnsi="宋体" w:eastAsia="宋体" w:cs="宋体"/>
          <w:sz w:val="24"/>
          <w:szCs w:val="24"/>
        </w:rPr>
        <w:t>PLC</w:t>
      </w:r>
      <w:r>
        <w:rPr>
          <w:rFonts w:hint="eastAsia" w:ascii="宋体" w:hAnsi="宋体" w:eastAsia="宋体" w:cs="宋体"/>
          <w:sz w:val="24"/>
          <w:szCs w:val="24"/>
        </w:rPr>
        <w:t>，该总线上通过不同通讯协议机制同时传输常规控制信号和安全信号，可保证控制实时性和安全系统的安全等级。常规任务和安全任务通过</w:t>
      </w:r>
      <w:r>
        <w:rPr>
          <w:rFonts w:ascii="宋体" w:hAnsi="宋体" w:eastAsia="宋体" w:cs="宋体"/>
          <w:sz w:val="24"/>
          <w:szCs w:val="24"/>
        </w:rPr>
        <w:t>PLC</w:t>
      </w:r>
      <w:r>
        <w:rPr>
          <w:rFonts w:hint="eastAsia" w:ascii="宋体" w:hAnsi="宋体" w:eastAsia="宋体" w:cs="宋体"/>
          <w:sz w:val="24"/>
          <w:szCs w:val="24"/>
        </w:rPr>
        <w:t>程序内部联锁来实现统一控制。通讯网络架构示意图可参见下图。</w:t>
      </w:r>
    </w:p>
    <w:p w14:paraId="2336B7D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5581650" cy="3419475"/>
            <wp:effectExtent l="0" t="0" r="6350" b="9525"/>
            <wp:docPr id="44"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图示&#10;&#10;中度可信度描述已自动生成"/>
                    <pic:cNvPicPr>
                      <a:picLocks noChangeAspect="1" noChangeArrowheads="1"/>
                    </pic:cNvPicPr>
                  </pic:nvPicPr>
                  <pic:blipFill>
                    <a:blip r:embed="rId60" cstate="print"/>
                    <a:srcRect/>
                    <a:stretch>
                      <a:fillRect/>
                    </a:stretch>
                  </pic:blipFill>
                  <pic:spPr>
                    <a:xfrm>
                      <a:off x="0" y="0"/>
                      <a:ext cx="5581650" cy="3419475"/>
                    </a:xfrm>
                    <a:prstGeom prst="rect">
                      <a:avLst/>
                    </a:prstGeom>
                    <a:noFill/>
                    <a:ln w="9525">
                      <a:noFill/>
                      <a:miter lim="800000"/>
                      <a:headEnd/>
                      <a:tailEnd/>
                    </a:ln>
                  </pic:spPr>
                </pic:pic>
              </a:graphicData>
            </a:graphic>
          </wp:inline>
        </w:drawing>
      </w:r>
    </w:p>
    <w:p w14:paraId="534428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4.5.3控制电源系统要求</w:t>
      </w:r>
    </w:p>
    <w:p w14:paraId="33C7E1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控制回路需配置隔离变压器。</w:t>
      </w:r>
    </w:p>
    <w:p w14:paraId="2C51C7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各种电源的额定容量应大于计算容量的50%。</w:t>
      </w:r>
    </w:p>
    <w:p w14:paraId="2B83F3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PLC电源和PLC输入输出电源需从设备上端引入，PLC电源输入侧设置隔离变压器和滤波器。</w:t>
      </w:r>
    </w:p>
    <w:p w14:paraId="6EB881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总线如负载较大或分布较长，引起总线电源供应不足，电压降低时，需在总线远端配置分散电源，加强总线电源供应，</w:t>
      </w:r>
      <w:r>
        <w:rPr>
          <w:rFonts w:ascii="宋体" w:hAnsi="宋体" w:eastAsia="宋体" w:cs="宋体"/>
          <w:sz w:val="24"/>
          <w:szCs w:val="24"/>
        </w:rPr>
        <w:t>以确保通讯稳定运行</w:t>
      </w:r>
      <w:r>
        <w:rPr>
          <w:rFonts w:hint="eastAsia" w:ascii="宋体" w:hAnsi="宋体" w:eastAsia="宋体" w:cs="宋体"/>
          <w:sz w:val="24"/>
          <w:szCs w:val="24"/>
        </w:rPr>
        <w:t>。</w:t>
      </w:r>
    </w:p>
    <w:p w14:paraId="4AF487A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电气控制系统及元件能够适应工厂电网上的电压波动和脉冲干扰</w:t>
      </w:r>
      <w:r>
        <w:rPr>
          <w:rFonts w:hint="eastAsia" w:ascii="宋体" w:hAnsi="宋体" w:eastAsia="宋体" w:cs="宋体"/>
          <w:sz w:val="24"/>
          <w:szCs w:val="24"/>
        </w:rPr>
        <w:t>。</w:t>
      </w:r>
    </w:p>
    <w:p w14:paraId="5ECE031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在电压干扰和掉电之后，被中断的程序必须能够重新启动运行</w:t>
      </w:r>
      <w:r>
        <w:rPr>
          <w:rFonts w:hint="eastAsia" w:ascii="宋体" w:hAnsi="宋体" w:eastAsia="宋体" w:cs="宋体"/>
          <w:sz w:val="24"/>
          <w:szCs w:val="24"/>
        </w:rPr>
        <w:t>。</w:t>
      </w:r>
    </w:p>
    <w:p w14:paraId="1736175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电源系统的一相或两相掉电时，所有设备电源必须随之自动断开</w:t>
      </w:r>
      <w:r>
        <w:rPr>
          <w:rFonts w:hint="eastAsia" w:ascii="宋体" w:hAnsi="宋体" w:eastAsia="宋体" w:cs="宋体"/>
          <w:sz w:val="24"/>
          <w:szCs w:val="24"/>
        </w:rPr>
        <w:t>，如有必要则需加入带缺相保护功能的断路器。</w:t>
      </w:r>
    </w:p>
    <w:p w14:paraId="3866EAC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在电源断电或设备急停时，为了避免设备损坏或人身伤害，不允许设备的任何运动执行部件还有任何运动</w:t>
      </w:r>
      <w:r>
        <w:rPr>
          <w:rFonts w:hint="eastAsia" w:ascii="宋体" w:hAnsi="宋体" w:eastAsia="宋体" w:cs="宋体"/>
          <w:sz w:val="24"/>
          <w:szCs w:val="24"/>
        </w:rPr>
        <w:t>。</w:t>
      </w:r>
    </w:p>
    <w:p w14:paraId="60CFFC0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电压下降到定值时，设备将自动停止运转，以免在有电压干扰的情况下，引起继电器释放造成受控制序列失控而损坏设备。</w:t>
      </w:r>
    </w:p>
    <w:p w14:paraId="3E90BE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4.5.4</w:t>
      </w:r>
      <w:r>
        <w:rPr>
          <w:rFonts w:ascii="宋体" w:hAnsi="宋体" w:eastAsia="宋体" w:cs="宋体"/>
          <w:sz w:val="24"/>
          <w:szCs w:val="24"/>
        </w:rPr>
        <w:t>PLC控制要求</w:t>
      </w:r>
    </w:p>
    <w:p w14:paraId="57CF93C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CPU采用故障安全型</w:t>
      </w:r>
      <w:r>
        <w:rPr>
          <w:rFonts w:hint="eastAsia" w:ascii="宋体" w:hAnsi="宋体" w:eastAsia="宋体" w:cs="宋体"/>
          <w:sz w:val="24"/>
          <w:szCs w:val="24"/>
        </w:rPr>
        <w:t>，</w:t>
      </w:r>
      <w:r>
        <w:rPr>
          <w:rFonts w:ascii="宋体" w:hAnsi="宋体" w:eastAsia="宋体" w:cs="宋体"/>
          <w:sz w:val="24"/>
          <w:szCs w:val="24"/>
        </w:rPr>
        <w:t>正常要求PLC存储器除正常程序、参数占用空间外，至少预留20%的存储空间。</w:t>
      </w:r>
    </w:p>
    <w:p w14:paraId="004BD8F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每套PLC需单独配置以太网通讯模块，使设备层网络和监控层网络独立分开。</w:t>
      </w:r>
    </w:p>
    <w:p w14:paraId="5855169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每套PLC最多接入16台机器人。</w:t>
      </w:r>
    </w:p>
    <w:p w14:paraId="19D53903">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各PLC系统预留20%I/O点；设备正常运行时有运行信号灯显示，当出现异常故障时有相应的显示和报警。</w:t>
      </w:r>
    </w:p>
    <w:p w14:paraId="44EEDE4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要求预留至少2个PLC插槽留作备用。</w:t>
      </w:r>
    </w:p>
    <w:p w14:paraId="68D3AAC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PLC处理器应具有备份存储功能，用户程序和数据可通过备份存储卡在控制系统掉电的情况下依然得到保持，对于安全控制程序，也必须具备程序备份存储功能，并可在系统上电后进行恢复</w:t>
      </w:r>
      <w:r>
        <w:rPr>
          <w:rFonts w:hint="eastAsia" w:ascii="宋体" w:hAnsi="宋体" w:eastAsia="宋体" w:cs="宋体"/>
          <w:sz w:val="24"/>
          <w:szCs w:val="24"/>
        </w:rPr>
        <w:t>。</w:t>
      </w:r>
    </w:p>
    <w:p w14:paraId="64AEB0E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PLC须有线体总报警功能，线体任何工位报警均可触发总报警，总报警需体现声光报警。</w:t>
      </w:r>
    </w:p>
    <w:p w14:paraId="0C57D5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4.5.5总线要求</w:t>
      </w:r>
    </w:p>
    <w:p w14:paraId="3FDF48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现场总线采用</w:t>
      </w:r>
      <w:r>
        <w:rPr>
          <w:rFonts w:ascii="宋体" w:hAnsi="宋体" w:eastAsia="宋体" w:cs="宋体"/>
          <w:sz w:val="24"/>
          <w:szCs w:val="24"/>
        </w:rPr>
        <w:t>PROFINET/以太网/同等通讯协议</w:t>
      </w:r>
      <w:r>
        <w:rPr>
          <w:rFonts w:hint="eastAsia" w:ascii="宋体" w:hAnsi="宋体" w:eastAsia="宋体" w:cs="宋体"/>
          <w:sz w:val="24"/>
          <w:szCs w:val="24"/>
        </w:rPr>
        <w:t>通讯协议，</w:t>
      </w:r>
      <w:r>
        <w:rPr>
          <w:rFonts w:ascii="宋体" w:hAnsi="宋体" w:eastAsia="宋体" w:cs="宋体"/>
          <w:sz w:val="24"/>
          <w:szCs w:val="24"/>
        </w:rPr>
        <w:t>组成环网通讯</w:t>
      </w:r>
      <w:r>
        <w:rPr>
          <w:rFonts w:hint="eastAsia" w:ascii="宋体" w:hAnsi="宋体" w:eastAsia="宋体" w:cs="宋体"/>
          <w:sz w:val="24"/>
          <w:szCs w:val="24"/>
        </w:rPr>
        <w:t>。</w:t>
      </w:r>
    </w:p>
    <w:p w14:paraId="768FC0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安装在控制柜、驱动站、操作站内的模块选用</w:t>
      </w:r>
      <w:r>
        <w:rPr>
          <w:rFonts w:ascii="宋体" w:hAnsi="宋体" w:eastAsia="宋体" w:cs="宋体"/>
          <w:sz w:val="24"/>
          <w:szCs w:val="24"/>
        </w:rPr>
        <w:t>IP20</w:t>
      </w:r>
      <w:r>
        <w:rPr>
          <w:rFonts w:hint="eastAsia" w:ascii="宋体" w:hAnsi="宋体" w:eastAsia="宋体" w:cs="宋体"/>
          <w:sz w:val="24"/>
          <w:szCs w:val="24"/>
        </w:rPr>
        <w:t>防护等级；</w:t>
      </w:r>
    </w:p>
    <w:p w14:paraId="718462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直接安装在现场的总线模块选用</w:t>
      </w:r>
      <w:r>
        <w:rPr>
          <w:rFonts w:ascii="宋体" w:hAnsi="宋体" w:eastAsia="宋体" w:cs="宋体"/>
          <w:sz w:val="24"/>
          <w:szCs w:val="24"/>
        </w:rPr>
        <w:t>IP67</w:t>
      </w:r>
      <w:r>
        <w:rPr>
          <w:rFonts w:hint="eastAsia" w:ascii="宋体" w:hAnsi="宋体" w:eastAsia="宋体" w:cs="宋体"/>
          <w:sz w:val="24"/>
          <w:szCs w:val="24"/>
        </w:rPr>
        <w:t>防护等级。</w:t>
      </w:r>
    </w:p>
    <w:p w14:paraId="43E1206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IP20</w:t>
      </w:r>
      <w:r>
        <w:rPr>
          <w:rFonts w:hint="eastAsia" w:ascii="宋体" w:hAnsi="宋体" w:eastAsia="宋体" w:cs="宋体"/>
          <w:sz w:val="24"/>
          <w:szCs w:val="24"/>
        </w:rPr>
        <w:t>防护等级远程总线站，要求每10个信号模块配置一块辅助电源并支持热插拔。</w:t>
      </w:r>
    </w:p>
    <w:p w14:paraId="224338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各现场总线模块最少应预留20%的</w:t>
      </w:r>
      <w:r>
        <w:rPr>
          <w:rFonts w:ascii="宋体" w:hAnsi="宋体" w:eastAsia="宋体" w:cs="宋体"/>
          <w:sz w:val="24"/>
          <w:szCs w:val="24"/>
        </w:rPr>
        <w:t>I/O</w:t>
      </w:r>
      <w:r>
        <w:rPr>
          <w:rFonts w:hint="eastAsia" w:ascii="宋体" w:hAnsi="宋体" w:eastAsia="宋体" w:cs="宋体"/>
          <w:sz w:val="24"/>
          <w:szCs w:val="24"/>
        </w:rPr>
        <w:t>点。</w:t>
      </w:r>
    </w:p>
    <w:p w14:paraId="73FD72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w:t>
      </w:r>
      <w:r>
        <w:rPr>
          <w:rFonts w:ascii="宋体" w:hAnsi="宋体" w:eastAsia="宋体" w:cs="宋体"/>
          <w:sz w:val="24"/>
          <w:szCs w:val="24"/>
        </w:rPr>
        <w:t>PLC</w:t>
      </w:r>
      <w:r>
        <w:rPr>
          <w:rFonts w:hint="eastAsia" w:ascii="宋体" w:hAnsi="宋体" w:eastAsia="宋体" w:cs="宋体"/>
          <w:sz w:val="24"/>
          <w:szCs w:val="24"/>
        </w:rPr>
        <w:t>系统内交换机，均应带环网冗余功能，交换机具有网管功能。</w:t>
      </w:r>
    </w:p>
    <w:p w14:paraId="56D7E3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4.5.6</w:t>
      </w:r>
      <w:r>
        <w:rPr>
          <w:rFonts w:ascii="宋体" w:hAnsi="宋体" w:eastAsia="宋体" w:cs="宋体"/>
          <w:sz w:val="24"/>
          <w:szCs w:val="24"/>
        </w:rPr>
        <w:t>柜体箱体</w:t>
      </w:r>
    </w:p>
    <w:p w14:paraId="53D9BD8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所有放置变频器的控制柜体、PLC控制柜必须安装自蒸发式侧装空调装置，其他控制柜体需要有冷却装置，所有的控制柜必须维持柜内清洁和温度在35度以下，所有控制柜体必须满足IP54等级要求。</w:t>
      </w:r>
    </w:p>
    <w:p w14:paraId="7990D9C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每一设备主控制柜都装备一个机械方式操作的主开关并且应装有“主开关”（“MAIN SWITCH”）的符号标记。</w:t>
      </w:r>
    </w:p>
    <w:p w14:paraId="5BC355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只允许主开关锁定在接通状态（</w:t>
      </w:r>
      <w:r>
        <w:rPr>
          <w:rFonts w:ascii="宋体" w:hAnsi="宋体" w:eastAsia="宋体" w:cs="宋体"/>
          <w:sz w:val="24"/>
          <w:szCs w:val="24"/>
        </w:rPr>
        <w:t>ON），主开关至少用一把挂锁进行保护。</w:t>
      </w:r>
    </w:p>
    <w:p w14:paraId="2CAB5707">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控制柜内的所有线槽需采用防火材料，着火的情况下，不释放出有毒害气体。</w:t>
      </w:r>
    </w:p>
    <w:p w14:paraId="4D03257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控制柜、操作站及其内部的行线槽须具有20%以上的额外空间；电气元件布置有规律，导线都走行线槽，使槽内整齐不凌乱。</w:t>
      </w:r>
    </w:p>
    <w:p w14:paraId="237731D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控制柜内的安装面板要被制造的足够大，需留有20%的进一步扩大空间。</w:t>
      </w:r>
    </w:p>
    <w:p w14:paraId="437D1B3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所有控制柜内要有照明系统，门开则通，门关则断。</w:t>
      </w:r>
    </w:p>
    <w:p w14:paraId="3D48CB6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控制柜进出线方式为下进下出。</w:t>
      </w:r>
    </w:p>
    <w:p w14:paraId="18C5812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所有控制柜内要有220V的</w:t>
      </w:r>
      <w:r>
        <w:rPr>
          <w:rFonts w:hint="eastAsia" w:ascii="宋体" w:hAnsi="宋体" w:eastAsia="宋体" w:cs="宋体"/>
          <w:sz w:val="24"/>
          <w:szCs w:val="24"/>
        </w:rPr>
        <w:t>2+3孔</w:t>
      </w:r>
      <w:r>
        <w:rPr>
          <w:rFonts w:ascii="宋体" w:hAnsi="宋体" w:eastAsia="宋体" w:cs="宋体"/>
          <w:sz w:val="24"/>
          <w:szCs w:val="24"/>
        </w:rPr>
        <w:t>插座。</w:t>
      </w:r>
    </w:p>
    <w:p w14:paraId="2EE5943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照明设备和电源插座是单独由电路自动断路器进行保护的，电源来自主电源开关（NFB）的进线端</w:t>
      </w:r>
      <w:r>
        <w:rPr>
          <w:rFonts w:hint="eastAsia" w:ascii="宋体" w:hAnsi="宋体" w:eastAsia="宋体" w:cs="宋体"/>
          <w:sz w:val="24"/>
          <w:szCs w:val="24"/>
        </w:rPr>
        <w:t>。</w:t>
      </w:r>
    </w:p>
    <w:p w14:paraId="7940CE8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所有配电柜、主控柜、变频柜需配备主空开，空开容量满足使用需求。</w:t>
      </w:r>
    </w:p>
    <w:p w14:paraId="5E13C08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报警灯：主控柜、变频器柜及现场相应柜体应配有相应状态指示灯及声音报警器。</w:t>
      </w:r>
    </w:p>
    <w:p w14:paraId="0C79F92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要严格按照E-plan</w:t>
      </w:r>
      <w:r>
        <w:rPr>
          <w:rFonts w:hint="eastAsia" w:ascii="宋体" w:hAnsi="宋体" w:eastAsia="宋体" w:cs="宋体"/>
          <w:sz w:val="24"/>
          <w:szCs w:val="24"/>
        </w:rPr>
        <w:t>设计图纸</w:t>
      </w:r>
      <w:r>
        <w:rPr>
          <w:rFonts w:ascii="宋体" w:hAnsi="宋体" w:eastAsia="宋体" w:cs="宋体"/>
          <w:sz w:val="24"/>
          <w:szCs w:val="24"/>
        </w:rPr>
        <w:t>组装控制柜。</w:t>
      </w:r>
    </w:p>
    <w:p w14:paraId="45FA15A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每个端子只允许连接一根导线</w:t>
      </w:r>
      <w:r>
        <w:rPr>
          <w:rFonts w:hint="eastAsia" w:ascii="宋体" w:hAnsi="宋体" w:eastAsia="宋体" w:cs="宋体"/>
          <w:sz w:val="24"/>
          <w:szCs w:val="24"/>
        </w:rPr>
        <w:t>，每个柜体预留20%的短接片</w:t>
      </w:r>
      <w:r>
        <w:rPr>
          <w:rFonts w:ascii="宋体" w:hAnsi="宋体" w:eastAsia="宋体" w:cs="宋体"/>
          <w:sz w:val="24"/>
          <w:szCs w:val="24"/>
        </w:rPr>
        <w:t>。</w:t>
      </w:r>
    </w:p>
    <w:p w14:paraId="7162A777">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注意电缆的区分（交流、直流、BUS），不允许有交叉。</w:t>
      </w:r>
    </w:p>
    <w:p w14:paraId="2BD509C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线槽的开口要和元器件接口对应。</w:t>
      </w:r>
    </w:p>
    <w:p w14:paraId="7A650D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外部控制箱到主控柜要采用</w:t>
      </w:r>
      <w:r>
        <w:rPr>
          <w:rFonts w:ascii="宋体" w:hAnsi="宋体" w:eastAsia="宋体" w:cs="宋体"/>
          <w:sz w:val="24"/>
          <w:szCs w:val="24"/>
        </w:rPr>
        <w:t>H</w:t>
      </w:r>
      <w:r>
        <w:rPr>
          <w:rFonts w:hint="eastAsia" w:ascii="宋体" w:hAnsi="宋体" w:eastAsia="宋体" w:cs="宋体"/>
          <w:sz w:val="24"/>
          <w:szCs w:val="24"/>
        </w:rPr>
        <w:t>ARTING连接。</w:t>
      </w:r>
    </w:p>
    <w:p w14:paraId="7B710B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控制柜安装示范如下图所示：</w:t>
      </w:r>
    </w:p>
    <w:p w14:paraId="2E2E583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5486400" cy="1143000"/>
            <wp:effectExtent l="0" t="0" r="0" b="0"/>
            <wp:docPr id="45"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图片包含 游戏机&#10;&#10;描述已自动生成"/>
                    <pic:cNvPicPr>
                      <a:picLocks noChangeAspect="1" noChangeArrowheads="1"/>
                    </pic:cNvPicPr>
                  </pic:nvPicPr>
                  <pic:blipFill>
                    <a:blip r:embed="rId61" cstate="print">
                      <a:extLst>
                        <a:ext uri="{28A0092B-C50C-407E-A947-70E740481C1C}">
                          <a14:useLocalDpi xmlns:a14="http://schemas.microsoft.com/office/drawing/2010/main" val="0"/>
                        </a:ext>
                      </a:extLst>
                    </a:blip>
                    <a:srcRect l="1746" t="13794" r="2523" b="19987"/>
                    <a:stretch>
                      <a:fillRect/>
                    </a:stretch>
                  </pic:blipFill>
                  <pic:spPr>
                    <a:xfrm>
                      <a:off x="0" y="0"/>
                      <a:ext cx="5486400" cy="1143000"/>
                    </a:xfrm>
                    <a:prstGeom prst="rect">
                      <a:avLst/>
                    </a:prstGeom>
                    <a:noFill/>
                    <a:ln>
                      <a:noFill/>
                    </a:ln>
                  </pic:spPr>
                </pic:pic>
              </a:graphicData>
            </a:graphic>
          </wp:inline>
        </w:drawing>
      </w:r>
    </w:p>
    <w:p w14:paraId="284A6C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4.5.7电缆规格</w:t>
      </w:r>
    </w:p>
    <w:p w14:paraId="1C1C45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柜内电缆采用BVR线缆，普通动力电缆采用BVR或VVR，控制电缆采用KVVR或RVV，弱电压信号电缆采用KVVRP或RVVP，传感器和现场设备的连接线缆采用预铸电缆形式。</w:t>
      </w:r>
    </w:p>
    <w:p w14:paraId="780681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导线标称截面原则：</w:t>
      </w:r>
    </w:p>
    <w:p w14:paraId="56C362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所有交流动力导线和电缆接线标称截面不得小于1.5平方毫米。</w:t>
      </w:r>
    </w:p>
    <w:p w14:paraId="431E54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所有控制柜内控制信号接线标称截面不得小于0.75平方毫米。</w:t>
      </w:r>
    </w:p>
    <w:p w14:paraId="3803AC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现场电气设备控制信号接线标称截面不得小于0.75平方毫米。</w:t>
      </w:r>
    </w:p>
    <w:p w14:paraId="70B0A8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可编程序控制器（PLC）输入输出接线标称截面不得小于0.75平方毫米。</w:t>
      </w:r>
    </w:p>
    <w:p w14:paraId="3F0B26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4.5.8现场施工规范</w:t>
      </w:r>
    </w:p>
    <w:p w14:paraId="6E9CE7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桥架采用国内知名企业产品，材质为冷镀锌钢板，防锈性能良好，线槽桥架厚度2mm、盖板厚度2.5mm、隔板厚度1.5mm。所有区域盖板增加防滑铝板。</w:t>
      </w:r>
    </w:p>
    <w:p w14:paraId="0C8B27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所有桥架需符合</w:t>
      </w:r>
      <w:r>
        <w:rPr>
          <w:rFonts w:ascii="宋体" w:hAnsi="宋体" w:eastAsia="宋体" w:cs="宋体"/>
          <w:sz w:val="24"/>
          <w:szCs w:val="24"/>
        </w:rPr>
        <w:t>IP54</w:t>
      </w:r>
      <w:r>
        <w:rPr>
          <w:rFonts w:hint="eastAsia" w:ascii="宋体" w:hAnsi="宋体" w:eastAsia="宋体" w:cs="宋体"/>
          <w:sz w:val="24"/>
          <w:szCs w:val="24"/>
        </w:rPr>
        <w:t>防护等级。</w:t>
      </w:r>
    </w:p>
    <w:p w14:paraId="7C0DA5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桥架折边为</w:t>
      </w:r>
      <w:r>
        <w:rPr>
          <w:rFonts w:ascii="宋体" w:hAnsi="宋体" w:eastAsia="宋体" w:cs="宋体"/>
          <w:sz w:val="24"/>
          <w:szCs w:val="24"/>
        </w:rPr>
        <w:t>180°</w:t>
      </w:r>
      <w:r>
        <w:rPr>
          <w:rFonts w:hint="eastAsia" w:ascii="宋体" w:hAnsi="宋体" w:eastAsia="宋体" w:cs="宋体"/>
          <w:sz w:val="24"/>
          <w:szCs w:val="24"/>
        </w:rPr>
        <w:t>，弯头、三通采用</w:t>
      </w:r>
      <w:r>
        <w:rPr>
          <w:rFonts w:ascii="宋体" w:hAnsi="宋体" w:eastAsia="宋体" w:cs="宋体"/>
          <w:sz w:val="24"/>
          <w:szCs w:val="24"/>
        </w:rPr>
        <w:t>45°</w:t>
      </w:r>
      <w:r>
        <w:rPr>
          <w:rFonts w:hint="eastAsia" w:ascii="宋体" w:hAnsi="宋体" w:eastAsia="宋体" w:cs="宋体"/>
          <w:sz w:val="24"/>
          <w:szCs w:val="24"/>
        </w:rPr>
        <w:t>设计。</w:t>
      </w:r>
    </w:p>
    <w:p w14:paraId="26A6E2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垂直桥架盖板要采用防坠落，里面电缆要采用电缆卡固定。</w:t>
      </w:r>
    </w:p>
    <w:p w14:paraId="2E123A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所有开口处要求保护，两头要采用封头。</w:t>
      </w:r>
    </w:p>
    <w:p w14:paraId="36D86C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控制电缆和导线应使用标准电缆，严禁使用单芯导线。</w:t>
      </w:r>
    </w:p>
    <w:p w14:paraId="3AE13A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桥架应坚固可靠，不允许有任何变形，其支撑支架间隔不得大于</w:t>
      </w:r>
      <w:r>
        <w:rPr>
          <w:rFonts w:ascii="宋体" w:hAnsi="宋体" w:eastAsia="宋体" w:cs="宋体"/>
          <w:sz w:val="24"/>
          <w:szCs w:val="24"/>
        </w:rPr>
        <w:t>3</w:t>
      </w:r>
      <w:r>
        <w:rPr>
          <w:rFonts w:hint="eastAsia" w:ascii="宋体" w:hAnsi="宋体" w:eastAsia="宋体" w:cs="宋体"/>
          <w:sz w:val="24"/>
          <w:szCs w:val="24"/>
        </w:rPr>
        <w:t>米。</w:t>
      </w:r>
    </w:p>
    <w:p w14:paraId="29A46D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桥架支撑离地5-10</w:t>
      </w:r>
      <w:r>
        <w:rPr>
          <w:rFonts w:ascii="宋体" w:hAnsi="宋体" w:eastAsia="宋体" w:cs="宋体"/>
          <w:sz w:val="24"/>
          <w:szCs w:val="24"/>
        </w:rPr>
        <w:t>cm;</w:t>
      </w:r>
    </w:p>
    <w:p w14:paraId="71C042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桥架盖板锁扣应采用焊接形式，扣紧后盖板不能有任何松动，锁扣布置间距不大于</w:t>
      </w:r>
      <w:r>
        <w:rPr>
          <w:rFonts w:ascii="宋体" w:hAnsi="宋体" w:eastAsia="宋体" w:cs="宋体"/>
          <w:sz w:val="24"/>
          <w:szCs w:val="24"/>
        </w:rPr>
        <w:t>2</w:t>
      </w:r>
      <w:r>
        <w:rPr>
          <w:rFonts w:hint="eastAsia" w:ascii="宋体" w:hAnsi="宋体" w:eastAsia="宋体" w:cs="宋体"/>
          <w:sz w:val="24"/>
          <w:szCs w:val="24"/>
        </w:rPr>
        <w:t>米。</w:t>
      </w:r>
    </w:p>
    <w:p w14:paraId="0BA76B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桥架连接处连接板两端，每端配置有不少于</w:t>
      </w:r>
      <w:r>
        <w:rPr>
          <w:rFonts w:ascii="宋体" w:hAnsi="宋体" w:eastAsia="宋体" w:cs="宋体"/>
          <w:sz w:val="24"/>
          <w:szCs w:val="24"/>
        </w:rPr>
        <w:t>4</w:t>
      </w:r>
      <w:r>
        <w:rPr>
          <w:rFonts w:hint="eastAsia" w:ascii="宋体" w:hAnsi="宋体" w:eastAsia="宋体" w:cs="宋体"/>
          <w:sz w:val="24"/>
          <w:szCs w:val="24"/>
        </w:rPr>
        <w:t>个带防松螺帽或防松垫圈的固定螺栓。</w:t>
      </w:r>
    </w:p>
    <w:p w14:paraId="341522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动力电缆、控制电缆、信号电缆应按电气制造有关标准进行制造；动力电缆、控制电缆、信号电缆在线槽内应分槽布线，必要时信号电缆要穿管隔离并放置于线槽内，防止干扰。桥架内电缆不允许有分断。</w:t>
      </w:r>
    </w:p>
    <w:p w14:paraId="2BFD0F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现场设备接取电缆时，应留有一定长度的余量，以保证线缆端子部分烧毁或损坏需截取电缆时仍有余量。</w:t>
      </w:r>
    </w:p>
    <w:p w14:paraId="25903F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现场所有线缆敷设时，需采用桥架或线管保护。桥架与控制柜、线管（钢管、软管）与桥架等接头应妥善处理（折边、打磨），以防对线缆和人员造成伤害，严禁出现毛刺、刃锋、尖峰。</w:t>
      </w:r>
    </w:p>
    <w:p w14:paraId="16D777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所有桥架及金属线管的接地需可靠，接地电阻不大于4欧姆。</w:t>
      </w:r>
    </w:p>
    <w:p w14:paraId="2DEAB9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现场线槽中禁止走水管、气管，工位内水管、气管</w:t>
      </w:r>
      <w:r>
        <w:rPr>
          <w:rFonts w:ascii="宋体" w:hAnsi="宋体" w:eastAsia="宋体" w:cs="宋体"/>
          <w:sz w:val="24"/>
          <w:szCs w:val="24"/>
        </w:rPr>
        <w:t>≥</w:t>
      </w:r>
      <w:r>
        <w:rPr>
          <w:rFonts w:hint="eastAsia" w:ascii="宋体" w:hAnsi="宋体" w:eastAsia="宋体" w:cs="宋体"/>
          <w:sz w:val="24"/>
          <w:szCs w:val="24"/>
        </w:rPr>
        <w:t>3m则需用硬管连接。</w:t>
      </w:r>
    </w:p>
    <w:p w14:paraId="17F551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现场设备、工装都必须有单独地线连接，接地电阻小于4欧姆。</w:t>
      </w:r>
    </w:p>
    <w:p w14:paraId="75FE3D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水管接头、气管接头、线缆</w:t>
      </w:r>
      <w:r>
        <w:rPr>
          <w:rFonts w:ascii="宋体" w:hAnsi="宋体" w:eastAsia="宋体" w:cs="宋体"/>
          <w:sz w:val="24"/>
          <w:szCs w:val="24"/>
        </w:rPr>
        <w:t>接头</w:t>
      </w:r>
      <w:r>
        <w:rPr>
          <w:rFonts w:hint="eastAsia" w:ascii="宋体" w:hAnsi="宋体" w:eastAsia="宋体" w:cs="宋体"/>
          <w:sz w:val="24"/>
          <w:szCs w:val="24"/>
        </w:rPr>
        <w:t>、网络T型头、24VDC T型头</w:t>
      </w:r>
      <w:r>
        <w:rPr>
          <w:rFonts w:ascii="宋体" w:hAnsi="宋体" w:eastAsia="宋体" w:cs="宋体"/>
          <w:sz w:val="24"/>
          <w:szCs w:val="24"/>
        </w:rPr>
        <w:t>采用国际知名品牌，配合快速接头连接。</w:t>
      </w:r>
    </w:p>
    <w:p w14:paraId="4976C6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自动线内设备，如气阀数量大于或等于3个则必须使用阀岛，小于3个使用IP67模块。</w:t>
      </w:r>
    </w:p>
    <w:p w14:paraId="5B14E7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工位等电位铜牌安装在桥架侧边，采用螺丝连接。</w:t>
      </w:r>
    </w:p>
    <w:p w14:paraId="5AEDD6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主等电位采用</w:t>
      </w:r>
      <w:r>
        <w:rPr>
          <w:rFonts w:ascii="宋体" w:hAnsi="宋体" w:eastAsia="宋体" w:cs="宋体"/>
          <w:sz w:val="24"/>
          <w:szCs w:val="24"/>
        </w:rPr>
        <w:t>25mm2</w:t>
      </w:r>
      <w:r>
        <w:rPr>
          <w:rFonts w:hint="eastAsia" w:ascii="宋体" w:hAnsi="宋体" w:eastAsia="宋体" w:cs="宋体"/>
          <w:sz w:val="24"/>
          <w:szCs w:val="24"/>
        </w:rPr>
        <w:t>的导线和厂房立柱连接（厂房立柱要做等电位箱），到主控制柜采用</w:t>
      </w:r>
      <w:r>
        <w:rPr>
          <w:rFonts w:ascii="宋体" w:hAnsi="宋体" w:eastAsia="宋体" w:cs="宋体"/>
          <w:sz w:val="24"/>
          <w:szCs w:val="24"/>
        </w:rPr>
        <w:t>16mm2</w:t>
      </w:r>
      <w:r>
        <w:rPr>
          <w:rFonts w:hint="eastAsia" w:ascii="宋体" w:hAnsi="宋体" w:eastAsia="宋体" w:cs="宋体"/>
          <w:sz w:val="24"/>
          <w:szCs w:val="24"/>
        </w:rPr>
        <w:t>的导线连接，到现场夹具、阀岛、模块、设备、操作台等采用</w:t>
      </w:r>
      <w:r>
        <w:rPr>
          <w:rFonts w:ascii="宋体" w:hAnsi="宋体" w:eastAsia="宋体" w:cs="宋体"/>
          <w:sz w:val="24"/>
          <w:szCs w:val="24"/>
        </w:rPr>
        <w:t>10mm2导线连接</w:t>
      </w:r>
      <w:r>
        <w:rPr>
          <w:rFonts w:hint="eastAsia" w:ascii="宋体" w:hAnsi="宋体" w:eastAsia="宋体" w:cs="宋体"/>
          <w:sz w:val="24"/>
          <w:szCs w:val="24"/>
        </w:rPr>
        <w:t>。</w:t>
      </w:r>
    </w:p>
    <w:p w14:paraId="3174DA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桥架需要等电位连接。</w:t>
      </w:r>
    </w:p>
    <w:p w14:paraId="611CE5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配线时</w:t>
      </w:r>
      <w:r>
        <w:rPr>
          <w:rFonts w:ascii="宋体" w:hAnsi="宋体" w:eastAsia="宋体" w:cs="宋体"/>
          <w:sz w:val="24"/>
          <w:szCs w:val="24"/>
        </w:rPr>
        <w:t>PLC</w:t>
      </w:r>
      <w:r>
        <w:rPr>
          <w:rFonts w:hint="eastAsia" w:ascii="宋体" w:hAnsi="宋体" w:eastAsia="宋体" w:cs="宋体"/>
          <w:sz w:val="24"/>
          <w:szCs w:val="24"/>
        </w:rPr>
        <w:t>设备须单独接地。</w:t>
      </w:r>
    </w:p>
    <w:p w14:paraId="0D081C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配电施工要严格执行国家电气施工相关标准。</w:t>
      </w:r>
    </w:p>
    <w:p w14:paraId="6CAE37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裸露在桥架外的电缆不能超过</w:t>
      </w:r>
      <w:r>
        <w:rPr>
          <w:rFonts w:ascii="宋体" w:hAnsi="宋体" w:eastAsia="宋体" w:cs="宋体"/>
          <w:sz w:val="24"/>
          <w:szCs w:val="24"/>
        </w:rPr>
        <w:t>200mm</w:t>
      </w:r>
      <w:r>
        <w:rPr>
          <w:rFonts w:hint="eastAsia" w:ascii="宋体" w:hAnsi="宋体" w:eastAsia="宋体" w:cs="宋体"/>
          <w:sz w:val="24"/>
          <w:szCs w:val="24"/>
        </w:rPr>
        <w:t>。</w:t>
      </w:r>
    </w:p>
    <w:p w14:paraId="4EC2EA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桥架里不能有导线接头和端子或任何导线连接。</w:t>
      </w:r>
    </w:p>
    <w:p w14:paraId="331024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在门前</w:t>
      </w:r>
      <w:r>
        <w:rPr>
          <w:rFonts w:ascii="宋体" w:hAnsi="宋体" w:eastAsia="宋体" w:cs="宋体"/>
          <w:sz w:val="24"/>
          <w:szCs w:val="24"/>
        </w:rPr>
        <w:t>1000mm</w:t>
      </w:r>
      <w:r>
        <w:rPr>
          <w:rFonts w:hint="eastAsia" w:ascii="宋体" w:hAnsi="宋体" w:eastAsia="宋体" w:cs="宋体"/>
          <w:sz w:val="24"/>
          <w:szCs w:val="24"/>
        </w:rPr>
        <w:t>、维修通道、楼梯口等不可以做桥架（除特殊情况要得到买方同意）。</w:t>
      </w:r>
    </w:p>
    <w:p w14:paraId="7511CB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桥架安装要考虑维修方便，上方要考虑盖板打开的空间，桥架的铺设位置不能占用设备及设施维护空间。</w:t>
      </w:r>
    </w:p>
    <w:p w14:paraId="2AF912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桥架里不要有电缆余量。</w:t>
      </w:r>
    </w:p>
    <w:p w14:paraId="2228D1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电线电缆采用正确的线鼻子连接，不能有虚接。</w:t>
      </w:r>
    </w:p>
    <w:p w14:paraId="35EFD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电缆要整齐、正确的铺设在桥架内。</w:t>
      </w:r>
    </w:p>
    <w:p w14:paraId="6E8253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所有三通、接头、</w:t>
      </w:r>
      <w:r>
        <w:rPr>
          <w:rFonts w:ascii="宋体" w:hAnsi="宋体" w:eastAsia="宋体" w:cs="宋体"/>
          <w:sz w:val="24"/>
          <w:szCs w:val="24"/>
        </w:rPr>
        <w:t>Harting</w:t>
      </w:r>
      <w:r>
        <w:rPr>
          <w:rFonts w:hint="eastAsia" w:ascii="宋体" w:hAnsi="宋体" w:eastAsia="宋体" w:cs="宋体"/>
          <w:sz w:val="24"/>
          <w:szCs w:val="24"/>
        </w:rPr>
        <w:t>等要固定在不宜踩踏、容易维修的地方（尽量固定在垂直面上、除特殊情况）。</w:t>
      </w:r>
    </w:p>
    <w:p w14:paraId="44AC9C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焊接工位的模块、变频器等设备要做好防飞溅措施。</w:t>
      </w:r>
    </w:p>
    <w:p w14:paraId="446B67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电缆要按</w:t>
      </w:r>
      <w:r>
        <w:rPr>
          <w:rFonts w:ascii="宋体" w:hAnsi="宋体" w:eastAsia="宋体" w:cs="宋体"/>
          <w:sz w:val="24"/>
          <w:szCs w:val="24"/>
        </w:rPr>
        <w:t>E-plan</w:t>
      </w:r>
      <w:r>
        <w:rPr>
          <w:rFonts w:hint="eastAsia" w:ascii="宋体" w:hAnsi="宋体" w:eastAsia="宋体" w:cs="宋体"/>
          <w:sz w:val="24"/>
          <w:szCs w:val="24"/>
        </w:rPr>
        <w:t>连接、如有改动要经过买方负责人允许并做好记录。</w:t>
      </w:r>
    </w:p>
    <w:p w14:paraId="6A1F78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电缆连接要正确、整齐、符合标准。</w:t>
      </w:r>
    </w:p>
    <w:p w14:paraId="0759736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5m</w:t>
      </w:r>
      <w:r>
        <w:rPr>
          <w:rFonts w:hint="eastAsia" w:ascii="宋体" w:hAnsi="宋体" w:eastAsia="宋体" w:cs="宋体"/>
          <w:sz w:val="24"/>
          <w:szCs w:val="24"/>
        </w:rPr>
        <w:t>以上传感器线在传感器侧增加一根</w:t>
      </w:r>
      <w:r>
        <w:rPr>
          <w:rFonts w:ascii="宋体" w:hAnsi="宋体" w:eastAsia="宋体" w:cs="宋体"/>
          <w:sz w:val="24"/>
          <w:szCs w:val="24"/>
        </w:rPr>
        <w:t>1m</w:t>
      </w:r>
      <w:r>
        <w:rPr>
          <w:rFonts w:hint="eastAsia" w:ascii="宋体" w:hAnsi="宋体" w:eastAsia="宋体" w:cs="宋体"/>
          <w:sz w:val="24"/>
          <w:szCs w:val="24"/>
        </w:rPr>
        <w:t>的预铸电缆以便维修。</w:t>
      </w:r>
    </w:p>
    <w:p w14:paraId="54E848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所有水平铺设在桥架内的电缆每间隔</w:t>
      </w:r>
      <w:r>
        <w:rPr>
          <w:rFonts w:ascii="宋体" w:hAnsi="宋体" w:eastAsia="宋体" w:cs="宋体"/>
          <w:sz w:val="24"/>
          <w:szCs w:val="24"/>
        </w:rPr>
        <w:t>12.2m</w:t>
      </w:r>
      <w:r>
        <w:rPr>
          <w:rFonts w:hint="eastAsia" w:ascii="宋体" w:hAnsi="宋体" w:eastAsia="宋体" w:cs="宋体"/>
          <w:sz w:val="24"/>
          <w:szCs w:val="24"/>
        </w:rPr>
        <w:t>都要用电缆标签标注所连接设备的</w:t>
      </w:r>
      <w:r>
        <w:rPr>
          <w:rFonts w:ascii="宋体" w:hAnsi="宋体" w:eastAsia="宋体" w:cs="宋体"/>
          <w:sz w:val="24"/>
          <w:szCs w:val="24"/>
        </w:rPr>
        <w:t>ID</w:t>
      </w:r>
      <w:r>
        <w:rPr>
          <w:rFonts w:hint="eastAsia" w:ascii="宋体" w:hAnsi="宋体" w:eastAsia="宋体" w:cs="宋体"/>
          <w:sz w:val="24"/>
          <w:szCs w:val="24"/>
        </w:rPr>
        <w:t>号，并使用捆绑带与桥架固定；垂直铺设在桥架内的电缆每间隔</w:t>
      </w:r>
      <w:r>
        <w:rPr>
          <w:rFonts w:ascii="宋体" w:hAnsi="宋体" w:eastAsia="宋体" w:cs="宋体"/>
          <w:sz w:val="24"/>
          <w:szCs w:val="24"/>
        </w:rPr>
        <w:t>3m</w:t>
      </w:r>
      <w:r>
        <w:rPr>
          <w:rFonts w:hint="eastAsia" w:ascii="宋体" w:hAnsi="宋体" w:eastAsia="宋体" w:cs="宋体"/>
          <w:sz w:val="24"/>
          <w:szCs w:val="24"/>
        </w:rPr>
        <w:t>用电缆标签标注所连接设备的</w:t>
      </w:r>
      <w:r>
        <w:rPr>
          <w:rFonts w:ascii="宋体" w:hAnsi="宋体" w:eastAsia="宋体" w:cs="宋体"/>
          <w:sz w:val="24"/>
          <w:szCs w:val="24"/>
        </w:rPr>
        <w:t>ID</w:t>
      </w:r>
      <w:r>
        <w:rPr>
          <w:rFonts w:hint="eastAsia" w:ascii="宋体" w:hAnsi="宋体" w:eastAsia="宋体" w:cs="宋体"/>
          <w:sz w:val="24"/>
          <w:szCs w:val="24"/>
        </w:rPr>
        <w:t>号，每间隔1</w:t>
      </w:r>
      <w:r>
        <w:rPr>
          <w:rFonts w:ascii="宋体" w:hAnsi="宋体" w:eastAsia="宋体" w:cs="宋体"/>
          <w:sz w:val="24"/>
          <w:szCs w:val="24"/>
        </w:rPr>
        <w:t>m</w:t>
      </w:r>
      <w:r>
        <w:rPr>
          <w:rFonts w:hint="eastAsia" w:ascii="宋体" w:hAnsi="宋体" w:eastAsia="宋体" w:cs="宋体"/>
          <w:sz w:val="24"/>
          <w:szCs w:val="24"/>
        </w:rPr>
        <w:t>使用捆绑带与桥架固定；目的便于桥架内的所有电缆方便识别。</w:t>
      </w:r>
    </w:p>
    <w:p w14:paraId="3F0C1C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所有防水接头要拧紧，备用孔要加装堵头。</w:t>
      </w:r>
    </w:p>
    <w:p w14:paraId="36126B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标牌要求：正确、可见、整齐、牢固、高度位置统一。</w:t>
      </w:r>
    </w:p>
    <w:p w14:paraId="486F80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线槽上不允许安装和悬挂其他设备。</w:t>
      </w:r>
    </w:p>
    <w:p w14:paraId="14D178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由控制柜到设备各部位的控制电缆必须布置在电缆槽内。</w:t>
      </w:r>
    </w:p>
    <w:p w14:paraId="288794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电缆铺设完成后，卖方在接线前必须检测和记录电缆绝缘阻值，相关记录应由双方负责人签字确认。</w:t>
      </w:r>
    </w:p>
    <w:p w14:paraId="343E8C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电缆选用时，截面积的设计在满足国家标准的基础上需预留不低于</w:t>
      </w:r>
      <w:r>
        <w:rPr>
          <w:rFonts w:ascii="宋体" w:hAnsi="宋体" w:eastAsia="宋体" w:cs="宋体"/>
          <w:sz w:val="24"/>
          <w:szCs w:val="24"/>
        </w:rPr>
        <w:t>20</w:t>
      </w:r>
      <w:r>
        <w:rPr>
          <w:rFonts w:hint="eastAsia" w:ascii="宋体" w:hAnsi="宋体" w:eastAsia="宋体" w:cs="宋体"/>
          <w:sz w:val="24"/>
          <w:szCs w:val="24"/>
        </w:rPr>
        <w:t>％的余量。电路中的电压损失，不能超过用电设备额定电压值的</w:t>
      </w:r>
      <w:r>
        <w:rPr>
          <w:rFonts w:ascii="宋体" w:hAnsi="宋体" w:eastAsia="宋体" w:cs="宋体"/>
          <w:sz w:val="24"/>
          <w:szCs w:val="24"/>
        </w:rPr>
        <w:t>5%</w:t>
      </w:r>
      <w:r>
        <w:rPr>
          <w:rFonts w:hint="eastAsia" w:ascii="宋体" w:hAnsi="宋体" w:eastAsia="宋体" w:cs="宋体"/>
          <w:sz w:val="24"/>
          <w:szCs w:val="24"/>
        </w:rPr>
        <w:t>。</w:t>
      </w:r>
    </w:p>
    <w:p w14:paraId="0C3603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线槽支架采用标准镀锌支架；弯头、三通、变径等过渡处必须采用标准件，不得切割、焊接。</w:t>
      </w:r>
    </w:p>
    <w:p w14:paraId="4E7AE6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桥架布线安装示范如下图所示：</w:t>
      </w:r>
    </w:p>
    <w:p w14:paraId="39993C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099685" cy="2628900"/>
            <wp:effectExtent l="0" t="0" r="5715" b="0"/>
            <wp:docPr id="46" name="图片 46" descr="232332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323323333333333333333333.JPG"/>
                    <pic:cNvPicPr>
                      <a:picLocks noChangeAspect="1"/>
                    </pic:cNvPicPr>
                  </pic:nvPicPr>
                  <pic:blipFill>
                    <a:blip r:embed="rId62" cstate="print"/>
                    <a:srcRect b="12483"/>
                    <a:stretch>
                      <a:fillRect/>
                    </a:stretch>
                  </pic:blipFill>
                  <pic:spPr>
                    <a:xfrm>
                      <a:off x="0" y="0"/>
                      <a:ext cx="5100205" cy="2629168"/>
                    </a:xfrm>
                    <a:prstGeom prst="rect">
                      <a:avLst/>
                    </a:prstGeom>
                    <a:noFill/>
                    <a:ln>
                      <a:noFill/>
                    </a:ln>
                  </pic:spPr>
                </pic:pic>
              </a:graphicData>
            </a:graphic>
          </wp:inline>
        </w:drawing>
      </w:r>
    </w:p>
    <w:p w14:paraId="455F92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等电位链接方案：</w:t>
      </w:r>
    </w:p>
    <w:p w14:paraId="1354715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4095750" cy="2216150"/>
            <wp:effectExtent l="0" t="0" r="6350" b="6350"/>
            <wp:docPr id="47" name="图片 3" descr="等电位2.JPG"/>
            <wp:cNvGraphicFramePr/>
            <a:graphic xmlns:a="http://schemas.openxmlformats.org/drawingml/2006/main">
              <a:graphicData uri="http://schemas.openxmlformats.org/drawingml/2006/picture">
                <pic:pic xmlns:pic="http://schemas.openxmlformats.org/drawingml/2006/picture">
                  <pic:nvPicPr>
                    <pic:cNvPr id="47" name="图片 3" descr="等电位2.JPG"/>
                    <pic:cNvPicPr/>
                  </pic:nvPicPr>
                  <pic:blipFill>
                    <a:blip r:embed="rId63" cstate="print"/>
                    <a:stretch>
                      <a:fillRect/>
                    </a:stretch>
                  </pic:blipFill>
                  <pic:spPr>
                    <a:xfrm>
                      <a:off x="0" y="0"/>
                      <a:ext cx="4095750" cy="2216727"/>
                    </a:xfrm>
                    <a:prstGeom prst="rect">
                      <a:avLst/>
                    </a:prstGeom>
                    <a:noFill/>
                    <a:ln w="9525" cap="flat" cmpd="sng">
                      <a:noFill/>
                      <a:prstDash val="solid"/>
                      <a:miter/>
                    </a:ln>
                  </pic:spPr>
                </pic:pic>
              </a:graphicData>
            </a:graphic>
          </wp:inline>
        </w:drawing>
      </w:r>
    </w:p>
    <w:p w14:paraId="195943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等电位安装示范：</w:t>
      </w:r>
    </w:p>
    <w:p w14:paraId="2D254FB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drawing>
          <wp:inline distT="0" distB="0" distL="0" distR="0">
            <wp:extent cx="5486400" cy="1011555"/>
            <wp:effectExtent l="0" t="0" r="0" b="4445"/>
            <wp:docPr id="48" name="图片 4" descr="等电位.JPG"/>
            <wp:cNvGraphicFramePr/>
            <a:graphic xmlns:a="http://schemas.openxmlformats.org/drawingml/2006/main">
              <a:graphicData uri="http://schemas.openxmlformats.org/drawingml/2006/picture">
                <pic:pic xmlns:pic="http://schemas.openxmlformats.org/drawingml/2006/picture">
                  <pic:nvPicPr>
                    <pic:cNvPr id="48" name="图片 4" descr="等电位.JPG"/>
                    <pic:cNvPicPr/>
                  </pic:nvPicPr>
                  <pic:blipFill>
                    <a:blip r:embed="rId64" cstate="print"/>
                    <a:stretch>
                      <a:fillRect/>
                    </a:stretch>
                  </pic:blipFill>
                  <pic:spPr>
                    <a:xfrm>
                      <a:off x="0" y="0"/>
                      <a:ext cx="5486400" cy="1011555"/>
                    </a:xfrm>
                    <a:prstGeom prst="rect">
                      <a:avLst/>
                    </a:prstGeom>
                    <a:noFill/>
                    <a:ln w="9525" cap="flat" cmpd="sng">
                      <a:noFill/>
                      <a:prstDash val="solid"/>
                      <a:miter/>
                    </a:ln>
                  </pic:spPr>
                </pic:pic>
              </a:graphicData>
            </a:graphic>
          </wp:inline>
        </w:drawing>
      </w:r>
    </w:p>
    <w:bookmarkEnd w:id="80"/>
    <w:p w14:paraId="00713546">
      <w:pPr>
        <w:spacing w:line="360" w:lineRule="auto"/>
        <w:ind w:firstLine="480" w:firstLineChars="200"/>
        <w:rPr>
          <w:rFonts w:hint="eastAsia" w:ascii="宋体" w:hAnsi="宋体" w:eastAsia="宋体" w:cs="宋体"/>
          <w:sz w:val="24"/>
          <w:szCs w:val="24"/>
        </w:rPr>
      </w:pPr>
      <w:bookmarkStart w:id="88" w:name="_Toc7543514"/>
      <w:bookmarkStart w:id="89" w:name="_Toc165994296"/>
      <w:r>
        <w:rPr>
          <w:rFonts w:hint="eastAsia" w:ascii="宋体" w:hAnsi="宋体" w:eastAsia="宋体" w:cs="宋体"/>
          <w:sz w:val="24"/>
          <w:szCs w:val="24"/>
        </w:rPr>
        <w:t>5.图纸会签及技术资料</w:t>
      </w:r>
      <w:bookmarkEnd w:id="88"/>
      <w:bookmarkEnd w:id="89"/>
    </w:p>
    <w:p w14:paraId="5AD2497C">
      <w:pPr>
        <w:spacing w:line="360" w:lineRule="auto"/>
        <w:ind w:firstLine="480" w:firstLineChars="200"/>
        <w:rPr>
          <w:rFonts w:hint="eastAsia" w:ascii="宋体" w:hAnsi="宋体" w:eastAsia="宋体" w:cs="宋体"/>
          <w:sz w:val="24"/>
          <w:szCs w:val="24"/>
        </w:rPr>
      </w:pPr>
      <w:bookmarkStart w:id="90" w:name="_Toc6756366"/>
      <w:bookmarkEnd w:id="90"/>
      <w:bookmarkStart w:id="91" w:name="_Toc7543518"/>
      <w:bookmarkEnd w:id="91"/>
      <w:bookmarkStart w:id="92" w:name="_Toc6756367"/>
      <w:bookmarkEnd w:id="92"/>
      <w:bookmarkStart w:id="93" w:name="_Toc6755735"/>
      <w:bookmarkEnd w:id="93"/>
      <w:bookmarkStart w:id="94" w:name="_Toc7536417"/>
      <w:bookmarkEnd w:id="94"/>
      <w:bookmarkStart w:id="95" w:name="_Toc7536418"/>
      <w:bookmarkEnd w:id="95"/>
      <w:bookmarkStart w:id="96" w:name="_Toc165993918"/>
      <w:bookmarkEnd w:id="96"/>
      <w:bookmarkStart w:id="97" w:name="_Toc165994301"/>
      <w:bookmarkEnd w:id="97"/>
      <w:bookmarkStart w:id="98" w:name="_Toc7543515"/>
      <w:bookmarkEnd w:id="98"/>
      <w:bookmarkStart w:id="99" w:name="_Toc6756365"/>
      <w:bookmarkEnd w:id="99"/>
      <w:bookmarkStart w:id="100" w:name="_Toc6756369"/>
      <w:bookmarkEnd w:id="100"/>
      <w:bookmarkStart w:id="101" w:name="_Toc165993919"/>
      <w:bookmarkEnd w:id="101"/>
      <w:bookmarkStart w:id="102" w:name="_Toc165994299"/>
      <w:bookmarkEnd w:id="102"/>
      <w:bookmarkStart w:id="103" w:name="_Toc6755736"/>
      <w:bookmarkEnd w:id="103"/>
      <w:bookmarkStart w:id="104" w:name="_Toc6755739"/>
      <w:bookmarkEnd w:id="104"/>
      <w:bookmarkStart w:id="105" w:name="_Toc7536420"/>
      <w:bookmarkEnd w:id="105"/>
      <w:bookmarkStart w:id="106" w:name="_Toc6756368"/>
      <w:bookmarkEnd w:id="106"/>
      <w:bookmarkStart w:id="107" w:name="_Toc7543517"/>
      <w:bookmarkEnd w:id="107"/>
      <w:bookmarkStart w:id="108" w:name="_Toc165993922"/>
      <w:bookmarkEnd w:id="108"/>
      <w:bookmarkStart w:id="109" w:name="_Toc165994297"/>
      <w:bookmarkEnd w:id="109"/>
      <w:bookmarkStart w:id="110" w:name="_Toc7543516"/>
      <w:bookmarkEnd w:id="110"/>
      <w:bookmarkStart w:id="111" w:name="_Toc165993920"/>
      <w:bookmarkEnd w:id="111"/>
      <w:bookmarkStart w:id="112" w:name="_Toc6755738"/>
      <w:bookmarkEnd w:id="112"/>
      <w:bookmarkStart w:id="113" w:name="_Toc7536419"/>
      <w:bookmarkEnd w:id="113"/>
      <w:bookmarkStart w:id="114" w:name="_Toc6755737"/>
      <w:bookmarkEnd w:id="114"/>
      <w:bookmarkStart w:id="115" w:name="_Toc7536416"/>
      <w:bookmarkEnd w:id="115"/>
      <w:bookmarkStart w:id="116" w:name="_Toc165994300"/>
      <w:bookmarkEnd w:id="116"/>
      <w:bookmarkStart w:id="117" w:name="_Toc7543519"/>
      <w:bookmarkEnd w:id="117"/>
      <w:bookmarkStart w:id="118" w:name="_Toc165993921"/>
      <w:bookmarkEnd w:id="118"/>
      <w:bookmarkStart w:id="119" w:name="_Toc165994298"/>
      <w:bookmarkEnd w:id="119"/>
      <w:bookmarkStart w:id="120" w:name="_Toc7543520"/>
      <w:r>
        <w:rPr>
          <w:rFonts w:hint="eastAsia" w:ascii="宋体" w:hAnsi="宋体" w:eastAsia="宋体" w:cs="宋体"/>
          <w:sz w:val="24"/>
          <w:szCs w:val="24"/>
        </w:rPr>
        <w:t>5.1图纸会签</w:t>
      </w:r>
      <w:bookmarkEnd w:id="120"/>
    </w:p>
    <w:p w14:paraId="6A3B89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方案设计会签均在投标方完成，设计会签分两阶段进行，投标方应对招标方提供的工艺方案进行完善，一阶段为</w:t>
      </w:r>
      <w:r>
        <w:rPr>
          <w:rFonts w:ascii="宋体" w:hAnsi="宋体" w:eastAsia="宋体" w:cs="宋体"/>
          <w:sz w:val="24"/>
          <w:szCs w:val="24"/>
        </w:rPr>
        <w:t>3D设计评审会签（机械/电气/仿真），二阶段为优化后仿真/离线程序评审会签。</w:t>
      </w:r>
    </w:p>
    <w:p w14:paraId="3579D5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投标方现场安装调试务必以离线程序为基础，安装调试完成后，需要根据现场的实际情况，</w:t>
      </w:r>
      <w:r>
        <w:rPr>
          <w:rFonts w:ascii="宋体" w:hAnsi="宋体" w:eastAsia="宋体" w:cs="宋体"/>
          <w:sz w:val="24"/>
          <w:szCs w:val="24"/>
        </w:rPr>
        <w:t>重新修正离线程序，并在终验收前提交给</w:t>
      </w:r>
      <w:r>
        <w:rPr>
          <w:rFonts w:hint="eastAsia" w:ascii="宋体" w:hAnsi="宋体" w:eastAsia="宋体" w:cs="宋体"/>
          <w:sz w:val="24"/>
          <w:szCs w:val="24"/>
        </w:rPr>
        <w:t>招标</w:t>
      </w:r>
      <w:r>
        <w:rPr>
          <w:rFonts w:ascii="宋体" w:hAnsi="宋体" w:eastAsia="宋体" w:cs="宋体"/>
          <w:sz w:val="24"/>
          <w:szCs w:val="24"/>
        </w:rPr>
        <w:t>方，以确保离线程序与现场实物的一致性。</w:t>
      </w:r>
    </w:p>
    <w:p w14:paraId="1605CE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在设计审批阶段，双方对相关技术问题作进一步深入沟通和确认；方案图、设备图纸、安装图及其它图纸须经招标方签字认可后才能进一步设计和制造；投标方应对设备设计的正确性全面负责。</w:t>
      </w:r>
    </w:p>
    <w:p w14:paraId="6C956DE8">
      <w:pPr>
        <w:spacing w:line="360" w:lineRule="auto"/>
        <w:ind w:firstLine="480" w:firstLineChars="200"/>
        <w:rPr>
          <w:rFonts w:hint="eastAsia" w:ascii="宋体" w:hAnsi="宋体" w:eastAsia="宋体" w:cs="宋体"/>
          <w:sz w:val="24"/>
          <w:szCs w:val="24"/>
        </w:rPr>
      </w:pPr>
      <w:bookmarkStart w:id="121" w:name="_Toc7543521"/>
      <w:r>
        <w:rPr>
          <w:rFonts w:hint="eastAsia" w:ascii="宋体" w:hAnsi="宋体" w:eastAsia="宋体" w:cs="宋体"/>
          <w:sz w:val="24"/>
          <w:szCs w:val="24"/>
        </w:rPr>
        <w:t>5.2技术资料</w:t>
      </w:r>
      <w:bookmarkEnd w:id="121"/>
    </w:p>
    <w:p w14:paraId="6ED4E9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投标方须在项目不同阶段向招标方提供项目资料，各阶段需提供资料如下表所示：</w:t>
      </w:r>
    </w:p>
    <w:tbl>
      <w:tblPr>
        <w:tblStyle w:val="39"/>
        <w:tblW w:w="9046" w:type="dxa"/>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30"/>
        <w:gridCol w:w="2775"/>
        <w:gridCol w:w="1405"/>
        <w:gridCol w:w="1548"/>
        <w:gridCol w:w="1742"/>
        <w:gridCol w:w="946"/>
      </w:tblGrid>
      <w:tr w14:paraId="3250A6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630" w:type="dxa"/>
            <w:vAlign w:val="center"/>
          </w:tcPr>
          <w:p w14:paraId="2CC19CF6">
            <w:pPr>
              <w:spacing w:line="360" w:lineRule="auto"/>
              <w:rPr>
                <w:rFonts w:hint="eastAsia" w:ascii="宋体" w:hAnsi="宋体" w:eastAsia="宋体" w:cs="宋体"/>
                <w:sz w:val="24"/>
                <w:szCs w:val="24"/>
              </w:rPr>
            </w:pPr>
            <w:r>
              <w:rPr>
                <w:rFonts w:hint="eastAsia" w:ascii="宋体" w:hAnsi="宋体" w:eastAsia="宋体" w:cs="宋体"/>
                <w:sz w:val="24"/>
                <w:szCs w:val="24"/>
              </w:rPr>
              <w:t>No</w:t>
            </w:r>
            <w:r>
              <w:rPr>
                <w:rFonts w:ascii="宋体" w:hAnsi="宋体" w:eastAsia="宋体" w:cs="宋体"/>
                <w:sz w:val="24"/>
                <w:szCs w:val="24"/>
              </w:rPr>
              <w:t>.</w:t>
            </w:r>
          </w:p>
        </w:tc>
        <w:tc>
          <w:tcPr>
            <w:tcW w:w="2775" w:type="dxa"/>
            <w:vAlign w:val="center"/>
          </w:tcPr>
          <w:p w14:paraId="594B10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资料名称</w:t>
            </w:r>
          </w:p>
        </w:tc>
        <w:tc>
          <w:tcPr>
            <w:tcW w:w="1405" w:type="dxa"/>
            <w:vAlign w:val="center"/>
          </w:tcPr>
          <w:p w14:paraId="173BB90E">
            <w:pPr>
              <w:spacing w:line="360" w:lineRule="auto"/>
              <w:rPr>
                <w:rFonts w:hint="eastAsia" w:ascii="宋体" w:hAnsi="宋体" w:eastAsia="宋体" w:cs="宋体"/>
                <w:sz w:val="24"/>
                <w:szCs w:val="24"/>
              </w:rPr>
            </w:pPr>
            <w:r>
              <w:rPr>
                <w:rFonts w:ascii="宋体" w:hAnsi="宋体" w:eastAsia="宋体" w:cs="宋体"/>
                <w:sz w:val="24"/>
                <w:szCs w:val="24"/>
              </w:rPr>
              <w:t>设计</w:t>
            </w:r>
            <w:r>
              <w:rPr>
                <w:rFonts w:hint="eastAsia" w:ascii="宋体" w:hAnsi="宋体" w:eastAsia="宋体" w:cs="宋体"/>
                <w:sz w:val="24"/>
                <w:szCs w:val="24"/>
              </w:rPr>
              <w:t>审查</w:t>
            </w:r>
          </w:p>
        </w:tc>
        <w:tc>
          <w:tcPr>
            <w:tcW w:w="1548" w:type="dxa"/>
            <w:vAlign w:val="center"/>
          </w:tcPr>
          <w:p w14:paraId="4CADB43A">
            <w:pPr>
              <w:spacing w:line="360" w:lineRule="auto"/>
              <w:rPr>
                <w:rFonts w:hint="eastAsia" w:ascii="宋体" w:hAnsi="宋体" w:eastAsia="宋体" w:cs="宋体"/>
                <w:sz w:val="24"/>
                <w:szCs w:val="24"/>
              </w:rPr>
            </w:pPr>
            <w:r>
              <w:rPr>
                <w:rFonts w:ascii="宋体" w:hAnsi="宋体" w:eastAsia="宋体" w:cs="宋体"/>
                <w:sz w:val="24"/>
                <w:szCs w:val="24"/>
              </w:rPr>
              <w:t>预验收</w:t>
            </w:r>
          </w:p>
        </w:tc>
        <w:tc>
          <w:tcPr>
            <w:tcW w:w="1742" w:type="dxa"/>
            <w:vAlign w:val="center"/>
          </w:tcPr>
          <w:p w14:paraId="4D654256">
            <w:pPr>
              <w:spacing w:line="360" w:lineRule="auto"/>
              <w:rPr>
                <w:rFonts w:hint="eastAsia" w:ascii="宋体" w:hAnsi="宋体" w:eastAsia="宋体" w:cs="宋体"/>
                <w:sz w:val="24"/>
                <w:szCs w:val="24"/>
              </w:rPr>
            </w:pPr>
            <w:r>
              <w:rPr>
                <w:rFonts w:ascii="宋体" w:hAnsi="宋体" w:eastAsia="宋体" w:cs="宋体"/>
                <w:sz w:val="24"/>
                <w:szCs w:val="24"/>
              </w:rPr>
              <w:t>终验收</w:t>
            </w:r>
          </w:p>
        </w:tc>
        <w:tc>
          <w:tcPr>
            <w:tcW w:w="946" w:type="dxa"/>
            <w:vAlign w:val="center"/>
          </w:tcPr>
          <w:p w14:paraId="4CD3BB32">
            <w:pPr>
              <w:spacing w:line="360" w:lineRule="auto"/>
              <w:rPr>
                <w:rFonts w:hint="eastAsia" w:ascii="宋体" w:hAnsi="宋体" w:eastAsia="宋体" w:cs="宋体"/>
                <w:sz w:val="24"/>
                <w:szCs w:val="24"/>
              </w:rPr>
            </w:pPr>
            <w:r>
              <w:rPr>
                <w:rFonts w:hint="eastAsia" w:ascii="宋体" w:hAnsi="宋体" w:eastAsia="宋体" w:cs="宋体"/>
                <w:sz w:val="24"/>
                <w:szCs w:val="24"/>
              </w:rPr>
              <w:t>备注</w:t>
            </w:r>
          </w:p>
        </w:tc>
      </w:tr>
      <w:tr w14:paraId="6CBDF4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9D96F27">
            <w:pPr>
              <w:spacing w:line="360" w:lineRule="auto"/>
              <w:ind w:firstLine="480" w:firstLineChars="200"/>
              <w:rPr>
                <w:rFonts w:hint="eastAsia" w:ascii="宋体" w:hAnsi="宋体" w:eastAsia="宋体" w:cs="宋体"/>
                <w:sz w:val="24"/>
                <w:szCs w:val="24"/>
              </w:rPr>
            </w:pPr>
          </w:p>
        </w:tc>
        <w:tc>
          <w:tcPr>
            <w:tcW w:w="2775" w:type="dxa"/>
            <w:vAlign w:val="center"/>
          </w:tcPr>
          <w:p w14:paraId="11750B67">
            <w:pPr>
              <w:spacing w:line="360" w:lineRule="auto"/>
              <w:rPr>
                <w:rFonts w:hint="eastAsia" w:ascii="宋体" w:hAnsi="宋体" w:eastAsia="宋体" w:cs="宋体"/>
                <w:sz w:val="24"/>
                <w:szCs w:val="24"/>
              </w:rPr>
            </w:pPr>
            <w:r>
              <w:rPr>
                <w:rFonts w:ascii="宋体" w:hAnsi="宋体" w:eastAsia="宋体" w:cs="宋体"/>
                <w:sz w:val="24"/>
                <w:szCs w:val="24"/>
              </w:rPr>
              <w:t>工艺设备清单</w:t>
            </w:r>
          </w:p>
        </w:tc>
        <w:tc>
          <w:tcPr>
            <w:tcW w:w="1405" w:type="dxa"/>
            <w:vAlign w:val="center"/>
          </w:tcPr>
          <w:p w14:paraId="6C74E4C3">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7354F246">
            <w:pPr>
              <w:spacing w:line="360" w:lineRule="auto"/>
              <w:ind w:firstLine="480" w:firstLineChars="200"/>
              <w:rPr>
                <w:rFonts w:hint="eastAsia" w:ascii="宋体" w:hAnsi="宋体" w:eastAsia="宋体" w:cs="宋体"/>
                <w:sz w:val="24"/>
                <w:szCs w:val="24"/>
              </w:rPr>
            </w:pPr>
          </w:p>
        </w:tc>
        <w:tc>
          <w:tcPr>
            <w:tcW w:w="1742" w:type="dxa"/>
            <w:vAlign w:val="center"/>
          </w:tcPr>
          <w:p w14:paraId="7287B720">
            <w:pPr>
              <w:spacing w:line="360" w:lineRule="auto"/>
              <w:ind w:firstLine="480" w:firstLineChars="200"/>
              <w:rPr>
                <w:rFonts w:hint="eastAsia" w:ascii="宋体" w:hAnsi="宋体" w:eastAsia="宋体" w:cs="宋体"/>
                <w:sz w:val="24"/>
                <w:szCs w:val="24"/>
              </w:rPr>
            </w:pPr>
          </w:p>
        </w:tc>
        <w:tc>
          <w:tcPr>
            <w:tcW w:w="946" w:type="dxa"/>
            <w:vAlign w:val="center"/>
          </w:tcPr>
          <w:p w14:paraId="49DC6073">
            <w:pPr>
              <w:spacing w:line="360" w:lineRule="auto"/>
              <w:ind w:firstLine="480" w:firstLineChars="200"/>
              <w:rPr>
                <w:rFonts w:hint="eastAsia" w:ascii="宋体" w:hAnsi="宋体" w:eastAsia="宋体" w:cs="宋体"/>
                <w:sz w:val="24"/>
                <w:szCs w:val="24"/>
              </w:rPr>
            </w:pPr>
          </w:p>
        </w:tc>
      </w:tr>
      <w:tr w14:paraId="0A2D3A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A09BAAF">
            <w:pPr>
              <w:spacing w:line="360" w:lineRule="auto"/>
              <w:ind w:firstLine="480" w:firstLineChars="200"/>
              <w:rPr>
                <w:rFonts w:hint="eastAsia" w:ascii="宋体" w:hAnsi="宋体" w:eastAsia="宋体" w:cs="宋体"/>
                <w:sz w:val="24"/>
                <w:szCs w:val="24"/>
              </w:rPr>
            </w:pPr>
          </w:p>
        </w:tc>
        <w:tc>
          <w:tcPr>
            <w:tcW w:w="2775" w:type="dxa"/>
            <w:vAlign w:val="center"/>
          </w:tcPr>
          <w:p w14:paraId="13678673">
            <w:pPr>
              <w:spacing w:line="360" w:lineRule="auto"/>
              <w:rPr>
                <w:rFonts w:hint="eastAsia" w:ascii="宋体" w:hAnsi="宋体" w:eastAsia="宋体" w:cs="宋体"/>
                <w:sz w:val="24"/>
                <w:szCs w:val="24"/>
              </w:rPr>
            </w:pPr>
            <w:r>
              <w:rPr>
                <w:rFonts w:ascii="宋体" w:hAnsi="宋体" w:eastAsia="宋体" w:cs="宋体"/>
                <w:sz w:val="24"/>
                <w:szCs w:val="24"/>
              </w:rPr>
              <w:t>焊钳式样图</w:t>
            </w:r>
          </w:p>
        </w:tc>
        <w:tc>
          <w:tcPr>
            <w:tcW w:w="1405" w:type="dxa"/>
            <w:vAlign w:val="center"/>
          </w:tcPr>
          <w:p w14:paraId="7656CD68">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69552945">
            <w:pPr>
              <w:spacing w:line="360" w:lineRule="auto"/>
              <w:ind w:firstLine="480" w:firstLineChars="200"/>
              <w:rPr>
                <w:rFonts w:hint="eastAsia" w:ascii="宋体" w:hAnsi="宋体" w:eastAsia="宋体" w:cs="宋体"/>
                <w:sz w:val="24"/>
                <w:szCs w:val="24"/>
              </w:rPr>
            </w:pPr>
          </w:p>
        </w:tc>
        <w:tc>
          <w:tcPr>
            <w:tcW w:w="1742" w:type="dxa"/>
            <w:vAlign w:val="center"/>
          </w:tcPr>
          <w:p w14:paraId="75FDF290">
            <w:pPr>
              <w:spacing w:line="360" w:lineRule="auto"/>
              <w:ind w:firstLine="480" w:firstLineChars="200"/>
              <w:rPr>
                <w:rFonts w:hint="eastAsia" w:ascii="宋体" w:hAnsi="宋体" w:eastAsia="宋体" w:cs="宋体"/>
                <w:sz w:val="24"/>
                <w:szCs w:val="24"/>
              </w:rPr>
            </w:pPr>
          </w:p>
        </w:tc>
        <w:tc>
          <w:tcPr>
            <w:tcW w:w="946" w:type="dxa"/>
            <w:vAlign w:val="center"/>
          </w:tcPr>
          <w:p w14:paraId="7A39E90A">
            <w:pPr>
              <w:spacing w:line="360" w:lineRule="auto"/>
              <w:ind w:firstLine="480" w:firstLineChars="200"/>
              <w:rPr>
                <w:rFonts w:hint="eastAsia" w:ascii="宋体" w:hAnsi="宋体" w:eastAsia="宋体" w:cs="宋体"/>
                <w:sz w:val="24"/>
                <w:szCs w:val="24"/>
              </w:rPr>
            </w:pPr>
          </w:p>
        </w:tc>
      </w:tr>
      <w:tr w14:paraId="5D9A72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15CB892">
            <w:pPr>
              <w:spacing w:line="360" w:lineRule="auto"/>
              <w:ind w:firstLine="480" w:firstLineChars="200"/>
              <w:rPr>
                <w:rFonts w:hint="eastAsia" w:ascii="宋体" w:hAnsi="宋体" w:eastAsia="宋体" w:cs="宋体"/>
                <w:sz w:val="24"/>
                <w:szCs w:val="24"/>
              </w:rPr>
            </w:pPr>
          </w:p>
        </w:tc>
        <w:tc>
          <w:tcPr>
            <w:tcW w:w="2775" w:type="dxa"/>
            <w:vAlign w:val="center"/>
          </w:tcPr>
          <w:p w14:paraId="11EC9585">
            <w:pPr>
              <w:spacing w:line="360" w:lineRule="auto"/>
              <w:rPr>
                <w:rFonts w:hint="eastAsia" w:ascii="宋体" w:hAnsi="宋体" w:eastAsia="宋体" w:cs="宋体"/>
                <w:sz w:val="24"/>
                <w:szCs w:val="24"/>
              </w:rPr>
            </w:pPr>
            <w:r>
              <w:rPr>
                <w:rFonts w:ascii="宋体" w:hAnsi="宋体" w:eastAsia="宋体" w:cs="宋体"/>
                <w:sz w:val="24"/>
                <w:szCs w:val="24"/>
              </w:rPr>
              <w:t>夹具方案书（含3D数据）</w:t>
            </w:r>
          </w:p>
        </w:tc>
        <w:tc>
          <w:tcPr>
            <w:tcW w:w="1405" w:type="dxa"/>
            <w:vAlign w:val="center"/>
          </w:tcPr>
          <w:p w14:paraId="2CAACA46">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5BBD2670">
            <w:pPr>
              <w:spacing w:line="360" w:lineRule="auto"/>
              <w:ind w:firstLine="480" w:firstLineChars="200"/>
              <w:rPr>
                <w:rFonts w:hint="eastAsia" w:ascii="宋体" w:hAnsi="宋体" w:eastAsia="宋体" w:cs="宋体"/>
                <w:sz w:val="24"/>
                <w:szCs w:val="24"/>
              </w:rPr>
            </w:pPr>
          </w:p>
        </w:tc>
        <w:tc>
          <w:tcPr>
            <w:tcW w:w="1742" w:type="dxa"/>
            <w:vAlign w:val="center"/>
          </w:tcPr>
          <w:p w14:paraId="675748B9">
            <w:pPr>
              <w:spacing w:line="360" w:lineRule="auto"/>
              <w:ind w:firstLine="480" w:firstLineChars="200"/>
              <w:rPr>
                <w:rFonts w:hint="eastAsia" w:ascii="宋体" w:hAnsi="宋体" w:eastAsia="宋体" w:cs="宋体"/>
                <w:sz w:val="24"/>
                <w:szCs w:val="24"/>
              </w:rPr>
            </w:pPr>
          </w:p>
        </w:tc>
        <w:tc>
          <w:tcPr>
            <w:tcW w:w="946" w:type="dxa"/>
            <w:vAlign w:val="center"/>
          </w:tcPr>
          <w:p w14:paraId="7987D5B4">
            <w:pPr>
              <w:spacing w:line="360" w:lineRule="auto"/>
              <w:ind w:firstLine="480" w:firstLineChars="200"/>
              <w:rPr>
                <w:rFonts w:hint="eastAsia" w:ascii="宋体" w:hAnsi="宋体" w:eastAsia="宋体" w:cs="宋体"/>
                <w:sz w:val="24"/>
                <w:szCs w:val="24"/>
              </w:rPr>
            </w:pPr>
          </w:p>
        </w:tc>
      </w:tr>
      <w:tr w14:paraId="228FC5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0A72D29">
            <w:pPr>
              <w:spacing w:line="360" w:lineRule="auto"/>
              <w:ind w:firstLine="480" w:firstLineChars="200"/>
              <w:rPr>
                <w:rFonts w:hint="eastAsia" w:ascii="宋体" w:hAnsi="宋体" w:eastAsia="宋体" w:cs="宋体"/>
                <w:sz w:val="24"/>
                <w:szCs w:val="24"/>
              </w:rPr>
            </w:pPr>
          </w:p>
        </w:tc>
        <w:tc>
          <w:tcPr>
            <w:tcW w:w="2775" w:type="dxa"/>
            <w:vAlign w:val="center"/>
          </w:tcPr>
          <w:p w14:paraId="670D28F8">
            <w:pPr>
              <w:spacing w:line="360" w:lineRule="auto"/>
              <w:rPr>
                <w:rFonts w:hint="eastAsia" w:ascii="宋体" w:hAnsi="宋体" w:eastAsia="宋体" w:cs="宋体"/>
                <w:sz w:val="24"/>
                <w:szCs w:val="24"/>
              </w:rPr>
            </w:pPr>
            <w:r>
              <w:rPr>
                <w:rFonts w:ascii="宋体" w:hAnsi="宋体" w:eastAsia="宋体" w:cs="宋体"/>
                <w:sz w:val="24"/>
                <w:szCs w:val="24"/>
              </w:rPr>
              <w:t>夹具方案书（含3D数据）</w:t>
            </w:r>
          </w:p>
        </w:tc>
        <w:tc>
          <w:tcPr>
            <w:tcW w:w="1405" w:type="dxa"/>
            <w:vAlign w:val="center"/>
          </w:tcPr>
          <w:p w14:paraId="7ABAE898">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25EC9B8C">
            <w:pPr>
              <w:spacing w:line="360" w:lineRule="auto"/>
              <w:ind w:firstLine="480" w:firstLineChars="200"/>
              <w:rPr>
                <w:rFonts w:hint="eastAsia" w:ascii="宋体" w:hAnsi="宋体" w:eastAsia="宋体" w:cs="宋体"/>
                <w:sz w:val="24"/>
                <w:szCs w:val="24"/>
              </w:rPr>
            </w:pPr>
          </w:p>
        </w:tc>
        <w:tc>
          <w:tcPr>
            <w:tcW w:w="1742" w:type="dxa"/>
            <w:vAlign w:val="center"/>
          </w:tcPr>
          <w:p w14:paraId="5C2E8A44">
            <w:pPr>
              <w:spacing w:line="360" w:lineRule="auto"/>
              <w:ind w:firstLine="480" w:firstLineChars="200"/>
              <w:rPr>
                <w:rFonts w:hint="eastAsia" w:ascii="宋体" w:hAnsi="宋体" w:eastAsia="宋体" w:cs="宋体"/>
                <w:sz w:val="24"/>
                <w:szCs w:val="24"/>
              </w:rPr>
            </w:pPr>
          </w:p>
        </w:tc>
        <w:tc>
          <w:tcPr>
            <w:tcW w:w="946" w:type="dxa"/>
            <w:vAlign w:val="center"/>
          </w:tcPr>
          <w:p w14:paraId="6DEFBD84">
            <w:pPr>
              <w:spacing w:line="360" w:lineRule="auto"/>
              <w:ind w:firstLine="480" w:firstLineChars="200"/>
              <w:rPr>
                <w:rFonts w:hint="eastAsia" w:ascii="宋体" w:hAnsi="宋体" w:eastAsia="宋体" w:cs="宋体"/>
                <w:sz w:val="24"/>
                <w:szCs w:val="24"/>
              </w:rPr>
            </w:pPr>
          </w:p>
        </w:tc>
      </w:tr>
      <w:tr w14:paraId="5B8426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845E526">
            <w:pPr>
              <w:spacing w:line="360" w:lineRule="auto"/>
              <w:ind w:firstLine="480" w:firstLineChars="200"/>
              <w:rPr>
                <w:rFonts w:hint="eastAsia" w:ascii="宋体" w:hAnsi="宋体" w:eastAsia="宋体" w:cs="宋体"/>
                <w:sz w:val="24"/>
                <w:szCs w:val="24"/>
              </w:rPr>
            </w:pPr>
          </w:p>
        </w:tc>
        <w:tc>
          <w:tcPr>
            <w:tcW w:w="2775" w:type="dxa"/>
            <w:vAlign w:val="center"/>
          </w:tcPr>
          <w:p w14:paraId="2171A9AD">
            <w:pPr>
              <w:spacing w:line="360" w:lineRule="auto"/>
              <w:rPr>
                <w:rFonts w:hint="eastAsia" w:ascii="宋体" w:hAnsi="宋体" w:eastAsia="宋体" w:cs="宋体"/>
                <w:sz w:val="24"/>
                <w:szCs w:val="24"/>
              </w:rPr>
            </w:pPr>
            <w:r>
              <w:rPr>
                <w:rFonts w:ascii="宋体" w:hAnsi="宋体" w:eastAsia="宋体" w:cs="宋体"/>
                <w:sz w:val="24"/>
                <w:szCs w:val="24"/>
              </w:rPr>
              <w:t>工位焊点信息图（3D）</w:t>
            </w:r>
          </w:p>
        </w:tc>
        <w:tc>
          <w:tcPr>
            <w:tcW w:w="1405" w:type="dxa"/>
            <w:vAlign w:val="center"/>
          </w:tcPr>
          <w:p w14:paraId="5F80A34F">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0DD752A2">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vAlign w:val="center"/>
          </w:tcPr>
          <w:p w14:paraId="06EF685C">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946" w:type="dxa"/>
            <w:vAlign w:val="center"/>
          </w:tcPr>
          <w:p w14:paraId="4D96E9C1">
            <w:pPr>
              <w:spacing w:line="360" w:lineRule="auto"/>
              <w:ind w:firstLine="480" w:firstLineChars="200"/>
              <w:rPr>
                <w:rFonts w:hint="eastAsia" w:ascii="宋体" w:hAnsi="宋体" w:eastAsia="宋体" w:cs="宋体"/>
                <w:sz w:val="24"/>
                <w:szCs w:val="24"/>
              </w:rPr>
            </w:pPr>
          </w:p>
        </w:tc>
      </w:tr>
      <w:tr w14:paraId="47CD02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6CFF78B">
            <w:pPr>
              <w:spacing w:line="360" w:lineRule="auto"/>
              <w:ind w:firstLine="480" w:firstLineChars="200"/>
              <w:rPr>
                <w:rFonts w:hint="eastAsia" w:ascii="宋体" w:hAnsi="宋体" w:eastAsia="宋体" w:cs="宋体"/>
                <w:sz w:val="24"/>
                <w:szCs w:val="24"/>
              </w:rPr>
            </w:pPr>
          </w:p>
        </w:tc>
        <w:tc>
          <w:tcPr>
            <w:tcW w:w="2775" w:type="dxa"/>
            <w:vAlign w:val="center"/>
          </w:tcPr>
          <w:p w14:paraId="2B8B07C4">
            <w:pPr>
              <w:spacing w:line="360" w:lineRule="auto"/>
              <w:rPr>
                <w:rFonts w:hint="eastAsia" w:ascii="宋体" w:hAnsi="宋体" w:eastAsia="宋体" w:cs="宋体"/>
                <w:sz w:val="24"/>
                <w:szCs w:val="24"/>
              </w:rPr>
            </w:pPr>
            <w:r>
              <w:rPr>
                <w:rFonts w:ascii="宋体" w:hAnsi="宋体" w:eastAsia="宋体" w:cs="宋体"/>
                <w:sz w:val="24"/>
                <w:szCs w:val="24"/>
              </w:rPr>
              <w:t>PLC及HMI范例程序</w:t>
            </w:r>
          </w:p>
        </w:tc>
        <w:tc>
          <w:tcPr>
            <w:tcW w:w="1405" w:type="dxa"/>
            <w:vAlign w:val="center"/>
          </w:tcPr>
          <w:p w14:paraId="3E1FE7BD">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7FD58E92">
            <w:pPr>
              <w:spacing w:line="360" w:lineRule="auto"/>
              <w:ind w:firstLine="480" w:firstLineChars="200"/>
              <w:rPr>
                <w:rFonts w:hint="eastAsia" w:ascii="宋体" w:hAnsi="宋体" w:eastAsia="宋体" w:cs="宋体"/>
                <w:sz w:val="24"/>
                <w:szCs w:val="24"/>
              </w:rPr>
            </w:pPr>
          </w:p>
        </w:tc>
        <w:tc>
          <w:tcPr>
            <w:tcW w:w="1742" w:type="dxa"/>
            <w:vAlign w:val="center"/>
          </w:tcPr>
          <w:p w14:paraId="56695C25">
            <w:pPr>
              <w:spacing w:line="360" w:lineRule="auto"/>
              <w:ind w:firstLine="480" w:firstLineChars="200"/>
              <w:rPr>
                <w:rFonts w:hint="eastAsia" w:ascii="宋体" w:hAnsi="宋体" w:eastAsia="宋体" w:cs="宋体"/>
                <w:sz w:val="24"/>
                <w:szCs w:val="24"/>
              </w:rPr>
            </w:pPr>
          </w:p>
        </w:tc>
        <w:tc>
          <w:tcPr>
            <w:tcW w:w="946" w:type="dxa"/>
            <w:vAlign w:val="center"/>
          </w:tcPr>
          <w:p w14:paraId="58A51B56">
            <w:pPr>
              <w:spacing w:line="360" w:lineRule="auto"/>
              <w:ind w:firstLine="480" w:firstLineChars="200"/>
              <w:rPr>
                <w:rFonts w:hint="eastAsia" w:ascii="宋体" w:hAnsi="宋体" w:eastAsia="宋体" w:cs="宋体"/>
                <w:sz w:val="24"/>
                <w:szCs w:val="24"/>
              </w:rPr>
            </w:pPr>
          </w:p>
        </w:tc>
      </w:tr>
      <w:tr w14:paraId="21D720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C6474D5">
            <w:pPr>
              <w:spacing w:line="360" w:lineRule="auto"/>
              <w:ind w:firstLine="480" w:firstLineChars="200"/>
              <w:rPr>
                <w:rFonts w:hint="eastAsia" w:ascii="宋体" w:hAnsi="宋体" w:eastAsia="宋体" w:cs="宋体"/>
                <w:sz w:val="24"/>
                <w:szCs w:val="24"/>
              </w:rPr>
            </w:pPr>
          </w:p>
        </w:tc>
        <w:tc>
          <w:tcPr>
            <w:tcW w:w="2775" w:type="dxa"/>
            <w:vAlign w:val="center"/>
          </w:tcPr>
          <w:p w14:paraId="00C4DFBC">
            <w:pPr>
              <w:spacing w:line="360" w:lineRule="auto"/>
              <w:rPr>
                <w:rFonts w:hint="eastAsia" w:ascii="宋体" w:hAnsi="宋体" w:eastAsia="宋体" w:cs="宋体"/>
                <w:sz w:val="24"/>
                <w:szCs w:val="24"/>
              </w:rPr>
            </w:pPr>
            <w:r>
              <w:rPr>
                <w:rFonts w:ascii="宋体" w:hAnsi="宋体" w:eastAsia="宋体" w:cs="宋体"/>
                <w:sz w:val="24"/>
                <w:szCs w:val="24"/>
              </w:rPr>
              <w:t>工位节拍明细（时序图）</w:t>
            </w:r>
          </w:p>
        </w:tc>
        <w:tc>
          <w:tcPr>
            <w:tcW w:w="1405" w:type="dxa"/>
            <w:vAlign w:val="center"/>
          </w:tcPr>
          <w:p w14:paraId="2F2DA5D7">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1AE17485">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vAlign w:val="center"/>
          </w:tcPr>
          <w:p w14:paraId="79931AFA">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946" w:type="dxa"/>
            <w:vAlign w:val="center"/>
          </w:tcPr>
          <w:p w14:paraId="2CFB626F">
            <w:pPr>
              <w:spacing w:line="360" w:lineRule="auto"/>
              <w:ind w:firstLine="480" w:firstLineChars="200"/>
              <w:rPr>
                <w:rFonts w:hint="eastAsia" w:ascii="宋体" w:hAnsi="宋体" w:eastAsia="宋体" w:cs="宋体"/>
                <w:sz w:val="24"/>
                <w:szCs w:val="24"/>
              </w:rPr>
            </w:pPr>
          </w:p>
        </w:tc>
      </w:tr>
      <w:tr w14:paraId="7565E9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2F86064">
            <w:pPr>
              <w:spacing w:line="360" w:lineRule="auto"/>
              <w:ind w:firstLine="480" w:firstLineChars="200"/>
              <w:rPr>
                <w:rFonts w:hint="eastAsia" w:ascii="宋体" w:hAnsi="宋体" w:eastAsia="宋体" w:cs="宋体"/>
                <w:sz w:val="24"/>
                <w:szCs w:val="24"/>
              </w:rPr>
            </w:pPr>
          </w:p>
        </w:tc>
        <w:tc>
          <w:tcPr>
            <w:tcW w:w="2775" w:type="dxa"/>
            <w:vAlign w:val="center"/>
          </w:tcPr>
          <w:p w14:paraId="34A77080">
            <w:pPr>
              <w:spacing w:line="360" w:lineRule="auto"/>
              <w:rPr>
                <w:rFonts w:hint="eastAsia" w:ascii="宋体" w:hAnsi="宋体" w:eastAsia="宋体" w:cs="宋体"/>
                <w:sz w:val="24"/>
                <w:szCs w:val="24"/>
              </w:rPr>
            </w:pPr>
            <w:r>
              <w:rPr>
                <w:rFonts w:ascii="宋体" w:hAnsi="宋体" w:eastAsia="宋体" w:cs="宋体"/>
                <w:sz w:val="24"/>
                <w:szCs w:val="24"/>
              </w:rPr>
              <w:t>易损件及备件明细、图纸、</w:t>
            </w:r>
          </w:p>
          <w:p w14:paraId="52311A3A">
            <w:pPr>
              <w:spacing w:line="360" w:lineRule="auto"/>
              <w:rPr>
                <w:rFonts w:hint="eastAsia" w:ascii="宋体" w:hAnsi="宋体" w:eastAsia="宋体" w:cs="宋体"/>
                <w:sz w:val="24"/>
                <w:szCs w:val="24"/>
              </w:rPr>
            </w:pPr>
            <w:r>
              <w:rPr>
                <w:rFonts w:ascii="宋体" w:hAnsi="宋体" w:eastAsia="宋体" w:cs="宋体"/>
                <w:sz w:val="24"/>
                <w:szCs w:val="24"/>
              </w:rPr>
              <w:t>参考价格（含夹具易损备件）</w:t>
            </w:r>
          </w:p>
        </w:tc>
        <w:tc>
          <w:tcPr>
            <w:tcW w:w="1405" w:type="dxa"/>
            <w:vAlign w:val="center"/>
          </w:tcPr>
          <w:p w14:paraId="1B39C617">
            <w:pPr>
              <w:spacing w:line="360" w:lineRule="auto"/>
              <w:ind w:firstLine="480" w:firstLineChars="200"/>
              <w:rPr>
                <w:rFonts w:hint="eastAsia" w:ascii="宋体" w:hAnsi="宋体" w:eastAsia="宋体" w:cs="宋体"/>
                <w:sz w:val="24"/>
                <w:szCs w:val="24"/>
              </w:rPr>
            </w:pPr>
          </w:p>
        </w:tc>
        <w:tc>
          <w:tcPr>
            <w:tcW w:w="1548" w:type="dxa"/>
            <w:vAlign w:val="center"/>
          </w:tcPr>
          <w:p w14:paraId="6E005311">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vAlign w:val="center"/>
          </w:tcPr>
          <w:p w14:paraId="705AF3FF">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44475931">
            <w:pPr>
              <w:spacing w:line="360" w:lineRule="auto"/>
              <w:ind w:firstLine="480" w:firstLineChars="200"/>
              <w:rPr>
                <w:rFonts w:hint="eastAsia" w:ascii="宋体" w:hAnsi="宋体" w:eastAsia="宋体" w:cs="宋体"/>
                <w:sz w:val="24"/>
                <w:szCs w:val="24"/>
              </w:rPr>
            </w:pPr>
          </w:p>
        </w:tc>
      </w:tr>
      <w:tr w14:paraId="7D2787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A68987B">
            <w:pPr>
              <w:spacing w:line="360" w:lineRule="auto"/>
              <w:ind w:firstLine="480" w:firstLineChars="200"/>
              <w:rPr>
                <w:rFonts w:hint="eastAsia" w:ascii="宋体" w:hAnsi="宋体" w:eastAsia="宋体" w:cs="宋体"/>
                <w:sz w:val="24"/>
                <w:szCs w:val="24"/>
              </w:rPr>
            </w:pPr>
          </w:p>
        </w:tc>
        <w:tc>
          <w:tcPr>
            <w:tcW w:w="2775" w:type="dxa"/>
            <w:vAlign w:val="center"/>
          </w:tcPr>
          <w:p w14:paraId="66AC287F">
            <w:pPr>
              <w:spacing w:line="360" w:lineRule="auto"/>
              <w:rPr>
                <w:rFonts w:hint="eastAsia" w:ascii="宋体" w:hAnsi="宋体" w:eastAsia="宋体" w:cs="宋体"/>
                <w:sz w:val="24"/>
                <w:szCs w:val="24"/>
              </w:rPr>
            </w:pPr>
            <w:r>
              <w:rPr>
                <w:rFonts w:ascii="宋体" w:hAnsi="宋体" w:eastAsia="宋体" w:cs="宋体"/>
                <w:sz w:val="24"/>
                <w:szCs w:val="24"/>
              </w:rPr>
              <w:t>标准件手册</w:t>
            </w:r>
          </w:p>
        </w:tc>
        <w:tc>
          <w:tcPr>
            <w:tcW w:w="1405" w:type="dxa"/>
            <w:vAlign w:val="center"/>
          </w:tcPr>
          <w:p w14:paraId="135711B0">
            <w:pPr>
              <w:spacing w:line="360" w:lineRule="auto"/>
              <w:ind w:firstLine="480" w:firstLineChars="200"/>
              <w:rPr>
                <w:rFonts w:hint="eastAsia" w:ascii="宋体" w:hAnsi="宋体" w:eastAsia="宋体" w:cs="宋体"/>
                <w:sz w:val="24"/>
                <w:szCs w:val="24"/>
              </w:rPr>
            </w:pPr>
          </w:p>
        </w:tc>
        <w:tc>
          <w:tcPr>
            <w:tcW w:w="1548" w:type="dxa"/>
            <w:vAlign w:val="center"/>
          </w:tcPr>
          <w:p w14:paraId="03429112">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21637961">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5B51CFDB">
            <w:pPr>
              <w:spacing w:line="360" w:lineRule="auto"/>
              <w:ind w:firstLine="480" w:firstLineChars="200"/>
              <w:rPr>
                <w:rFonts w:hint="eastAsia" w:ascii="宋体" w:hAnsi="宋体" w:eastAsia="宋体" w:cs="宋体"/>
                <w:sz w:val="24"/>
                <w:szCs w:val="24"/>
              </w:rPr>
            </w:pPr>
          </w:p>
        </w:tc>
      </w:tr>
      <w:tr w14:paraId="582DA3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6B6BBF9">
            <w:pPr>
              <w:spacing w:line="360" w:lineRule="auto"/>
              <w:ind w:firstLine="480" w:firstLineChars="200"/>
              <w:rPr>
                <w:rFonts w:hint="eastAsia" w:ascii="宋体" w:hAnsi="宋体" w:eastAsia="宋体" w:cs="宋体"/>
                <w:sz w:val="24"/>
                <w:szCs w:val="24"/>
              </w:rPr>
            </w:pPr>
          </w:p>
        </w:tc>
        <w:tc>
          <w:tcPr>
            <w:tcW w:w="2775" w:type="dxa"/>
            <w:vAlign w:val="center"/>
          </w:tcPr>
          <w:p w14:paraId="0BEA88B3">
            <w:pPr>
              <w:spacing w:line="360" w:lineRule="auto"/>
              <w:rPr>
                <w:rFonts w:hint="eastAsia" w:ascii="宋体" w:hAnsi="宋体" w:eastAsia="宋体" w:cs="宋体"/>
                <w:sz w:val="24"/>
                <w:szCs w:val="24"/>
              </w:rPr>
            </w:pPr>
            <w:r>
              <w:rPr>
                <w:rFonts w:ascii="宋体" w:hAnsi="宋体" w:eastAsia="宋体" w:cs="宋体"/>
                <w:sz w:val="24"/>
                <w:szCs w:val="24"/>
              </w:rPr>
              <w:t>备件清单</w:t>
            </w:r>
          </w:p>
        </w:tc>
        <w:tc>
          <w:tcPr>
            <w:tcW w:w="1405" w:type="dxa"/>
            <w:vAlign w:val="center"/>
          </w:tcPr>
          <w:p w14:paraId="4CA4EC1A">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092F573A">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7243ED9A">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039A4360">
            <w:pPr>
              <w:spacing w:line="360" w:lineRule="auto"/>
              <w:ind w:firstLine="480" w:firstLineChars="200"/>
              <w:rPr>
                <w:rFonts w:hint="eastAsia" w:ascii="宋体" w:hAnsi="宋体" w:eastAsia="宋体" w:cs="宋体"/>
                <w:sz w:val="24"/>
                <w:szCs w:val="24"/>
              </w:rPr>
            </w:pPr>
          </w:p>
        </w:tc>
      </w:tr>
      <w:tr w14:paraId="671199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D828055">
            <w:pPr>
              <w:spacing w:line="360" w:lineRule="auto"/>
              <w:ind w:firstLine="480" w:firstLineChars="200"/>
              <w:rPr>
                <w:rFonts w:hint="eastAsia" w:ascii="宋体" w:hAnsi="宋体" w:eastAsia="宋体" w:cs="宋体"/>
                <w:sz w:val="24"/>
                <w:szCs w:val="24"/>
              </w:rPr>
            </w:pPr>
          </w:p>
        </w:tc>
        <w:tc>
          <w:tcPr>
            <w:tcW w:w="2775" w:type="dxa"/>
            <w:vAlign w:val="center"/>
          </w:tcPr>
          <w:p w14:paraId="0107E1FF">
            <w:pPr>
              <w:spacing w:line="360" w:lineRule="auto"/>
              <w:rPr>
                <w:rFonts w:hint="eastAsia" w:ascii="宋体" w:hAnsi="宋体" w:eastAsia="宋体" w:cs="宋体"/>
                <w:sz w:val="24"/>
                <w:szCs w:val="24"/>
              </w:rPr>
            </w:pPr>
            <w:r>
              <w:rPr>
                <w:rFonts w:ascii="宋体" w:hAnsi="宋体" w:eastAsia="宋体" w:cs="宋体"/>
                <w:sz w:val="24"/>
                <w:szCs w:val="24"/>
              </w:rPr>
              <w:t>非标设备设计图</w:t>
            </w:r>
          </w:p>
        </w:tc>
        <w:tc>
          <w:tcPr>
            <w:tcW w:w="1405" w:type="dxa"/>
            <w:vAlign w:val="center"/>
          </w:tcPr>
          <w:p w14:paraId="5D9A0326">
            <w:pPr>
              <w:spacing w:line="360" w:lineRule="auto"/>
              <w:ind w:firstLine="480" w:firstLineChars="200"/>
              <w:rPr>
                <w:rFonts w:hint="eastAsia" w:ascii="宋体" w:hAnsi="宋体" w:eastAsia="宋体" w:cs="宋体"/>
                <w:sz w:val="24"/>
                <w:szCs w:val="24"/>
              </w:rPr>
            </w:pPr>
          </w:p>
        </w:tc>
        <w:tc>
          <w:tcPr>
            <w:tcW w:w="1548" w:type="dxa"/>
            <w:vAlign w:val="center"/>
          </w:tcPr>
          <w:p w14:paraId="054DCBBF">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33085F13">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570BC689">
            <w:pPr>
              <w:spacing w:line="360" w:lineRule="auto"/>
              <w:ind w:firstLine="480" w:firstLineChars="200"/>
              <w:rPr>
                <w:rFonts w:hint="eastAsia" w:ascii="宋体" w:hAnsi="宋体" w:eastAsia="宋体" w:cs="宋体"/>
                <w:sz w:val="24"/>
                <w:szCs w:val="24"/>
              </w:rPr>
            </w:pPr>
          </w:p>
        </w:tc>
      </w:tr>
      <w:tr w14:paraId="74A211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989A989">
            <w:pPr>
              <w:spacing w:line="360" w:lineRule="auto"/>
              <w:ind w:firstLine="480" w:firstLineChars="200"/>
              <w:rPr>
                <w:rFonts w:hint="eastAsia" w:ascii="宋体" w:hAnsi="宋体" w:eastAsia="宋体" w:cs="宋体"/>
                <w:sz w:val="24"/>
                <w:szCs w:val="24"/>
              </w:rPr>
            </w:pPr>
          </w:p>
        </w:tc>
        <w:tc>
          <w:tcPr>
            <w:tcW w:w="2775" w:type="dxa"/>
            <w:vAlign w:val="center"/>
          </w:tcPr>
          <w:p w14:paraId="2C2D1396">
            <w:pPr>
              <w:spacing w:line="360" w:lineRule="auto"/>
              <w:rPr>
                <w:rFonts w:hint="eastAsia" w:ascii="宋体" w:hAnsi="宋体" w:eastAsia="宋体" w:cs="宋体"/>
                <w:sz w:val="24"/>
                <w:szCs w:val="24"/>
              </w:rPr>
            </w:pPr>
            <w:r>
              <w:rPr>
                <w:rFonts w:ascii="宋体" w:hAnsi="宋体" w:eastAsia="宋体" w:cs="宋体"/>
                <w:sz w:val="24"/>
                <w:szCs w:val="24"/>
              </w:rPr>
              <w:t>电气原理图（含逻辑电路图）</w:t>
            </w:r>
          </w:p>
        </w:tc>
        <w:tc>
          <w:tcPr>
            <w:tcW w:w="1405" w:type="dxa"/>
            <w:vAlign w:val="center"/>
          </w:tcPr>
          <w:p w14:paraId="0AB0323B">
            <w:pPr>
              <w:spacing w:line="360" w:lineRule="auto"/>
              <w:ind w:firstLine="480" w:firstLineChars="200"/>
              <w:rPr>
                <w:rFonts w:hint="eastAsia" w:ascii="宋体" w:hAnsi="宋体" w:eastAsia="宋体" w:cs="宋体"/>
                <w:sz w:val="24"/>
                <w:szCs w:val="24"/>
              </w:rPr>
            </w:pPr>
          </w:p>
        </w:tc>
        <w:tc>
          <w:tcPr>
            <w:tcW w:w="1548" w:type="dxa"/>
            <w:vAlign w:val="center"/>
          </w:tcPr>
          <w:p w14:paraId="3A24CDF3">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3F3996CD">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128C9D53">
            <w:pPr>
              <w:spacing w:line="360" w:lineRule="auto"/>
              <w:ind w:firstLine="480" w:firstLineChars="200"/>
              <w:rPr>
                <w:rFonts w:hint="eastAsia" w:ascii="宋体" w:hAnsi="宋体" w:eastAsia="宋体" w:cs="宋体"/>
                <w:sz w:val="24"/>
                <w:szCs w:val="24"/>
              </w:rPr>
            </w:pPr>
          </w:p>
        </w:tc>
      </w:tr>
      <w:tr w14:paraId="032376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C673443">
            <w:pPr>
              <w:spacing w:line="360" w:lineRule="auto"/>
              <w:ind w:firstLine="480" w:firstLineChars="200"/>
              <w:rPr>
                <w:rFonts w:hint="eastAsia" w:ascii="宋体" w:hAnsi="宋体" w:eastAsia="宋体" w:cs="宋体"/>
                <w:sz w:val="24"/>
                <w:szCs w:val="24"/>
              </w:rPr>
            </w:pPr>
          </w:p>
        </w:tc>
        <w:tc>
          <w:tcPr>
            <w:tcW w:w="2775" w:type="dxa"/>
            <w:vAlign w:val="center"/>
          </w:tcPr>
          <w:p w14:paraId="24B9900E">
            <w:pPr>
              <w:spacing w:line="360" w:lineRule="auto"/>
              <w:rPr>
                <w:rFonts w:hint="eastAsia" w:ascii="宋体" w:hAnsi="宋体" w:eastAsia="宋体" w:cs="宋体"/>
                <w:sz w:val="24"/>
                <w:szCs w:val="24"/>
              </w:rPr>
            </w:pPr>
            <w:r>
              <w:rPr>
                <w:rFonts w:ascii="宋体" w:hAnsi="宋体" w:eastAsia="宋体" w:cs="宋体"/>
                <w:sz w:val="24"/>
                <w:szCs w:val="24"/>
              </w:rPr>
              <w:t>气路原理图</w:t>
            </w:r>
          </w:p>
        </w:tc>
        <w:tc>
          <w:tcPr>
            <w:tcW w:w="1405" w:type="dxa"/>
            <w:vAlign w:val="center"/>
          </w:tcPr>
          <w:p w14:paraId="75D2A145">
            <w:pPr>
              <w:spacing w:line="360" w:lineRule="auto"/>
              <w:ind w:firstLine="480" w:firstLineChars="200"/>
              <w:rPr>
                <w:rFonts w:hint="eastAsia" w:ascii="宋体" w:hAnsi="宋体" w:eastAsia="宋体" w:cs="宋体"/>
                <w:sz w:val="24"/>
                <w:szCs w:val="24"/>
              </w:rPr>
            </w:pPr>
          </w:p>
        </w:tc>
        <w:tc>
          <w:tcPr>
            <w:tcW w:w="1548" w:type="dxa"/>
            <w:vAlign w:val="center"/>
          </w:tcPr>
          <w:p w14:paraId="2BDA8047">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72A46137">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433EC5D5">
            <w:pPr>
              <w:spacing w:line="360" w:lineRule="auto"/>
              <w:ind w:firstLine="480" w:firstLineChars="200"/>
              <w:rPr>
                <w:rFonts w:hint="eastAsia" w:ascii="宋体" w:hAnsi="宋体" w:eastAsia="宋体" w:cs="宋体"/>
                <w:sz w:val="24"/>
                <w:szCs w:val="24"/>
              </w:rPr>
            </w:pPr>
          </w:p>
        </w:tc>
      </w:tr>
      <w:tr w14:paraId="6FF074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54DB170">
            <w:pPr>
              <w:spacing w:line="360" w:lineRule="auto"/>
              <w:ind w:firstLine="480" w:firstLineChars="200"/>
              <w:rPr>
                <w:rFonts w:hint="eastAsia" w:ascii="宋体" w:hAnsi="宋体" w:eastAsia="宋体" w:cs="宋体"/>
                <w:sz w:val="24"/>
                <w:szCs w:val="24"/>
              </w:rPr>
            </w:pPr>
          </w:p>
        </w:tc>
        <w:tc>
          <w:tcPr>
            <w:tcW w:w="2775" w:type="dxa"/>
            <w:vAlign w:val="center"/>
          </w:tcPr>
          <w:p w14:paraId="722BA68F">
            <w:pPr>
              <w:spacing w:line="360" w:lineRule="auto"/>
              <w:rPr>
                <w:rFonts w:hint="eastAsia" w:ascii="宋体" w:hAnsi="宋体" w:eastAsia="宋体" w:cs="宋体"/>
                <w:sz w:val="24"/>
                <w:szCs w:val="24"/>
              </w:rPr>
            </w:pPr>
            <w:r>
              <w:rPr>
                <w:rFonts w:ascii="宋体" w:hAnsi="宋体" w:eastAsia="宋体" w:cs="宋体"/>
                <w:sz w:val="24"/>
                <w:szCs w:val="24"/>
              </w:rPr>
              <w:t>电气接线图</w:t>
            </w:r>
          </w:p>
        </w:tc>
        <w:tc>
          <w:tcPr>
            <w:tcW w:w="1405" w:type="dxa"/>
            <w:vAlign w:val="center"/>
          </w:tcPr>
          <w:p w14:paraId="21753AF3">
            <w:pPr>
              <w:spacing w:line="360" w:lineRule="auto"/>
              <w:ind w:firstLine="480" w:firstLineChars="200"/>
              <w:rPr>
                <w:rFonts w:hint="eastAsia" w:ascii="宋体" w:hAnsi="宋体" w:eastAsia="宋体" w:cs="宋体"/>
                <w:sz w:val="24"/>
                <w:szCs w:val="24"/>
              </w:rPr>
            </w:pPr>
          </w:p>
        </w:tc>
        <w:tc>
          <w:tcPr>
            <w:tcW w:w="1548" w:type="dxa"/>
            <w:vAlign w:val="center"/>
          </w:tcPr>
          <w:p w14:paraId="43EE3DA7">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5085786A">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13370379">
            <w:pPr>
              <w:spacing w:line="360" w:lineRule="auto"/>
              <w:ind w:firstLine="480" w:firstLineChars="200"/>
              <w:rPr>
                <w:rFonts w:hint="eastAsia" w:ascii="宋体" w:hAnsi="宋体" w:eastAsia="宋体" w:cs="宋体"/>
                <w:sz w:val="24"/>
                <w:szCs w:val="24"/>
              </w:rPr>
            </w:pPr>
          </w:p>
        </w:tc>
      </w:tr>
      <w:tr w14:paraId="66CE67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C459564">
            <w:pPr>
              <w:spacing w:line="360" w:lineRule="auto"/>
              <w:ind w:firstLine="480" w:firstLineChars="200"/>
              <w:rPr>
                <w:rFonts w:hint="eastAsia" w:ascii="宋体" w:hAnsi="宋体" w:eastAsia="宋体" w:cs="宋体"/>
                <w:sz w:val="24"/>
                <w:szCs w:val="24"/>
              </w:rPr>
            </w:pPr>
          </w:p>
        </w:tc>
        <w:tc>
          <w:tcPr>
            <w:tcW w:w="2775" w:type="dxa"/>
            <w:vAlign w:val="center"/>
          </w:tcPr>
          <w:p w14:paraId="634C5312">
            <w:pPr>
              <w:spacing w:line="360" w:lineRule="auto"/>
              <w:rPr>
                <w:rFonts w:hint="eastAsia" w:ascii="宋体" w:hAnsi="宋体" w:eastAsia="宋体" w:cs="宋体"/>
                <w:sz w:val="24"/>
                <w:szCs w:val="24"/>
              </w:rPr>
            </w:pPr>
            <w:r>
              <w:rPr>
                <w:rFonts w:ascii="宋体" w:hAnsi="宋体" w:eastAsia="宋体" w:cs="宋体"/>
                <w:sz w:val="24"/>
                <w:szCs w:val="24"/>
              </w:rPr>
              <w:t>PLC及HMI标准程序</w:t>
            </w:r>
          </w:p>
        </w:tc>
        <w:tc>
          <w:tcPr>
            <w:tcW w:w="1405" w:type="dxa"/>
            <w:vAlign w:val="center"/>
          </w:tcPr>
          <w:p w14:paraId="7222D9CA">
            <w:pPr>
              <w:spacing w:line="360" w:lineRule="auto"/>
              <w:ind w:firstLine="480" w:firstLineChars="200"/>
              <w:rPr>
                <w:rFonts w:hint="eastAsia" w:ascii="宋体" w:hAnsi="宋体" w:eastAsia="宋体" w:cs="宋体"/>
                <w:sz w:val="24"/>
                <w:szCs w:val="24"/>
              </w:rPr>
            </w:pPr>
          </w:p>
        </w:tc>
        <w:tc>
          <w:tcPr>
            <w:tcW w:w="1548" w:type="dxa"/>
            <w:vAlign w:val="center"/>
          </w:tcPr>
          <w:p w14:paraId="25B95034">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298AD85B">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0C42F9EF">
            <w:pPr>
              <w:spacing w:line="360" w:lineRule="auto"/>
              <w:ind w:firstLine="480" w:firstLineChars="200"/>
              <w:rPr>
                <w:rFonts w:hint="eastAsia" w:ascii="宋体" w:hAnsi="宋体" w:eastAsia="宋体" w:cs="宋体"/>
                <w:sz w:val="24"/>
                <w:szCs w:val="24"/>
              </w:rPr>
            </w:pPr>
          </w:p>
        </w:tc>
      </w:tr>
      <w:tr w14:paraId="54F621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D07A077">
            <w:pPr>
              <w:spacing w:line="360" w:lineRule="auto"/>
              <w:ind w:firstLine="480" w:firstLineChars="200"/>
              <w:rPr>
                <w:rFonts w:hint="eastAsia" w:ascii="宋体" w:hAnsi="宋体" w:eastAsia="宋体" w:cs="宋体"/>
                <w:sz w:val="24"/>
                <w:szCs w:val="24"/>
              </w:rPr>
            </w:pPr>
          </w:p>
        </w:tc>
        <w:tc>
          <w:tcPr>
            <w:tcW w:w="2775" w:type="dxa"/>
            <w:vAlign w:val="center"/>
          </w:tcPr>
          <w:p w14:paraId="3DD20799">
            <w:pPr>
              <w:spacing w:line="360" w:lineRule="auto"/>
              <w:rPr>
                <w:rFonts w:hint="eastAsia" w:ascii="宋体" w:hAnsi="宋体" w:eastAsia="宋体" w:cs="宋体"/>
                <w:sz w:val="24"/>
                <w:szCs w:val="24"/>
              </w:rPr>
            </w:pPr>
            <w:r>
              <w:rPr>
                <w:rFonts w:ascii="宋体" w:hAnsi="宋体" w:eastAsia="宋体" w:cs="宋体"/>
                <w:sz w:val="24"/>
                <w:szCs w:val="24"/>
              </w:rPr>
              <w:t>PC机梯形图</w:t>
            </w:r>
          </w:p>
        </w:tc>
        <w:tc>
          <w:tcPr>
            <w:tcW w:w="1405" w:type="dxa"/>
            <w:vAlign w:val="center"/>
          </w:tcPr>
          <w:p w14:paraId="06C7F8B1">
            <w:pPr>
              <w:spacing w:line="360" w:lineRule="auto"/>
              <w:ind w:firstLine="480" w:firstLineChars="200"/>
              <w:rPr>
                <w:rFonts w:hint="eastAsia" w:ascii="宋体" w:hAnsi="宋体" w:eastAsia="宋体" w:cs="宋体"/>
                <w:sz w:val="24"/>
                <w:szCs w:val="24"/>
              </w:rPr>
            </w:pPr>
          </w:p>
        </w:tc>
        <w:tc>
          <w:tcPr>
            <w:tcW w:w="1548" w:type="dxa"/>
            <w:vAlign w:val="center"/>
          </w:tcPr>
          <w:p w14:paraId="672BF59D">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1685DF65">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7F2FAB57">
            <w:pPr>
              <w:spacing w:line="360" w:lineRule="auto"/>
              <w:ind w:firstLine="480" w:firstLineChars="200"/>
              <w:rPr>
                <w:rFonts w:hint="eastAsia" w:ascii="宋体" w:hAnsi="宋体" w:eastAsia="宋体" w:cs="宋体"/>
                <w:sz w:val="24"/>
                <w:szCs w:val="24"/>
              </w:rPr>
            </w:pPr>
          </w:p>
        </w:tc>
      </w:tr>
      <w:tr w14:paraId="33335F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E7E672D">
            <w:pPr>
              <w:spacing w:line="360" w:lineRule="auto"/>
              <w:ind w:firstLine="480" w:firstLineChars="200"/>
              <w:rPr>
                <w:rFonts w:hint="eastAsia" w:ascii="宋体" w:hAnsi="宋体" w:eastAsia="宋体" w:cs="宋体"/>
                <w:sz w:val="24"/>
                <w:szCs w:val="24"/>
              </w:rPr>
            </w:pPr>
          </w:p>
        </w:tc>
        <w:tc>
          <w:tcPr>
            <w:tcW w:w="2775" w:type="dxa"/>
            <w:vAlign w:val="center"/>
          </w:tcPr>
          <w:p w14:paraId="3A0D127D">
            <w:pPr>
              <w:spacing w:line="360" w:lineRule="auto"/>
              <w:rPr>
                <w:rFonts w:hint="eastAsia" w:ascii="宋体" w:hAnsi="宋体" w:eastAsia="宋体" w:cs="宋体"/>
                <w:sz w:val="24"/>
                <w:szCs w:val="24"/>
              </w:rPr>
            </w:pPr>
            <w:r>
              <w:rPr>
                <w:rFonts w:ascii="宋体" w:hAnsi="宋体" w:eastAsia="宋体" w:cs="宋体"/>
                <w:sz w:val="24"/>
                <w:szCs w:val="24"/>
              </w:rPr>
              <w:t>外购件明细表</w:t>
            </w:r>
          </w:p>
        </w:tc>
        <w:tc>
          <w:tcPr>
            <w:tcW w:w="1405" w:type="dxa"/>
            <w:vAlign w:val="center"/>
          </w:tcPr>
          <w:p w14:paraId="16200143">
            <w:pPr>
              <w:spacing w:line="360" w:lineRule="auto"/>
              <w:ind w:firstLine="480" w:firstLineChars="200"/>
              <w:rPr>
                <w:rFonts w:hint="eastAsia" w:ascii="宋体" w:hAnsi="宋体" w:eastAsia="宋体" w:cs="宋体"/>
                <w:sz w:val="24"/>
                <w:szCs w:val="24"/>
              </w:rPr>
            </w:pPr>
          </w:p>
        </w:tc>
        <w:tc>
          <w:tcPr>
            <w:tcW w:w="1548" w:type="dxa"/>
            <w:vAlign w:val="center"/>
          </w:tcPr>
          <w:p w14:paraId="3CB39993">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5842A7DF">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0A1C8C5B">
            <w:pPr>
              <w:spacing w:line="360" w:lineRule="auto"/>
              <w:ind w:firstLine="480" w:firstLineChars="200"/>
              <w:rPr>
                <w:rFonts w:hint="eastAsia" w:ascii="宋体" w:hAnsi="宋体" w:eastAsia="宋体" w:cs="宋体"/>
                <w:sz w:val="24"/>
                <w:szCs w:val="24"/>
              </w:rPr>
            </w:pPr>
          </w:p>
        </w:tc>
      </w:tr>
      <w:tr w14:paraId="5F2719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86827EC">
            <w:pPr>
              <w:spacing w:line="360" w:lineRule="auto"/>
              <w:ind w:firstLine="480" w:firstLineChars="200"/>
              <w:rPr>
                <w:rFonts w:hint="eastAsia" w:ascii="宋体" w:hAnsi="宋体" w:eastAsia="宋体" w:cs="宋体"/>
                <w:sz w:val="24"/>
                <w:szCs w:val="24"/>
              </w:rPr>
            </w:pPr>
          </w:p>
        </w:tc>
        <w:tc>
          <w:tcPr>
            <w:tcW w:w="2775" w:type="dxa"/>
            <w:vAlign w:val="center"/>
          </w:tcPr>
          <w:p w14:paraId="52762558">
            <w:pPr>
              <w:spacing w:line="360" w:lineRule="auto"/>
              <w:rPr>
                <w:rFonts w:hint="eastAsia" w:ascii="宋体" w:hAnsi="宋体" w:eastAsia="宋体" w:cs="宋体"/>
                <w:sz w:val="24"/>
                <w:szCs w:val="24"/>
              </w:rPr>
            </w:pPr>
            <w:r>
              <w:rPr>
                <w:rFonts w:ascii="宋体" w:hAnsi="宋体" w:eastAsia="宋体" w:cs="宋体"/>
                <w:sz w:val="24"/>
                <w:szCs w:val="24"/>
              </w:rPr>
              <w:t>夹具检测成绩表</w:t>
            </w:r>
          </w:p>
        </w:tc>
        <w:tc>
          <w:tcPr>
            <w:tcW w:w="1405" w:type="dxa"/>
            <w:vAlign w:val="center"/>
          </w:tcPr>
          <w:p w14:paraId="72759AAB">
            <w:pPr>
              <w:spacing w:line="360" w:lineRule="auto"/>
              <w:ind w:firstLine="480" w:firstLineChars="200"/>
              <w:rPr>
                <w:rFonts w:hint="eastAsia" w:ascii="宋体" w:hAnsi="宋体" w:eastAsia="宋体" w:cs="宋体"/>
                <w:sz w:val="24"/>
                <w:szCs w:val="24"/>
              </w:rPr>
            </w:pPr>
          </w:p>
        </w:tc>
        <w:tc>
          <w:tcPr>
            <w:tcW w:w="1548" w:type="dxa"/>
            <w:vAlign w:val="center"/>
          </w:tcPr>
          <w:p w14:paraId="4F99CA49">
            <w:pPr>
              <w:spacing w:line="360" w:lineRule="auto"/>
              <w:rPr>
                <w:rFonts w:hint="eastAsia" w:ascii="宋体" w:hAnsi="宋体" w:eastAsia="宋体" w:cs="宋体"/>
                <w:sz w:val="24"/>
                <w:szCs w:val="24"/>
              </w:rPr>
            </w:pPr>
            <w:r>
              <w:rPr>
                <w:rFonts w:ascii="宋体" w:hAnsi="宋体" w:eastAsia="宋体" w:cs="宋体"/>
                <w:sz w:val="24"/>
                <w:szCs w:val="24"/>
              </w:rPr>
              <w:t>电子×1+纸质×1</w:t>
            </w:r>
          </w:p>
        </w:tc>
        <w:tc>
          <w:tcPr>
            <w:tcW w:w="1742" w:type="dxa"/>
          </w:tcPr>
          <w:p w14:paraId="1E1862E6">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0BA36BB9">
            <w:pPr>
              <w:spacing w:line="360" w:lineRule="auto"/>
              <w:ind w:firstLine="480" w:firstLineChars="200"/>
              <w:rPr>
                <w:rFonts w:hint="eastAsia" w:ascii="宋体" w:hAnsi="宋体" w:eastAsia="宋体" w:cs="宋体"/>
                <w:sz w:val="24"/>
                <w:szCs w:val="24"/>
              </w:rPr>
            </w:pPr>
          </w:p>
        </w:tc>
      </w:tr>
      <w:tr w14:paraId="6591AC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51BA8F7">
            <w:pPr>
              <w:spacing w:line="360" w:lineRule="auto"/>
              <w:ind w:firstLine="480" w:firstLineChars="200"/>
              <w:rPr>
                <w:rFonts w:hint="eastAsia" w:ascii="宋体" w:hAnsi="宋体" w:eastAsia="宋体" w:cs="宋体"/>
                <w:sz w:val="24"/>
                <w:szCs w:val="24"/>
              </w:rPr>
            </w:pPr>
          </w:p>
        </w:tc>
        <w:tc>
          <w:tcPr>
            <w:tcW w:w="2775" w:type="dxa"/>
            <w:vAlign w:val="center"/>
          </w:tcPr>
          <w:p w14:paraId="6D649482">
            <w:pPr>
              <w:spacing w:line="360" w:lineRule="auto"/>
              <w:rPr>
                <w:rFonts w:hint="eastAsia" w:ascii="宋体" w:hAnsi="宋体" w:eastAsia="宋体" w:cs="宋体"/>
                <w:sz w:val="24"/>
                <w:szCs w:val="24"/>
              </w:rPr>
            </w:pPr>
            <w:r>
              <w:rPr>
                <w:rFonts w:ascii="宋体" w:hAnsi="宋体" w:eastAsia="宋体" w:cs="宋体"/>
                <w:sz w:val="24"/>
                <w:szCs w:val="24"/>
              </w:rPr>
              <w:t>夹具检测的布点图</w:t>
            </w:r>
          </w:p>
        </w:tc>
        <w:tc>
          <w:tcPr>
            <w:tcW w:w="1405" w:type="dxa"/>
            <w:vAlign w:val="center"/>
          </w:tcPr>
          <w:p w14:paraId="0703082E">
            <w:pPr>
              <w:spacing w:line="360" w:lineRule="auto"/>
              <w:ind w:firstLine="480" w:firstLineChars="200"/>
              <w:rPr>
                <w:rFonts w:hint="eastAsia" w:ascii="宋体" w:hAnsi="宋体" w:eastAsia="宋体" w:cs="宋体"/>
                <w:sz w:val="24"/>
                <w:szCs w:val="24"/>
              </w:rPr>
            </w:pPr>
          </w:p>
        </w:tc>
        <w:tc>
          <w:tcPr>
            <w:tcW w:w="1548" w:type="dxa"/>
            <w:vAlign w:val="center"/>
          </w:tcPr>
          <w:p w14:paraId="3C638AF2">
            <w:pPr>
              <w:spacing w:line="360" w:lineRule="auto"/>
              <w:rPr>
                <w:rFonts w:hint="eastAsia" w:ascii="宋体" w:hAnsi="宋体" w:eastAsia="宋体" w:cs="宋体"/>
                <w:sz w:val="24"/>
                <w:szCs w:val="24"/>
              </w:rPr>
            </w:pPr>
            <w:r>
              <w:rPr>
                <w:rFonts w:ascii="宋体" w:hAnsi="宋体" w:eastAsia="宋体" w:cs="宋体"/>
                <w:sz w:val="24"/>
                <w:szCs w:val="24"/>
              </w:rPr>
              <w:t>电子×1+纸质×1</w:t>
            </w:r>
          </w:p>
        </w:tc>
        <w:tc>
          <w:tcPr>
            <w:tcW w:w="1742" w:type="dxa"/>
          </w:tcPr>
          <w:p w14:paraId="00C01502">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0241048B">
            <w:pPr>
              <w:spacing w:line="360" w:lineRule="auto"/>
              <w:ind w:firstLine="480" w:firstLineChars="200"/>
              <w:rPr>
                <w:rFonts w:hint="eastAsia" w:ascii="宋体" w:hAnsi="宋体" w:eastAsia="宋体" w:cs="宋体"/>
                <w:sz w:val="24"/>
                <w:szCs w:val="24"/>
              </w:rPr>
            </w:pPr>
          </w:p>
        </w:tc>
      </w:tr>
      <w:tr w14:paraId="4CD241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3C57DCF">
            <w:pPr>
              <w:spacing w:line="360" w:lineRule="auto"/>
              <w:ind w:firstLine="480" w:firstLineChars="200"/>
              <w:rPr>
                <w:rFonts w:hint="eastAsia" w:ascii="宋体" w:hAnsi="宋体" w:eastAsia="宋体" w:cs="宋体"/>
                <w:sz w:val="24"/>
                <w:szCs w:val="24"/>
              </w:rPr>
            </w:pPr>
          </w:p>
        </w:tc>
        <w:tc>
          <w:tcPr>
            <w:tcW w:w="2775" w:type="dxa"/>
            <w:vAlign w:val="center"/>
          </w:tcPr>
          <w:p w14:paraId="05344B9A">
            <w:pPr>
              <w:spacing w:line="360" w:lineRule="auto"/>
              <w:rPr>
                <w:rFonts w:hint="eastAsia" w:ascii="宋体" w:hAnsi="宋体" w:eastAsia="宋体" w:cs="宋体"/>
                <w:sz w:val="24"/>
                <w:szCs w:val="24"/>
              </w:rPr>
            </w:pPr>
            <w:r>
              <w:rPr>
                <w:rFonts w:ascii="宋体" w:hAnsi="宋体" w:eastAsia="宋体" w:cs="宋体"/>
                <w:sz w:val="24"/>
                <w:szCs w:val="24"/>
              </w:rPr>
              <w:t>各设备检验合格证</w:t>
            </w:r>
          </w:p>
        </w:tc>
        <w:tc>
          <w:tcPr>
            <w:tcW w:w="1405" w:type="dxa"/>
            <w:vAlign w:val="center"/>
          </w:tcPr>
          <w:p w14:paraId="775DFD5D">
            <w:pPr>
              <w:spacing w:line="360" w:lineRule="auto"/>
              <w:ind w:firstLine="480" w:firstLineChars="200"/>
              <w:rPr>
                <w:rFonts w:hint="eastAsia" w:ascii="宋体" w:hAnsi="宋体" w:eastAsia="宋体" w:cs="宋体"/>
                <w:sz w:val="24"/>
                <w:szCs w:val="24"/>
              </w:rPr>
            </w:pPr>
          </w:p>
        </w:tc>
        <w:tc>
          <w:tcPr>
            <w:tcW w:w="1548" w:type="dxa"/>
            <w:vAlign w:val="center"/>
          </w:tcPr>
          <w:p w14:paraId="4E69CAFA">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74F84A3E">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526D1B27">
            <w:pPr>
              <w:spacing w:line="360" w:lineRule="auto"/>
              <w:ind w:firstLine="480" w:firstLineChars="200"/>
              <w:rPr>
                <w:rFonts w:hint="eastAsia" w:ascii="宋体" w:hAnsi="宋体" w:eastAsia="宋体" w:cs="宋体"/>
                <w:sz w:val="24"/>
                <w:szCs w:val="24"/>
              </w:rPr>
            </w:pPr>
          </w:p>
        </w:tc>
      </w:tr>
      <w:tr w14:paraId="53466E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82E6FEF">
            <w:pPr>
              <w:spacing w:line="360" w:lineRule="auto"/>
              <w:ind w:firstLine="480" w:firstLineChars="200"/>
              <w:rPr>
                <w:rFonts w:hint="eastAsia" w:ascii="宋体" w:hAnsi="宋体" w:eastAsia="宋体" w:cs="宋体"/>
                <w:sz w:val="24"/>
                <w:szCs w:val="24"/>
              </w:rPr>
            </w:pPr>
          </w:p>
        </w:tc>
        <w:tc>
          <w:tcPr>
            <w:tcW w:w="2775" w:type="dxa"/>
            <w:vAlign w:val="center"/>
          </w:tcPr>
          <w:p w14:paraId="2EADB032">
            <w:pPr>
              <w:spacing w:line="360" w:lineRule="auto"/>
              <w:rPr>
                <w:rFonts w:hint="eastAsia" w:ascii="宋体" w:hAnsi="宋体" w:eastAsia="宋体" w:cs="宋体"/>
                <w:sz w:val="24"/>
                <w:szCs w:val="24"/>
              </w:rPr>
            </w:pPr>
            <w:r>
              <w:rPr>
                <w:rFonts w:ascii="宋体" w:hAnsi="宋体" w:eastAsia="宋体" w:cs="宋体"/>
                <w:sz w:val="24"/>
                <w:szCs w:val="24"/>
              </w:rPr>
              <w:t>工位焊点信息图（3D）</w:t>
            </w:r>
          </w:p>
        </w:tc>
        <w:tc>
          <w:tcPr>
            <w:tcW w:w="1405" w:type="dxa"/>
            <w:vAlign w:val="center"/>
          </w:tcPr>
          <w:p w14:paraId="4CCC2672">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548" w:type="dxa"/>
            <w:vAlign w:val="center"/>
          </w:tcPr>
          <w:p w14:paraId="44F0A759">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7753B442">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6E4CE080">
            <w:pPr>
              <w:spacing w:line="360" w:lineRule="auto"/>
              <w:ind w:firstLine="480" w:firstLineChars="200"/>
              <w:rPr>
                <w:rFonts w:hint="eastAsia" w:ascii="宋体" w:hAnsi="宋体" w:eastAsia="宋体" w:cs="宋体"/>
                <w:sz w:val="24"/>
                <w:szCs w:val="24"/>
              </w:rPr>
            </w:pPr>
          </w:p>
        </w:tc>
      </w:tr>
      <w:tr w14:paraId="10BEBB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8A3269E">
            <w:pPr>
              <w:spacing w:line="360" w:lineRule="auto"/>
              <w:ind w:firstLine="480" w:firstLineChars="200"/>
              <w:rPr>
                <w:rFonts w:hint="eastAsia" w:ascii="宋体" w:hAnsi="宋体" w:eastAsia="宋体" w:cs="宋体"/>
                <w:sz w:val="24"/>
                <w:szCs w:val="24"/>
              </w:rPr>
            </w:pPr>
          </w:p>
        </w:tc>
        <w:tc>
          <w:tcPr>
            <w:tcW w:w="2775" w:type="dxa"/>
            <w:vAlign w:val="center"/>
          </w:tcPr>
          <w:p w14:paraId="43AB0385">
            <w:pPr>
              <w:spacing w:line="360" w:lineRule="auto"/>
              <w:rPr>
                <w:rFonts w:hint="eastAsia" w:ascii="宋体" w:hAnsi="宋体" w:eastAsia="宋体" w:cs="宋体"/>
                <w:sz w:val="24"/>
                <w:szCs w:val="24"/>
              </w:rPr>
            </w:pPr>
            <w:r>
              <w:rPr>
                <w:rFonts w:ascii="宋体" w:hAnsi="宋体" w:eastAsia="宋体" w:cs="宋体"/>
                <w:sz w:val="24"/>
                <w:szCs w:val="24"/>
              </w:rPr>
              <w:t>定位销及定位面硬度报告</w:t>
            </w:r>
          </w:p>
        </w:tc>
        <w:tc>
          <w:tcPr>
            <w:tcW w:w="1405" w:type="dxa"/>
            <w:vAlign w:val="center"/>
          </w:tcPr>
          <w:p w14:paraId="1483092B">
            <w:pPr>
              <w:spacing w:line="360" w:lineRule="auto"/>
              <w:ind w:firstLine="480" w:firstLineChars="200"/>
              <w:rPr>
                <w:rFonts w:hint="eastAsia" w:ascii="宋体" w:hAnsi="宋体" w:eastAsia="宋体" w:cs="宋体"/>
                <w:sz w:val="24"/>
                <w:szCs w:val="24"/>
              </w:rPr>
            </w:pPr>
          </w:p>
        </w:tc>
        <w:tc>
          <w:tcPr>
            <w:tcW w:w="1548" w:type="dxa"/>
            <w:vAlign w:val="center"/>
          </w:tcPr>
          <w:p w14:paraId="5E1B25BA">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4F53A034">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5BC7DB0B">
            <w:pPr>
              <w:spacing w:line="360" w:lineRule="auto"/>
              <w:ind w:firstLine="480" w:firstLineChars="200"/>
              <w:rPr>
                <w:rFonts w:hint="eastAsia" w:ascii="宋体" w:hAnsi="宋体" w:eastAsia="宋体" w:cs="宋体"/>
                <w:sz w:val="24"/>
                <w:szCs w:val="24"/>
              </w:rPr>
            </w:pPr>
          </w:p>
        </w:tc>
      </w:tr>
      <w:tr w14:paraId="349296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8AC9CAD">
            <w:pPr>
              <w:spacing w:line="360" w:lineRule="auto"/>
              <w:ind w:firstLine="480" w:firstLineChars="200"/>
              <w:rPr>
                <w:rFonts w:hint="eastAsia" w:ascii="宋体" w:hAnsi="宋体" w:eastAsia="宋体" w:cs="宋体"/>
                <w:sz w:val="24"/>
                <w:szCs w:val="24"/>
              </w:rPr>
            </w:pPr>
          </w:p>
        </w:tc>
        <w:tc>
          <w:tcPr>
            <w:tcW w:w="2775" w:type="dxa"/>
            <w:vAlign w:val="center"/>
          </w:tcPr>
          <w:p w14:paraId="706D8B1B">
            <w:pPr>
              <w:spacing w:line="360" w:lineRule="auto"/>
              <w:rPr>
                <w:rFonts w:hint="eastAsia" w:ascii="宋体" w:hAnsi="宋体" w:eastAsia="宋体" w:cs="宋体"/>
                <w:sz w:val="24"/>
                <w:szCs w:val="24"/>
              </w:rPr>
            </w:pPr>
            <w:r>
              <w:rPr>
                <w:rFonts w:ascii="宋体" w:hAnsi="宋体" w:eastAsia="宋体" w:cs="宋体"/>
                <w:sz w:val="24"/>
                <w:szCs w:val="24"/>
              </w:rPr>
              <w:t>最终版PS仿真数据</w:t>
            </w:r>
          </w:p>
        </w:tc>
        <w:tc>
          <w:tcPr>
            <w:tcW w:w="1405" w:type="dxa"/>
            <w:vAlign w:val="center"/>
          </w:tcPr>
          <w:p w14:paraId="178603A3">
            <w:pPr>
              <w:spacing w:line="360" w:lineRule="auto"/>
              <w:ind w:firstLine="480" w:firstLineChars="200"/>
              <w:rPr>
                <w:rFonts w:hint="eastAsia" w:ascii="宋体" w:hAnsi="宋体" w:eastAsia="宋体" w:cs="宋体"/>
                <w:sz w:val="24"/>
                <w:szCs w:val="24"/>
              </w:rPr>
            </w:pPr>
          </w:p>
        </w:tc>
        <w:tc>
          <w:tcPr>
            <w:tcW w:w="1548" w:type="dxa"/>
            <w:vAlign w:val="center"/>
          </w:tcPr>
          <w:p w14:paraId="619ACDE9">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77950302">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037D16DD">
            <w:pPr>
              <w:spacing w:line="360" w:lineRule="auto"/>
              <w:ind w:firstLine="480" w:firstLineChars="200"/>
              <w:rPr>
                <w:rFonts w:hint="eastAsia" w:ascii="宋体" w:hAnsi="宋体" w:eastAsia="宋体" w:cs="宋体"/>
                <w:sz w:val="24"/>
                <w:szCs w:val="24"/>
              </w:rPr>
            </w:pPr>
          </w:p>
        </w:tc>
      </w:tr>
      <w:tr w14:paraId="426446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72E4017">
            <w:pPr>
              <w:spacing w:line="360" w:lineRule="auto"/>
              <w:ind w:firstLine="480" w:firstLineChars="200"/>
              <w:rPr>
                <w:rFonts w:hint="eastAsia" w:ascii="宋体" w:hAnsi="宋体" w:eastAsia="宋体" w:cs="宋体"/>
                <w:sz w:val="24"/>
                <w:szCs w:val="24"/>
              </w:rPr>
            </w:pPr>
          </w:p>
        </w:tc>
        <w:tc>
          <w:tcPr>
            <w:tcW w:w="2775" w:type="dxa"/>
            <w:vAlign w:val="center"/>
          </w:tcPr>
          <w:p w14:paraId="4124A78B">
            <w:pPr>
              <w:spacing w:line="360" w:lineRule="auto"/>
              <w:rPr>
                <w:rFonts w:hint="eastAsia" w:ascii="宋体" w:hAnsi="宋体" w:eastAsia="宋体" w:cs="宋体"/>
                <w:sz w:val="24"/>
                <w:szCs w:val="24"/>
              </w:rPr>
            </w:pPr>
            <w:r>
              <w:rPr>
                <w:rFonts w:ascii="宋体" w:hAnsi="宋体" w:eastAsia="宋体" w:cs="宋体"/>
                <w:sz w:val="24"/>
                <w:szCs w:val="24"/>
              </w:rPr>
              <w:t>机器人离线程序</w:t>
            </w:r>
          </w:p>
        </w:tc>
        <w:tc>
          <w:tcPr>
            <w:tcW w:w="1405" w:type="dxa"/>
            <w:vAlign w:val="center"/>
          </w:tcPr>
          <w:p w14:paraId="232009EF">
            <w:pPr>
              <w:spacing w:line="360" w:lineRule="auto"/>
              <w:ind w:firstLine="480" w:firstLineChars="200"/>
              <w:rPr>
                <w:rFonts w:hint="eastAsia" w:ascii="宋体" w:hAnsi="宋体" w:eastAsia="宋体" w:cs="宋体"/>
                <w:sz w:val="24"/>
                <w:szCs w:val="24"/>
              </w:rPr>
            </w:pPr>
          </w:p>
        </w:tc>
        <w:tc>
          <w:tcPr>
            <w:tcW w:w="1548" w:type="dxa"/>
            <w:vAlign w:val="center"/>
          </w:tcPr>
          <w:p w14:paraId="627B7BE7">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40CDD9F7">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5BA086C1">
            <w:pPr>
              <w:spacing w:line="360" w:lineRule="auto"/>
              <w:ind w:firstLine="480" w:firstLineChars="200"/>
              <w:rPr>
                <w:rFonts w:hint="eastAsia" w:ascii="宋体" w:hAnsi="宋体" w:eastAsia="宋体" w:cs="宋体"/>
                <w:sz w:val="24"/>
                <w:szCs w:val="24"/>
              </w:rPr>
            </w:pPr>
          </w:p>
        </w:tc>
      </w:tr>
      <w:tr w14:paraId="4CA0F9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C0B3335">
            <w:pPr>
              <w:spacing w:line="360" w:lineRule="auto"/>
              <w:ind w:firstLine="480" w:firstLineChars="200"/>
              <w:rPr>
                <w:rFonts w:hint="eastAsia" w:ascii="宋体" w:hAnsi="宋体" w:eastAsia="宋体" w:cs="宋体"/>
                <w:sz w:val="24"/>
                <w:szCs w:val="24"/>
              </w:rPr>
            </w:pPr>
          </w:p>
        </w:tc>
        <w:tc>
          <w:tcPr>
            <w:tcW w:w="2775" w:type="dxa"/>
            <w:vAlign w:val="center"/>
          </w:tcPr>
          <w:p w14:paraId="6DDA0D2B">
            <w:pPr>
              <w:spacing w:line="360" w:lineRule="auto"/>
              <w:rPr>
                <w:rFonts w:hint="eastAsia" w:ascii="宋体" w:hAnsi="宋体" w:eastAsia="宋体" w:cs="宋体"/>
                <w:sz w:val="24"/>
                <w:szCs w:val="24"/>
              </w:rPr>
            </w:pPr>
            <w:r>
              <w:rPr>
                <w:rFonts w:ascii="宋体" w:hAnsi="宋体" w:eastAsia="宋体" w:cs="宋体"/>
                <w:sz w:val="24"/>
                <w:szCs w:val="24"/>
              </w:rPr>
              <w:t>焊钳图纸（2D+3D）</w:t>
            </w:r>
          </w:p>
        </w:tc>
        <w:tc>
          <w:tcPr>
            <w:tcW w:w="1405" w:type="dxa"/>
            <w:vAlign w:val="center"/>
          </w:tcPr>
          <w:p w14:paraId="07EFCB65">
            <w:pPr>
              <w:spacing w:line="360" w:lineRule="auto"/>
              <w:ind w:firstLine="480" w:firstLineChars="200"/>
              <w:rPr>
                <w:rFonts w:hint="eastAsia" w:ascii="宋体" w:hAnsi="宋体" w:eastAsia="宋体" w:cs="宋体"/>
                <w:sz w:val="24"/>
                <w:szCs w:val="24"/>
              </w:rPr>
            </w:pPr>
          </w:p>
        </w:tc>
        <w:tc>
          <w:tcPr>
            <w:tcW w:w="1548" w:type="dxa"/>
            <w:vAlign w:val="center"/>
          </w:tcPr>
          <w:p w14:paraId="285C9BCB">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45DFF8B9">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15838430">
            <w:pPr>
              <w:spacing w:line="360" w:lineRule="auto"/>
              <w:ind w:firstLine="480" w:firstLineChars="200"/>
              <w:rPr>
                <w:rFonts w:hint="eastAsia" w:ascii="宋体" w:hAnsi="宋体" w:eastAsia="宋体" w:cs="宋体"/>
                <w:sz w:val="24"/>
                <w:szCs w:val="24"/>
              </w:rPr>
            </w:pPr>
          </w:p>
        </w:tc>
      </w:tr>
      <w:tr w14:paraId="68E95D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E97EFCB">
            <w:pPr>
              <w:spacing w:line="360" w:lineRule="auto"/>
              <w:ind w:firstLine="480" w:firstLineChars="200"/>
              <w:rPr>
                <w:rFonts w:hint="eastAsia" w:ascii="宋体" w:hAnsi="宋体" w:eastAsia="宋体" w:cs="宋体"/>
                <w:sz w:val="24"/>
                <w:szCs w:val="24"/>
              </w:rPr>
            </w:pPr>
          </w:p>
        </w:tc>
        <w:tc>
          <w:tcPr>
            <w:tcW w:w="2775" w:type="dxa"/>
            <w:vAlign w:val="center"/>
          </w:tcPr>
          <w:p w14:paraId="6E1A6DA6">
            <w:pPr>
              <w:spacing w:line="360" w:lineRule="auto"/>
              <w:rPr>
                <w:rFonts w:hint="eastAsia" w:ascii="宋体" w:hAnsi="宋体" w:eastAsia="宋体" w:cs="宋体"/>
                <w:sz w:val="24"/>
                <w:szCs w:val="24"/>
              </w:rPr>
            </w:pPr>
            <w:r>
              <w:rPr>
                <w:rFonts w:ascii="宋体" w:hAnsi="宋体" w:eastAsia="宋体" w:cs="宋体"/>
                <w:sz w:val="24"/>
                <w:szCs w:val="24"/>
              </w:rPr>
              <w:t>生产线夹具3D图</w:t>
            </w:r>
            <w:r>
              <w:rPr>
                <w:rFonts w:hint="eastAsia" w:ascii="宋体" w:hAnsi="宋体" w:eastAsia="宋体" w:cs="宋体"/>
                <w:sz w:val="24"/>
                <w:szCs w:val="24"/>
              </w:rPr>
              <w:t>（</w:t>
            </w:r>
            <w:r>
              <w:rPr>
                <w:rFonts w:ascii="宋体" w:hAnsi="宋体" w:eastAsia="宋体" w:cs="宋体"/>
                <w:sz w:val="24"/>
                <w:szCs w:val="24"/>
              </w:rPr>
              <w:t>CATIA</w:t>
            </w:r>
            <w:r>
              <w:rPr>
                <w:rFonts w:hint="eastAsia" w:ascii="宋体" w:hAnsi="宋体" w:eastAsia="宋体" w:cs="宋体"/>
                <w:sz w:val="24"/>
                <w:szCs w:val="24"/>
              </w:rPr>
              <w:t>可编辑</w:t>
            </w:r>
            <w:r>
              <w:rPr>
                <w:rFonts w:ascii="宋体" w:hAnsi="宋体" w:eastAsia="宋体" w:cs="宋体"/>
                <w:sz w:val="24"/>
                <w:szCs w:val="24"/>
              </w:rPr>
              <w:t>格式）和2D图</w:t>
            </w:r>
            <w:r>
              <w:rPr>
                <w:rFonts w:hint="eastAsia" w:ascii="宋体" w:hAnsi="宋体" w:eastAsia="宋体" w:cs="宋体"/>
                <w:sz w:val="24"/>
                <w:szCs w:val="24"/>
              </w:rPr>
              <w:t>（DWG）</w:t>
            </w:r>
          </w:p>
        </w:tc>
        <w:tc>
          <w:tcPr>
            <w:tcW w:w="1405" w:type="dxa"/>
            <w:vAlign w:val="center"/>
          </w:tcPr>
          <w:p w14:paraId="7C0FF07A">
            <w:pPr>
              <w:spacing w:line="360" w:lineRule="auto"/>
              <w:ind w:firstLine="480" w:firstLineChars="200"/>
              <w:rPr>
                <w:rFonts w:hint="eastAsia" w:ascii="宋体" w:hAnsi="宋体" w:eastAsia="宋体" w:cs="宋体"/>
                <w:sz w:val="24"/>
                <w:szCs w:val="24"/>
              </w:rPr>
            </w:pPr>
          </w:p>
        </w:tc>
        <w:tc>
          <w:tcPr>
            <w:tcW w:w="1548" w:type="dxa"/>
            <w:vAlign w:val="center"/>
          </w:tcPr>
          <w:p w14:paraId="7CA10455">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14185963">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1E084994">
            <w:pPr>
              <w:spacing w:line="360" w:lineRule="auto"/>
              <w:ind w:firstLine="480" w:firstLineChars="200"/>
              <w:rPr>
                <w:rFonts w:hint="eastAsia" w:ascii="宋体" w:hAnsi="宋体" w:eastAsia="宋体" w:cs="宋体"/>
                <w:sz w:val="24"/>
                <w:szCs w:val="24"/>
              </w:rPr>
            </w:pPr>
          </w:p>
        </w:tc>
      </w:tr>
      <w:tr w14:paraId="6B0A66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0E187B0">
            <w:pPr>
              <w:spacing w:line="360" w:lineRule="auto"/>
              <w:ind w:firstLine="480" w:firstLineChars="200"/>
              <w:rPr>
                <w:rFonts w:hint="eastAsia" w:ascii="宋体" w:hAnsi="宋体" w:eastAsia="宋体" w:cs="宋体"/>
                <w:sz w:val="24"/>
                <w:szCs w:val="24"/>
              </w:rPr>
            </w:pPr>
          </w:p>
        </w:tc>
        <w:tc>
          <w:tcPr>
            <w:tcW w:w="2775" w:type="dxa"/>
            <w:vAlign w:val="center"/>
          </w:tcPr>
          <w:p w14:paraId="05E84FA5">
            <w:pPr>
              <w:spacing w:line="360" w:lineRule="auto"/>
              <w:rPr>
                <w:rFonts w:hint="eastAsia" w:ascii="宋体" w:hAnsi="宋体" w:eastAsia="宋体" w:cs="宋体"/>
                <w:sz w:val="24"/>
                <w:szCs w:val="24"/>
              </w:rPr>
            </w:pPr>
            <w:r>
              <w:rPr>
                <w:rFonts w:ascii="宋体" w:hAnsi="宋体" w:eastAsia="宋体" w:cs="宋体"/>
                <w:sz w:val="24"/>
                <w:szCs w:val="24"/>
              </w:rPr>
              <w:t>备品、备件清单、图纸（2D+3D）</w:t>
            </w:r>
          </w:p>
        </w:tc>
        <w:tc>
          <w:tcPr>
            <w:tcW w:w="1405" w:type="dxa"/>
            <w:vAlign w:val="center"/>
          </w:tcPr>
          <w:p w14:paraId="3547B5BA">
            <w:pPr>
              <w:spacing w:line="360" w:lineRule="auto"/>
              <w:ind w:firstLine="480" w:firstLineChars="200"/>
              <w:rPr>
                <w:rFonts w:hint="eastAsia" w:ascii="宋体" w:hAnsi="宋体" w:eastAsia="宋体" w:cs="宋体"/>
                <w:sz w:val="24"/>
                <w:szCs w:val="24"/>
              </w:rPr>
            </w:pPr>
          </w:p>
        </w:tc>
        <w:tc>
          <w:tcPr>
            <w:tcW w:w="1548" w:type="dxa"/>
          </w:tcPr>
          <w:p w14:paraId="60F83243">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77E2D327">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4FC5350D">
            <w:pPr>
              <w:spacing w:line="360" w:lineRule="auto"/>
              <w:ind w:firstLine="480" w:firstLineChars="200"/>
              <w:rPr>
                <w:rFonts w:hint="eastAsia" w:ascii="宋体" w:hAnsi="宋体" w:eastAsia="宋体" w:cs="宋体"/>
                <w:sz w:val="24"/>
                <w:szCs w:val="24"/>
              </w:rPr>
            </w:pPr>
          </w:p>
        </w:tc>
      </w:tr>
      <w:tr w14:paraId="4FCE88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94B9FD1">
            <w:pPr>
              <w:spacing w:line="360" w:lineRule="auto"/>
              <w:ind w:firstLine="480" w:firstLineChars="200"/>
              <w:rPr>
                <w:rFonts w:hint="eastAsia" w:ascii="宋体" w:hAnsi="宋体" w:eastAsia="宋体" w:cs="宋体"/>
                <w:sz w:val="24"/>
                <w:szCs w:val="24"/>
              </w:rPr>
            </w:pPr>
          </w:p>
        </w:tc>
        <w:tc>
          <w:tcPr>
            <w:tcW w:w="2775" w:type="dxa"/>
            <w:vAlign w:val="center"/>
          </w:tcPr>
          <w:p w14:paraId="5D460D61">
            <w:pPr>
              <w:spacing w:line="360" w:lineRule="auto"/>
              <w:rPr>
                <w:rFonts w:hint="eastAsia" w:ascii="宋体" w:hAnsi="宋体" w:eastAsia="宋体" w:cs="宋体"/>
                <w:sz w:val="24"/>
                <w:szCs w:val="24"/>
              </w:rPr>
            </w:pPr>
            <w:r>
              <w:rPr>
                <w:rFonts w:ascii="宋体" w:hAnsi="宋体" w:eastAsia="宋体" w:cs="宋体"/>
                <w:sz w:val="24"/>
                <w:szCs w:val="24"/>
              </w:rPr>
              <w:t>所有定位销图纸资料(2D</w:t>
            </w:r>
          </w:p>
          <w:p w14:paraId="0BD6BFA9">
            <w:pPr>
              <w:spacing w:line="360" w:lineRule="auto"/>
              <w:rPr>
                <w:rFonts w:hint="eastAsia" w:ascii="宋体" w:hAnsi="宋体" w:eastAsia="宋体" w:cs="宋体"/>
                <w:sz w:val="24"/>
                <w:szCs w:val="24"/>
              </w:rPr>
            </w:pPr>
            <w:r>
              <w:rPr>
                <w:rFonts w:ascii="宋体" w:hAnsi="宋体" w:eastAsia="宋体" w:cs="宋体"/>
                <w:sz w:val="24"/>
                <w:szCs w:val="24"/>
              </w:rPr>
              <w:t>CAD和3D)</w:t>
            </w:r>
          </w:p>
        </w:tc>
        <w:tc>
          <w:tcPr>
            <w:tcW w:w="1405" w:type="dxa"/>
            <w:vAlign w:val="center"/>
          </w:tcPr>
          <w:p w14:paraId="7C157515">
            <w:pPr>
              <w:spacing w:line="360" w:lineRule="auto"/>
              <w:ind w:firstLine="480" w:firstLineChars="200"/>
              <w:rPr>
                <w:rFonts w:hint="eastAsia" w:ascii="宋体" w:hAnsi="宋体" w:eastAsia="宋体" w:cs="宋体"/>
                <w:sz w:val="24"/>
                <w:szCs w:val="24"/>
              </w:rPr>
            </w:pPr>
          </w:p>
        </w:tc>
        <w:tc>
          <w:tcPr>
            <w:tcW w:w="1548" w:type="dxa"/>
          </w:tcPr>
          <w:p w14:paraId="5052BEE9">
            <w:pPr>
              <w:spacing w:line="360" w:lineRule="auto"/>
              <w:rPr>
                <w:rFonts w:hint="eastAsia" w:ascii="宋体" w:hAnsi="宋体" w:eastAsia="宋体" w:cs="宋体"/>
                <w:sz w:val="24"/>
                <w:szCs w:val="24"/>
              </w:rPr>
            </w:pPr>
            <w:r>
              <w:rPr>
                <w:rFonts w:ascii="宋体" w:hAnsi="宋体" w:eastAsia="宋体" w:cs="宋体"/>
                <w:sz w:val="24"/>
                <w:szCs w:val="24"/>
              </w:rPr>
              <w:t>电子×1</w:t>
            </w:r>
          </w:p>
        </w:tc>
        <w:tc>
          <w:tcPr>
            <w:tcW w:w="1742" w:type="dxa"/>
          </w:tcPr>
          <w:p w14:paraId="22C448EE">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31663311">
            <w:pPr>
              <w:spacing w:line="360" w:lineRule="auto"/>
              <w:ind w:firstLine="480" w:firstLineChars="200"/>
              <w:rPr>
                <w:rFonts w:hint="eastAsia" w:ascii="宋体" w:hAnsi="宋体" w:eastAsia="宋体" w:cs="宋体"/>
                <w:sz w:val="24"/>
                <w:szCs w:val="24"/>
              </w:rPr>
            </w:pPr>
          </w:p>
        </w:tc>
      </w:tr>
      <w:tr w14:paraId="7EED2F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FEF19DC">
            <w:pPr>
              <w:spacing w:line="360" w:lineRule="auto"/>
              <w:ind w:firstLine="480" w:firstLineChars="200"/>
              <w:rPr>
                <w:rFonts w:hint="eastAsia" w:ascii="宋体" w:hAnsi="宋体" w:eastAsia="宋体" w:cs="宋体"/>
                <w:sz w:val="24"/>
                <w:szCs w:val="24"/>
              </w:rPr>
            </w:pPr>
          </w:p>
        </w:tc>
        <w:tc>
          <w:tcPr>
            <w:tcW w:w="2775" w:type="dxa"/>
            <w:vAlign w:val="center"/>
          </w:tcPr>
          <w:p w14:paraId="0A76E2C5">
            <w:pPr>
              <w:spacing w:line="360" w:lineRule="auto"/>
              <w:rPr>
                <w:rFonts w:hint="eastAsia" w:ascii="宋体" w:hAnsi="宋体" w:eastAsia="宋体" w:cs="宋体"/>
                <w:sz w:val="24"/>
                <w:szCs w:val="24"/>
              </w:rPr>
            </w:pPr>
            <w:r>
              <w:rPr>
                <w:rFonts w:hint="eastAsia" w:ascii="宋体" w:hAnsi="宋体" w:eastAsia="宋体" w:cs="宋体"/>
                <w:sz w:val="24"/>
                <w:szCs w:val="24"/>
              </w:rPr>
              <w:t>电气元件汇总表</w:t>
            </w:r>
          </w:p>
        </w:tc>
        <w:tc>
          <w:tcPr>
            <w:tcW w:w="1405" w:type="dxa"/>
            <w:vAlign w:val="center"/>
          </w:tcPr>
          <w:p w14:paraId="42D6720F">
            <w:pPr>
              <w:spacing w:line="360" w:lineRule="auto"/>
              <w:ind w:firstLine="480" w:firstLineChars="200"/>
              <w:rPr>
                <w:rFonts w:hint="eastAsia" w:ascii="宋体" w:hAnsi="宋体" w:eastAsia="宋体" w:cs="宋体"/>
                <w:sz w:val="24"/>
                <w:szCs w:val="24"/>
              </w:rPr>
            </w:pPr>
          </w:p>
        </w:tc>
        <w:tc>
          <w:tcPr>
            <w:tcW w:w="1548" w:type="dxa"/>
            <w:vAlign w:val="center"/>
          </w:tcPr>
          <w:p w14:paraId="6F342553">
            <w:pPr>
              <w:spacing w:line="360" w:lineRule="auto"/>
              <w:ind w:firstLine="480" w:firstLineChars="200"/>
              <w:rPr>
                <w:rFonts w:hint="eastAsia" w:ascii="宋体" w:hAnsi="宋体" w:eastAsia="宋体" w:cs="宋体"/>
                <w:sz w:val="24"/>
                <w:szCs w:val="24"/>
              </w:rPr>
            </w:pPr>
          </w:p>
        </w:tc>
        <w:tc>
          <w:tcPr>
            <w:tcW w:w="1742" w:type="dxa"/>
          </w:tcPr>
          <w:p w14:paraId="380B6140">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2E535260">
            <w:pPr>
              <w:spacing w:line="360" w:lineRule="auto"/>
              <w:ind w:firstLine="480" w:firstLineChars="200"/>
              <w:rPr>
                <w:rFonts w:hint="eastAsia" w:ascii="宋体" w:hAnsi="宋体" w:eastAsia="宋体" w:cs="宋体"/>
                <w:sz w:val="24"/>
                <w:szCs w:val="24"/>
              </w:rPr>
            </w:pPr>
          </w:p>
        </w:tc>
      </w:tr>
      <w:tr w14:paraId="41F46E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993D461">
            <w:pPr>
              <w:spacing w:line="360" w:lineRule="auto"/>
              <w:ind w:firstLine="480" w:firstLineChars="200"/>
              <w:rPr>
                <w:rFonts w:hint="eastAsia" w:ascii="宋体" w:hAnsi="宋体" w:eastAsia="宋体" w:cs="宋体"/>
                <w:sz w:val="24"/>
                <w:szCs w:val="24"/>
              </w:rPr>
            </w:pPr>
          </w:p>
        </w:tc>
        <w:tc>
          <w:tcPr>
            <w:tcW w:w="2775" w:type="dxa"/>
            <w:vAlign w:val="center"/>
          </w:tcPr>
          <w:p w14:paraId="10D56FAF">
            <w:pPr>
              <w:spacing w:line="360" w:lineRule="auto"/>
              <w:rPr>
                <w:rFonts w:hint="eastAsia" w:ascii="宋体" w:hAnsi="宋体" w:eastAsia="宋体" w:cs="宋体"/>
                <w:sz w:val="24"/>
                <w:szCs w:val="24"/>
              </w:rPr>
            </w:pPr>
            <w:r>
              <w:rPr>
                <w:rFonts w:hint="eastAsia" w:ascii="宋体" w:hAnsi="宋体" w:eastAsia="宋体" w:cs="宋体"/>
                <w:sz w:val="24"/>
                <w:szCs w:val="24"/>
              </w:rPr>
              <w:t>元器件样本、图册</w:t>
            </w:r>
          </w:p>
        </w:tc>
        <w:tc>
          <w:tcPr>
            <w:tcW w:w="1405" w:type="dxa"/>
            <w:vAlign w:val="center"/>
          </w:tcPr>
          <w:p w14:paraId="32640375">
            <w:pPr>
              <w:spacing w:line="360" w:lineRule="auto"/>
              <w:ind w:firstLine="480" w:firstLineChars="200"/>
              <w:rPr>
                <w:rFonts w:hint="eastAsia" w:ascii="宋体" w:hAnsi="宋体" w:eastAsia="宋体" w:cs="宋体"/>
                <w:sz w:val="24"/>
                <w:szCs w:val="24"/>
              </w:rPr>
            </w:pPr>
          </w:p>
        </w:tc>
        <w:tc>
          <w:tcPr>
            <w:tcW w:w="1548" w:type="dxa"/>
            <w:vAlign w:val="center"/>
          </w:tcPr>
          <w:p w14:paraId="540D4BF6">
            <w:pPr>
              <w:spacing w:line="360" w:lineRule="auto"/>
              <w:ind w:firstLine="480" w:firstLineChars="200"/>
              <w:rPr>
                <w:rFonts w:hint="eastAsia" w:ascii="宋体" w:hAnsi="宋体" w:eastAsia="宋体" w:cs="宋体"/>
                <w:sz w:val="24"/>
                <w:szCs w:val="24"/>
              </w:rPr>
            </w:pPr>
          </w:p>
        </w:tc>
        <w:tc>
          <w:tcPr>
            <w:tcW w:w="1742" w:type="dxa"/>
          </w:tcPr>
          <w:p w14:paraId="4F473691">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1F3B9AF2">
            <w:pPr>
              <w:spacing w:line="360" w:lineRule="auto"/>
              <w:ind w:firstLine="480" w:firstLineChars="200"/>
              <w:rPr>
                <w:rFonts w:hint="eastAsia" w:ascii="宋体" w:hAnsi="宋体" w:eastAsia="宋体" w:cs="宋体"/>
                <w:sz w:val="24"/>
                <w:szCs w:val="24"/>
              </w:rPr>
            </w:pPr>
          </w:p>
        </w:tc>
      </w:tr>
      <w:tr w14:paraId="6428FB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18D7CBB">
            <w:pPr>
              <w:spacing w:line="360" w:lineRule="auto"/>
              <w:ind w:firstLine="480" w:firstLineChars="200"/>
              <w:rPr>
                <w:rFonts w:hint="eastAsia" w:ascii="宋体" w:hAnsi="宋体" w:eastAsia="宋体" w:cs="宋体"/>
                <w:sz w:val="24"/>
                <w:szCs w:val="24"/>
              </w:rPr>
            </w:pPr>
          </w:p>
        </w:tc>
        <w:tc>
          <w:tcPr>
            <w:tcW w:w="2775" w:type="dxa"/>
            <w:vAlign w:val="center"/>
          </w:tcPr>
          <w:p w14:paraId="025C9612">
            <w:pPr>
              <w:spacing w:line="360" w:lineRule="auto"/>
              <w:rPr>
                <w:rFonts w:hint="eastAsia" w:ascii="宋体" w:hAnsi="宋体" w:eastAsia="宋体" w:cs="宋体"/>
                <w:sz w:val="24"/>
                <w:szCs w:val="24"/>
              </w:rPr>
            </w:pPr>
            <w:r>
              <w:rPr>
                <w:rFonts w:hint="eastAsia" w:ascii="宋体" w:hAnsi="宋体" w:eastAsia="宋体" w:cs="宋体"/>
                <w:sz w:val="24"/>
                <w:szCs w:val="24"/>
              </w:rPr>
              <w:t>夹具调试记录单</w:t>
            </w:r>
          </w:p>
        </w:tc>
        <w:tc>
          <w:tcPr>
            <w:tcW w:w="1405" w:type="dxa"/>
            <w:vAlign w:val="center"/>
          </w:tcPr>
          <w:p w14:paraId="352AAA01">
            <w:pPr>
              <w:spacing w:line="360" w:lineRule="auto"/>
              <w:ind w:firstLine="480" w:firstLineChars="200"/>
              <w:rPr>
                <w:rFonts w:hint="eastAsia" w:ascii="宋体" w:hAnsi="宋体" w:eastAsia="宋体" w:cs="宋体"/>
                <w:sz w:val="24"/>
                <w:szCs w:val="24"/>
              </w:rPr>
            </w:pPr>
          </w:p>
        </w:tc>
        <w:tc>
          <w:tcPr>
            <w:tcW w:w="1548" w:type="dxa"/>
            <w:vAlign w:val="center"/>
          </w:tcPr>
          <w:p w14:paraId="375CCCE6">
            <w:pPr>
              <w:spacing w:line="360" w:lineRule="auto"/>
              <w:ind w:firstLine="480" w:firstLineChars="200"/>
              <w:rPr>
                <w:rFonts w:hint="eastAsia" w:ascii="宋体" w:hAnsi="宋体" w:eastAsia="宋体" w:cs="宋体"/>
                <w:sz w:val="24"/>
                <w:szCs w:val="24"/>
              </w:rPr>
            </w:pPr>
          </w:p>
        </w:tc>
        <w:tc>
          <w:tcPr>
            <w:tcW w:w="1742" w:type="dxa"/>
          </w:tcPr>
          <w:p w14:paraId="0630591E">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7E0FB0E5">
            <w:pPr>
              <w:spacing w:line="360" w:lineRule="auto"/>
              <w:ind w:firstLine="480" w:firstLineChars="200"/>
              <w:rPr>
                <w:rFonts w:hint="eastAsia" w:ascii="宋体" w:hAnsi="宋体" w:eastAsia="宋体" w:cs="宋体"/>
                <w:sz w:val="24"/>
                <w:szCs w:val="24"/>
              </w:rPr>
            </w:pPr>
          </w:p>
        </w:tc>
      </w:tr>
      <w:tr w14:paraId="4B73FA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9900C2C">
            <w:pPr>
              <w:spacing w:line="360" w:lineRule="auto"/>
              <w:ind w:firstLine="480" w:firstLineChars="200"/>
              <w:rPr>
                <w:rFonts w:hint="eastAsia" w:ascii="宋体" w:hAnsi="宋体" w:eastAsia="宋体" w:cs="宋体"/>
                <w:sz w:val="24"/>
                <w:szCs w:val="24"/>
              </w:rPr>
            </w:pPr>
          </w:p>
        </w:tc>
        <w:tc>
          <w:tcPr>
            <w:tcW w:w="2775" w:type="dxa"/>
            <w:vAlign w:val="center"/>
          </w:tcPr>
          <w:p w14:paraId="72D28D5A">
            <w:pPr>
              <w:spacing w:line="360" w:lineRule="auto"/>
              <w:rPr>
                <w:rFonts w:hint="eastAsia" w:ascii="宋体" w:hAnsi="宋体" w:eastAsia="宋体" w:cs="宋体"/>
                <w:sz w:val="24"/>
                <w:szCs w:val="24"/>
              </w:rPr>
            </w:pPr>
            <w:r>
              <w:rPr>
                <w:rFonts w:hint="eastAsia" w:ascii="宋体" w:hAnsi="宋体" w:eastAsia="宋体" w:cs="宋体"/>
                <w:sz w:val="24"/>
                <w:szCs w:val="24"/>
              </w:rPr>
              <w:t>工艺参数调试记录单</w:t>
            </w:r>
          </w:p>
        </w:tc>
        <w:tc>
          <w:tcPr>
            <w:tcW w:w="1405" w:type="dxa"/>
            <w:vAlign w:val="center"/>
          </w:tcPr>
          <w:p w14:paraId="31D9E518">
            <w:pPr>
              <w:spacing w:line="360" w:lineRule="auto"/>
              <w:ind w:firstLine="480" w:firstLineChars="200"/>
              <w:rPr>
                <w:rFonts w:hint="eastAsia" w:ascii="宋体" w:hAnsi="宋体" w:eastAsia="宋体" w:cs="宋体"/>
                <w:sz w:val="24"/>
                <w:szCs w:val="24"/>
              </w:rPr>
            </w:pPr>
          </w:p>
        </w:tc>
        <w:tc>
          <w:tcPr>
            <w:tcW w:w="1548" w:type="dxa"/>
            <w:vAlign w:val="center"/>
          </w:tcPr>
          <w:p w14:paraId="1CE1CD1D">
            <w:pPr>
              <w:spacing w:line="360" w:lineRule="auto"/>
              <w:ind w:firstLine="480" w:firstLineChars="200"/>
              <w:rPr>
                <w:rFonts w:hint="eastAsia" w:ascii="宋体" w:hAnsi="宋体" w:eastAsia="宋体" w:cs="宋体"/>
                <w:sz w:val="24"/>
                <w:szCs w:val="24"/>
              </w:rPr>
            </w:pPr>
          </w:p>
        </w:tc>
        <w:tc>
          <w:tcPr>
            <w:tcW w:w="1742" w:type="dxa"/>
          </w:tcPr>
          <w:p w14:paraId="5F4B2582">
            <w:pPr>
              <w:spacing w:line="360" w:lineRule="auto"/>
              <w:rPr>
                <w:rFonts w:hint="eastAsia" w:ascii="宋体" w:hAnsi="宋体" w:eastAsia="宋体" w:cs="宋体"/>
                <w:sz w:val="24"/>
                <w:szCs w:val="24"/>
              </w:rPr>
            </w:pPr>
            <w:r>
              <w:rPr>
                <w:rFonts w:ascii="宋体" w:hAnsi="宋体" w:eastAsia="宋体" w:cs="宋体"/>
                <w:sz w:val="24"/>
                <w:szCs w:val="24"/>
              </w:rPr>
              <w:t>电子×</w:t>
            </w:r>
            <w:r>
              <w:rPr>
                <w:rFonts w:hint="eastAsia" w:ascii="宋体" w:hAnsi="宋体" w:eastAsia="宋体" w:cs="宋体"/>
                <w:sz w:val="24"/>
                <w:szCs w:val="24"/>
              </w:rPr>
              <w:t>2</w:t>
            </w:r>
          </w:p>
        </w:tc>
        <w:tc>
          <w:tcPr>
            <w:tcW w:w="946" w:type="dxa"/>
            <w:vAlign w:val="center"/>
          </w:tcPr>
          <w:p w14:paraId="78D14EFE">
            <w:pPr>
              <w:spacing w:line="360" w:lineRule="auto"/>
              <w:ind w:firstLine="480" w:firstLineChars="200"/>
              <w:rPr>
                <w:rFonts w:hint="eastAsia" w:ascii="宋体" w:hAnsi="宋体" w:eastAsia="宋体" w:cs="宋体"/>
                <w:sz w:val="24"/>
                <w:szCs w:val="24"/>
              </w:rPr>
            </w:pPr>
          </w:p>
        </w:tc>
      </w:tr>
    </w:tbl>
    <w:p w14:paraId="1A7F7B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w:t>
      </w:r>
    </w:p>
    <w:p w14:paraId="224D12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投标方应在项目各阶段，按照招标方要求的格式和内容提供相应文件。</w:t>
      </w:r>
    </w:p>
    <w:p w14:paraId="7D6FEA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根据验收要求，在设备有改动时，投标方要提供更新的技术文件。</w:t>
      </w:r>
    </w:p>
    <w:p w14:paraId="6A95CF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所有文件都要配备中文。</w:t>
      </w:r>
    </w:p>
    <w:p w14:paraId="77C273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为保证现场验收满足招标方的要求，投标方应提交所有其提供设备的有关文件，由另一家公司提供的文件必须提交原件，不允许提供复印件，投标方丢失的任何文件必须免费补上。</w:t>
      </w:r>
    </w:p>
    <w:p w14:paraId="3938AD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图纸交付文件格式：CATIAV5R20（可编辑）、AUTOCAD2</w:t>
      </w:r>
      <w:r>
        <w:rPr>
          <w:rFonts w:ascii="宋体" w:hAnsi="宋体" w:eastAsia="宋体" w:cs="宋体"/>
          <w:sz w:val="24"/>
          <w:szCs w:val="24"/>
        </w:rPr>
        <w:t>008</w:t>
      </w:r>
      <w:r>
        <w:rPr>
          <w:rFonts w:hint="eastAsia" w:ascii="宋体" w:hAnsi="宋体" w:eastAsia="宋体" w:cs="宋体"/>
          <w:sz w:val="24"/>
          <w:szCs w:val="24"/>
        </w:rPr>
        <w:t>、PDF格式。</w:t>
      </w:r>
    </w:p>
    <w:p w14:paraId="3F52FA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终验收时提交的电子文档应包含设计审查和预验收阶段提交的文件。</w:t>
      </w:r>
    </w:p>
    <w:p w14:paraId="4152C1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项目各阶段所需的电子资料以U盘形式提交。</w:t>
      </w:r>
    </w:p>
    <w:p w14:paraId="719B2832">
      <w:pPr>
        <w:spacing w:line="360" w:lineRule="auto"/>
        <w:ind w:firstLine="480" w:firstLineChars="200"/>
        <w:rPr>
          <w:rFonts w:hint="eastAsia" w:ascii="宋体" w:hAnsi="宋体" w:eastAsia="宋体" w:cs="宋体"/>
          <w:sz w:val="24"/>
          <w:szCs w:val="24"/>
        </w:rPr>
      </w:pPr>
      <w:bookmarkStart w:id="122" w:name="_Toc165994302"/>
      <w:bookmarkStart w:id="123" w:name="_Toc7543522"/>
      <w:r>
        <w:rPr>
          <w:rFonts w:hint="eastAsia" w:ascii="宋体" w:hAnsi="宋体" w:eastAsia="宋体" w:cs="宋体"/>
          <w:sz w:val="24"/>
          <w:szCs w:val="24"/>
        </w:rPr>
        <w:t>6.包装运输</w:t>
      </w:r>
      <w:bookmarkEnd w:id="122"/>
      <w:bookmarkEnd w:id="123"/>
    </w:p>
    <w:p w14:paraId="24CAB73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国内货物，对其进行必要的包装防护，做好防锈、防雨、隔离、固定等处理，保证货物在运输途中，安全无损坏；进口货物，按国际包装规范要求包装；</w:t>
      </w:r>
    </w:p>
    <w:p w14:paraId="19F0808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项目的（设备、夹具、模具等）经</w:t>
      </w:r>
      <w:r>
        <w:rPr>
          <w:rFonts w:hint="eastAsia" w:ascii="宋体" w:hAnsi="宋体" w:eastAsia="宋体" w:cs="宋体"/>
          <w:sz w:val="24"/>
          <w:szCs w:val="24"/>
        </w:rPr>
        <w:t>招标</w:t>
      </w:r>
      <w:r>
        <w:rPr>
          <w:rFonts w:ascii="宋体" w:hAnsi="宋体" w:eastAsia="宋体" w:cs="宋体"/>
          <w:sz w:val="24"/>
          <w:szCs w:val="24"/>
        </w:rPr>
        <w:t>方预验收并完成预验收时问题的整改，经招标方确认后，与预验收时焊接的总成一起发运至</w:t>
      </w:r>
      <w:r>
        <w:rPr>
          <w:rFonts w:hint="eastAsia" w:ascii="宋体" w:hAnsi="宋体" w:eastAsia="宋体" w:cs="宋体"/>
          <w:sz w:val="24"/>
          <w:szCs w:val="24"/>
        </w:rPr>
        <w:t>招标</w:t>
      </w:r>
      <w:r>
        <w:rPr>
          <w:rFonts w:ascii="宋体" w:hAnsi="宋体" w:eastAsia="宋体" w:cs="宋体"/>
          <w:sz w:val="24"/>
          <w:szCs w:val="24"/>
        </w:rPr>
        <w:t>方；</w:t>
      </w:r>
    </w:p>
    <w:p w14:paraId="7A144BF0">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国内货物运输到达的目的地为</w:t>
      </w:r>
      <w:r>
        <w:rPr>
          <w:rFonts w:hint="eastAsia" w:ascii="宋体" w:hAnsi="宋体" w:eastAsia="宋体" w:cs="宋体"/>
          <w:sz w:val="24"/>
          <w:szCs w:val="24"/>
        </w:rPr>
        <w:t>招标</w:t>
      </w:r>
      <w:r>
        <w:rPr>
          <w:rFonts w:ascii="宋体" w:hAnsi="宋体" w:eastAsia="宋体" w:cs="宋体"/>
          <w:sz w:val="24"/>
          <w:szCs w:val="24"/>
        </w:rPr>
        <w:t>方工厂，</w:t>
      </w:r>
      <w:r>
        <w:rPr>
          <w:rFonts w:hint="eastAsia" w:ascii="宋体" w:hAnsi="宋体" w:eastAsia="宋体" w:cs="宋体"/>
          <w:sz w:val="24"/>
          <w:szCs w:val="24"/>
        </w:rPr>
        <w:t>投标</w:t>
      </w:r>
      <w:r>
        <w:rPr>
          <w:rFonts w:ascii="宋体" w:hAnsi="宋体" w:eastAsia="宋体" w:cs="宋体"/>
          <w:sz w:val="24"/>
          <w:szCs w:val="24"/>
        </w:rPr>
        <w:t>方同时承担货物从</w:t>
      </w:r>
      <w:r>
        <w:rPr>
          <w:rFonts w:hint="eastAsia" w:ascii="宋体" w:hAnsi="宋体" w:eastAsia="宋体" w:cs="宋体"/>
          <w:sz w:val="24"/>
          <w:szCs w:val="24"/>
        </w:rPr>
        <w:t>投标</w:t>
      </w:r>
      <w:r>
        <w:rPr>
          <w:rFonts w:ascii="宋体" w:hAnsi="宋体" w:eastAsia="宋体" w:cs="宋体"/>
          <w:sz w:val="24"/>
          <w:szCs w:val="24"/>
        </w:rPr>
        <w:t>方工厂到</w:t>
      </w:r>
      <w:r>
        <w:rPr>
          <w:rFonts w:hint="eastAsia" w:ascii="宋体" w:hAnsi="宋体" w:eastAsia="宋体" w:cs="宋体"/>
          <w:sz w:val="24"/>
          <w:szCs w:val="24"/>
        </w:rPr>
        <w:t>招标</w:t>
      </w:r>
      <w:r>
        <w:rPr>
          <w:rFonts w:ascii="宋体" w:hAnsi="宋体" w:eastAsia="宋体" w:cs="宋体"/>
          <w:sz w:val="24"/>
          <w:szCs w:val="24"/>
        </w:rPr>
        <w:t>方工厂的运保费。</w:t>
      </w:r>
      <w:r>
        <w:rPr>
          <w:rFonts w:hint="eastAsia" w:ascii="宋体" w:hAnsi="宋体" w:eastAsia="宋体" w:cs="宋体"/>
          <w:sz w:val="24"/>
          <w:szCs w:val="24"/>
        </w:rPr>
        <w:t>投标</w:t>
      </w:r>
      <w:r>
        <w:rPr>
          <w:rFonts w:ascii="宋体" w:hAnsi="宋体" w:eastAsia="宋体" w:cs="宋体"/>
          <w:sz w:val="24"/>
          <w:szCs w:val="24"/>
        </w:rPr>
        <w:t>方应在交货前7天内向</w:t>
      </w:r>
      <w:r>
        <w:rPr>
          <w:rFonts w:hint="eastAsia" w:ascii="宋体" w:hAnsi="宋体" w:eastAsia="宋体" w:cs="宋体"/>
          <w:sz w:val="24"/>
          <w:szCs w:val="24"/>
        </w:rPr>
        <w:t>招标</w:t>
      </w:r>
      <w:r>
        <w:rPr>
          <w:rFonts w:ascii="宋体" w:hAnsi="宋体" w:eastAsia="宋体" w:cs="宋体"/>
          <w:sz w:val="24"/>
          <w:szCs w:val="24"/>
        </w:rPr>
        <w:t>方提供货物价值以及尺寸、重量等明细清单、预计到达</w:t>
      </w:r>
      <w:r>
        <w:rPr>
          <w:rFonts w:hint="eastAsia" w:ascii="宋体" w:hAnsi="宋体" w:eastAsia="宋体" w:cs="宋体"/>
          <w:sz w:val="24"/>
          <w:szCs w:val="24"/>
        </w:rPr>
        <w:t>招标</w:t>
      </w:r>
      <w:r>
        <w:rPr>
          <w:rFonts w:ascii="宋体" w:hAnsi="宋体" w:eastAsia="宋体" w:cs="宋体"/>
          <w:sz w:val="24"/>
          <w:szCs w:val="24"/>
        </w:rPr>
        <w:t>方的时间等信息；进口货物运输到达的目的港口为中国</w:t>
      </w:r>
      <w:r>
        <w:rPr>
          <w:rFonts w:hint="eastAsia" w:ascii="宋体" w:hAnsi="宋体" w:eastAsia="宋体" w:cs="宋体"/>
          <w:sz w:val="24"/>
          <w:szCs w:val="24"/>
        </w:rPr>
        <w:t>青岛</w:t>
      </w:r>
      <w:r>
        <w:rPr>
          <w:rFonts w:ascii="宋体" w:hAnsi="宋体" w:eastAsia="宋体" w:cs="宋体"/>
          <w:sz w:val="24"/>
          <w:szCs w:val="24"/>
        </w:rPr>
        <w:t>港，</w:t>
      </w:r>
      <w:r>
        <w:rPr>
          <w:rFonts w:hint="eastAsia" w:ascii="宋体" w:hAnsi="宋体" w:eastAsia="宋体" w:cs="宋体"/>
          <w:sz w:val="24"/>
          <w:szCs w:val="24"/>
        </w:rPr>
        <w:t>投标</w:t>
      </w:r>
      <w:r>
        <w:rPr>
          <w:rFonts w:ascii="宋体" w:hAnsi="宋体" w:eastAsia="宋体" w:cs="宋体"/>
          <w:sz w:val="24"/>
          <w:szCs w:val="24"/>
        </w:rPr>
        <w:t>方同时承担货物从</w:t>
      </w:r>
      <w:r>
        <w:rPr>
          <w:rFonts w:hint="eastAsia" w:ascii="宋体" w:hAnsi="宋体" w:eastAsia="宋体" w:cs="宋体"/>
          <w:sz w:val="24"/>
          <w:szCs w:val="24"/>
        </w:rPr>
        <w:t>青岛</w:t>
      </w:r>
      <w:r>
        <w:rPr>
          <w:rFonts w:ascii="宋体" w:hAnsi="宋体" w:eastAsia="宋体" w:cs="宋体"/>
          <w:sz w:val="24"/>
          <w:szCs w:val="24"/>
        </w:rPr>
        <w:t>港到</w:t>
      </w:r>
      <w:r>
        <w:rPr>
          <w:rFonts w:hint="eastAsia" w:ascii="宋体" w:hAnsi="宋体" w:eastAsia="宋体" w:cs="宋体"/>
          <w:sz w:val="24"/>
          <w:szCs w:val="24"/>
        </w:rPr>
        <w:t>招标</w:t>
      </w:r>
      <w:r>
        <w:rPr>
          <w:rFonts w:ascii="宋体" w:hAnsi="宋体" w:eastAsia="宋体" w:cs="宋体"/>
          <w:sz w:val="24"/>
          <w:szCs w:val="24"/>
        </w:rPr>
        <w:t>方工厂的运保费，交货地点为</w:t>
      </w:r>
      <w:r>
        <w:rPr>
          <w:rFonts w:hint="eastAsia" w:ascii="宋体" w:hAnsi="宋体" w:eastAsia="宋体" w:cs="宋体"/>
          <w:sz w:val="24"/>
          <w:szCs w:val="24"/>
        </w:rPr>
        <w:t>招标</w:t>
      </w:r>
      <w:r>
        <w:rPr>
          <w:rFonts w:ascii="宋体" w:hAnsi="宋体" w:eastAsia="宋体" w:cs="宋体"/>
          <w:sz w:val="24"/>
          <w:szCs w:val="24"/>
        </w:rPr>
        <w:t>方工厂。</w:t>
      </w:r>
      <w:r>
        <w:rPr>
          <w:rFonts w:hint="eastAsia" w:ascii="宋体" w:hAnsi="宋体" w:eastAsia="宋体" w:cs="宋体"/>
          <w:sz w:val="24"/>
          <w:szCs w:val="24"/>
        </w:rPr>
        <w:t>投标</w:t>
      </w:r>
      <w:r>
        <w:rPr>
          <w:rFonts w:ascii="宋体" w:hAnsi="宋体" w:eastAsia="宋体" w:cs="宋体"/>
          <w:sz w:val="24"/>
          <w:szCs w:val="24"/>
        </w:rPr>
        <w:t>方应在装船后2天内向</w:t>
      </w:r>
      <w:r>
        <w:rPr>
          <w:rFonts w:hint="eastAsia" w:ascii="宋体" w:hAnsi="宋体" w:eastAsia="宋体" w:cs="宋体"/>
          <w:sz w:val="24"/>
          <w:szCs w:val="24"/>
        </w:rPr>
        <w:t>招标</w:t>
      </w:r>
      <w:r>
        <w:rPr>
          <w:rFonts w:ascii="宋体" w:hAnsi="宋体" w:eastAsia="宋体" w:cs="宋体"/>
          <w:sz w:val="24"/>
          <w:szCs w:val="24"/>
        </w:rPr>
        <w:t>方提供装载港口、船名和货物价值以及尺寸、重量等明细清单、预计到达目的港口的时间等信息</w:t>
      </w:r>
      <w:r>
        <w:rPr>
          <w:rFonts w:hint="eastAsia" w:ascii="宋体" w:hAnsi="宋体" w:eastAsia="宋体" w:cs="宋体"/>
          <w:sz w:val="24"/>
          <w:szCs w:val="24"/>
        </w:rPr>
        <w:t>。</w:t>
      </w:r>
    </w:p>
    <w:p w14:paraId="39940C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w:t>
      </w:r>
      <w:r>
        <w:rPr>
          <w:rFonts w:ascii="宋体" w:hAnsi="宋体" w:eastAsia="宋体" w:cs="宋体"/>
          <w:sz w:val="24"/>
          <w:szCs w:val="24"/>
        </w:rPr>
        <w:t>方提供的技术资料及易损件清单经</w:t>
      </w:r>
      <w:r>
        <w:rPr>
          <w:rFonts w:hint="eastAsia" w:ascii="宋体" w:hAnsi="宋体" w:eastAsia="宋体" w:cs="宋体"/>
          <w:sz w:val="24"/>
          <w:szCs w:val="24"/>
        </w:rPr>
        <w:t>招标</w:t>
      </w:r>
      <w:r>
        <w:rPr>
          <w:rFonts w:ascii="宋体" w:hAnsi="宋体" w:eastAsia="宋体" w:cs="宋体"/>
          <w:sz w:val="24"/>
          <w:szCs w:val="24"/>
        </w:rPr>
        <w:t>方确认后随货物同时发至</w:t>
      </w:r>
      <w:r>
        <w:rPr>
          <w:rFonts w:hint="eastAsia" w:ascii="宋体" w:hAnsi="宋体" w:eastAsia="宋体" w:cs="宋体"/>
          <w:sz w:val="24"/>
          <w:szCs w:val="24"/>
        </w:rPr>
        <w:t>招标</w:t>
      </w:r>
      <w:r>
        <w:rPr>
          <w:rFonts w:ascii="宋体" w:hAnsi="宋体" w:eastAsia="宋体" w:cs="宋体"/>
          <w:sz w:val="24"/>
          <w:szCs w:val="24"/>
        </w:rPr>
        <w:t>方。</w:t>
      </w:r>
    </w:p>
    <w:p w14:paraId="558299D7">
      <w:pPr>
        <w:spacing w:line="360" w:lineRule="auto"/>
        <w:ind w:firstLine="480" w:firstLineChars="200"/>
        <w:rPr>
          <w:rFonts w:hint="eastAsia" w:ascii="宋体" w:hAnsi="宋体" w:eastAsia="宋体" w:cs="宋体"/>
          <w:sz w:val="24"/>
          <w:szCs w:val="24"/>
        </w:rPr>
      </w:pPr>
      <w:bookmarkStart w:id="124" w:name="_Toc165994303"/>
      <w:bookmarkStart w:id="125" w:name="_Toc7543523"/>
      <w:r>
        <w:rPr>
          <w:rFonts w:hint="eastAsia" w:ascii="宋体" w:hAnsi="宋体" w:eastAsia="宋体" w:cs="宋体"/>
          <w:sz w:val="24"/>
          <w:szCs w:val="24"/>
        </w:rPr>
        <w:t>7.安装调试</w:t>
      </w:r>
      <w:bookmarkEnd w:id="124"/>
      <w:bookmarkEnd w:id="125"/>
    </w:p>
    <w:p w14:paraId="3BF7BEEC">
      <w:pPr>
        <w:spacing w:line="360" w:lineRule="auto"/>
        <w:ind w:firstLine="480" w:firstLineChars="200"/>
        <w:rPr>
          <w:rFonts w:hint="eastAsia" w:ascii="宋体" w:hAnsi="宋体" w:eastAsia="宋体" w:cs="宋体"/>
          <w:sz w:val="24"/>
          <w:szCs w:val="24"/>
        </w:rPr>
      </w:pPr>
      <w:bookmarkStart w:id="126" w:name="_Toc7543524"/>
      <w:r>
        <w:rPr>
          <w:rFonts w:hint="eastAsia" w:ascii="宋体" w:hAnsi="宋体" w:eastAsia="宋体" w:cs="宋体"/>
          <w:sz w:val="24"/>
          <w:szCs w:val="24"/>
        </w:rPr>
        <w:t>7.1设备安装</w:t>
      </w:r>
      <w:bookmarkEnd w:id="126"/>
    </w:p>
    <w:p w14:paraId="204F2F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090D2A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的项目负责人及现场项目负责人负责对现场团队的管理以及工作组织协调，以确保项目安全顺利地进行。投标方需要制定一份完整的现场管理计划与方案，包括人员、设备、安全、协调、应急预案等，其至少包含以下内容：</w:t>
      </w:r>
    </w:p>
    <w:p w14:paraId="4D4D07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人员作业计划、管理</w:t>
      </w:r>
    </w:p>
    <w:p w14:paraId="40732F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设备管理</w:t>
      </w:r>
    </w:p>
    <w:p w14:paraId="2B648C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施工安全保障措施、方案</w:t>
      </w:r>
    </w:p>
    <w:p w14:paraId="7548C0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危险作业</w:t>
      </w:r>
    </w:p>
    <w:p w14:paraId="6CBE64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与买方项目管理人员的协调</w:t>
      </w:r>
    </w:p>
    <w:p w14:paraId="10808A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另外招标方提醒：在批量生产前投标方有义务保证其货物的完好无损或避免丢失。</w:t>
      </w:r>
    </w:p>
    <w:p w14:paraId="05D798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从安装开始时，投标方应及时与招标方就安全保障和场地边界达成一致。投标方的项目负责人应在安装地点竖起示意图板，投标方需要在该图板上显示其每周更新的工作计划。如下：</w:t>
      </w:r>
    </w:p>
    <w:p w14:paraId="3FD25F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质量状态（最新测量报告、可能的整改措施、焊接质量）</w:t>
      </w:r>
    </w:p>
    <w:p w14:paraId="112799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满足进度要求的设备状态（例如，连续运行、单步运行等）</w:t>
      </w:r>
    </w:p>
    <w:p w14:paraId="55417A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达到的生产节拍</w:t>
      </w:r>
    </w:p>
    <w:p w14:paraId="03168B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最新样件状态报告</w:t>
      </w:r>
    </w:p>
    <w:p w14:paraId="238F9E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核心问题的跟踪状态展示</w:t>
      </w:r>
    </w:p>
    <w:p w14:paraId="6B734A13">
      <w:pPr>
        <w:spacing w:line="360" w:lineRule="auto"/>
        <w:ind w:firstLine="480" w:firstLineChars="200"/>
        <w:rPr>
          <w:rFonts w:hint="eastAsia" w:ascii="宋体" w:hAnsi="宋体" w:eastAsia="宋体" w:cs="宋体"/>
          <w:sz w:val="24"/>
          <w:szCs w:val="24"/>
        </w:rPr>
      </w:pPr>
      <w:bookmarkStart w:id="127" w:name="_Toc7543525"/>
      <w:r>
        <w:rPr>
          <w:rFonts w:hint="eastAsia" w:ascii="宋体" w:hAnsi="宋体" w:eastAsia="宋体" w:cs="宋体"/>
          <w:sz w:val="24"/>
          <w:szCs w:val="24"/>
        </w:rPr>
        <w:t>7.2产品试装</w:t>
      </w:r>
      <w:bookmarkEnd w:id="127"/>
    </w:p>
    <w:p w14:paraId="1ED6AB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7.2.1 </w:t>
      </w:r>
      <w:r>
        <w:rPr>
          <w:rFonts w:ascii="宋体" w:hAnsi="宋体" w:eastAsia="宋体" w:cs="宋体"/>
          <w:sz w:val="24"/>
          <w:szCs w:val="24"/>
        </w:rPr>
        <w:t>PPV阶段</w:t>
      </w:r>
    </w:p>
    <w:p w14:paraId="3DC3C93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PPV</w:t>
      </w:r>
      <w:r>
        <w:rPr>
          <w:rFonts w:hint="eastAsia" w:ascii="宋体" w:hAnsi="宋体" w:eastAsia="宋体" w:cs="宋体"/>
          <w:sz w:val="24"/>
          <w:szCs w:val="24"/>
        </w:rPr>
        <w:t>阶段，零件的生产制造应该用正式工装设备。所有决定产品质量特性的工艺装备的功能一定要确保。</w:t>
      </w:r>
      <w:r>
        <w:rPr>
          <w:rFonts w:ascii="宋体" w:hAnsi="宋体" w:eastAsia="宋体" w:cs="宋体"/>
          <w:sz w:val="24"/>
          <w:szCs w:val="24"/>
        </w:rPr>
        <w:t>PPV</w:t>
      </w:r>
      <w:r>
        <w:rPr>
          <w:rFonts w:hint="eastAsia" w:ascii="宋体" w:hAnsi="宋体" w:eastAsia="宋体" w:cs="宋体"/>
          <w:sz w:val="24"/>
          <w:szCs w:val="24"/>
        </w:rPr>
        <w:t>要分多个阶段有联系地连续执行，直到达到该阶段要求的产品质量要求。投标方对下面的内容负责：</w:t>
      </w:r>
    </w:p>
    <w:p w14:paraId="0322FF1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PPV</w:t>
      </w:r>
      <w:r>
        <w:rPr>
          <w:rFonts w:hint="eastAsia" w:ascii="宋体" w:hAnsi="宋体" w:eastAsia="宋体" w:cs="宋体"/>
          <w:sz w:val="24"/>
          <w:szCs w:val="24"/>
        </w:rPr>
        <w:t>零件的制造支持（包含设备、工艺、质量人员）</w:t>
      </w:r>
    </w:p>
    <w:p w14:paraId="4A5E05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引导质量检验过程（焊点及几何尺寸）</w:t>
      </w:r>
    </w:p>
    <w:p w14:paraId="2BCCBE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必需的检测报告的制定</w:t>
      </w:r>
    </w:p>
    <w:p w14:paraId="6A39EB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工装设备修正值的求证及相应文档</w:t>
      </w:r>
    </w:p>
    <w:p w14:paraId="18D5CB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工艺装备备件准备</w:t>
      </w:r>
    </w:p>
    <w:p w14:paraId="683F7D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7.2.2 </w:t>
      </w:r>
      <w:r>
        <w:rPr>
          <w:rFonts w:ascii="宋体" w:hAnsi="宋体" w:eastAsia="宋体" w:cs="宋体"/>
          <w:sz w:val="24"/>
          <w:szCs w:val="24"/>
        </w:rPr>
        <w:t>PP阶段</w:t>
      </w:r>
    </w:p>
    <w:p w14:paraId="0CC9D33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PP</w:t>
      </w:r>
      <w:r>
        <w:rPr>
          <w:rFonts w:hint="eastAsia" w:ascii="宋体" w:hAnsi="宋体" w:eastAsia="宋体" w:cs="宋体"/>
          <w:sz w:val="24"/>
          <w:szCs w:val="24"/>
        </w:rPr>
        <w:t>阶段，零件的生产制造应该用正式工装设备以联动的方式进行。所有决定产品质量特性的工艺装备的功能一定要确保。</w:t>
      </w:r>
      <w:r>
        <w:rPr>
          <w:rFonts w:ascii="宋体" w:hAnsi="宋体" w:eastAsia="宋体" w:cs="宋体"/>
          <w:sz w:val="24"/>
          <w:szCs w:val="24"/>
        </w:rPr>
        <w:t>PP</w:t>
      </w:r>
      <w:r>
        <w:rPr>
          <w:rFonts w:hint="eastAsia" w:ascii="宋体" w:hAnsi="宋体" w:eastAsia="宋体" w:cs="宋体"/>
          <w:sz w:val="24"/>
          <w:szCs w:val="24"/>
        </w:rPr>
        <w:t>要分多个阶段有联系地连续执行，直到达到该阶段要求的产品质量要求。</w:t>
      </w:r>
    </w:p>
    <w:p w14:paraId="46C35E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投标方负责内容与</w:t>
      </w:r>
      <w:r>
        <w:rPr>
          <w:rFonts w:ascii="宋体" w:hAnsi="宋体" w:eastAsia="宋体" w:cs="宋体"/>
          <w:sz w:val="24"/>
          <w:szCs w:val="24"/>
        </w:rPr>
        <w:t>P</w:t>
      </w:r>
      <w:r>
        <w:rPr>
          <w:rFonts w:hint="eastAsia" w:ascii="宋体" w:hAnsi="宋体" w:eastAsia="宋体" w:cs="宋体"/>
          <w:sz w:val="24"/>
          <w:szCs w:val="24"/>
        </w:rPr>
        <w:t>阶段相同。</w:t>
      </w:r>
    </w:p>
    <w:p w14:paraId="48008B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7.2.3 </w:t>
      </w:r>
      <w:r>
        <w:rPr>
          <w:rFonts w:ascii="宋体" w:hAnsi="宋体" w:eastAsia="宋体" w:cs="宋体"/>
          <w:sz w:val="24"/>
          <w:szCs w:val="24"/>
        </w:rPr>
        <w:t>P阶段</w:t>
      </w:r>
    </w:p>
    <w:p w14:paraId="267D034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w:t>
      </w:r>
      <w:r>
        <w:rPr>
          <w:rFonts w:hint="eastAsia" w:ascii="宋体" w:hAnsi="宋体" w:eastAsia="宋体" w:cs="宋体"/>
          <w:sz w:val="24"/>
          <w:szCs w:val="24"/>
        </w:rPr>
        <w:t>阶段，零件的生产制造应该在生产线完全自动连续生产状态下进行，生产线状态达到量产标准，产品质量达到量产要求。投标方对下面的内容负责：</w:t>
      </w:r>
    </w:p>
    <w:p w14:paraId="53FCC66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P</w:t>
      </w:r>
      <w:r>
        <w:rPr>
          <w:rFonts w:hint="eastAsia" w:ascii="宋体" w:hAnsi="宋体" w:eastAsia="宋体" w:cs="宋体"/>
          <w:sz w:val="24"/>
          <w:szCs w:val="24"/>
        </w:rPr>
        <w:t>零件的制造支持（包含设备、工艺、质量人员）</w:t>
      </w:r>
    </w:p>
    <w:p w14:paraId="6C641F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引导质量检验过程（焊点及几何尺寸）</w:t>
      </w:r>
    </w:p>
    <w:p w14:paraId="6AAE9D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必需的检测报告的制定</w:t>
      </w:r>
    </w:p>
    <w:p w14:paraId="5B6939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工装设备修正值的求证及相应文档</w:t>
      </w:r>
    </w:p>
    <w:p w14:paraId="10E8C6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工艺装备备件准备</w:t>
      </w:r>
    </w:p>
    <w:p w14:paraId="31AA4B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确保生产线设备运转率稳定提升，直到达到量产要求。</w:t>
      </w:r>
    </w:p>
    <w:p w14:paraId="1F607B74">
      <w:pPr>
        <w:widowControl/>
        <w:jc w:val="left"/>
        <w:rPr>
          <w:rFonts w:hint="eastAsia" w:ascii="宋体" w:hAnsi="宋体" w:eastAsia="等线" w:cs="Times New Roman"/>
          <w:b/>
          <w:sz w:val="28"/>
          <w:szCs w:val="24"/>
          <w:lang w:val="en-GB"/>
        </w:rPr>
      </w:pPr>
      <w:r>
        <w:rPr>
          <w:rFonts w:ascii="宋体" w:hAnsi="宋体" w:eastAsia="等线" w:cs="Times New Roman"/>
          <w:b/>
          <w:sz w:val="28"/>
          <w:szCs w:val="24"/>
          <w:lang w:val="en-GB"/>
        </w:rPr>
        <w:br w:type="page"/>
      </w:r>
    </w:p>
    <w:p w14:paraId="759A0F52">
      <w:pPr>
        <w:keepNext/>
        <w:keepLines/>
        <w:spacing w:before="120" w:after="120" w:line="360" w:lineRule="auto"/>
        <w:jc w:val="center"/>
        <w:outlineLvl w:val="0"/>
        <w:rPr>
          <w:rFonts w:hint="eastAsia" w:ascii="宋体" w:hAnsi="宋体" w:eastAsia="等线" w:cs="宋体"/>
          <w:kern w:val="44"/>
          <w:sz w:val="28"/>
          <w:szCs w:val="28"/>
          <w:lang w:val="en-GB"/>
        </w:rPr>
      </w:pPr>
      <w:bookmarkStart w:id="128" w:name="_Toc15157"/>
      <w:r>
        <w:rPr>
          <w:rFonts w:hint="eastAsia" w:ascii="宋体" w:hAnsi="宋体" w:eastAsia="等线" w:cs="宋体"/>
          <w:kern w:val="44"/>
          <w:sz w:val="28"/>
          <w:szCs w:val="28"/>
          <w:lang w:val="en-GB"/>
        </w:rPr>
        <w:t>第三章  供货范围及供货方式</w:t>
      </w:r>
      <w:bookmarkEnd w:id="128"/>
    </w:p>
    <w:p w14:paraId="031C34CB">
      <w:pPr>
        <w:keepNext/>
        <w:keepLines/>
        <w:spacing w:before="120" w:after="120" w:line="360" w:lineRule="auto"/>
        <w:jc w:val="center"/>
        <w:outlineLvl w:val="1"/>
        <w:rPr>
          <w:rFonts w:hint="eastAsia" w:ascii="宋体" w:hAnsi="宋体" w:eastAsia="宋体" w:cs="Times New Roman"/>
          <w:sz w:val="24"/>
          <w:szCs w:val="24"/>
        </w:rPr>
      </w:pPr>
      <w:bookmarkStart w:id="129" w:name="_Toc9658381"/>
      <w:r>
        <w:rPr>
          <w:rFonts w:hint="eastAsia" w:ascii="宋体" w:hAnsi="宋体" w:eastAsia="宋体" w:cs="Times New Roman"/>
          <w:sz w:val="24"/>
          <w:szCs w:val="24"/>
        </w:rPr>
        <w:t>第一节</w:t>
      </w:r>
      <w:r>
        <w:rPr>
          <w:rFonts w:ascii="宋体" w:hAnsi="宋体" w:eastAsia="宋体" w:cs="Times New Roman"/>
          <w:sz w:val="24"/>
          <w:szCs w:val="24"/>
        </w:rPr>
        <w:t xml:space="preserve">  </w:t>
      </w:r>
      <w:r>
        <w:rPr>
          <w:rFonts w:hint="eastAsia" w:ascii="宋体" w:hAnsi="宋体" w:eastAsia="宋体" w:cs="Times New Roman"/>
          <w:sz w:val="24"/>
          <w:szCs w:val="24"/>
        </w:rPr>
        <w:t>供货范围</w:t>
      </w:r>
      <w:bookmarkEnd w:id="129"/>
    </w:p>
    <w:p w14:paraId="06857ED1">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一、供货范围</w:t>
      </w:r>
    </w:p>
    <w:p w14:paraId="75C7D61B">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（一）一般界定</w:t>
      </w:r>
    </w:p>
    <w:p w14:paraId="68D56E9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、包括本技术标书所列明的主要货物及货物正常运行所必需的全套连线设备、材料等，如货物端联接法兰外端面之内的、电气系统接口压线板（插座等）之内的设备、材料、联接螺栓、垫片等。</w:t>
      </w:r>
    </w:p>
    <w:p w14:paraId="4324265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、包括为保证货物正常安装、调试和验收完成及以前所必需的整套配件、附件及材料、油料、控制软件及程序或指令等。</w:t>
      </w:r>
    </w:p>
    <w:p w14:paraId="285A2F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373E116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、包括货物维护维修所必需的专用工具。</w:t>
      </w:r>
    </w:p>
    <w:p w14:paraId="74B05B2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67760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10DDD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4735C26B">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3BC8C75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、招标方提供货物所需的建筑物（如厂房等）和构筑物（如混凝土池、砼基础等），包含正常安装施工所需的预埋件（如穿管、预埋螺栓、螺母及垫片）。</w:t>
      </w:r>
    </w:p>
    <w:p w14:paraId="3E56C91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招标方提供符合本技术标书中“采购货物概况”和“使用环境”章节所列明品质的电力、自来水、压缩空气、蒸汽、天然气（或煤气）管线至系统接口，如：系统电力接口的接线端，水、气、汽等外围管线端联接法兰外端面。</w:t>
      </w:r>
    </w:p>
    <w:p w14:paraId="1D3B8F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6ED828D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14:paraId="4A0B4072">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、以“交钥匙”方式采购的货物，在满足技术标书本节上述要求之外，同时包括货物正常运行、使用所需要的过桥、护栏、防护网、盖板等辅助设施。</w:t>
      </w:r>
    </w:p>
    <w:p w14:paraId="2E9840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二、备品备件、易损件和专用耗材供货范围</w:t>
      </w:r>
    </w:p>
    <w:p w14:paraId="276EA13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、备品备件、易损件和专用耗材是招标方为保证货物质保期之后正常运行一年所自备自用的备品备件、易损件和专用耗材。</w:t>
      </w:r>
    </w:p>
    <w:p w14:paraId="3B0C8C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1E29381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p>
    <w:p w14:paraId="591E82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三、技术资料供货范围</w:t>
      </w:r>
    </w:p>
    <w:p w14:paraId="7EE3B1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2233F37">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、在合同签订后</w:t>
      </w:r>
      <w:r>
        <w:rPr>
          <w:rFonts w:ascii="宋体" w:hAnsi="宋体" w:eastAsia="宋体" w:cs="宋体"/>
          <w:sz w:val="24"/>
          <w:szCs w:val="24"/>
          <w:u w:val="single"/>
          <w:shd w:val="pct10" w:color="auto" w:fill="FFFFFF"/>
        </w:rPr>
        <w:t xml:space="preserve">30 </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14:paraId="0FC698F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、在预验收前，提供货物各部分的功能描述文件、图片、影像等资料（进口、设备应有中外文对照）。</w:t>
      </w:r>
    </w:p>
    <w:p w14:paraId="7C08E49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、在终验收前，提供为保证货物后续正常运行所需的工装、吊（挂）具明细及其图纸、具体技术要求等资料（如果供货范围包含该部分实物）。</w:t>
      </w:r>
    </w:p>
    <w:p w14:paraId="40B713D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、在终验收前，提供确定的维修所需要且招标方可以自行采购的外购件、外协件、电气元件及主要原材料的供货厂家明细表。</w:t>
      </w:r>
    </w:p>
    <w:p w14:paraId="16D7DD27">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、在终验收后、终验收后的第一笔货款支付日之前，提供包括货物的备品备件、易损件和专用耗材的图纸及技术参数、技术要求等资料。</w:t>
      </w:r>
    </w:p>
    <w:p w14:paraId="292EF24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12826A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9B896F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、本条款所列的技术资料、图片、影像等，投标方应各提供</w:t>
      </w:r>
      <w:r>
        <w:rPr>
          <w:rFonts w:ascii="宋体" w:hAnsi="宋体" w:eastAsia="宋体" w:cs="宋体"/>
          <w:sz w:val="24"/>
          <w:szCs w:val="24"/>
        </w:rPr>
        <w:t>5</w:t>
      </w:r>
      <w:r>
        <w:rPr>
          <w:rFonts w:hint="eastAsia" w:ascii="宋体" w:hAnsi="宋体" w:eastAsia="宋体" w:cs="宋体"/>
          <w:sz w:val="24"/>
          <w:szCs w:val="24"/>
        </w:rPr>
        <w:t>套，其中</w:t>
      </w:r>
      <w:r>
        <w:rPr>
          <w:rFonts w:ascii="宋体" w:hAnsi="宋体" w:eastAsia="宋体" w:cs="宋体"/>
          <w:sz w:val="24"/>
          <w:szCs w:val="24"/>
        </w:rPr>
        <w:t>2</w:t>
      </w:r>
      <w:r>
        <w:rPr>
          <w:rFonts w:hint="eastAsia" w:ascii="宋体" w:hAnsi="宋体" w:eastAsia="宋体" w:cs="宋体"/>
          <w:sz w:val="24"/>
          <w:szCs w:val="24"/>
        </w:rPr>
        <w:t>套为电子版光（软）盘；每份技术文件应装有目录清单。</w:t>
      </w:r>
    </w:p>
    <w:p w14:paraId="420B76F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、本条款所列要求，如招标方认为投标方提供的资料不能满足要求时，有权要求投标方免费补充或增加。</w:t>
      </w:r>
    </w:p>
    <w:p w14:paraId="5DD232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四、供货范围特别提示</w:t>
      </w:r>
    </w:p>
    <w:p w14:paraId="5778D6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1EF19B55">
      <w:pPr>
        <w:rPr>
          <w:rFonts w:hint="eastAsia" w:ascii="宋体" w:hAnsi="宋体" w:eastAsia="宋体" w:cs="宋体"/>
          <w:sz w:val="24"/>
          <w:szCs w:val="24"/>
        </w:rPr>
      </w:pPr>
      <w:r>
        <w:rPr>
          <w:rFonts w:ascii="宋体" w:hAnsi="宋体" w:eastAsia="宋体" w:cs="宋体"/>
          <w:sz w:val="24"/>
          <w:szCs w:val="24"/>
        </w:rPr>
        <w:br w:type="page"/>
      </w:r>
    </w:p>
    <w:p w14:paraId="24F48E3C">
      <w:pPr>
        <w:adjustRightInd w:val="0"/>
        <w:spacing w:before="120" w:after="156" w:afterLines="50" w:line="280" w:lineRule="atLeast"/>
        <w:textAlignment w:val="baseline"/>
        <w:rPr>
          <w:rFonts w:ascii="Calibri" w:hAnsi="Calibri" w:eastAsia="新宋体" w:cs="Times New Roman"/>
          <w:szCs w:val="21"/>
        </w:rPr>
      </w:pPr>
    </w:p>
    <w:p w14:paraId="1ABD4126">
      <w:pPr>
        <w:keepNext/>
        <w:keepLines/>
        <w:spacing w:before="120" w:after="120" w:line="360" w:lineRule="auto"/>
        <w:jc w:val="center"/>
        <w:outlineLvl w:val="1"/>
        <w:rPr>
          <w:rFonts w:ascii="Arial" w:hAnsi="Arial" w:eastAsia="宋体" w:cs="Times New Roman"/>
          <w:sz w:val="24"/>
          <w:szCs w:val="24"/>
        </w:rPr>
      </w:pPr>
      <w:bookmarkStart w:id="130" w:name="_Toc9658382"/>
      <w:r>
        <w:rPr>
          <w:rFonts w:hint="eastAsia" w:ascii="Arial" w:hAnsi="Arial" w:eastAsia="宋体" w:cs="Times New Roman"/>
          <w:sz w:val="24"/>
          <w:szCs w:val="24"/>
        </w:rPr>
        <w:t>第二节</w:t>
      </w:r>
      <w:r>
        <w:rPr>
          <w:rFonts w:ascii="Arial" w:hAnsi="Arial" w:eastAsia="宋体" w:cs="Times New Roman"/>
          <w:sz w:val="24"/>
          <w:szCs w:val="24"/>
        </w:rPr>
        <w:t xml:space="preserve">  </w:t>
      </w:r>
      <w:r>
        <w:rPr>
          <w:rFonts w:hint="eastAsia" w:ascii="Arial" w:hAnsi="Arial" w:eastAsia="宋体" w:cs="Times New Roman"/>
          <w:sz w:val="24"/>
          <w:szCs w:val="24"/>
        </w:rPr>
        <w:t>供货方式</w:t>
      </w:r>
      <w:bookmarkEnd w:id="130"/>
    </w:p>
    <w:p w14:paraId="4449BE33">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一、供货方式</w:t>
      </w:r>
    </w:p>
    <w:p w14:paraId="7F598BC6">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612EA4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二、供货地点：本项目建设工地。</w:t>
      </w:r>
    </w:p>
    <w:p w14:paraId="0D38E8C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三、供货时间</w:t>
      </w:r>
    </w:p>
    <w:p w14:paraId="512D38E3">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、自中标通知书发出之日起，</w:t>
      </w:r>
      <w:r>
        <w:rPr>
          <w:rFonts w:hint="eastAsia" w:ascii="宋体" w:hAnsi="宋体" w:eastAsia="宋体" w:cs="宋体"/>
          <w:sz w:val="24"/>
          <w:szCs w:val="24"/>
          <w:highlight w:val="yellow"/>
          <w:u w:val="single"/>
          <w:lang w:val="en-US" w:eastAsia="zh-CN"/>
        </w:rPr>
        <w:t>45个日历日</w:t>
      </w:r>
      <w:r>
        <w:rPr>
          <w:rFonts w:hint="eastAsia" w:ascii="宋体" w:hAnsi="宋体" w:eastAsia="宋体" w:cs="宋体"/>
          <w:sz w:val="24"/>
          <w:szCs w:val="24"/>
        </w:rPr>
        <w:t>内交货至供货地点；</w:t>
      </w:r>
    </w:p>
    <w:p w14:paraId="0377CDB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1</w:t>
      </w:r>
      <w:r>
        <w:rPr>
          <w:rFonts w:hint="eastAsia" w:ascii="宋体" w:hAnsi="宋体" w:eastAsia="宋体" w:cs="宋体"/>
          <w:sz w:val="24"/>
          <w:szCs w:val="24"/>
          <w:highlight w:val="yellow"/>
          <w:u w:val="single"/>
          <w:lang w:val="en-US" w:eastAsia="zh-CN"/>
        </w:rPr>
        <w:t>5个日历日</w:t>
      </w:r>
      <w:r>
        <w:rPr>
          <w:rFonts w:hint="eastAsia" w:ascii="宋体" w:hAnsi="宋体" w:eastAsia="宋体" w:cs="宋体"/>
          <w:sz w:val="24"/>
          <w:szCs w:val="24"/>
        </w:rPr>
        <w:t>内完成安装调试；</w:t>
      </w:r>
    </w:p>
    <w:p w14:paraId="77B82FD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安装调试时间或终验收时间超过规定时间的，投标方应当随标书提供详细的工期计划。</w:t>
      </w:r>
    </w:p>
    <w:p w14:paraId="68B4DC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四、包装</w:t>
      </w:r>
    </w:p>
    <w:p w14:paraId="7D63CAB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、所提供货物（或设备）的包装，应遵照国家标准和有关包装、包皮的技术条件，或按照最好的商业惯例进行包装。</w:t>
      </w:r>
    </w:p>
    <w:p w14:paraId="51AA14F4">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14:paraId="17D9F2DA">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、所提供货物（或设备）的包装，应能防止其一般性被窃或受外力破坏；一般不得采用有大缝隙的板条包装。</w:t>
      </w:r>
    </w:p>
    <w:p w14:paraId="21768BF9">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、应对包装件做必要的加固和固定，以防止运输可能造成的损坏。</w:t>
      </w:r>
    </w:p>
    <w:p w14:paraId="0738B7E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、每个包装件应有装箱单，并至少标明名称、型号规格、数量、净重和毛重、投标方（或供货商）名称和制造日期等相关内容。</w:t>
      </w:r>
    </w:p>
    <w:p w14:paraId="4FD929E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、每个包装箱应有明显标志，并具有中文书写的合同号、装运标志、发货和到货地点名称、发货人和收货人名称、货物名称和项目号、箱号和外型尺寸等内容。</w:t>
      </w:r>
    </w:p>
    <w:p w14:paraId="4E130E29">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、应按照不同的装运要求在包装箱上标明“小心轻放”、“箭头向上”、“防潮”、“防磁”、“不准平放”等标志，以及其它适用的国标通用标志。</w:t>
      </w:r>
    </w:p>
    <w:p w14:paraId="7B6CBFB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、包装箱应连续编号，不应出现重复编号。</w:t>
      </w:r>
    </w:p>
    <w:p w14:paraId="2B3EBAD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、在不受到外界破坏情况下，包装应保证自交货日起一年内货物（或设备）完好无损。</w:t>
      </w:r>
    </w:p>
    <w:p w14:paraId="58A3D2B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五、运输</w:t>
      </w:r>
    </w:p>
    <w:p w14:paraId="0183821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、应负责将货物（或设备）运到目的地，并必须做到货物（或设备）在任何运输过程中不受损坏和遗失。</w:t>
      </w:r>
    </w:p>
    <w:p w14:paraId="0DAE9CEA">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、同批货物（或设备）应统一包装、编号运输。</w:t>
      </w:r>
    </w:p>
    <w:p w14:paraId="7BB12F8F">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、一般情况下，经由铁路、公路运输的包装件尺寸和重量不应超过国家所规定的尺寸限制。特殊情况应予以说明。</w:t>
      </w:r>
    </w:p>
    <w:p w14:paraId="0A36ECD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、在每批货物（或设备）发出后，应立即通知招标方；通知中应指明：合同号、货运单号、件数、重量和货物（或设备）发出日期等相关内容。</w:t>
      </w:r>
    </w:p>
    <w:p w14:paraId="3FBD2B2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、货物（或设备）运抵交货地点后，应负责货物（或设备）的卸货、搬运、保管等事宜；或按照合同约定。</w:t>
      </w:r>
    </w:p>
    <w:p w14:paraId="0399A9DC">
      <w:pPr>
        <w:rPr>
          <w:rFonts w:hint="eastAsia" w:ascii="黑体" w:hAnsi="等线" w:eastAsia="黑体" w:cs="Times New Roman"/>
          <w:sz w:val="24"/>
          <w:szCs w:val="24"/>
        </w:rPr>
      </w:pPr>
      <w:bookmarkStart w:id="131" w:name="_Toc9658383"/>
      <w:r>
        <w:rPr>
          <w:rFonts w:ascii="黑体" w:hAnsi="等线" w:eastAsia="黑体" w:cs="Times New Roman"/>
          <w:sz w:val="24"/>
          <w:szCs w:val="24"/>
        </w:rPr>
        <w:br w:type="page"/>
      </w:r>
    </w:p>
    <w:p w14:paraId="2C117CA4">
      <w:pPr>
        <w:keepNext/>
        <w:keepLines/>
        <w:spacing w:before="120" w:after="120" w:line="360" w:lineRule="auto"/>
        <w:jc w:val="center"/>
        <w:outlineLvl w:val="0"/>
        <w:rPr>
          <w:rFonts w:hint="eastAsia" w:ascii="宋体" w:hAnsi="宋体" w:eastAsia="等线" w:cs="宋体"/>
          <w:kern w:val="44"/>
          <w:sz w:val="28"/>
          <w:szCs w:val="28"/>
        </w:rPr>
      </w:pPr>
      <w:bookmarkStart w:id="132" w:name="_Toc18023"/>
      <w:r>
        <w:rPr>
          <w:rFonts w:hint="eastAsia" w:ascii="宋体" w:hAnsi="宋体" w:eastAsia="等线" w:cs="宋体"/>
          <w:kern w:val="44"/>
          <w:sz w:val="28"/>
          <w:szCs w:val="28"/>
        </w:rPr>
        <w:t>第四章</w:t>
      </w:r>
      <w:r>
        <w:rPr>
          <w:rFonts w:ascii="宋体" w:hAnsi="宋体" w:eastAsia="等线" w:cs="宋体"/>
          <w:kern w:val="44"/>
          <w:sz w:val="28"/>
          <w:szCs w:val="28"/>
        </w:rPr>
        <w:t xml:space="preserve">  </w:t>
      </w:r>
      <w:r>
        <w:rPr>
          <w:rFonts w:hint="eastAsia" w:ascii="宋体" w:hAnsi="宋体" w:eastAsia="等线" w:cs="宋体"/>
          <w:kern w:val="44"/>
          <w:sz w:val="28"/>
          <w:szCs w:val="28"/>
        </w:rPr>
        <w:t>质保期及售后服务</w:t>
      </w:r>
      <w:bookmarkEnd w:id="131"/>
      <w:bookmarkEnd w:id="132"/>
    </w:p>
    <w:p w14:paraId="62FA2B8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一、质保期及质保要求</w:t>
      </w:r>
    </w:p>
    <w:p w14:paraId="30A058B0">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年。</w:t>
      </w:r>
    </w:p>
    <w:p w14:paraId="7579776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23692C6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3AC69E9">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58FAE2E">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、质保期内免费提供零部件和及时有效的服务。质保期内因货物本身缺陷造成的各种故障，投标方应负责免费维修和服务。</w:t>
      </w:r>
    </w:p>
    <w:p w14:paraId="79FDD5E8">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、质保期终止之日起一年内重复出现的质保期之内出现的故障，仍属质保范围而且应当免费。</w:t>
      </w:r>
    </w:p>
    <w:p w14:paraId="7169D3E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二、技术及培训服务</w:t>
      </w:r>
    </w:p>
    <w:p w14:paraId="6DF765A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color w:val="FF0000"/>
          <w:sz w:val="24"/>
          <w:szCs w:val="24"/>
          <w:u w:val="single"/>
          <w:shd w:val="pct10" w:color="auto" w:fill="FFFFFF"/>
        </w:rPr>
        <w:t>1</w:t>
      </w:r>
      <w:r>
        <w:rPr>
          <w:rFonts w:hint="eastAsia" w:ascii="宋体" w:hAnsi="宋体" w:eastAsia="宋体" w:cs="宋体"/>
          <w:sz w:val="24"/>
          <w:szCs w:val="24"/>
        </w:rPr>
        <w:t>个日历日。</w:t>
      </w:r>
    </w:p>
    <w:p w14:paraId="3FF4CA8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、应免费提供一定数量的培训资料。</w:t>
      </w:r>
    </w:p>
    <w:p w14:paraId="7C68BE8A">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、应按要求免费积极协助和提供招标方以及招标方所委托的工程设计单位有关人员所需要的、与货物有关的工程设计资料、技术咨询等。</w:t>
      </w:r>
    </w:p>
    <w:p w14:paraId="1E8B3DB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、若投标方提供货物涉及到外购外协货物、而且该货物的技术质量等较为关键时，投标方应能保证得到配套厂家的技术支持，并免费为招标方提供技术服务。</w:t>
      </w:r>
    </w:p>
    <w:p w14:paraId="3AF3E55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B03D36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三、安装调试及验收服务</w:t>
      </w:r>
    </w:p>
    <w:p w14:paraId="0AA8EB04">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7B70B965">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、若投标方提供的货物涉及到外购外协货物、而且该货物的技术质量等较为关键时，应保证能得到供应商的技术支持，并免费为招标方提供安装使用现场的指导与培训。</w:t>
      </w:r>
    </w:p>
    <w:p w14:paraId="1958693F">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3BB6ABA1">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FBDD41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、投标方应当向招标方提供货物试验、验收的有关标准、规范和方法，同时提供货物涉及并使用的软件合法性证明。</w:t>
      </w:r>
    </w:p>
    <w:p w14:paraId="2477A4D2">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、服务缺陷视同货物缺陷和履约延期。</w:t>
      </w:r>
    </w:p>
    <w:p w14:paraId="7574170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四、售后服务</w:t>
      </w:r>
    </w:p>
    <w:p w14:paraId="704341E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、投标方提供的货物涉及的所有售后服务均由投标方负责。如果发生问题并且收到通知，投标方应当在</w:t>
      </w:r>
      <w:r>
        <w:rPr>
          <w:rFonts w:ascii="宋体" w:hAnsi="宋体" w:eastAsia="宋体" w:cs="宋体"/>
          <w:sz w:val="24"/>
          <w:szCs w:val="24"/>
        </w:rPr>
        <w:t>2</w:t>
      </w:r>
      <w:r>
        <w:rPr>
          <w:rFonts w:hint="eastAsia" w:ascii="宋体" w:hAnsi="宋体" w:eastAsia="宋体" w:cs="宋体"/>
          <w:sz w:val="24"/>
          <w:szCs w:val="24"/>
        </w:rPr>
        <w:t>小时内予以答复。</w:t>
      </w:r>
    </w:p>
    <w:p w14:paraId="71FF2E4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、如发现所提供的货物存在问题，需要投标方解决或配合解决时：在质保期之内，应在接到通知后</w:t>
      </w:r>
      <w:r>
        <w:rPr>
          <w:rFonts w:ascii="宋体" w:hAnsi="宋体" w:eastAsia="宋体" w:cs="宋体"/>
          <w:sz w:val="24"/>
          <w:szCs w:val="24"/>
          <w:u w:val="single"/>
          <w:shd w:val="pct10" w:color="auto" w:fill="FFFFFF"/>
        </w:rPr>
        <w:t xml:space="preserve"> 48 </w:t>
      </w:r>
      <w:r>
        <w:rPr>
          <w:rFonts w:hint="eastAsia" w:ascii="宋体" w:hAnsi="宋体" w:eastAsia="宋体" w:cs="宋体"/>
          <w:sz w:val="24"/>
          <w:szCs w:val="24"/>
        </w:rPr>
        <w:t>小时内派有关人员到达现场；在质保期之外，应在接到通知后</w:t>
      </w:r>
      <w:r>
        <w:rPr>
          <w:rFonts w:ascii="宋体" w:hAnsi="宋体" w:eastAsia="宋体" w:cs="宋体"/>
          <w:sz w:val="24"/>
          <w:szCs w:val="24"/>
          <w:u w:val="single"/>
          <w:shd w:val="pct10" w:color="auto" w:fill="FFFFFF"/>
        </w:rPr>
        <w:t xml:space="preserve"> 72 </w:t>
      </w:r>
      <w:r>
        <w:rPr>
          <w:rFonts w:hint="eastAsia" w:ascii="宋体" w:hAnsi="宋体" w:eastAsia="宋体" w:cs="宋体"/>
          <w:sz w:val="24"/>
          <w:szCs w:val="24"/>
        </w:rPr>
        <w:t>小时内派有关人员到达现场。</w:t>
      </w:r>
    </w:p>
    <w:p w14:paraId="1049138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、投标方派往招标方使用现场的人员，应具有较高的业务素质；现场解决问题时，不得无故拖延或推迟，应为招标方提供最佳的服务。</w:t>
      </w:r>
    </w:p>
    <w:p w14:paraId="64408CA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五、其它服务</w:t>
      </w:r>
    </w:p>
    <w:p w14:paraId="7338290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、若投标方所提供货物有需要进口的，投标方一般应自行、自费办理；必要时，买卖双方共同办理。</w:t>
      </w:r>
    </w:p>
    <w:p w14:paraId="1D3CB33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、除招标文件、投标文件、答疑文件、技术协议、合同等约定之外，投标方应免费负责必要的或强制性的货物的检验、试验、化验等直接费用。</w:t>
      </w:r>
    </w:p>
    <w:p w14:paraId="2CE9A64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、本章节条款所列“免费”，并非指定不可收费，而是指招标文件、投标文件、答疑文件、技术交流文件、技术协议书和合同等范围之外，投标方不可另行收取的费用。</w:t>
      </w:r>
    </w:p>
    <w:p w14:paraId="51EA04F1">
      <w:pPr>
        <w:rPr>
          <w:rFonts w:hint="eastAsia" w:ascii="黑体" w:hAnsi="等线" w:eastAsia="黑体" w:cs="Times New Roman"/>
          <w:szCs w:val="24"/>
        </w:rPr>
      </w:pPr>
      <w:r>
        <w:rPr>
          <w:rFonts w:ascii="黑体" w:hAnsi="等线" w:eastAsia="黑体" w:cs="Times New Roman"/>
          <w:szCs w:val="24"/>
        </w:rPr>
        <w:br w:type="page"/>
      </w:r>
    </w:p>
    <w:p w14:paraId="19F100C0">
      <w:pPr>
        <w:keepNext/>
        <w:keepLines/>
        <w:spacing w:before="120" w:after="120" w:line="360" w:lineRule="auto"/>
        <w:jc w:val="center"/>
        <w:outlineLvl w:val="0"/>
        <w:rPr>
          <w:rFonts w:hint="eastAsia" w:ascii="宋体" w:hAnsi="宋体" w:eastAsia="等线" w:cs="宋体"/>
          <w:kern w:val="44"/>
          <w:sz w:val="28"/>
          <w:szCs w:val="28"/>
        </w:rPr>
      </w:pPr>
      <w:bookmarkStart w:id="133" w:name="_Toc4160"/>
      <w:r>
        <w:rPr>
          <w:rFonts w:hint="eastAsia" w:ascii="宋体" w:hAnsi="宋体" w:eastAsia="等线" w:cs="宋体"/>
          <w:kern w:val="44"/>
          <w:sz w:val="28"/>
          <w:szCs w:val="28"/>
        </w:rPr>
        <w:t>第五章  验收</w:t>
      </w:r>
      <w:bookmarkEnd w:id="133"/>
    </w:p>
    <w:p w14:paraId="3D3D1F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一、验收依据和验收标准</w:t>
      </w:r>
    </w:p>
    <w:p w14:paraId="54759AF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、验收标准一般以技术协议书和合同规定验收。无论技术协议书和合同，是否全部并准确列明验收所涉及的相关标准，均作为验收标准之一。</w:t>
      </w:r>
    </w:p>
    <w:p w14:paraId="5190B41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、如果验收过程中，发现招标文件、投标文件、答疑文件、技术交流文件等与技术协议书、合同存在差异，原则上以涉及条款中对招标方最有利条款为验收依据。</w:t>
      </w:r>
    </w:p>
    <w:p w14:paraId="5EB3AFB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二、检验</w:t>
      </w:r>
    </w:p>
    <w:p w14:paraId="1A305CF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72C65F2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、国产货物的检验一般由买卖双方共同进行或按照合同要求进行。</w:t>
      </w:r>
    </w:p>
    <w:p w14:paraId="711F774D">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、进口货物的检验，投标方需要按照下述要求进行：</w:t>
      </w:r>
    </w:p>
    <w:p w14:paraId="00D2CDD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进口货物发货前，应对货物的质量、型号、规格、性能和数量</w:t>
      </w:r>
      <w:r>
        <w:rPr>
          <w:rFonts w:ascii="宋体" w:hAnsi="宋体" w:eastAsia="宋体" w:cs="宋体"/>
          <w:sz w:val="24"/>
          <w:szCs w:val="24"/>
        </w:rPr>
        <w:t>/</w:t>
      </w:r>
      <w:r>
        <w:rPr>
          <w:rFonts w:hint="eastAsia" w:ascii="宋体" w:hAnsi="宋体" w:eastAsia="宋体" w:cs="宋体"/>
          <w:sz w:val="24"/>
          <w:szCs w:val="24"/>
        </w:rPr>
        <w:t>重量作精密、全面的检验，并出具证明书，证明所供货物符合合同规定。</w:t>
      </w:r>
    </w:p>
    <w:p w14:paraId="0B3689EF">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应依据合同规定的要求，提供买卖双方达成一致的货物的验收标准和装箱单，作为招标方检验的依据。</w:t>
      </w:r>
    </w:p>
    <w:p w14:paraId="7993CC92">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2.3</w:t>
      </w:r>
      <w:r>
        <w:rPr>
          <w:rFonts w:hint="eastAsia" w:ascii="宋体" w:hAnsi="宋体" w:eastAsia="宋体" w:cs="宋体"/>
          <w:sz w:val="24"/>
          <w:szCs w:val="24"/>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rPr>
        <w:t>180</w:t>
      </w:r>
      <w:r>
        <w:rPr>
          <w:rFonts w:hint="eastAsia" w:ascii="宋体" w:hAnsi="宋体" w:eastAsia="宋体" w:cs="宋体"/>
          <w:sz w:val="24"/>
          <w:szCs w:val="24"/>
        </w:rPr>
        <w:t>个日历日内，根据中国商品检验检疫局出具的证明书向投标方提出索赔，因索赔所发生的一切费用</w:t>
      </w:r>
      <w:r>
        <w:rPr>
          <w:rFonts w:ascii="宋体" w:hAnsi="宋体" w:eastAsia="宋体" w:cs="宋体"/>
          <w:sz w:val="24"/>
          <w:szCs w:val="24"/>
        </w:rPr>
        <w:t>(</w:t>
      </w:r>
      <w:r>
        <w:rPr>
          <w:rFonts w:hint="eastAsia" w:ascii="宋体" w:hAnsi="宋体" w:eastAsia="宋体" w:cs="宋体"/>
          <w:sz w:val="24"/>
          <w:szCs w:val="24"/>
        </w:rPr>
        <w:t>包括检验检疫费等</w:t>
      </w:r>
      <w:r>
        <w:rPr>
          <w:rFonts w:ascii="宋体" w:hAnsi="宋体" w:eastAsia="宋体" w:cs="宋体"/>
          <w:sz w:val="24"/>
          <w:szCs w:val="24"/>
        </w:rPr>
        <w:t>)</w:t>
      </w:r>
      <w:r>
        <w:rPr>
          <w:rFonts w:hint="eastAsia" w:ascii="宋体" w:hAnsi="宋体" w:eastAsia="宋体" w:cs="宋体"/>
          <w:sz w:val="24"/>
          <w:szCs w:val="24"/>
        </w:rPr>
        <w:t>均由投标方承担。</w:t>
      </w:r>
    </w:p>
    <w:p w14:paraId="3EA67E6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三、验收条件</w:t>
      </w:r>
    </w:p>
    <w:p w14:paraId="7E18E38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E3552C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01F7E28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w:t>
      </w:r>
    </w:p>
    <w:p w14:paraId="439B58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1.1预验收一般条件</w:t>
      </w:r>
    </w:p>
    <w:p w14:paraId="05C1334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1.1.1卖方已经按照“供货范围”要求提供了预验收资料，并且资料齐全、完整和有效。</w:t>
      </w:r>
    </w:p>
    <w:p w14:paraId="2952EF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1.1.2货物应完整，外观完整无损伤，货物标牌完整、清晰、明确。</w:t>
      </w:r>
    </w:p>
    <w:p w14:paraId="115B822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1.1.3货物的安全要求符合中国最新的相关法律、法规、标准和规范以及合同要求。 </w:t>
      </w:r>
    </w:p>
    <w:p w14:paraId="18852D6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1.2 预验收内容 </w:t>
      </w:r>
    </w:p>
    <w:p w14:paraId="5BB3C08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1.2.1加工件外观无缺陷、无裂痕，材质无缺陷，坚固实用。</w:t>
      </w:r>
    </w:p>
    <w:p w14:paraId="4F55A1C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1.2.2加工件表面无锋利边缘，焊缝无焊接缺陷。</w:t>
      </w:r>
    </w:p>
    <w:p w14:paraId="6A2C91D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1.2.3卖方按标书及合同技术协议的货物清单对货物进行清点，按标书及技术协议中的技术指标如设备功能、测量参数、控制参数、精度等对设备及其附件进行检验，达到协议要求且双方签字确认后，预验收完成。</w:t>
      </w:r>
    </w:p>
    <w:p w14:paraId="6187DF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1.2.4生产过程中及生产完成后到材料生产地点进行预验收，招投标双方按照合同约定执行了合同并经检验合格，则具备验收条件。</w:t>
      </w:r>
    </w:p>
    <w:p w14:paraId="11F98F1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1.2.5预验收的内容不仅包括设备、工装、模具、检具、加工产品等实物，同时也包括投标应交付的各种技术资料。</w:t>
      </w:r>
    </w:p>
    <w:p w14:paraId="088C959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预验收的标准按双方认定的技术协议及验收标准进行，包括投标方提供的技术和验收文件资料。</w:t>
      </w:r>
    </w:p>
    <w:p w14:paraId="3F52C06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预验收时设备、工装、生产线等必须在投标方已利用招标方提供的零件先行进行过通线调试并整改完成自己发现的问题的情况下进行。</w:t>
      </w:r>
    </w:p>
    <w:p w14:paraId="09370FC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投标方应尽可能采取有效的技术检测措施，将问题尽量暴露在投标方现场，及时解决，并把解决状况及时报告给招标方。</w:t>
      </w:r>
    </w:p>
    <w:p w14:paraId="7149900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1.2.6预验收过程中，由于投标方设计或制造等原因而出现的质量问题，招标方有权提出并请投标方返修，然后再次检查直至合格。</w:t>
      </w:r>
    </w:p>
    <w:p w14:paraId="4772A6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1.2.7预验收合格后，发运前双方需签署预验收记录，但预验收合格的记录不能替代最终验收报告。</w:t>
      </w:r>
    </w:p>
    <w:p w14:paraId="5366753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w:t>
      </w:r>
    </w:p>
    <w:p w14:paraId="5A49C9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2.1终验收一般条件</w:t>
      </w:r>
    </w:p>
    <w:p w14:paraId="74068B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w:t>
      </w:r>
      <w:r>
        <w:rPr>
          <w:rFonts w:hint="eastAsia" w:ascii="宋体" w:hAnsi="宋体" w:eastAsia="宋体" w:cs="宋体"/>
          <w:sz w:val="24"/>
          <w:szCs w:val="24"/>
        </w:rPr>
        <w:t>投标方已经按照“供货范围”要求提供了预验收资料，并且资料齐全、完整和有效。</w:t>
      </w:r>
    </w:p>
    <w:p w14:paraId="41CEE3E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2.1.2生产线按照设计节拍启动商品化生产三个月后。</w:t>
      </w:r>
    </w:p>
    <w:p w14:paraId="21524B8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开动率85%（具体故障原因由投标方负责牵头进行分析）。</w:t>
      </w:r>
    </w:p>
    <w:p w14:paraId="04C8629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焊接参数调试完成，精度合格率90%，焊点合格率99%，关键焊点100%。</w:t>
      </w:r>
    </w:p>
    <w:p w14:paraId="4ADA85D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生产线具备焊接条件、机械和电气部分安装结束。</w:t>
      </w:r>
    </w:p>
    <w:p w14:paraId="63E4A99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验收所需要的资料已经修改后提交给招标方。</w:t>
      </w:r>
    </w:p>
    <w:p w14:paraId="4CECAFA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正常情况下自动焊接5～10辆份白车身。</w:t>
      </w:r>
    </w:p>
    <w:p w14:paraId="2E1944F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验收之前，投标方提供预验收大纲给招标方进行确认。</w:t>
      </w:r>
    </w:p>
    <w:p w14:paraId="1911FB0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验收之后，招标方和投标方针对预验收结果签署预验收报告和问题整改计划表。</w:t>
      </w:r>
    </w:p>
    <w:p w14:paraId="35B97F0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2.1.3货物应完整且所有的零部件应该安装牢固，外观无损伤，所有的焊缝饱满、无残渣等缺陷。</w:t>
      </w:r>
    </w:p>
    <w:p w14:paraId="78EF28B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1.4</w:t>
      </w:r>
      <w:r>
        <w:rPr>
          <w:rFonts w:hint="eastAsia" w:ascii="宋体" w:hAnsi="宋体" w:eastAsia="宋体" w:cs="宋体"/>
          <w:sz w:val="24"/>
          <w:szCs w:val="24"/>
        </w:rPr>
        <w:t>一般情况下，所有的管路和线缆等，接头应完全正确、可靠地联接；应排列有序（正确、牢固、整齐），有必要的防护，无皱褶、收缩和裂缝等不良现象。</w:t>
      </w:r>
    </w:p>
    <w:p w14:paraId="4EDE532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1.5</w:t>
      </w:r>
      <w:r>
        <w:rPr>
          <w:rFonts w:hint="eastAsia" w:ascii="宋体" w:hAnsi="宋体" w:eastAsia="宋体" w:cs="宋体"/>
          <w:sz w:val="24"/>
          <w:szCs w:val="24"/>
        </w:rPr>
        <w:t>货物的润滑系统工作正常、可靠，润滑点易于到达。</w:t>
      </w:r>
    </w:p>
    <w:p w14:paraId="34BBB8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1.6</w:t>
      </w:r>
      <w:r>
        <w:rPr>
          <w:rFonts w:hint="eastAsia" w:ascii="宋体" w:hAnsi="宋体" w:eastAsia="宋体" w:cs="宋体"/>
          <w:sz w:val="24"/>
          <w:szCs w:val="24"/>
        </w:rPr>
        <w:t>使用的压力容器、电气等应具备合格证（如果有压力容器）。</w:t>
      </w:r>
    </w:p>
    <w:p w14:paraId="0BD1FC0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1.7</w:t>
      </w:r>
      <w:r>
        <w:rPr>
          <w:rFonts w:hint="eastAsia" w:ascii="宋体" w:hAnsi="宋体" w:eastAsia="宋体" w:cs="宋体"/>
          <w:sz w:val="24"/>
          <w:szCs w:val="24"/>
        </w:rPr>
        <w:t>货物的油漆质量应饱满、有光泽，无掉漆、无色差、无“桔皮”等不良现象（特殊标志除外）。</w:t>
      </w:r>
    </w:p>
    <w:p w14:paraId="4257F55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1.8</w:t>
      </w:r>
      <w:r>
        <w:rPr>
          <w:rFonts w:hint="eastAsia" w:ascii="宋体" w:hAnsi="宋体" w:eastAsia="宋体" w:cs="宋体"/>
          <w:sz w:val="24"/>
          <w:szCs w:val="24"/>
        </w:rPr>
        <w:t>货物标牌完整、清晰、明确。</w:t>
      </w:r>
    </w:p>
    <w:p w14:paraId="17F5D04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1.9</w:t>
      </w:r>
      <w:r>
        <w:rPr>
          <w:rFonts w:hint="eastAsia" w:ascii="宋体" w:hAnsi="宋体" w:eastAsia="宋体" w:cs="宋体"/>
          <w:sz w:val="24"/>
          <w:szCs w:val="24"/>
        </w:rPr>
        <w:t>地线联接和地极符合国际（</w:t>
      </w:r>
      <w:r>
        <w:rPr>
          <w:rFonts w:ascii="宋体" w:hAnsi="宋体" w:eastAsia="宋体" w:cs="宋体"/>
          <w:sz w:val="24"/>
          <w:szCs w:val="24"/>
        </w:rPr>
        <w:t>ISO/IEC</w:t>
      </w:r>
      <w:r>
        <w:rPr>
          <w:rFonts w:hint="eastAsia" w:ascii="宋体" w:hAnsi="宋体" w:eastAsia="宋体" w:cs="宋体"/>
          <w:sz w:val="24"/>
          <w:szCs w:val="24"/>
        </w:rPr>
        <w:t>）标准规范。</w:t>
      </w:r>
    </w:p>
    <w:p w14:paraId="4AE1F61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1.10</w:t>
      </w:r>
      <w:r>
        <w:rPr>
          <w:rFonts w:hint="eastAsia" w:ascii="宋体" w:hAnsi="宋体" w:eastAsia="宋体" w:cs="宋体"/>
          <w:sz w:val="24"/>
          <w:szCs w:val="24"/>
        </w:rPr>
        <w:t>货物的安全要求符合中国最新的相关法律、法规、标准和规范以及合同要求。</w:t>
      </w:r>
    </w:p>
    <w:p w14:paraId="2542D8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2.1.11中标方提出终验收前1个月，需向招标方提供的技术文件资料：</w:t>
      </w:r>
    </w:p>
    <w:p w14:paraId="036F580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1）所有技术文件资料均为纸质文件3套和电子版文件（含3D和2D）3套（U盘），其中所有电子版文件必须使用国际通用软件以确保能在招标方的计算机中打开并进行编辑和修改。</w:t>
      </w:r>
    </w:p>
    <w:p w14:paraId="1DF8E84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2）所有设备的数量、规格明细及可供制造或采购的图纸、标准；</w:t>
      </w:r>
    </w:p>
    <w:p w14:paraId="3D274A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3）标的物的操作、维护和维修手册，以及液压、电气、润滑（气动）原理图；</w:t>
      </w:r>
    </w:p>
    <w:p w14:paraId="1F94E49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4）提供设施消耗电、气的详细资料；</w:t>
      </w:r>
    </w:p>
    <w:p w14:paraId="333539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5）工装图纸（包括总成图、分总成图、部件图、零件图以及适用的标准等技术文件），投标方专利部分图纸，可提供简图；</w:t>
      </w:r>
    </w:p>
    <w:p w14:paraId="5A7821F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6）滑台的总图、装配安装图、部件图、零件图；</w:t>
      </w:r>
    </w:p>
    <w:p w14:paraId="146505C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7）外购件明细表及相应的供应商联系地址和使用维修说明书；</w:t>
      </w:r>
    </w:p>
    <w:p w14:paraId="7CF2869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8）易损件和备件明细表，当投标方认为必要时在提供货物的同时应提供必要数量的易损件和备件；</w:t>
      </w:r>
    </w:p>
    <w:p w14:paraId="5BC9203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9）电动葫芦的使用说明书，维修手册；</w:t>
      </w:r>
    </w:p>
    <w:p w14:paraId="5FBD99F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10）控制软件。</w:t>
      </w:r>
    </w:p>
    <w:p w14:paraId="5F8F4E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2.2终验收标准</w:t>
      </w:r>
    </w:p>
    <w:p w14:paraId="260E5D1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2.2.1投标方派专家到招标方现场进行安装调试和技术指导。所有设备由投标方负责安装、调试完成后，双方在生产地点进行最终验收。</w:t>
      </w:r>
    </w:p>
    <w:p w14:paraId="34856B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2.2.2安装调试完成后，连续</w:t>
      </w:r>
      <w:r>
        <w:rPr>
          <w:rFonts w:hint="eastAsia" w:ascii="宋体" w:hAnsi="宋体" w:eastAsia="宋体" w:cs="宋体"/>
          <w:sz w:val="24"/>
          <w:szCs w:val="24"/>
          <w:u w:val="single"/>
        </w:rPr>
        <w:t>3</w:t>
      </w:r>
      <w:r>
        <w:rPr>
          <w:rFonts w:hint="eastAsia" w:ascii="宋体" w:hAnsi="宋体" w:eastAsia="宋体" w:cs="宋体"/>
          <w:sz w:val="24"/>
          <w:szCs w:val="24"/>
        </w:rPr>
        <w:t>个月的生产周期内焊装及涂装所有车型均能够正常生产，设备使用稳定，视为验收通过。</w:t>
      </w:r>
    </w:p>
    <w:p w14:paraId="5C8DE87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2.2.3最终验收期间若发现合同供货内容有质量问题或发现破损、缺陷和缺少零件，投标方应根据招标方要求免费更换零部件并解决问题，并且记录在终验收的报告中。</w:t>
      </w:r>
    </w:p>
    <w:p w14:paraId="415FA7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2.2.4按合同要求验收，若投标方提供的标的内容、技术资料与合同中规定的内容有不符或缺少时，招标方有权要求更换及补偿。</w:t>
      </w:r>
    </w:p>
    <w:p w14:paraId="5EB248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2.2.5投标方一旦中标，需向招标方提供的技术文件资料。</w:t>
      </w:r>
    </w:p>
    <w:p w14:paraId="6090567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2.2.6装配图、易损件2D零件图（若易损件需要加工型面，需增加提供3D图）、零件明细（内部标注易损件）。</w:t>
      </w:r>
    </w:p>
    <w:p w14:paraId="3057E3C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2.2.7所有技术文件资料均为电子版文件（含3D和2D）3套（U盘）3套，纸质版文件3份，其中所有电子版文件必须使用国际通用软件以确保能在招标方的计算机中打开并进行编辑和修改。</w:t>
      </w:r>
    </w:p>
    <w:p w14:paraId="7434867C">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8所配备的传感器等计量仪器、仪表配套合理，采用中国的法定计量单位，计量准确、灵敏可靠，能够实现预期的技术要求。</w:t>
      </w:r>
    </w:p>
    <w:p w14:paraId="5A953AF0">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9控制系统运行稳定可靠，能够实现前述远程控制、状态监测、故障报警等功能。</w:t>
      </w:r>
    </w:p>
    <w:p w14:paraId="0170E0C0">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10试运行期间或之后无维修、调整等行为（特殊情况除外）。</w:t>
      </w:r>
    </w:p>
    <w:p w14:paraId="0483630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11验收原则上要求一次完成。若一次验收不成功，最多允许两次；如果出现第三次验收失败，重新作价或退货。</w:t>
      </w:r>
    </w:p>
    <w:p w14:paraId="3C846A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12验收通过后买卖双方共同签署验收报告，并移交、核对全部供货范围内物品。</w:t>
      </w:r>
    </w:p>
    <w:p w14:paraId="00ED761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2.3终验收内容</w:t>
      </w:r>
    </w:p>
    <w:p w14:paraId="1C8F6F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终验收问题清单整改完毕。</w:t>
      </w:r>
    </w:p>
    <w:p w14:paraId="6EF8788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以周为单位（五个工作日每天八小时）对生产线的开动率进行验证，需连续生产十个工作日满足开动率指标。</w:t>
      </w:r>
    </w:p>
    <w:p w14:paraId="2906599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全尺寸符合率验收标准：连续十台平均符合率大于80%，最低值大于78%。</w:t>
      </w:r>
    </w:p>
    <w:p w14:paraId="330F91A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功能尺寸符合率验收标准：连续十台平均符合率大于90%，最低值大于88%。</w:t>
      </w:r>
    </w:p>
    <w:p w14:paraId="60DF93E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在开动率验证期间，由投标方安排不少于5人（2名钳工，1名机器人工程师，1名电气工程师，1名机械工程师）负责现场陪产维护。</w:t>
      </w:r>
    </w:p>
    <w:p w14:paraId="48B90F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终验收期间招标方抽检连续3台车，整体焊点合格率大于99%，关键焊点合格率100%。</w:t>
      </w:r>
    </w:p>
    <w:p w14:paraId="3713764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本技术任务书所定资料内容进行相关整理更新提交招标方。</w:t>
      </w:r>
    </w:p>
    <w:p w14:paraId="7A278B3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双方认定的验收标准全部完成。</w:t>
      </w:r>
    </w:p>
    <w:p w14:paraId="373DE972">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3.技术培训</w:t>
      </w:r>
    </w:p>
    <w:p w14:paraId="2E833801">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在预验收和终验收期间，投标方应派有经验的专家对招标方相关人员进行理论和实际操作的培训，并提供成套培训资料，所有培训应是免费的。</w:t>
      </w:r>
    </w:p>
    <w:p w14:paraId="6D9394A0">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3.1培训内容</w:t>
      </w:r>
    </w:p>
    <w:p w14:paraId="3131DAF8">
      <w:pPr>
        <w:topLinePunct/>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工装夹具、设备结构、工作原理</w:t>
      </w:r>
    </w:p>
    <w:p w14:paraId="4782A2B7">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操作使用方法和要求、安全事项要求</w:t>
      </w:r>
    </w:p>
    <w:p w14:paraId="356E2930">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维护保养方法和要求</w:t>
      </w:r>
    </w:p>
    <w:p w14:paraId="245D27D3">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软件编程方法和要求</w:t>
      </w:r>
    </w:p>
    <w:p w14:paraId="48E2D73E">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设备故障的判断和处理程序</w:t>
      </w:r>
    </w:p>
    <w:p w14:paraId="6682689B">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招标方不时要求的与设备操作相关的其他培训内容</w:t>
      </w:r>
    </w:p>
    <w:p w14:paraId="12F73B3F">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3.2培训方法</w:t>
      </w:r>
    </w:p>
    <w:p w14:paraId="36F47B7F">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投标方在设备安装阶段，在招标方设备安装现场，对招标方有关人员进行第一阶段培训，培训时间不少于10工作日。</w:t>
      </w:r>
    </w:p>
    <w:p w14:paraId="67718705">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在终验收前招标方安排维修人员参与设备或生产线的调试及运行，以达到培训维修人员的目的，培训时间不少于5个工作日。</w:t>
      </w:r>
    </w:p>
    <w:p w14:paraId="43BC8438">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对于部分投标方采购的标准设备，必须由相应设备供应商技术人员进行培训。</w:t>
      </w:r>
    </w:p>
    <w:p w14:paraId="7FC13AB9">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3.3培训效果</w:t>
      </w:r>
    </w:p>
    <w:p w14:paraId="76E66688">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招标方尽量保证人员的稳定性和基本专业素质，所有的培训内容必须能保证受训人员能掌握，招标方根据参加培训的人员掌握情况，可以要求投标方给予重新培训。培训的费用都由投标方负责。</w:t>
      </w:r>
    </w:p>
    <w:p w14:paraId="0F636DE7">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3.4培训教材</w:t>
      </w:r>
    </w:p>
    <w:p w14:paraId="1E27B16C">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投标方培训教材（中文版）在上课前15日提供（教材为3份纸版，1份电子档；其中纸版资料提供形式以A4/A3幅面装订成册，电子档提供U盘形式）。</w:t>
      </w:r>
    </w:p>
    <w:p w14:paraId="65502594">
      <w:pPr>
        <w:topLinePunct/>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4.陪产服务</w:t>
      </w:r>
    </w:p>
    <w:p w14:paraId="0A288BBE">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投标方应满足招标方以下的生产陪伴要求：</w:t>
      </w:r>
    </w:p>
    <w:p w14:paraId="4884A4FF">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工作内容包括（但不限于）：</w:t>
      </w:r>
    </w:p>
    <w:p w14:paraId="2A10207D">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设备的维护、故障排除、备件更换等</w:t>
      </w:r>
    </w:p>
    <w:p w14:paraId="53108776">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帮助招标方建立维修保养计划</w:t>
      </w:r>
    </w:p>
    <w:p w14:paraId="5E728354">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帮助招标方作第二阶段的备件采购</w:t>
      </w:r>
    </w:p>
    <w:p w14:paraId="4CA3C05D">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其它招标方安排的工作（包括工艺设备、参数的优化等）</w:t>
      </w:r>
    </w:p>
    <w:p w14:paraId="66373FA5">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生产陪伴期限：终验收后6个月（可分阶段实施）不少于3人（1名钳工，1名机器人工程师，1名电气工程师）负责现场陪产维护。</w:t>
      </w:r>
    </w:p>
    <w:p w14:paraId="468BE0CE">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人员报价：根据以上工作内容，供应商报出每班需要的维修工程师/维修操作工的人数及人员单班费用。</w:t>
      </w:r>
    </w:p>
    <w:p w14:paraId="3392FD11">
      <w:pPr>
        <w:rPr>
          <w:rFonts w:hint="eastAsia" w:ascii="黑体" w:hAnsi="等线" w:eastAsia="黑体" w:cs="Times New Roman"/>
          <w:sz w:val="24"/>
          <w:szCs w:val="24"/>
        </w:rPr>
      </w:pPr>
      <w:bookmarkStart w:id="134" w:name="_Toc9658384"/>
      <w:r>
        <w:rPr>
          <w:rFonts w:ascii="黑体" w:hAnsi="等线" w:eastAsia="黑体" w:cs="Times New Roman"/>
          <w:sz w:val="24"/>
          <w:szCs w:val="24"/>
        </w:rPr>
        <w:br w:type="page"/>
      </w:r>
    </w:p>
    <w:p w14:paraId="571A21FE">
      <w:pPr>
        <w:keepNext/>
        <w:keepLines/>
        <w:spacing w:before="120" w:after="120" w:line="360" w:lineRule="auto"/>
        <w:jc w:val="center"/>
        <w:outlineLvl w:val="0"/>
        <w:rPr>
          <w:rFonts w:hint="eastAsia" w:ascii="宋体" w:hAnsi="宋体" w:eastAsia="等线" w:cs="宋体"/>
          <w:kern w:val="44"/>
          <w:sz w:val="28"/>
          <w:szCs w:val="28"/>
        </w:rPr>
      </w:pPr>
      <w:bookmarkStart w:id="135" w:name="_Toc10390"/>
      <w:r>
        <w:rPr>
          <w:rFonts w:hint="eastAsia" w:ascii="宋体" w:hAnsi="宋体" w:eastAsia="等线" w:cs="宋体"/>
          <w:kern w:val="44"/>
          <w:sz w:val="28"/>
          <w:szCs w:val="28"/>
        </w:rPr>
        <w:t>第六章</w:t>
      </w:r>
      <w:r>
        <w:rPr>
          <w:rFonts w:ascii="宋体" w:hAnsi="宋体" w:eastAsia="等线" w:cs="宋体"/>
          <w:kern w:val="44"/>
          <w:sz w:val="28"/>
          <w:szCs w:val="28"/>
        </w:rPr>
        <w:t xml:space="preserve">  </w:t>
      </w:r>
      <w:r>
        <w:rPr>
          <w:rFonts w:hint="eastAsia" w:ascii="宋体" w:hAnsi="宋体" w:eastAsia="等线" w:cs="宋体"/>
          <w:kern w:val="44"/>
          <w:sz w:val="28"/>
          <w:szCs w:val="28"/>
        </w:rPr>
        <w:t>投标技术文件一般要求</w:t>
      </w:r>
      <w:bookmarkEnd w:id="134"/>
      <w:bookmarkEnd w:id="135"/>
    </w:p>
    <w:p w14:paraId="0ABCC10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一、技术文件一般内容要求</w:t>
      </w:r>
    </w:p>
    <w:p w14:paraId="507B578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、投标方应认真阅读招标文件和本技术标书，并按要求编写投标技术文件。</w:t>
      </w:r>
    </w:p>
    <w:p w14:paraId="7931099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、投标技术文件至少应对投标货物的功能用途、技术性能、质量标准、技术参数等作出详细说明。</w:t>
      </w:r>
    </w:p>
    <w:p w14:paraId="3ED83E1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、投标技术文件至少应根据投标货物的关键设备、总成、零部件或系统作出满足或优于招标文件要求的详细说明。</w:t>
      </w:r>
    </w:p>
    <w:p w14:paraId="1997862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、投标技术文件至少应按照招标文件要求（或投标方建议）列明备品备件、易损件和专用耗材明细。</w:t>
      </w:r>
    </w:p>
    <w:p w14:paraId="490717F3">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、投标方应当而且必须分别说明所列备品备件、易损件和专用耗材的使用寿命（以有效工作小时数说明）。</w:t>
      </w:r>
    </w:p>
    <w:p w14:paraId="1E694A2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、投标的货物，应当根据其配置和备品备件、易损件、专用耗材情况，尽可能详细且分类填入下表：</w:t>
      </w:r>
    </w:p>
    <w:p w14:paraId="5244CF8F">
      <w:pPr>
        <w:adjustRightInd w:val="0"/>
        <w:snapToGrid w:val="0"/>
        <w:spacing w:line="360" w:lineRule="auto"/>
        <w:ind w:firstLine="480" w:firstLineChars="200"/>
        <w:rPr>
          <w:rFonts w:hint="eastAsia" w:ascii="宋体" w:hAnsi="宋体" w:eastAsia="宋体" w:cs="宋体"/>
          <w:sz w:val="24"/>
          <w:szCs w:val="24"/>
          <w:highlight w:val="green"/>
        </w:rPr>
      </w:pPr>
      <w:r>
        <w:rPr>
          <w:rFonts w:ascii="宋体" w:hAnsi="宋体" w:eastAsia="宋体" w:cs="宋体"/>
          <w:sz w:val="24"/>
          <w:szCs w:val="24"/>
        </w:rPr>
        <w:t>6.1</w:t>
      </w:r>
      <w:r>
        <w:rPr>
          <w:rFonts w:hint="eastAsia" w:ascii="宋体" w:hAnsi="宋体" w:eastAsia="宋体" w:cs="宋体"/>
          <w:sz w:val="24"/>
          <w:szCs w:val="24"/>
        </w:rPr>
        <w:t>投标货物配置一览表：</w:t>
      </w:r>
    </w:p>
    <w:p w14:paraId="6F645922">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投标货物配置一览表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393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3563389">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14:paraId="70059440">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14:paraId="7A2F2C7F">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14:paraId="488AD0EF">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14:paraId="561ECF9A">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14:paraId="0B3E239F">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14:paraId="28AAF75C">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14:paraId="36BEE687">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2430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BA5EA4">
            <w:pPr>
              <w:adjustRightInd w:val="0"/>
              <w:snapToGrid w:val="0"/>
              <w:spacing w:line="360" w:lineRule="auto"/>
              <w:jc w:val="center"/>
              <w:rPr>
                <w:rFonts w:hint="eastAsia" w:ascii="宋体" w:hAnsi="宋体" w:eastAsia="宋体" w:cs="宋体"/>
                <w:sz w:val="24"/>
                <w:szCs w:val="24"/>
              </w:rPr>
            </w:pPr>
          </w:p>
        </w:tc>
        <w:tc>
          <w:tcPr>
            <w:tcW w:w="1924" w:type="dxa"/>
          </w:tcPr>
          <w:p w14:paraId="5816866D">
            <w:pPr>
              <w:adjustRightInd w:val="0"/>
              <w:snapToGrid w:val="0"/>
              <w:spacing w:line="360" w:lineRule="auto"/>
              <w:rPr>
                <w:rFonts w:hint="eastAsia" w:ascii="宋体" w:hAnsi="宋体" w:eastAsia="宋体" w:cs="宋体"/>
                <w:sz w:val="24"/>
                <w:szCs w:val="24"/>
              </w:rPr>
            </w:pPr>
          </w:p>
        </w:tc>
        <w:tc>
          <w:tcPr>
            <w:tcW w:w="1236" w:type="dxa"/>
          </w:tcPr>
          <w:p w14:paraId="2B1C4FB3">
            <w:pPr>
              <w:adjustRightInd w:val="0"/>
              <w:snapToGrid w:val="0"/>
              <w:spacing w:line="360" w:lineRule="auto"/>
              <w:rPr>
                <w:rFonts w:hint="eastAsia" w:ascii="宋体" w:hAnsi="宋体" w:eastAsia="宋体" w:cs="宋体"/>
                <w:sz w:val="24"/>
                <w:szCs w:val="24"/>
              </w:rPr>
            </w:pPr>
          </w:p>
        </w:tc>
        <w:tc>
          <w:tcPr>
            <w:tcW w:w="720" w:type="dxa"/>
          </w:tcPr>
          <w:p w14:paraId="698B883F">
            <w:pPr>
              <w:adjustRightInd w:val="0"/>
              <w:snapToGrid w:val="0"/>
              <w:spacing w:line="360" w:lineRule="auto"/>
              <w:jc w:val="center"/>
              <w:rPr>
                <w:rFonts w:hint="eastAsia" w:ascii="宋体" w:hAnsi="宋体" w:eastAsia="宋体" w:cs="宋体"/>
                <w:sz w:val="24"/>
                <w:szCs w:val="24"/>
              </w:rPr>
            </w:pPr>
          </w:p>
        </w:tc>
        <w:tc>
          <w:tcPr>
            <w:tcW w:w="720" w:type="dxa"/>
          </w:tcPr>
          <w:p w14:paraId="40DDD21C">
            <w:pPr>
              <w:adjustRightInd w:val="0"/>
              <w:snapToGrid w:val="0"/>
              <w:spacing w:line="360" w:lineRule="auto"/>
              <w:jc w:val="center"/>
              <w:rPr>
                <w:rFonts w:hint="eastAsia" w:ascii="宋体" w:hAnsi="宋体" w:eastAsia="宋体" w:cs="宋体"/>
                <w:sz w:val="24"/>
                <w:szCs w:val="24"/>
              </w:rPr>
            </w:pPr>
          </w:p>
        </w:tc>
        <w:tc>
          <w:tcPr>
            <w:tcW w:w="720" w:type="dxa"/>
          </w:tcPr>
          <w:p w14:paraId="17385693">
            <w:pPr>
              <w:adjustRightInd w:val="0"/>
              <w:snapToGrid w:val="0"/>
              <w:spacing w:line="360" w:lineRule="auto"/>
              <w:jc w:val="center"/>
              <w:rPr>
                <w:rFonts w:hint="eastAsia" w:ascii="宋体" w:hAnsi="宋体" w:eastAsia="宋体" w:cs="宋体"/>
                <w:sz w:val="24"/>
                <w:szCs w:val="24"/>
              </w:rPr>
            </w:pPr>
          </w:p>
        </w:tc>
        <w:tc>
          <w:tcPr>
            <w:tcW w:w="720" w:type="dxa"/>
          </w:tcPr>
          <w:p w14:paraId="39250ED2">
            <w:pPr>
              <w:adjustRightInd w:val="0"/>
              <w:snapToGrid w:val="0"/>
              <w:spacing w:line="360" w:lineRule="auto"/>
              <w:jc w:val="center"/>
              <w:rPr>
                <w:rFonts w:hint="eastAsia" w:ascii="宋体" w:hAnsi="宋体" w:eastAsia="宋体" w:cs="宋体"/>
                <w:sz w:val="24"/>
                <w:szCs w:val="24"/>
              </w:rPr>
            </w:pPr>
          </w:p>
        </w:tc>
        <w:tc>
          <w:tcPr>
            <w:tcW w:w="2235" w:type="dxa"/>
          </w:tcPr>
          <w:p w14:paraId="5582B26F">
            <w:pPr>
              <w:adjustRightInd w:val="0"/>
              <w:snapToGrid w:val="0"/>
              <w:spacing w:line="360" w:lineRule="auto"/>
              <w:rPr>
                <w:rFonts w:hint="eastAsia" w:ascii="宋体" w:hAnsi="宋体" w:eastAsia="宋体" w:cs="宋体"/>
                <w:sz w:val="24"/>
                <w:szCs w:val="24"/>
              </w:rPr>
            </w:pPr>
          </w:p>
        </w:tc>
      </w:tr>
      <w:tr w14:paraId="7123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62209C">
            <w:pPr>
              <w:adjustRightInd w:val="0"/>
              <w:snapToGrid w:val="0"/>
              <w:spacing w:line="360" w:lineRule="auto"/>
              <w:jc w:val="center"/>
              <w:rPr>
                <w:rFonts w:hint="eastAsia" w:ascii="宋体" w:hAnsi="宋体" w:eastAsia="宋体" w:cs="宋体"/>
                <w:sz w:val="24"/>
                <w:szCs w:val="24"/>
              </w:rPr>
            </w:pPr>
          </w:p>
        </w:tc>
        <w:tc>
          <w:tcPr>
            <w:tcW w:w="1924" w:type="dxa"/>
          </w:tcPr>
          <w:p w14:paraId="74936963">
            <w:pPr>
              <w:adjustRightInd w:val="0"/>
              <w:snapToGrid w:val="0"/>
              <w:spacing w:line="360" w:lineRule="auto"/>
              <w:rPr>
                <w:rFonts w:hint="eastAsia" w:ascii="宋体" w:hAnsi="宋体" w:eastAsia="宋体" w:cs="宋体"/>
                <w:sz w:val="24"/>
                <w:szCs w:val="24"/>
              </w:rPr>
            </w:pPr>
          </w:p>
        </w:tc>
        <w:tc>
          <w:tcPr>
            <w:tcW w:w="1236" w:type="dxa"/>
          </w:tcPr>
          <w:p w14:paraId="12A4AE9E">
            <w:pPr>
              <w:adjustRightInd w:val="0"/>
              <w:snapToGrid w:val="0"/>
              <w:spacing w:line="360" w:lineRule="auto"/>
              <w:rPr>
                <w:rFonts w:hint="eastAsia" w:ascii="宋体" w:hAnsi="宋体" w:eastAsia="宋体" w:cs="宋体"/>
                <w:sz w:val="24"/>
                <w:szCs w:val="24"/>
              </w:rPr>
            </w:pPr>
          </w:p>
        </w:tc>
        <w:tc>
          <w:tcPr>
            <w:tcW w:w="720" w:type="dxa"/>
          </w:tcPr>
          <w:p w14:paraId="0B5B1498">
            <w:pPr>
              <w:adjustRightInd w:val="0"/>
              <w:snapToGrid w:val="0"/>
              <w:spacing w:line="360" w:lineRule="auto"/>
              <w:jc w:val="center"/>
              <w:rPr>
                <w:rFonts w:hint="eastAsia" w:ascii="宋体" w:hAnsi="宋体" w:eastAsia="宋体" w:cs="宋体"/>
                <w:sz w:val="24"/>
                <w:szCs w:val="24"/>
              </w:rPr>
            </w:pPr>
          </w:p>
        </w:tc>
        <w:tc>
          <w:tcPr>
            <w:tcW w:w="720" w:type="dxa"/>
          </w:tcPr>
          <w:p w14:paraId="3049DA4D">
            <w:pPr>
              <w:adjustRightInd w:val="0"/>
              <w:snapToGrid w:val="0"/>
              <w:spacing w:line="360" w:lineRule="auto"/>
              <w:jc w:val="center"/>
              <w:rPr>
                <w:rFonts w:hint="eastAsia" w:ascii="宋体" w:hAnsi="宋体" w:eastAsia="宋体" w:cs="宋体"/>
                <w:sz w:val="24"/>
                <w:szCs w:val="24"/>
              </w:rPr>
            </w:pPr>
          </w:p>
        </w:tc>
        <w:tc>
          <w:tcPr>
            <w:tcW w:w="720" w:type="dxa"/>
          </w:tcPr>
          <w:p w14:paraId="5C1029C3">
            <w:pPr>
              <w:adjustRightInd w:val="0"/>
              <w:snapToGrid w:val="0"/>
              <w:spacing w:line="360" w:lineRule="auto"/>
              <w:jc w:val="center"/>
              <w:rPr>
                <w:rFonts w:hint="eastAsia" w:ascii="宋体" w:hAnsi="宋体" w:eastAsia="宋体" w:cs="宋体"/>
                <w:sz w:val="24"/>
                <w:szCs w:val="24"/>
              </w:rPr>
            </w:pPr>
          </w:p>
        </w:tc>
        <w:tc>
          <w:tcPr>
            <w:tcW w:w="720" w:type="dxa"/>
          </w:tcPr>
          <w:p w14:paraId="3F5F3342">
            <w:pPr>
              <w:adjustRightInd w:val="0"/>
              <w:snapToGrid w:val="0"/>
              <w:spacing w:line="360" w:lineRule="auto"/>
              <w:jc w:val="center"/>
              <w:rPr>
                <w:rFonts w:hint="eastAsia" w:ascii="宋体" w:hAnsi="宋体" w:eastAsia="宋体" w:cs="宋体"/>
                <w:sz w:val="24"/>
                <w:szCs w:val="24"/>
              </w:rPr>
            </w:pPr>
          </w:p>
        </w:tc>
        <w:tc>
          <w:tcPr>
            <w:tcW w:w="2235" w:type="dxa"/>
          </w:tcPr>
          <w:p w14:paraId="73C28F04">
            <w:pPr>
              <w:adjustRightInd w:val="0"/>
              <w:snapToGrid w:val="0"/>
              <w:spacing w:line="360" w:lineRule="auto"/>
              <w:rPr>
                <w:rFonts w:hint="eastAsia" w:ascii="宋体" w:hAnsi="宋体" w:eastAsia="宋体" w:cs="宋体"/>
                <w:sz w:val="24"/>
                <w:szCs w:val="24"/>
              </w:rPr>
            </w:pPr>
          </w:p>
        </w:tc>
      </w:tr>
      <w:tr w14:paraId="38B5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22BE565">
            <w:pPr>
              <w:adjustRightInd w:val="0"/>
              <w:snapToGrid w:val="0"/>
              <w:spacing w:line="360" w:lineRule="auto"/>
              <w:jc w:val="center"/>
              <w:rPr>
                <w:rFonts w:hint="eastAsia" w:ascii="宋体" w:hAnsi="宋体" w:eastAsia="宋体" w:cs="宋体"/>
                <w:sz w:val="24"/>
                <w:szCs w:val="24"/>
              </w:rPr>
            </w:pPr>
          </w:p>
        </w:tc>
        <w:tc>
          <w:tcPr>
            <w:tcW w:w="1924" w:type="dxa"/>
          </w:tcPr>
          <w:p w14:paraId="6F5B1879">
            <w:pPr>
              <w:adjustRightInd w:val="0"/>
              <w:snapToGrid w:val="0"/>
              <w:spacing w:line="360" w:lineRule="auto"/>
              <w:rPr>
                <w:rFonts w:hint="eastAsia" w:ascii="宋体" w:hAnsi="宋体" w:eastAsia="宋体" w:cs="宋体"/>
                <w:sz w:val="24"/>
                <w:szCs w:val="24"/>
              </w:rPr>
            </w:pPr>
          </w:p>
        </w:tc>
        <w:tc>
          <w:tcPr>
            <w:tcW w:w="1236" w:type="dxa"/>
          </w:tcPr>
          <w:p w14:paraId="1C5F0A10">
            <w:pPr>
              <w:adjustRightInd w:val="0"/>
              <w:snapToGrid w:val="0"/>
              <w:spacing w:line="360" w:lineRule="auto"/>
              <w:rPr>
                <w:rFonts w:hint="eastAsia" w:ascii="宋体" w:hAnsi="宋体" w:eastAsia="宋体" w:cs="宋体"/>
                <w:sz w:val="24"/>
                <w:szCs w:val="24"/>
              </w:rPr>
            </w:pPr>
          </w:p>
        </w:tc>
        <w:tc>
          <w:tcPr>
            <w:tcW w:w="720" w:type="dxa"/>
          </w:tcPr>
          <w:p w14:paraId="2318C6F0">
            <w:pPr>
              <w:adjustRightInd w:val="0"/>
              <w:snapToGrid w:val="0"/>
              <w:spacing w:line="360" w:lineRule="auto"/>
              <w:jc w:val="center"/>
              <w:rPr>
                <w:rFonts w:hint="eastAsia" w:ascii="宋体" w:hAnsi="宋体" w:eastAsia="宋体" w:cs="宋体"/>
                <w:sz w:val="24"/>
                <w:szCs w:val="24"/>
              </w:rPr>
            </w:pPr>
          </w:p>
        </w:tc>
        <w:tc>
          <w:tcPr>
            <w:tcW w:w="720" w:type="dxa"/>
          </w:tcPr>
          <w:p w14:paraId="57F88C95">
            <w:pPr>
              <w:adjustRightInd w:val="0"/>
              <w:snapToGrid w:val="0"/>
              <w:spacing w:line="360" w:lineRule="auto"/>
              <w:jc w:val="center"/>
              <w:rPr>
                <w:rFonts w:hint="eastAsia" w:ascii="宋体" w:hAnsi="宋体" w:eastAsia="宋体" w:cs="宋体"/>
                <w:sz w:val="24"/>
                <w:szCs w:val="24"/>
              </w:rPr>
            </w:pPr>
          </w:p>
        </w:tc>
        <w:tc>
          <w:tcPr>
            <w:tcW w:w="720" w:type="dxa"/>
          </w:tcPr>
          <w:p w14:paraId="4D52E9CF">
            <w:pPr>
              <w:adjustRightInd w:val="0"/>
              <w:snapToGrid w:val="0"/>
              <w:spacing w:line="360" w:lineRule="auto"/>
              <w:jc w:val="center"/>
              <w:rPr>
                <w:rFonts w:hint="eastAsia" w:ascii="宋体" w:hAnsi="宋体" w:eastAsia="宋体" w:cs="宋体"/>
                <w:sz w:val="24"/>
                <w:szCs w:val="24"/>
              </w:rPr>
            </w:pPr>
          </w:p>
        </w:tc>
        <w:tc>
          <w:tcPr>
            <w:tcW w:w="720" w:type="dxa"/>
          </w:tcPr>
          <w:p w14:paraId="393FFB13">
            <w:pPr>
              <w:adjustRightInd w:val="0"/>
              <w:snapToGrid w:val="0"/>
              <w:spacing w:line="360" w:lineRule="auto"/>
              <w:jc w:val="center"/>
              <w:rPr>
                <w:rFonts w:hint="eastAsia" w:ascii="宋体" w:hAnsi="宋体" w:eastAsia="宋体" w:cs="宋体"/>
                <w:sz w:val="24"/>
                <w:szCs w:val="24"/>
              </w:rPr>
            </w:pPr>
          </w:p>
        </w:tc>
        <w:tc>
          <w:tcPr>
            <w:tcW w:w="2235" w:type="dxa"/>
          </w:tcPr>
          <w:p w14:paraId="4983B8D0">
            <w:pPr>
              <w:adjustRightInd w:val="0"/>
              <w:snapToGrid w:val="0"/>
              <w:spacing w:line="360" w:lineRule="auto"/>
              <w:rPr>
                <w:rFonts w:hint="eastAsia" w:ascii="宋体" w:hAnsi="宋体" w:eastAsia="宋体" w:cs="宋体"/>
                <w:sz w:val="24"/>
                <w:szCs w:val="24"/>
              </w:rPr>
            </w:pPr>
          </w:p>
        </w:tc>
      </w:tr>
      <w:tr w14:paraId="5250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F12AFC">
            <w:pPr>
              <w:adjustRightInd w:val="0"/>
              <w:snapToGrid w:val="0"/>
              <w:spacing w:line="360" w:lineRule="auto"/>
              <w:jc w:val="center"/>
              <w:rPr>
                <w:rFonts w:hint="eastAsia" w:ascii="宋体" w:hAnsi="宋体" w:eastAsia="宋体" w:cs="宋体"/>
                <w:sz w:val="24"/>
                <w:szCs w:val="24"/>
              </w:rPr>
            </w:pPr>
          </w:p>
        </w:tc>
        <w:tc>
          <w:tcPr>
            <w:tcW w:w="1924" w:type="dxa"/>
          </w:tcPr>
          <w:p w14:paraId="38690ADA">
            <w:pPr>
              <w:adjustRightInd w:val="0"/>
              <w:snapToGrid w:val="0"/>
              <w:spacing w:line="360" w:lineRule="auto"/>
              <w:rPr>
                <w:rFonts w:hint="eastAsia" w:ascii="宋体" w:hAnsi="宋体" w:eastAsia="宋体" w:cs="宋体"/>
                <w:sz w:val="24"/>
                <w:szCs w:val="24"/>
              </w:rPr>
            </w:pPr>
          </w:p>
        </w:tc>
        <w:tc>
          <w:tcPr>
            <w:tcW w:w="1236" w:type="dxa"/>
          </w:tcPr>
          <w:p w14:paraId="3A628EE5">
            <w:pPr>
              <w:adjustRightInd w:val="0"/>
              <w:snapToGrid w:val="0"/>
              <w:spacing w:line="360" w:lineRule="auto"/>
              <w:rPr>
                <w:rFonts w:hint="eastAsia" w:ascii="宋体" w:hAnsi="宋体" w:eastAsia="宋体" w:cs="宋体"/>
                <w:sz w:val="24"/>
                <w:szCs w:val="24"/>
              </w:rPr>
            </w:pPr>
          </w:p>
        </w:tc>
        <w:tc>
          <w:tcPr>
            <w:tcW w:w="720" w:type="dxa"/>
          </w:tcPr>
          <w:p w14:paraId="4392F8C7">
            <w:pPr>
              <w:adjustRightInd w:val="0"/>
              <w:snapToGrid w:val="0"/>
              <w:spacing w:line="360" w:lineRule="auto"/>
              <w:jc w:val="center"/>
              <w:rPr>
                <w:rFonts w:hint="eastAsia" w:ascii="宋体" w:hAnsi="宋体" w:eastAsia="宋体" w:cs="宋体"/>
                <w:sz w:val="24"/>
                <w:szCs w:val="24"/>
              </w:rPr>
            </w:pPr>
          </w:p>
        </w:tc>
        <w:tc>
          <w:tcPr>
            <w:tcW w:w="720" w:type="dxa"/>
          </w:tcPr>
          <w:p w14:paraId="31CA457D">
            <w:pPr>
              <w:adjustRightInd w:val="0"/>
              <w:snapToGrid w:val="0"/>
              <w:spacing w:line="360" w:lineRule="auto"/>
              <w:jc w:val="center"/>
              <w:rPr>
                <w:rFonts w:hint="eastAsia" w:ascii="宋体" w:hAnsi="宋体" w:eastAsia="宋体" w:cs="宋体"/>
                <w:sz w:val="24"/>
                <w:szCs w:val="24"/>
              </w:rPr>
            </w:pPr>
          </w:p>
        </w:tc>
        <w:tc>
          <w:tcPr>
            <w:tcW w:w="720" w:type="dxa"/>
          </w:tcPr>
          <w:p w14:paraId="50A17F89">
            <w:pPr>
              <w:adjustRightInd w:val="0"/>
              <w:snapToGrid w:val="0"/>
              <w:spacing w:line="360" w:lineRule="auto"/>
              <w:jc w:val="center"/>
              <w:rPr>
                <w:rFonts w:hint="eastAsia" w:ascii="宋体" w:hAnsi="宋体" w:eastAsia="宋体" w:cs="宋体"/>
                <w:sz w:val="24"/>
                <w:szCs w:val="24"/>
              </w:rPr>
            </w:pPr>
          </w:p>
        </w:tc>
        <w:tc>
          <w:tcPr>
            <w:tcW w:w="720" w:type="dxa"/>
          </w:tcPr>
          <w:p w14:paraId="084D4BBF">
            <w:pPr>
              <w:adjustRightInd w:val="0"/>
              <w:snapToGrid w:val="0"/>
              <w:spacing w:line="360" w:lineRule="auto"/>
              <w:jc w:val="center"/>
              <w:rPr>
                <w:rFonts w:hint="eastAsia" w:ascii="宋体" w:hAnsi="宋体" w:eastAsia="宋体" w:cs="宋体"/>
                <w:sz w:val="24"/>
                <w:szCs w:val="24"/>
              </w:rPr>
            </w:pPr>
          </w:p>
        </w:tc>
        <w:tc>
          <w:tcPr>
            <w:tcW w:w="2235" w:type="dxa"/>
          </w:tcPr>
          <w:p w14:paraId="5E8E8B5B">
            <w:pPr>
              <w:adjustRightInd w:val="0"/>
              <w:snapToGrid w:val="0"/>
              <w:spacing w:line="360" w:lineRule="auto"/>
              <w:rPr>
                <w:rFonts w:hint="eastAsia" w:ascii="宋体" w:hAnsi="宋体" w:eastAsia="宋体" w:cs="宋体"/>
                <w:sz w:val="24"/>
                <w:szCs w:val="24"/>
              </w:rPr>
            </w:pPr>
          </w:p>
        </w:tc>
      </w:tr>
    </w:tbl>
    <w:p w14:paraId="40511A4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6.2  </w:t>
      </w:r>
      <w:r>
        <w:rPr>
          <w:rFonts w:hint="eastAsia" w:ascii="宋体" w:hAnsi="宋体" w:eastAsia="宋体" w:cs="宋体"/>
          <w:sz w:val="24"/>
          <w:szCs w:val="24"/>
        </w:rPr>
        <w:t>备品备件、易损件和专用耗材明细表：</w:t>
      </w:r>
    </w:p>
    <w:p w14:paraId="42C585A7">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510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DF1C71A">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14:paraId="3E3880B7">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14:paraId="79CBC0CF">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14:paraId="3D87DC0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14:paraId="46E2FCA9">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14:paraId="2165186F">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14:paraId="43C3DB02">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14:paraId="41E0878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044D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1ADC00">
            <w:pPr>
              <w:adjustRightInd w:val="0"/>
              <w:snapToGrid w:val="0"/>
              <w:spacing w:line="360" w:lineRule="auto"/>
              <w:jc w:val="center"/>
              <w:rPr>
                <w:rFonts w:hint="eastAsia" w:ascii="宋体" w:hAnsi="宋体" w:eastAsia="宋体" w:cs="宋体"/>
                <w:sz w:val="24"/>
                <w:szCs w:val="24"/>
              </w:rPr>
            </w:pPr>
          </w:p>
        </w:tc>
        <w:tc>
          <w:tcPr>
            <w:tcW w:w="1924" w:type="dxa"/>
          </w:tcPr>
          <w:p w14:paraId="5449BD42">
            <w:pPr>
              <w:adjustRightInd w:val="0"/>
              <w:snapToGrid w:val="0"/>
              <w:spacing w:line="360" w:lineRule="auto"/>
              <w:rPr>
                <w:rFonts w:hint="eastAsia" w:ascii="宋体" w:hAnsi="宋体" w:eastAsia="宋体" w:cs="宋体"/>
                <w:sz w:val="24"/>
                <w:szCs w:val="24"/>
              </w:rPr>
            </w:pPr>
          </w:p>
        </w:tc>
        <w:tc>
          <w:tcPr>
            <w:tcW w:w="1236" w:type="dxa"/>
          </w:tcPr>
          <w:p w14:paraId="0EEAD506">
            <w:pPr>
              <w:adjustRightInd w:val="0"/>
              <w:snapToGrid w:val="0"/>
              <w:spacing w:line="360" w:lineRule="auto"/>
              <w:rPr>
                <w:rFonts w:hint="eastAsia" w:ascii="宋体" w:hAnsi="宋体" w:eastAsia="宋体" w:cs="宋体"/>
                <w:sz w:val="24"/>
                <w:szCs w:val="24"/>
              </w:rPr>
            </w:pPr>
          </w:p>
        </w:tc>
        <w:tc>
          <w:tcPr>
            <w:tcW w:w="720" w:type="dxa"/>
          </w:tcPr>
          <w:p w14:paraId="1C3E5E18">
            <w:pPr>
              <w:adjustRightInd w:val="0"/>
              <w:snapToGrid w:val="0"/>
              <w:spacing w:line="360" w:lineRule="auto"/>
              <w:jc w:val="center"/>
              <w:rPr>
                <w:rFonts w:hint="eastAsia" w:ascii="宋体" w:hAnsi="宋体" w:eastAsia="宋体" w:cs="宋体"/>
                <w:sz w:val="24"/>
                <w:szCs w:val="24"/>
              </w:rPr>
            </w:pPr>
          </w:p>
        </w:tc>
        <w:tc>
          <w:tcPr>
            <w:tcW w:w="720" w:type="dxa"/>
          </w:tcPr>
          <w:p w14:paraId="2047E59A">
            <w:pPr>
              <w:adjustRightInd w:val="0"/>
              <w:snapToGrid w:val="0"/>
              <w:spacing w:line="360" w:lineRule="auto"/>
              <w:jc w:val="center"/>
              <w:rPr>
                <w:rFonts w:hint="eastAsia" w:ascii="宋体" w:hAnsi="宋体" w:eastAsia="宋体" w:cs="宋体"/>
                <w:sz w:val="24"/>
                <w:szCs w:val="24"/>
              </w:rPr>
            </w:pPr>
          </w:p>
        </w:tc>
        <w:tc>
          <w:tcPr>
            <w:tcW w:w="720" w:type="dxa"/>
          </w:tcPr>
          <w:p w14:paraId="03301571">
            <w:pPr>
              <w:adjustRightInd w:val="0"/>
              <w:snapToGrid w:val="0"/>
              <w:spacing w:line="360" w:lineRule="auto"/>
              <w:jc w:val="center"/>
              <w:rPr>
                <w:rFonts w:hint="eastAsia" w:ascii="宋体" w:hAnsi="宋体" w:eastAsia="宋体" w:cs="宋体"/>
                <w:sz w:val="24"/>
                <w:szCs w:val="24"/>
              </w:rPr>
            </w:pPr>
          </w:p>
        </w:tc>
        <w:tc>
          <w:tcPr>
            <w:tcW w:w="720" w:type="dxa"/>
          </w:tcPr>
          <w:p w14:paraId="3AAEECF3">
            <w:pPr>
              <w:adjustRightInd w:val="0"/>
              <w:snapToGrid w:val="0"/>
              <w:spacing w:line="360" w:lineRule="auto"/>
              <w:jc w:val="center"/>
              <w:rPr>
                <w:rFonts w:hint="eastAsia" w:ascii="宋体" w:hAnsi="宋体" w:eastAsia="宋体" w:cs="宋体"/>
                <w:sz w:val="24"/>
                <w:szCs w:val="24"/>
              </w:rPr>
            </w:pPr>
          </w:p>
        </w:tc>
        <w:tc>
          <w:tcPr>
            <w:tcW w:w="2235" w:type="dxa"/>
          </w:tcPr>
          <w:p w14:paraId="50D7F86B">
            <w:pPr>
              <w:adjustRightInd w:val="0"/>
              <w:snapToGrid w:val="0"/>
              <w:spacing w:line="360" w:lineRule="auto"/>
              <w:rPr>
                <w:rFonts w:hint="eastAsia" w:ascii="宋体" w:hAnsi="宋体" w:eastAsia="宋体" w:cs="宋体"/>
                <w:sz w:val="24"/>
                <w:szCs w:val="24"/>
              </w:rPr>
            </w:pPr>
          </w:p>
        </w:tc>
      </w:tr>
      <w:tr w14:paraId="3281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30AA88">
            <w:pPr>
              <w:adjustRightInd w:val="0"/>
              <w:snapToGrid w:val="0"/>
              <w:spacing w:line="360" w:lineRule="auto"/>
              <w:jc w:val="center"/>
              <w:rPr>
                <w:rFonts w:hint="eastAsia" w:ascii="宋体" w:hAnsi="宋体" w:eastAsia="宋体" w:cs="宋体"/>
                <w:sz w:val="24"/>
                <w:szCs w:val="24"/>
              </w:rPr>
            </w:pPr>
          </w:p>
        </w:tc>
        <w:tc>
          <w:tcPr>
            <w:tcW w:w="1924" w:type="dxa"/>
          </w:tcPr>
          <w:p w14:paraId="41866A4B">
            <w:pPr>
              <w:adjustRightInd w:val="0"/>
              <w:snapToGrid w:val="0"/>
              <w:spacing w:line="360" w:lineRule="auto"/>
              <w:rPr>
                <w:rFonts w:hint="eastAsia" w:ascii="宋体" w:hAnsi="宋体" w:eastAsia="宋体" w:cs="宋体"/>
                <w:sz w:val="24"/>
                <w:szCs w:val="24"/>
              </w:rPr>
            </w:pPr>
          </w:p>
        </w:tc>
        <w:tc>
          <w:tcPr>
            <w:tcW w:w="1236" w:type="dxa"/>
          </w:tcPr>
          <w:p w14:paraId="172E7357">
            <w:pPr>
              <w:adjustRightInd w:val="0"/>
              <w:snapToGrid w:val="0"/>
              <w:spacing w:line="360" w:lineRule="auto"/>
              <w:rPr>
                <w:rFonts w:hint="eastAsia" w:ascii="宋体" w:hAnsi="宋体" w:eastAsia="宋体" w:cs="宋体"/>
                <w:sz w:val="24"/>
                <w:szCs w:val="24"/>
              </w:rPr>
            </w:pPr>
          </w:p>
        </w:tc>
        <w:tc>
          <w:tcPr>
            <w:tcW w:w="720" w:type="dxa"/>
          </w:tcPr>
          <w:p w14:paraId="66C3FEA4">
            <w:pPr>
              <w:adjustRightInd w:val="0"/>
              <w:snapToGrid w:val="0"/>
              <w:spacing w:line="360" w:lineRule="auto"/>
              <w:jc w:val="center"/>
              <w:rPr>
                <w:rFonts w:hint="eastAsia" w:ascii="宋体" w:hAnsi="宋体" w:eastAsia="宋体" w:cs="宋体"/>
                <w:sz w:val="24"/>
                <w:szCs w:val="24"/>
              </w:rPr>
            </w:pPr>
          </w:p>
        </w:tc>
        <w:tc>
          <w:tcPr>
            <w:tcW w:w="720" w:type="dxa"/>
          </w:tcPr>
          <w:p w14:paraId="63FD8336">
            <w:pPr>
              <w:adjustRightInd w:val="0"/>
              <w:snapToGrid w:val="0"/>
              <w:spacing w:line="360" w:lineRule="auto"/>
              <w:jc w:val="center"/>
              <w:rPr>
                <w:rFonts w:hint="eastAsia" w:ascii="宋体" w:hAnsi="宋体" w:eastAsia="宋体" w:cs="宋体"/>
                <w:sz w:val="24"/>
                <w:szCs w:val="24"/>
              </w:rPr>
            </w:pPr>
          </w:p>
        </w:tc>
        <w:tc>
          <w:tcPr>
            <w:tcW w:w="720" w:type="dxa"/>
          </w:tcPr>
          <w:p w14:paraId="6B2A0681">
            <w:pPr>
              <w:adjustRightInd w:val="0"/>
              <w:snapToGrid w:val="0"/>
              <w:spacing w:line="360" w:lineRule="auto"/>
              <w:jc w:val="center"/>
              <w:rPr>
                <w:rFonts w:hint="eastAsia" w:ascii="宋体" w:hAnsi="宋体" w:eastAsia="宋体" w:cs="宋体"/>
                <w:sz w:val="24"/>
                <w:szCs w:val="24"/>
              </w:rPr>
            </w:pPr>
          </w:p>
        </w:tc>
        <w:tc>
          <w:tcPr>
            <w:tcW w:w="720" w:type="dxa"/>
          </w:tcPr>
          <w:p w14:paraId="3940122C">
            <w:pPr>
              <w:adjustRightInd w:val="0"/>
              <w:snapToGrid w:val="0"/>
              <w:spacing w:line="360" w:lineRule="auto"/>
              <w:jc w:val="center"/>
              <w:rPr>
                <w:rFonts w:hint="eastAsia" w:ascii="宋体" w:hAnsi="宋体" w:eastAsia="宋体" w:cs="宋体"/>
                <w:sz w:val="24"/>
                <w:szCs w:val="24"/>
              </w:rPr>
            </w:pPr>
          </w:p>
        </w:tc>
        <w:tc>
          <w:tcPr>
            <w:tcW w:w="2235" w:type="dxa"/>
          </w:tcPr>
          <w:p w14:paraId="3E3E0235">
            <w:pPr>
              <w:adjustRightInd w:val="0"/>
              <w:snapToGrid w:val="0"/>
              <w:spacing w:line="360" w:lineRule="auto"/>
              <w:rPr>
                <w:rFonts w:hint="eastAsia" w:ascii="宋体" w:hAnsi="宋体" w:eastAsia="宋体" w:cs="宋体"/>
                <w:sz w:val="24"/>
                <w:szCs w:val="24"/>
              </w:rPr>
            </w:pPr>
          </w:p>
        </w:tc>
      </w:tr>
      <w:tr w14:paraId="2556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26991F">
            <w:pPr>
              <w:adjustRightInd w:val="0"/>
              <w:snapToGrid w:val="0"/>
              <w:spacing w:line="360" w:lineRule="auto"/>
              <w:jc w:val="center"/>
              <w:rPr>
                <w:rFonts w:hint="eastAsia" w:ascii="宋体" w:hAnsi="宋体" w:eastAsia="宋体" w:cs="宋体"/>
                <w:sz w:val="24"/>
                <w:szCs w:val="24"/>
              </w:rPr>
            </w:pPr>
          </w:p>
        </w:tc>
        <w:tc>
          <w:tcPr>
            <w:tcW w:w="1924" w:type="dxa"/>
          </w:tcPr>
          <w:p w14:paraId="0C56998F">
            <w:pPr>
              <w:adjustRightInd w:val="0"/>
              <w:snapToGrid w:val="0"/>
              <w:spacing w:line="360" w:lineRule="auto"/>
              <w:rPr>
                <w:rFonts w:hint="eastAsia" w:ascii="宋体" w:hAnsi="宋体" w:eastAsia="宋体" w:cs="宋体"/>
                <w:sz w:val="24"/>
                <w:szCs w:val="24"/>
              </w:rPr>
            </w:pPr>
          </w:p>
        </w:tc>
        <w:tc>
          <w:tcPr>
            <w:tcW w:w="1236" w:type="dxa"/>
          </w:tcPr>
          <w:p w14:paraId="29FDE531">
            <w:pPr>
              <w:adjustRightInd w:val="0"/>
              <w:snapToGrid w:val="0"/>
              <w:spacing w:line="360" w:lineRule="auto"/>
              <w:rPr>
                <w:rFonts w:hint="eastAsia" w:ascii="宋体" w:hAnsi="宋体" w:eastAsia="宋体" w:cs="宋体"/>
                <w:sz w:val="24"/>
                <w:szCs w:val="24"/>
              </w:rPr>
            </w:pPr>
          </w:p>
        </w:tc>
        <w:tc>
          <w:tcPr>
            <w:tcW w:w="720" w:type="dxa"/>
          </w:tcPr>
          <w:p w14:paraId="0DEA330C">
            <w:pPr>
              <w:adjustRightInd w:val="0"/>
              <w:snapToGrid w:val="0"/>
              <w:spacing w:line="360" w:lineRule="auto"/>
              <w:jc w:val="center"/>
              <w:rPr>
                <w:rFonts w:hint="eastAsia" w:ascii="宋体" w:hAnsi="宋体" w:eastAsia="宋体" w:cs="宋体"/>
                <w:sz w:val="24"/>
                <w:szCs w:val="24"/>
              </w:rPr>
            </w:pPr>
          </w:p>
        </w:tc>
        <w:tc>
          <w:tcPr>
            <w:tcW w:w="720" w:type="dxa"/>
          </w:tcPr>
          <w:p w14:paraId="4A6896CD">
            <w:pPr>
              <w:adjustRightInd w:val="0"/>
              <w:snapToGrid w:val="0"/>
              <w:spacing w:line="360" w:lineRule="auto"/>
              <w:jc w:val="center"/>
              <w:rPr>
                <w:rFonts w:hint="eastAsia" w:ascii="宋体" w:hAnsi="宋体" w:eastAsia="宋体" w:cs="宋体"/>
                <w:sz w:val="24"/>
                <w:szCs w:val="24"/>
              </w:rPr>
            </w:pPr>
          </w:p>
        </w:tc>
        <w:tc>
          <w:tcPr>
            <w:tcW w:w="720" w:type="dxa"/>
          </w:tcPr>
          <w:p w14:paraId="7266DBCB">
            <w:pPr>
              <w:adjustRightInd w:val="0"/>
              <w:snapToGrid w:val="0"/>
              <w:spacing w:line="360" w:lineRule="auto"/>
              <w:jc w:val="center"/>
              <w:rPr>
                <w:rFonts w:hint="eastAsia" w:ascii="宋体" w:hAnsi="宋体" w:eastAsia="宋体" w:cs="宋体"/>
                <w:sz w:val="24"/>
                <w:szCs w:val="24"/>
              </w:rPr>
            </w:pPr>
          </w:p>
        </w:tc>
        <w:tc>
          <w:tcPr>
            <w:tcW w:w="720" w:type="dxa"/>
          </w:tcPr>
          <w:p w14:paraId="17FB2BBD">
            <w:pPr>
              <w:adjustRightInd w:val="0"/>
              <w:snapToGrid w:val="0"/>
              <w:spacing w:line="360" w:lineRule="auto"/>
              <w:jc w:val="center"/>
              <w:rPr>
                <w:rFonts w:hint="eastAsia" w:ascii="宋体" w:hAnsi="宋体" w:eastAsia="宋体" w:cs="宋体"/>
                <w:sz w:val="24"/>
                <w:szCs w:val="24"/>
              </w:rPr>
            </w:pPr>
          </w:p>
        </w:tc>
        <w:tc>
          <w:tcPr>
            <w:tcW w:w="2235" w:type="dxa"/>
          </w:tcPr>
          <w:p w14:paraId="524C4676">
            <w:pPr>
              <w:adjustRightInd w:val="0"/>
              <w:snapToGrid w:val="0"/>
              <w:spacing w:line="360" w:lineRule="auto"/>
              <w:rPr>
                <w:rFonts w:hint="eastAsia" w:ascii="宋体" w:hAnsi="宋体" w:eastAsia="宋体" w:cs="宋体"/>
                <w:sz w:val="24"/>
                <w:szCs w:val="24"/>
              </w:rPr>
            </w:pPr>
          </w:p>
        </w:tc>
      </w:tr>
      <w:tr w14:paraId="562A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1072980">
            <w:pPr>
              <w:adjustRightInd w:val="0"/>
              <w:snapToGrid w:val="0"/>
              <w:spacing w:line="360" w:lineRule="auto"/>
              <w:jc w:val="center"/>
              <w:rPr>
                <w:rFonts w:hint="eastAsia" w:ascii="宋体" w:hAnsi="宋体" w:eastAsia="宋体" w:cs="宋体"/>
                <w:sz w:val="24"/>
                <w:szCs w:val="24"/>
              </w:rPr>
            </w:pPr>
          </w:p>
        </w:tc>
        <w:tc>
          <w:tcPr>
            <w:tcW w:w="1924" w:type="dxa"/>
          </w:tcPr>
          <w:p w14:paraId="7476F4E9">
            <w:pPr>
              <w:adjustRightInd w:val="0"/>
              <w:snapToGrid w:val="0"/>
              <w:spacing w:line="360" w:lineRule="auto"/>
              <w:rPr>
                <w:rFonts w:hint="eastAsia" w:ascii="宋体" w:hAnsi="宋体" w:eastAsia="宋体" w:cs="宋体"/>
                <w:sz w:val="24"/>
                <w:szCs w:val="24"/>
              </w:rPr>
            </w:pPr>
          </w:p>
        </w:tc>
        <w:tc>
          <w:tcPr>
            <w:tcW w:w="1236" w:type="dxa"/>
          </w:tcPr>
          <w:p w14:paraId="363E46CF">
            <w:pPr>
              <w:adjustRightInd w:val="0"/>
              <w:snapToGrid w:val="0"/>
              <w:spacing w:line="360" w:lineRule="auto"/>
              <w:rPr>
                <w:rFonts w:hint="eastAsia" w:ascii="宋体" w:hAnsi="宋体" w:eastAsia="宋体" w:cs="宋体"/>
                <w:sz w:val="24"/>
                <w:szCs w:val="24"/>
              </w:rPr>
            </w:pPr>
          </w:p>
        </w:tc>
        <w:tc>
          <w:tcPr>
            <w:tcW w:w="720" w:type="dxa"/>
          </w:tcPr>
          <w:p w14:paraId="73156D7D">
            <w:pPr>
              <w:adjustRightInd w:val="0"/>
              <w:snapToGrid w:val="0"/>
              <w:spacing w:line="360" w:lineRule="auto"/>
              <w:jc w:val="center"/>
              <w:rPr>
                <w:rFonts w:hint="eastAsia" w:ascii="宋体" w:hAnsi="宋体" w:eastAsia="宋体" w:cs="宋体"/>
                <w:sz w:val="24"/>
                <w:szCs w:val="24"/>
              </w:rPr>
            </w:pPr>
          </w:p>
        </w:tc>
        <w:tc>
          <w:tcPr>
            <w:tcW w:w="720" w:type="dxa"/>
          </w:tcPr>
          <w:p w14:paraId="7D9751E7">
            <w:pPr>
              <w:adjustRightInd w:val="0"/>
              <w:snapToGrid w:val="0"/>
              <w:spacing w:line="360" w:lineRule="auto"/>
              <w:jc w:val="center"/>
              <w:rPr>
                <w:rFonts w:hint="eastAsia" w:ascii="宋体" w:hAnsi="宋体" w:eastAsia="宋体" w:cs="宋体"/>
                <w:sz w:val="24"/>
                <w:szCs w:val="24"/>
              </w:rPr>
            </w:pPr>
          </w:p>
        </w:tc>
        <w:tc>
          <w:tcPr>
            <w:tcW w:w="720" w:type="dxa"/>
          </w:tcPr>
          <w:p w14:paraId="16DA4E1A">
            <w:pPr>
              <w:adjustRightInd w:val="0"/>
              <w:snapToGrid w:val="0"/>
              <w:spacing w:line="360" w:lineRule="auto"/>
              <w:jc w:val="center"/>
              <w:rPr>
                <w:rFonts w:hint="eastAsia" w:ascii="宋体" w:hAnsi="宋体" w:eastAsia="宋体" w:cs="宋体"/>
                <w:sz w:val="24"/>
                <w:szCs w:val="24"/>
              </w:rPr>
            </w:pPr>
          </w:p>
        </w:tc>
        <w:tc>
          <w:tcPr>
            <w:tcW w:w="720" w:type="dxa"/>
          </w:tcPr>
          <w:p w14:paraId="39FE44A3">
            <w:pPr>
              <w:adjustRightInd w:val="0"/>
              <w:snapToGrid w:val="0"/>
              <w:spacing w:line="360" w:lineRule="auto"/>
              <w:jc w:val="center"/>
              <w:rPr>
                <w:rFonts w:hint="eastAsia" w:ascii="宋体" w:hAnsi="宋体" w:eastAsia="宋体" w:cs="宋体"/>
                <w:sz w:val="24"/>
                <w:szCs w:val="24"/>
              </w:rPr>
            </w:pPr>
          </w:p>
        </w:tc>
        <w:tc>
          <w:tcPr>
            <w:tcW w:w="2235" w:type="dxa"/>
          </w:tcPr>
          <w:p w14:paraId="30D3DEB7">
            <w:pPr>
              <w:adjustRightInd w:val="0"/>
              <w:snapToGrid w:val="0"/>
              <w:spacing w:line="360" w:lineRule="auto"/>
              <w:rPr>
                <w:rFonts w:hint="eastAsia" w:ascii="宋体" w:hAnsi="宋体" w:eastAsia="宋体" w:cs="宋体"/>
                <w:sz w:val="24"/>
                <w:szCs w:val="24"/>
              </w:rPr>
            </w:pPr>
          </w:p>
        </w:tc>
      </w:tr>
      <w:tr w14:paraId="2F30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752C9A">
            <w:pPr>
              <w:adjustRightInd w:val="0"/>
              <w:snapToGrid w:val="0"/>
              <w:spacing w:line="360" w:lineRule="auto"/>
              <w:jc w:val="center"/>
              <w:rPr>
                <w:rFonts w:hint="eastAsia" w:ascii="宋体" w:hAnsi="宋体" w:eastAsia="宋体" w:cs="宋体"/>
                <w:sz w:val="24"/>
                <w:szCs w:val="24"/>
              </w:rPr>
            </w:pPr>
          </w:p>
        </w:tc>
        <w:tc>
          <w:tcPr>
            <w:tcW w:w="1924" w:type="dxa"/>
          </w:tcPr>
          <w:p w14:paraId="2C9880F5">
            <w:pPr>
              <w:adjustRightInd w:val="0"/>
              <w:snapToGrid w:val="0"/>
              <w:spacing w:line="360" w:lineRule="auto"/>
              <w:rPr>
                <w:rFonts w:hint="eastAsia" w:ascii="宋体" w:hAnsi="宋体" w:eastAsia="宋体" w:cs="宋体"/>
                <w:sz w:val="24"/>
                <w:szCs w:val="24"/>
              </w:rPr>
            </w:pPr>
          </w:p>
        </w:tc>
        <w:tc>
          <w:tcPr>
            <w:tcW w:w="1236" w:type="dxa"/>
          </w:tcPr>
          <w:p w14:paraId="195D7214">
            <w:pPr>
              <w:adjustRightInd w:val="0"/>
              <w:snapToGrid w:val="0"/>
              <w:spacing w:line="360" w:lineRule="auto"/>
              <w:rPr>
                <w:rFonts w:hint="eastAsia" w:ascii="宋体" w:hAnsi="宋体" w:eastAsia="宋体" w:cs="宋体"/>
                <w:sz w:val="24"/>
                <w:szCs w:val="24"/>
              </w:rPr>
            </w:pPr>
          </w:p>
        </w:tc>
        <w:tc>
          <w:tcPr>
            <w:tcW w:w="720" w:type="dxa"/>
          </w:tcPr>
          <w:p w14:paraId="1069EABC">
            <w:pPr>
              <w:adjustRightInd w:val="0"/>
              <w:snapToGrid w:val="0"/>
              <w:spacing w:line="360" w:lineRule="auto"/>
              <w:jc w:val="center"/>
              <w:rPr>
                <w:rFonts w:hint="eastAsia" w:ascii="宋体" w:hAnsi="宋体" w:eastAsia="宋体" w:cs="宋体"/>
                <w:sz w:val="24"/>
                <w:szCs w:val="24"/>
              </w:rPr>
            </w:pPr>
          </w:p>
        </w:tc>
        <w:tc>
          <w:tcPr>
            <w:tcW w:w="720" w:type="dxa"/>
          </w:tcPr>
          <w:p w14:paraId="3D8578B9">
            <w:pPr>
              <w:adjustRightInd w:val="0"/>
              <w:snapToGrid w:val="0"/>
              <w:spacing w:line="360" w:lineRule="auto"/>
              <w:jc w:val="center"/>
              <w:rPr>
                <w:rFonts w:hint="eastAsia" w:ascii="宋体" w:hAnsi="宋体" w:eastAsia="宋体" w:cs="宋体"/>
                <w:sz w:val="24"/>
                <w:szCs w:val="24"/>
              </w:rPr>
            </w:pPr>
          </w:p>
        </w:tc>
        <w:tc>
          <w:tcPr>
            <w:tcW w:w="720" w:type="dxa"/>
          </w:tcPr>
          <w:p w14:paraId="3247E3F3">
            <w:pPr>
              <w:adjustRightInd w:val="0"/>
              <w:snapToGrid w:val="0"/>
              <w:spacing w:line="360" w:lineRule="auto"/>
              <w:jc w:val="center"/>
              <w:rPr>
                <w:rFonts w:hint="eastAsia" w:ascii="宋体" w:hAnsi="宋体" w:eastAsia="宋体" w:cs="宋体"/>
                <w:sz w:val="24"/>
                <w:szCs w:val="24"/>
              </w:rPr>
            </w:pPr>
          </w:p>
        </w:tc>
        <w:tc>
          <w:tcPr>
            <w:tcW w:w="720" w:type="dxa"/>
          </w:tcPr>
          <w:p w14:paraId="04554692">
            <w:pPr>
              <w:adjustRightInd w:val="0"/>
              <w:snapToGrid w:val="0"/>
              <w:spacing w:line="360" w:lineRule="auto"/>
              <w:jc w:val="center"/>
              <w:rPr>
                <w:rFonts w:hint="eastAsia" w:ascii="宋体" w:hAnsi="宋体" w:eastAsia="宋体" w:cs="宋体"/>
                <w:sz w:val="24"/>
                <w:szCs w:val="24"/>
              </w:rPr>
            </w:pPr>
          </w:p>
        </w:tc>
        <w:tc>
          <w:tcPr>
            <w:tcW w:w="2235" w:type="dxa"/>
          </w:tcPr>
          <w:p w14:paraId="6AB8B3E1">
            <w:pPr>
              <w:adjustRightInd w:val="0"/>
              <w:snapToGrid w:val="0"/>
              <w:spacing w:line="360" w:lineRule="auto"/>
              <w:rPr>
                <w:rFonts w:hint="eastAsia" w:ascii="宋体" w:hAnsi="宋体" w:eastAsia="宋体" w:cs="宋体"/>
                <w:sz w:val="24"/>
                <w:szCs w:val="24"/>
              </w:rPr>
            </w:pPr>
          </w:p>
        </w:tc>
      </w:tr>
    </w:tbl>
    <w:p w14:paraId="627F8F3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6.3  </w:t>
      </w:r>
      <w:r>
        <w:rPr>
          <w:rFonts w:hint="eastAsia" w:ascii="宋体" w:hAnsi="宋体" w:eastAsia="宋体" w:cs="宋体"/>
          <w:sz w:val="24"/>
          <w:szCs w:val="24"/>
        </w:rPr>
        <w:t>“一览表”和“明细表”仅作为投标方编制投标技术文件的一般格式。其中序号编写应当便于招标方了解分类或分项货物之间的所属关系，如</w:t>
      </w:r>
      <w:r>
        <w:rPr>
          <w:rFonts w:ascii="宋体" w:hAnsi="宋体" w:eastAsia="宋体" w:cs="宋体"/>
          <w:sz w:val="24"/>
          <w:szCs w:val="24"/>
        </w:rPr>
        <w:t>1</w:t>
      </w:r>
      <w:r>
        <w:rPr>
          <w:rFonts w:hint="eastAsia" w:ascii="宋体" w:hAnsi="宋体" w:eastAsia="宋体" w:cs="宋体"/>
          <w:sz w:val="24"/>
          <w:szCs w:val="24"/>
        </w:rPr>
        <w:t>、</w:t>
      </w:r>
      <w:r>
        <w:rPr>
          <w:rFonts w:ascii="宋体" w:hAnsi="宋体" w:eastAsia="宋体" w:cs="宋体"/>
          <w:sz w:val="24"/>
          <w:szCs w:val="24"/>
        </w:rPr>
        <w:t>1.1</w:t>
      </w:r>
      <w:r>
        <w:rPr>
          <w:rFonts w:hint="eastAsia" w:ascii="宋体" w:hAnsi="宋体" w:eastAsia="宋体" w:cs="宋体"/>
          <w:sz w:val="24"/>
          <w:szCs w:val="24"/>
        </w:rPr>
        <w:t>、</w:t>
      </w:r>
      <w:r>
        <w:rPr>
          <w:rFonts w:ascii="宋体" w:hAnsi="宋体" w:eastAsia="宋体" w:cs="宋体"/>
          <w:sz w:val="24"/>
          <w:szCs w:val="24"/>
        </w:rPr>
        <w:t>1.2</w:t>
      </w:r>
      <w:r>
        <w:rPr>
          <w:rFonts w:hint="eastAsia" w:ascii="宋体" w:hAnsi="宋体" w:eastAsia="宋体" w:cs="宋体"/>
          <w:sz w:val="24"/>
          <w:szCs w:val="24"/>
        </w:rPr>
        <w:t>。</w:t>
      </w:r>
    </w:p>
    <w:p w14:paraId="446B455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6.4  </w:t>
      </w:r>
      <w:r>
        <w:rPr>
          <w:rFonts w:hint="eastAsia" w:ascii="宋体" w:hAnsi="宋体" w:eastAsia="宋体" w:cs="宋体"/>
          <w:sz w:val="24"/>
          <w:szCs w:val="24"/>
        </w:rPr>
        <w:t>应当尽可能将货物的配置列全、列细，这将有助于投标方胜出。</w:t>
      </w:r>
    </w:p>
    <w:p w14:paraId="4E782B5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6.5  </w:t>
      </w:r>
      <w:r>
        <w:rPr>
          <w:rFonts w:hint="eastAsia" w:ascii="宋体" w:hAnsi="宋体" w:eastAsia="宋体" w:cs="宋体"/>
          <w:sz w:val="24"/>
          <w:szCs w:val="24"/>
        </w:rPr>
        <w:t>单价与总价之间、总价与分类小计价之间、分类小计价与合计价之间数据应当齐全而且准确。</w:t>
      </w:r>
    </w:p>
    <w:p w14:paraId="4111EB9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6.6  </w:t>
      </w:r>
      <w:r>
        <w:rPr>
          <w:rFonts w:hint="eastAsia" w:ascii="宋体" w:hAnsi="宋体" w:eastAsia="宋体" w:cs="宋体"/>
          <w:sz w:val="24"/>
          <w:szCs w:val="24"/>
        </w:rPr>
        <w:t>本条款表格中的制造商，应当为全称或公认的简称。</w:t>
      </w:r>
    </w:p>
    <w:p w14:paraId="4C824E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二、技术文件中货物报价格式要求</w:t>
      </w:r>
    </w:p>
    <w:p w14:paraId="0400DBE9">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、货物配置一览表合计价以及备品备件、易损件和专用耗材明细表合计价应当在投标总报价内对应重现而且应当数据准确。</w:t>
      </w:r>
    </w:p>
    <w:p w14:paraId="3C67CB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其中，质保期之内需要的备品备件、易损件和专用耗材，需要在配置一览表内单独分类列出并计入货物配置一览表合计价。</w:t>
      </w:r>
    </w:p>
    <w:p w14:paraId="444783E7">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3E18FE7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、如果投标总报价与其它价格出现错误或不一致，将有可能导致废标。</w:t>
      </w:r>
    </w:p>
    <w:p w14:paraId="22BC3677">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、投标总报价为自合同签定生效至合同无异议执行完毕涉及的招标方需要支付的全部费用。如投标方认为本招标及投标货物涉及特需或专门的设计，应当单独列明设计费。</w:t>
      </w:r>
    </w:p>
    <w:p w14:paraId="1858AC3D">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、备品备件、易损件和专用耗材，招标方将可能与投标方按照投标价格另行签署供货合同。</w:t>
      </w:r>
    </w:p>
    <w:p w14:paraId="792085DB">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14:paraId="453A04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14:paraId="3BED94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4C762FEC">
      <w:pPr>
        <w:rPr>
          <w:rFonts w:hint="eastAsia" w:ascii="黑体" w:hAnsi="等线" w:eastAsia="黑体" w:cs="Times New Roman"/>
          <w:sz w:val="24"/>
          <w:szCs w:val="24"/>
        </w:rPr>
      </w:pPr>
      <w:bookmarkStart w:id="136" w:name="_Toc9658385"/>
      <w:r>
        <w:rPr>
          <w:rFonts w:ascii="黑体" w:hAnsi="等线" w:eastAsia="黑体" w:cs="Times New Roman"/>
          <w:sz w:val="24"/>
          <w:szCs w:val="24"/>
        </w:rPr>
        <w:br w:type="page"/>
      </w:r>
    </w:p>
    <w:p w14:paraId="3B1A9E9D">
      <w:pPr>
        <w:keepNext/>
        <w:keepLines/>
        <w:spacing w:before="120" w:after="120" w:line="360" w:lineRule="auto"/>
        <w:jc w:val="center"/>
        <w:outlineLvl w:val="0"/>
        <w:rPr>
          <w:rFonts w:hint="eastAsia" w:ascii="宋体" w:hAnsi="宋体" w:eastAsia="等线" w:cs="宋体"/>
          <w:kern w:val="44"/>
          <w:sz w:val="28"/>
          <w:szCs w:val="28"/>
        </w:rPr>
      </w:pPr>
      <w:bookmarkStart w:id="137" w:name="_Toc5478"/>
      <w:r>
        <w:rPr>
          <w:rFonts w:hint="eastAsia" w:ascii="宋体" w:hAnsi="宋体" w:eastAsia="等线" w:cs="宋体"/>
          <w:kern w:val="44"/>
          <w:sz w:val="28"/>
          <w:szCs w:val="28"/>
        </w:rPr>
        <w:t>第七章</w:t>
      </w:r>
      <w:r>
        <w:rPr>
          <w:rFonts w:ascii="宋体" w:hAnsi="宋体" w:eastAsia="等线" w:cs="宋体"/>
          <w:kern w:val="44"/>
          <w:sz w:val="28"/>
          <w:szCs w:val="28"/>
        </w:rPr>
        <w:t xml:space="preserve">  </w:t>
      </w:r>
      <w:r>
        <w:rPr>
          <w:rFonts w:hint="eastAsia" w:ascii="宋体" w:hAnsi="宋体" w:eastAsia="等线" w:cs="宋体"/>
          <w:kern w:val="44"/>
          <w:sz w:val="28"/>
          <w:szCs w:val="28"/>
        </w:rPr>
        <w:t>其它要求及说明</w:t>
      </w:r>
      <w:bookmarkEnd w:id="136"/>
      <w:bookmarkEnd w:id="137"/>
    </w:p>
    <w:p w14:paraId="29B61F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一、要求</w:t>
      </w:r>
    </w:p>
    <w:p w14:paraId="63260FA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45FCE1EB">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rPr>
        <w:t>/</w:t>
      </w:r>
      <w:r>
        <w:rPr>
          <w:rFonts w:hint="eastAsia" w:ascii="宋体" w:hAnsi="宋体" w:eastAsia="宋体" w:cs="宋体"/>
          <w:sz w:val="24"/>
          <w:szCs w:val="24"/>
        </w:rPr>
        <w:t>柴油加热方式）、相关案例的验收检测报告，并保证其真实性和有效性。</w:t>
      </w:r>
    </w:p>
    <w:p w14:paraId="4E20E4C8">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、投标方应当是通过有关资格认证的法人。应当在投标文件中提供有效期内的资格认证证书，如：</w:t>
      </w:r>
      <w:r>
        <w:rPr>
          <w:rFonts w:ascii="宋体" w:hAnsi="宋体" w:eastAsia="宋体" w:cs="宋体"/>
          <w:sz w:val="24"/>
          <w:szCs w:val="24"/>
        </w:rPr>
        <w:t>ISO9001</w:t>
      </w:r>
      <w:r>
        <w:rPr>
          <w:rFonts w:hint="eastAsia" w:ascii="宋体" w:hAnsi="宋体" w:eastAsia="宋体" w:cs="宋体"/>
          <w:sz w:val="24"/>
          <w:szCs w:val="24"/>
        </w:rPr>
        <w:t>、</w:t>
      </w:r>
      <w:r>
        <w:rPr>
          <w:rFonts w:ascii="宋体" w:hAnsi="宋体" w:eastAsia="宋体" w:cs="宋体"/>
          <w:sz w:val="24"/>
          <w:szCs w:val="24"/>
        </w:rPr>
        <w:t>VDA6.1</w:t>
      </w:r>
      <w:r>
        <w:rPr>
          <w:rFonts w:hint="eastAsia" w:ascii="宋体" w:hAnsi="宋体" w:eastAsia="宋体" w:cs="宋体"/>
          <w:sz w:val="24"/>
          <w:szCs w:val="24"/>
        </w:rPr>
        <w:t>、</w:t>
      </w:r>
      <w:r>
        <w:rPr>
          <w:rFonts w:ascii="宋体" w:hAnsi="宋体" w:eastAsia="宋体" w:cs="宋体"/>
          <w:sz w:val="24"/>
          <w:szCs w:val="24"/>
        </w:rPr>
        <w:t>QS9000</w:t>
      </w:r>
      <w:r>
        <w:rPr>
          <w:rFonts w:hint="eastAsia" w:ascii="宋体" w:hAnsi="宋体" w:eastAsia="宋体" w:cs="宋体"/>
          <w:sz w:val="24"/>
          <w:szCs w:val="24"/>
        </w:rPr>
        <w:t>等。</w:t>
      </w:r>
    </w:p>
    <w:p w14:paraId="02E0A704">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、国产设备应附有采购货物（或设备）涉及的由“中国质量认证中心”颁发的《中国国家强制性产品认证证书》（</w:t>
      </w:r>
      <w:r>
        <w:rPr>
          <w:rFonts w:ascii="宋体" w:hAnsi="宋体" w:eastAsia="宋体" w:cs="宋体"/>
          <w:sz w:val="24"/>
          <w:szCs w:val="24"/>
        </w:rPr>
        <w:t>CCC</w:t>
      </w:r>
      <w:r>
        <w:rPr>
          <w:rFonts w:hint="eastAsia" w:ascii="宋体" w:hAnsi="宋体" w:eastAsia="宋体" w:cs="宋体"/>
          <w:sz w:val="24"/>
          <w:szCs w:val="24"/>
        </w:rPr>
        <w:t>证书）。</w:t>
      </w:r>
    </w:p>
    <w:p w14:paraId="0FA661A5">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、应附有其它与投标单位、采购货物有关的荣誉证书或资料。</w:t>
      </w:r>
    </w:p>
    <w:p w14:paraId="4ACFF5A2">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、必须附有投标货物涉及产品要求的、国家或行业管理规定要求的、或者投标方认为能够体现其投标货物合法性及先进性的最高级别的证明材料（投标货物不涉及的除外）：</w:t>
      </w:r>
    </w:p>
    <w:p w14:paraId="31E9DAE9">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5.1</w:t>
      </w:r>
      <w:r>
        <w:rPr>
          <w:rFonts w:hint="eastAsia" w:ascii="宋体" w:hAnsi="宋体" w:eastAsia="宋体" w:cs="宋体"/>
          <w:sz w:val="24"/>
          <w:szCs w:val="24"/>
        </w:rPr>
        <w:t>国家相关机构颁发的有效期之内所必需的《生产许可证》。</w:t>
      </w:r>
    </w:p>
    <w:p w14:paraId="60D1A9CC">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5.2</w:t>
      </w:r>
      <w:r>
        <w:rPr>
          <w:rFonts w:hint="eastAsia" w:ascii="宋体" w:hAnsi="宋体" w:eastAsia="宋体" w:cs="宋体"/>
          <w:sz w:val="24"/>
          <w:szCs w:val="24"/>
        </w:rPr>
        <w:t>产品（或技术）鉴定报告</w:t>
      </w:r>
      <w:r>
        <w:rPr>
          <w:rFonts w:ascii="宋体" w:hAnsi="宋体" w:eastAsia="宋体" w:cs="宋体"/>
          <w:sz w:val="24"/>
          <w:szCs w:val="24"/>
        </w:rPr>
        <w:t>/</w:t>
      </w:r>
      <w:r>
        <w:rPr>
          <w:rFonts w:hint="eastAsia" w:ascii="宋体" w:hAnsi="宋体" w:eastAsia="宋体" w:cs="宋体"/>
          <w:sz w:val="24"/>
          <w:szCs w:val="24"/>
        </w:rPr>
        <w:t>证书、专利证书或专利许可证书、新技术成果证书等。</w:t>
      </w:r>
    </w:p>
    <w:p w14:paraId="7332F768">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5.3</w:t>
      </w:r>
      <w:r>
        <w:rPr>
          <w:rFonts w:hint="eastAsia" w:ascii="宋体" w:hAnsi="宋体" w:eastAsia="宋体" w:cs="宋体"/>
          <w:sz w:val="24"/>
          <w:szCs w:val="24"/>
        </w:rPr>
        <w:t>产品相关检验、试验报告，如：型式试验检验报告、安全试验检验报告、电弧效应试验报告、噪声检测报告等</w:t>
      </w:r>
    </w:p>
    <w:p w14:paraId="0C3E9F69">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5.4</w:t>
      </w:r>
      <w:r>
        <w:rPr>
          <w:rFonts w:hint="eastAsia" w:ascii="宋体" w:hAnsi="宋体" w:eastAsia="宋体" w:cs="宋体"/>
          <w:sz w:val="24"/>
          <w:szCs w:val="24"/>
        </w:rPr>
        <w:t>其它能够证明所供货物的质量水平、技术水平、安全性水平、节能性水平、环保性水平等相关的其它证明文件或资料、报告等。</w:t>
      </w:r>
    </w:p>
    <w:p w14:paraId="05198C7E">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5.5</w:t>
      </w:r>
      <w:r>
        <w:rPr>
          <w:rFonts w:hint="eastAsia" w:ascii="宋体" w:hAnsi="宋体" w:eastAsia="宋体" w:cs="宋体"/>
          <w:sz w:val="24"/>
          <w:szCs w:val="24"/>
        </w:rPr>
        <w:t>该类报告或证明材料对于投标方胜出乃至中标极为重要！</w:t>
      </w:r>
    </w:p>
    <w:p w14:paraId="3D52D96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二、说明</w:t>
      </w:r>
    </w:p>
    <w:p w14:paraId="19AB526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、投标方可以根据自身的技术、经验等优势以及对招标文件和本技术标书的理解，写明对招标方所采购货物的优化方案或建议意见。投标方的这些努力，投标方表示感谢，并将有助于投标方优先胜出。</w:t>
      </w:r>
    </w:p>
    <w:p w14:paraId="699C393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3E26246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、请投标方仔细阅读“采购货物概况”章节内说明，针对允许分投分中的货物，招标方有权利选择其中优秀设备或服务，作为投标方合同供货范围中的指定选用设备或服务（替代投标方分投而未中标部分）。</w:t>
      </w:r>
    </w:p>
    <w:p w14:paraId="4D4ED52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、招标文件、投标文件、答疑文件、技术交流文件、技术协议书等，在采购过程全部为有效文件，如有差异，以对招标方最有利的条款为准。</w:t>
      </w:r>
    </w:p>
    <w:p w14:paraId="7C7AC26F">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、为避免歧异，本技术标书涉及招投标环节的条款，均将潜在的卖方称为投标方、将买方称为招标方；定标后合同签署环节以及后续的合同执行环节条款，招标方称为买方、投标方中的中标方称为卖方。</w:t>
      </w:r>
      <w:bookmarkEnd w:id="35"/>
    </w:p>
    <w:p w14:paraId="7A94FCE3">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48F2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18A07E3">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序号</w:t>
            </w:r>
          </w:p>
        </w:tc>
        <w:tc>
          <w:tcPr>
            <w:tcW w:w="756" w:type="dxa"/>
            <w:vAlign w:val="center"/>
          </w:tcPr>
          <w:p w14:paraId="2DB200A1">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产品及部件名称</w:t>
            </w:r>
          </w:p>
        </w:tc>
        <w:tc>
          <w:tcPr>
            <w:tcW w:w="790" w:type="dxa"/>
            <w:vAlign w:val="center"/>
          </w:tcPr>
          <w:p w14:paraId="5088BC8E">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规格型号及技术参数</w:t>
            </w:r>
          </w:p>
        </w:tc>
        <w:tc>
          <w:tcPr>
            <w:tcW w:w="701" w:type="dxa"/>
            <w:vAlign w:val="center"/>
          </w:tcPr>
          <w:p w14:paraId="32EAF3FA">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单位</w:t>
            </w:r>
          </w:p>
        </w:tc>
        <w:tc>
          <w:tcPr>
            <w:tcW w:w="1066" w:type="dxa"/>
            <w:vAlign w:val="center"/>
          </w:tcPr>
          <w:p w14:paraId="7C0D6E15">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数量</w:t>
            </w:r>
          </w:p>
        </w:tc>
        <w:tc>
          <w:tcPr>
            <w:tcW w:w="1046" w:type="dxa"/>
            <w:vAlign w:val="center"/>
          </w:tcPr>
          <w:p w14:paraId="1898C600">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不含税</w:t>
            </w:r>
          </w:p>
          <w:p w14:paraId="16A4EEAE">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单价</w:t>
            </w:r>
          </w:p>
        </w:tc>
        <w:tc>
          <w:tcPr>
            <w:tcW w:w="977" w:type="dxa"/>
            <w:vAlign w:val="center"/>
          </w:tcPr>
          <w:p w14:paraId="22647E6B">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税率</w:t>
            </w:r>
          </w:p>
        </w:tc>
        <w:tc>
          <w:tcPr>
            <w:tcW w:w="881" w:type="dxa"/>
            <w:vAlign w:val="center"/>
          </w:tcPr>
          <w:p w14:paraId="7029D7D5">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税额</w:t>
            </w:r>
          </w:p>
        </w:tc>
        <w:tc>
          <w:tcPr>
            <w:tcW w:w="997" w:type="dxa"/>
            <w:vAlign w:val="center"/>
          </w:tcPr>
          <w:p w14:paraId="62A22A3C">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含税</w:t>
            </w:r>
          </w:p>
          <w:p w14:paraId="634FF2EF">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单价</w:t>
            </w:r>
          </w:p>
        </w:tc>
        <w:tc>
          <w:tcPr>
            <w:tcW w:w="677" w:type="dxa"/>
            <w:vAlign w:val="center"/>
          </w:tcPr>
          <w:p w14:paraId="16DD4E66">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品牌</w:t>
            </w:r>
          </w:p>
        </w:tc>
        <w:tc>
          <w:tcPr>
            <w:tcW w:w="677" w:type="dxa"/>
            <w:vAlign w:val="center"/>
          </w:tcPr>
          <w:p w14:paraId="61FE39F1">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其他</w:t>
            </w:r>
          </w:p>
        </w:tc>
      </w:tr>
      <w:tr w14:paraId="5099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99846BE">
            <w:pPr>
              <w:pStyle w:val="28"/>
              <w:spacing w:line="360" w:lineRule="auto"/>
              <w:ind w:left="420" w:hanging="420"/>
              <w:jc w:val="center"/>
              <w:rPr>
                <w:rFonts w:hint="eastAsia" w:ascii="宋体" w:hAnsi="宋体" w:eastAsia="宋体" w:cs="宋体"/>
              </w:rPr>
            </w:pPr>
            <w:r>
              <w:rPr>
                <w:rFonts w:hint="eastAsia" w:ascii="宋体" w:hAnsi="宋体" w:eastAsia="宋体" w:cs="宋体"/>
              </w:rPr>
              <w:t>1</w:t>
            </w:r>
          </w:p>
        </w:tc>
        <w:tc>
          <w:tcPr>
            <w:tcW w:w="756" w:type="dxa"/>
            <w:vAlign w:val="center"/>
          </w:tcPr>
          <w:p w14:paraId="26C5C09D">
            <w:pPr>
              <w:pStyle w:val="28"/>
              <w:spacing w:line="360" w:lineRule="auto"/>
              <w:ind w:left="0" w:firstLine="0" w:firstLineChars="0"/>
              <w:jc w:val="center"/>
              <w:rPr>
                <w:rFonts w:hint="eastAsia" w:ascii="宋体" w:hAnsi="宋体" w:eastAsia="宋体" w:cs="宋体"/>
              </w:rPr>
            </w:pPr>
          </w:p>
        </w:tc>
        <w:tc>
          <w:tcPr>
            <w:tcW w:w="790" w:type="dxa"/>
            <w:vAlign w:val="center"/>
          </w:tcPr>
          <w:p w14:paraId="399CBE9C">
            <w:pPr>
              <w:pStyle w:val="28"/>
              <w:spacing w:line="360" w:lineRule="auto"/>
              <w:ind w:left="0" w:firstLine="0" w:firstLineChars="0"/>
              <w:jc w:val="center"/>
              <w:rPr>
                <w:rFonts w:hint="eastAsia" w:ascii="宋体" w:hAnsi="宋体" w:eastAsia="宋体" w:cs="宋体"/>
              </w:rPr>
            </w:pPr>
          </w:p>
        </w:tc>
        <w:tc>
          <w:tcPr>
            <w:tcW w:w="701" w:type="dxa"/>
            <w:vAlign w:val="center"/>
          </w:tcPr>
          <w:p w14:paraId="6BEC4A78">
            <w:pPr>
              <w:pStyle w:val="28"/>
              <w:spacing w:line="360" w:lineRule="auto"/>
              <w:ind w:left="0" w:firstLine="0" w:firstLineChars="0"/>
              <w:jc w:val="center"/>
              <w:rPr>
                <w:rFonts w:hint="eastAsia" w:ascii="宋体" w:hAnsi="宋体" w:eastAsia="宋体" w:cs="宋体"/>
              </w:rPr>
            </w:pPr>
          </w:p>
        </w:tc>
        <w:tc>
          <w:tcPr>
            <w:tcW w:w="1066" w:type="dxa"/>
            <w:vAlign w:val="center"/>
          </w:tcPr>
          <w:p w14:paraId="717254B2">
            <w:pPr>
              <w:pStyle w:val="28"/>
              <w:spacing w:line="360" w:lineRule="auto"/>
              <w:ind w:left="0" w:firstLine="0" w:firstLineChars="0"/>
              <w:jc w:val="center"/>
              <w:rPr>
                <w:rFonts w:hint="eastAsia" w:ascii="宋体" w:hAnsi="宋体" w:eastAsia="宋体" w:cs="宋体"/>
              </w:rPr>
            </w:pPr>
          </w:p>
        </w:tc>
        <w:tc>
          <w:tcPr>
            <w:tcW w:w="1046" w:type="dxa"/>
            <w:vAlign w:val="center"/>
          </w:tcPr>
          <w:p w14:paraId="2AF62200">
            <w:pPr>
              <w:pStyle w:val="28"/>
              <w:spacing w:line="360" w:lineRule="auto"/>
              <w:ind w:left="0" w:firstLine="0" w:firstLineChars="0"/>
              <w:jc w:val="center"/>
              <w:rPr>
                <w:rFonts w:hint="eastAsia" w:ascii="宋体" w:hAnsi="宋体" w:eastAsia="宋体" w:cs="宋体"/>
              </w:rPr>
            </w:pPr>
          </w:p>
        </w:tc>
        <w:tc>
          <w:tcPr>
            <w:tcW w:w="977" w:type="dxa"/>
            <w:vAlign w:val="center"/>
          </w:tcPr>
          <w:p w14:paraId="70F4B32B">
            <w:pPr>
              <w:pStyle w:val="28"/>
              <w:spacing w:line="360" w:lineRule="auto"/>
              <w:ind w:left="0" w:firstLine="0" w:firstLineChars="0"/>
              <w:jc w:val="center"/>
              <w:rPr>
                <w:rFonts w:hint="eastAsia" w:ascii="宋体" w:hAnsi="宋体" w:eastAsia="宋体" w:cs="宋体"/>
              </w:rPr>
            </w:pPr>
          </w:p>
        </w:tc>
        <w:tc>
          <w:tcPr>
            <w:tcW w:w="881" w:type="dxa"/>
            <w:vAlign w:val="center"/>
          </w:tcPr>
          <w:p w14:paraId="30DD758E">
            <w:pPr>
              <w:pStyle w:val="28"/>
              <w:spacing w:line="360" w:lineRule="auto"/>
              <w:ind w:left="0" w:firstLine="0" w:firstLineChars="0"/>
              <w:jc w:val="center"/>
              <w:rPr>
                <w:rFonts w:hint="eastAsia" w:ascii="宋体" w:hAnsi="宋体" w:eastAsia="宋体" w:cs="宋体"/>
              </w:rPr>
            </w:pPr>
          </w:p>
        </w:tc>
        <w:tc>
          <w:tcPr>
            <w:tcW w:w="997" w:type="dxa"/>
            <w:vAlign w:val="center"/>
          </w:tcPr>
          <w:p w14:paraId="7686B54B">
            <w:pPr>
              <w:pStyle w:val="28"/>
              <w:spacing w:line="360" w:lineRule="auto"/>
              <w:ind w:left="0" w:firstLine="0" w:firstLineChars="0"/>
              <w:jc w:val="center"/>
              <w:rPr>
                <w:rFonts w:hint="eastAsia" w:ascii="宋体" w:hAnsi="宋体" w:eastAsia="宋体" w:cs="宋体"/>
              </w:rPr>
            </w:pPr>
          </w:p>
        </w:tc>
        <w:tc>
          <w:tcPr>
            <w:tcW w:w="677" w:type="dxa"/>
            <w:vAlign w:val="center"/>
          </w:tcPr>
          <w:p w14:paraId="3BF003BE">
            <w:pPr>
              <w:pStyle w:val="28"/>
              <w:spacing w:line="360" w:lineRule="auto"/>
              <w:ind w:left="0" w:firstLine="0" w:firstLineChars="0"/>
              <w:jc w:val="center"/>
              <w:rPr>
                <w:rFonts w:hint="eastAsia" w:ascii="宋体" w:hAnsi="宋体" w:eastAsia="宋体" w:cs="宋体"/>
              </w:rPr>
            </w:pPr>
          </w:p>
        </w:tc>
        <w:tc>
          <w:tcPr>
            <w:tcW w:w="677" w:type="dxa"/>
            <w:vAlign w:val="center"/>
          </w:tcPr>
          <w:p w14:paraId="04862A32">
            <w:pPr>
              <w:pStyle w:val="28"/>
              <w:spacing w:line="360" w:lineRule="auto"/>
              <w:ind w:left="0" w:firstLine="0" w:firstLineChars="0"/>
              <w:jc w:val="center"/>
              <w:rPr>
                <w:rFonts w:hint="eastAsia" w:ascii="宋体" w:hAnsi="宋体" w:eastAsia="宋体" w:cs="宋体"/>
              </w:rPr>
            </w:pPr>
          </w:p>
        </w:tc>
      </w:tr>
      <w:tr w14:paraId="5D30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70637BC">
            <w:pPr>
              <w:pStyle w:val="28"/>
              <w:spacing w:line="360" w:lineRule="auto"/>
              <w:ind w:left="420" w:hanging="420"/>
              <w:jc w:val="center"/>
              <w:rPr>
                <w:rFonts w:hint="eastAsia" w:ascii="宋体" w:hAnsi="宋体" w:eastAsia="宋体" w:cs="宋体"/>
              </w:rPr>
            </w:pPr>
            <w:r>
              <w:rPr>
                <w:rFonts w:hint="eastAsia" w:ascii="宋体" w:hAnsi="宋体" w:eastAsia="宋体" w:cs="宋体"/>
              </w:rPr>
              <w:t>2</w:t>
            </w:r>
          </w:p>
        </w:tc>
        <w:tc>
          <w:tcPr>
            <w:tcW w:w="756" w:type="dxa"/>
            <w:vAlign w:val="center"/>
          </w:tcPr>
          <w:p w14:paraId="34F67D91">
            <w:pPr>
              <w:pStyle w:val="28"/>
              <w:spacing w:line="360" w:lineRule="auto"/>
              <w:ind w:left="0" w:firstLine="0" w:firstLineChars="0"/>
              <w:jc w:val="center"/>
              <w:rPr>
                <w:rFonts w:hint="eastAsia" w:ascii="宋体" w:hAnsi="宋体" w:eastAsia="宋体" w:cs="宋体"/>
              </w:rPr>
            </w:pPr>
          </w:p>
        </w:tc>
        <w:tc>
          <w:tcPr>
            <w:tcW w:w="790" w:type="dxa"/>
            <w:vAlign w:val="center"/>
          </w:tcPr>
          <w:p w14:paraId="5C98AC11">
            <w:pPr>
              <w:pStyle w:val="28"/>
              <w:spacing w:line="360" w:lineRule="auto"/>
              <w:ind w:left="0" w:firstLine="0" w:firstLineChars="0"/>
              <w:jc w:val="center"/>
              <w:rPr>
                <w:rFonts w:hint="eastAsia" w:ascii="宋体" w:hAnsi="宋体" w:eastAsia="宋体" w:cs="宋体"/>
              </w:rPr>
            </w:pPr>
          </w:p>
        </w:tc>
        <w:tc>
          <w:tcPr>
            <w:tcW w:w="701" w:type="dxa"/>
            <w:vAlign w:val="center"/>
          </w:tcPr>
          <w:p w14:paraId="48679129">
            <w:pPr>
              <w:pStyle w:val="28"/>
              <w:spacing w:line="360" w:lineRule="auto"/>
              <w:ind w:left="0" w:firstLine="0" w:firstLineChars="0"/>
              <w:jc w:val="center"/>
              <w:rPr>
                <w:rFonts w:hint="eastAsia" w:ascii="宋体" w:hAnsi="宋体" w:eastAsia="宋体" w:cs="宋体"/>
              </w:rPr>
            </w:pPr>
          </w:p>
        </w:tc>
        <w:tc>
          <w:tcPr>
            <w:tcW w:w="1066" w:type="dxa"/>
            <w:vAlign w:val="center"/>
          </w:tcPr>
          <w:p w14:paraId="6E3C6341">
            <w:pPr>
              <w:pStyle w:val="28"/>
              <w:spacing w:line="360" w:lineRule="auto"/>
              <w:ind w:left="0" w:firstLine="0" w:firstLineChars="0"/>
              <w:jc w:val="center"/>
              <w:rPr>
                <w:rFonts w:hint="eastAsia" w:ascii="宋体" w:hAnsi="宋体" w:eastAsia="宋体" w:cs="宋体"/>
              </w:rPr>
            </w:pPr>
          </w:p>
        </w:tc>
        <w:tc>
          <w:tcPr>
            <w:tcW w:w="1046" w:type="dxa"/>
            <w:vAlign w:val="center"/>
          </w:tcPr>
          <w:p w14:paraId="11875B59">
            <w:pPr>
              <w:pStyle w:val="28"/>
              <w:spacing w:line="360" w:lineRule="auto"/>
              <w:ind w:left="0" w:firstLine="0" w:firstLineChars="0"/>
              <w:jc w:val="center"/>
              <w:rPr>
                <w:rFonts w:hint="eastAsia" w:ascii="宋体" w:hAnsi="宋体" w:eastAsia="宋体" w:cs="宋体"/>
              </w:rPr>
            </w:pPr>
          </w:p>
        </w:tc>
        <w:tc>
          <w:tcPr>
            <w:tcW w:w="977" w:type="dxa"/>
            <w:vAlign w:val="center"/>
          </w:tcPr>
          <w:p w14:paraId="2261CAD3">
            <w:pPr>
              <w:pStyle w:val="28"/>
              <w:spacing w:line="360" w:lineRule="auto"/>
              <w:ind w:left="0" w:firstLine="0" w:firstLineChars="0"/>
              <w:jc w:val="center"/>
              <w:rPr>
                <w:rFonts w:hint="eastAsia" w:ascii="宋体" w:hAnsi="宋体" w:eastAsia="宋体" w:cs="宋体"/>
              </w:rPr>
            </w:pPr>
          </w:p>
        </w:tc>
        <w:tc>
          <w:tcPr>
            <w:tcW w:w="881" w:type="dxa"/>
            <w:vAlign w:val="center"/>
          </w:tcPr>
          <w:p w14:paraId="0B93175D">
            <w:pPr>
              <w:pStyle w:val="28"/>
              <w:spacing w:line="360" w:lineRule="auto"/>
              <w:ind w:left="0" w:firstLine="0" w:firstLineChars="0"/>
              <w:jc w:val="center"/>
              <w:rPr>
                <w:rFonts w:hint="eastAsia" w:ascii="宋体" w:hAnsi="宋体" w:eastAsia="宋体" w:cs="宋体"/>
              </w:rPr>
            </w:pPr>
          </w:p>
        </w:tc>
        <w:tc>
          <w:tcPr>
            <w:tcW w:w="997" w:type="dxa"/>
            <w:vAlign w:val="center"/>
          </w:tcPr>
          <w:p w14:paraId="467BE20A">
            <w:pPr>
              <w:pStyle w:val="28"/>
              <w:spacing w:line="360" w:lineRule="auto"/>
              <w:ind w:left="0" w:firstLine="0" w:firstLineChars="0"/>
              <w:jc w:val="center"/>
              <w:rPr>
                <w:rFonts w:hint="eastAsia" w:ascii="宋体" w:hAnsi="宋体" w:eastAsia="宋体" w:cs="宋体"/>
              </w:rPr>
            </w:pPr>
          </w:p>
        </w:tc>
        <w:tc>
          <w:tcPr>
            <w:tcW w:w="677" w:type="dxa"/>
            <w:vAlign w:val="center"/>
          </w:tcPr>
          <w:p w14:paraId="64D22CDF">
            <w:pPr>
              <w:pStyle w:val="28"/>
              <w:spacing w:line="360" w:lineRule="auto"/>
              <w:ind w:left="0" w:firstLine="0" w:firstLineChars="0"/>
              <w:jc w:val="center"/>
              <w:rPr>
                <w:rFonts w:hint="eastAsia" w:ascii="宋体" w:hAnsi="宋体" w:eastAsia="宋体" w:cs="宋体"/>
              </w:rPr>
            </w:pPr>
          </w:p>
        </w:tc>
        <w:tc>
          <w:tcPr>
            <w:tcW w:w="677" w:type="dxa"/>
            <w:vAlign w:val="center"/>
          </w:tcPr>
          <w:p w14:paraId="758D6BBD">
            <w:pPr>
              <w:pStyle w:val="28"/>
              <w:spacing w:line="360" w:lineRule="auto"/>
              <w:ind w:left="0" w:firstLine="0" w:firstLineChars="0"/>
              <w:jc w:val="center"/>
              <w:rPr>
                <w:rFonts w:hint="eastAsia" w:ascii="宋体" w:hAnsi="宋体" w:eastAsia="宋体" w:cs="宋体"/>
              </w:rPr>
            </w:pPr>
          </w:p>
        </w:tc>
      </w:tr>
      <w:tr w14:paraId="4D34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C97BDBD">
            <w:pPr>
              <w:pStyle w:val="28"/>
              <w:spacing w:line="360" w:lineRule="auto"/>
              <w:ind w:left="420" w:hanging="420"/>
              <w:jc w:val="center"/>
              <w:rPr>
                <w:rFonts w:hint="eastAsia" w:ascii="宋体" w:hAnsi="宋体" w:eastAsia="宋体" w:cs="宋体"/>
              </w:rPr>
            </w:pPr>
            <w:r>
              <w:rPr>
                <w:rFonts w:hint="eastAsia" w:ascii="宋体" w:hAnsi="宋体" w:eastAsia="宋体" w:cs="宋体"/>
              </w:rPr>
              <w:t>…</w:t>
            </w:r>
          </w:p>
        </w:tc>
        <w:tc>
          <w:tcPr>
            <w:tcW w:w="756" w:type="dxa"/>
            <w:vAlign w:val="center"/>
          </w:tcPr>
          <w:p w14:paraId="2E1C80E2">
            <w:pPr>
              <w:pStyle w:val="28"/>
              <w:spacing w:line="360" w:lineRule="auto"/>
              <w:ind w:left="0" w:firstLine="0" w:firstLineChars="0"/>
              <w:jc w:val="center"/>
              <w:rPr>
                <w:rFonts w:hint="eastAsia" w:ascii="宋体" w:hAnsi="宋体" w:eastAsia="宋体" w:cs="宋体"/>
              </w:rPr>
            </w:pPr>
          </w:p>
        </w:tc>
        <w:tc>
          <w:tcPr>
            <w:tcW w:w="790" w:type="dxa"/>
            <w:vAlign w:val="center"/>
          </w:tcPr>
          <w:p w14:paraId="127C8148">
            <w:pPr>
              <w:pStyle w:val="28"/>
              <w:spacing w:line="360" w:lineRule="auto"/>
              <w:ind w:left="0" w:firstLine="0" w:firstLineChars="0"/>
              <w:jc w:val="center"/>
              <w:rPr>
                <w:rFonts w:hint="eastAsia" w:ascii="宋体" w:hAnsi="宋体" w:eastAsia="宋体" w:cs="宋体"/>
              </w:rPr>
            </w:pPr>
          </w:p>
        </w:tc>
        <w:tc>
          <w:tcPr>
            <w:tcW w:w="701" w:type="dxa"/>
            <w:vAlign w:val="center"/>
          </w:tcPr>
          <w:p w14:paraId="4B8BEE42">
            <w:pPr>
              <w:pStyle w:val="28"/>
              <w:spacing w:line="360" w:lineRule="auto"/>
              <w:ind w:left="0" w:firstLine="0" w:firstLineChars="0"/>
              <w:jc w:val="center"/>
              <w:rPr>
                <w:rFonts w:hint="eastAsia" w:ascii="宋体" w:hAnsi="宋体" w:eastAsia="宋体" w:cs="宋体"/>
              </w:rPr>
            </w:pPr>
          </w:p>
        </w:tc>
        <w:tc>
          <w:tcPr>
            <w:tcW w:w="1066" w:type="dxa"/>
            <w:vAlign w:val="center"/>
          </w:tcPr>
          <w:p w14:paraId="5F576E2B">
            <w:pPr>
              <w:pStyle w:val="28"/>
              <w:spacing w:line="360" w:lineRule="auto"/>
              <w:ind w:left="0" w:firstLine="0" w:firstLineChars="0"/>
              <w:jc w:val="center"/>
              <w:rPr>
                <w:rFonts w:hint="eastAsia" w:ascii="宋体" w:hAnsi="宋体" w:eastAsia="宋体" w:cs="宋体"/>
              </w:rPr>
            </w:pPr>
          </w:p>
        </w:tc>
        <w:tc>
          <w:tcPr>
            <w:tcW w:w="1046" w:type="dxa"/>
            <w:vAlign w:val="center"/>
          </w:tcPr>
          <w:p w14:paraId="5F26F902">
            <w:pPr>
              <w:pStyle w:val="28"/>
              <w:spacing w:line="360" w:lineRule="auto"/>
              <w:ind w:left="0" w:firstLine="0" w:firstLineChars="0"/>
              <w:jc w:val="center"/>
              <w:rPr>
                <w:rFonts w:hint="eastAsia" w:ascii="宋体" w:hAnsi="宋体" w:eastAsia="宋体" w:cs="宋体"/>
              </w:rPr>
            </w:pPr>
          </w:p>
        </w:tc>
        <w:tc>
          <w:tcPr>
            <w:tcW w:w="977" w:type="dxa"/>
            <w:vAlign w:val="center"/>
          </w:tcPr>
          <w:p w14:paraId="18346E5B">
            <w:pPr>
              <w:pStyle w:val="28"/>
              <w:spacing w:line="360" w:lineRule="auto"/>
              <w:ind w:left="0" w:firstLine="0" w:firstLineChars="0"/>
              <w:jc w:val="center"/>
              <w:rPr>
                <w:rFonts w:hint="eastAsia" w:ascii="宋体" w:hAnsi="宋体" w:eastAsia="宋体" w:cs="宋体"/>
              </w:rPr>
            </w:pPr>
          </w:p>
        </w:tc>
        <w:tc>
          <w:tcPr>
            <w:tcW w:w="881" w:type="dxa"/>
            <w:vAlign w:val="center"/>
          </w:tcPr>
          <w:p w14:paraId="17FC8CCE">
            <w:pPr>
              <w:pStyle w:val="28"/>
              <w:spacing w:line="360" w:lineRule="auto"/>
              <w:ind w:left="0" w:firstLine="0" w:firstLineChars="0"/>
              <w:jc w:val="center"/>
              <w:rPr>
                <w:rFonts w:hint="eastAsia" w:ascii="宋体" w:hAnsi="宋体" w:eastAsia="宋体" w:cs="宋体"/>
              </w:rPr>
            </w:pPr>
          </w:p>
        </w:tc>
        <w:tc>
          <w:tcPr>
            <w:tcW w:w="997" w:type="dxa"/>
            <w:vAlign w:val="center"/>
          </w:tcPr>
          <w:p w14:paraId="68578619">
            <w:pPr>
              <w:pStyle w:val="28"/>
              <w:spacing w:line="360" w:lineRule="auto"/>
              <w:ind w:left="0" w:firstLine="0" w:firstLineChars="0"/>
              <w:jc w:val="center"/>
              <w:rPr>
                <w:rFonts w:hint="eastAsia" w:ascii="宋体" w:hAnsi="宋体" w:eastAsia="宋体" w:cs="宋体"/>
              </w:rPr>
            </w:pPr>
          </w:p>
        </w:tc>
        <w:tc>
          <w:tcPr>
            <w:tcW w:w="677" w:type="dxa"/>
            <w:vAlign w:val="center"/>
          </w:tcPr>
          <w:p w14:paraId="625C0FB9">
            <w:pPr>
              <w:pStyle w:val="28"/>
              <w:spacing w:line="360" w:lineRule="auto"/>
              <w:ind w:left="0" w:firstLine="0" w:firstLineChars="0"/>
              <w:jc w:val="center"/>
              <w:rPr>
                <w:rFonts w:hint="eastAsia" w:ascii="宋体" w:hAnsi="宋体" w:eastAsia="宋体" w:cs="宋体"/>
              </w:rPr>
            </w:pPr>
          </w:p>
        </w:tc>
        <w:tc>
          <w:tcPr>
            <w:tcW w:w="677" w:type="dxa"/>
            <w:vAlign w:val="center"/>
          </w:tcPr>
          <w:p w14:paraId="7CFC6403">
            <w:pPr>
              <w:pStyle w:val="28"/>
              <w:spacing w:line="360" w:lineRule="auto"/>
              <w:ind w:left="0" w:firstLine="0" w:firstLineChars="0"/>
              <w:jc w:val="center"/>
              <w:rPr>
                <w:rFonts w:hint="eastAsia" w:ascii="宋体" w:hAnsi="宋体" w:eastAsia="宋体" w:cs="宋体"/>
              </w:rPr>
            </w:pPr>
          </w:p>
        </w:tc>
      </w:tr>
      <w:tr w14:paraId="658D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00CFD3E">
            <w:pPr>
              <w:pStyle w:val="28"/>
              <w:spacing w:line="360" w:lineRule="auto"/>
              <w:ind w:left="420" w:hanging="420"/>
              <w:jc w:val="center"/>
              <w:rPr>
                <w:rFonts w:hint="eastAsia" w:ascii="宋体" w:hAnsi="宋体" w:eastAsia="宋体" w:cs="宋体"/>
              </w:rPr>
            </w:pPr>
            <w:r>
              <w:rPr>
                <w:rFonts w:hint="eastAsia" w:ascii="宋体" w:hAnsi="宋体" w:eastAsia="宋体" w:cs="宋体"/>
              </w:rPr>
              <w:t>合计</w:t>
            </w:r>
          </w:p>
        </w:tc>
        <w:tc>
          <w:tcPr>
            <w:tcW w:w="756" w:type="dxa"/>
            <w:vAlign w:val="center"/>
          </w:tcPr>
          <w:p w14:paraId="3E3F319A">
            <w:pPr>
              <w:pStyle w:val="28"/>
              <w:spacing w:line="360" w:lineRule="auto"/>
              <w:ind w:left="0" w:firstLine="0" w:firstLineChars="0"/>
              <w:jc w:val="center"/>
              <w:rPr>
                <w:rFonts w:hint="eastAsia" w:ascii="宋体" w:hAnsi="宋体" w:eastAsia="宋体" w:cs="宋体"/>
              </w:rPr>
            </w:pPr>
          </w:p>
        </w:tc>
        <w:tc>
          <w:tcPr>
            <w:tcW w:w="790" w:type="dxa"/>
            <w:vAlign w:val="center"/>
          </w:tcPr>
          <w:p w14:paraId="051E1017">
            <w:pPr>
              <w:pStyle w:val="28"/>
              <w:spacing w:line="360" w:lineRule="auto"/>
              <w:ind w:left="0" w:firstLine="0" w:firstLineChars="0"/>
              <w:jc w:val="center"/>
              <w:rPr>
                <w:rFonts w:hint="eastAsia" w:ascii="宋体" w:hAnsi="宋体" w:eastAsia="宋体" w:cs="宋体"/>
              </w:rPr>
            </w:pPr>
          </w:p>
        </w:tc>
        <w:tc>
          <w:tcPr>
            <w:tcW w:w="701" w:type="dxa"/>
            <w:vAlign w:val="center"/>
          </w:tcPr>
          <w:p w14:paraId="3D9E809D">
            <w:pPr>
              <w:pStyle w:val="28"/>
              <w:spacing w:line="360" w:lineRule="auto"/>
              <w:ind w:left="0" w:firstLine="0" w:firstLineChars="0"/>
              <w:jc w:val="center"/>
              <w:rPr>
                <w:rFonts w:hint="eastAsia" w:ascii="宋体" w:hAnsi="宋体" w:eastAsia="宋体" w:cs="宋体"/>
              </w:rPr>
            </w:pPr>
          </w:p>
        </w:tc>
        <w:tc>
          <w:tcPr>
            <w:tcW w:w="1066" w:type="dxa"/>
            <w:vAlign w:val="center"/>
          </w:tcPr>
          <w:p w14:paraId="5AC713A3">
            <w:pPr>
              <w:pStyle w:val="28"/>
              <w:spacing w:line="360" w:lineRule="auto"/>
              <w:ind w:left="0" w:firstLine="0" w:firstLineChars="0"/>
              <w:jc w:val="center"/>
              <w:rPr>
                <w:rFonts w:hint="eastAsia" w:ascii="宋体" w:hAnsi="宋体" w:eastAsia="宋体" w:cs="宋体"/>
              </w:rPr>
            </w:pPr>
          </w:p>
        </w:tc>
        <w:tc>
          <w:tcPr>
            <w:tcW w:w="1046" w:type="dxa"/>
            <w:vAlign w:val="center"/>
          </w:tcPr>
          <w:p w14:paraId="3F1F1D24">
            <w:pPr>
              <w:spacing w:line="360" w:lineRule="auto"/>
              <w:jc w:val="center"/>
              <w:rPr>
                <w:rFonts w:hint="eastAsia" w:ascii="宋体" w:hAnsi="宋体" w:eastAsia="宋体" w:cs="宋体"/>
              </w:rPr>
            </w:pPr>
          </w:p>
        </w:tc>
        <w:tc>
          <w:tcPr>
            <w:tcW w:w="977" w:type="dxa"/>
            <w:vAlign w:val="center"/>
          </w:tcPr>
          <w:p w14:paraId="2AD29D53">
            <w:pPr>
              <w:spacing w:line="360" w:lineRule="auto"/>
              <w:jc w:val="center"/>
              <w:rPr>
                <w:rFonts w:hint="eastAsia" w:ascii="宋体" w:hAnsi="宋体" w:eastAsia="宋体" w:cs="宋体"/>
              </w:rPr>
            </w:pPr>
          </w:p>
        </w:tc>
        <w:tc>
          <w:tcPr>
            <w:tcW w:w="881" w:type="dxa"/>
            <w:vAlign w:val="center"/>
          </w:tcPr>
          <w:p w14:paraId="05F2C7EB">
            <w:pPr>
              <w:spacing w:line="360" w:lineRule="auto"/>
              <w:jc w:val="center"/>
              <w:rPr>
                <w:rFonts w:hint="eastAsia" w:ascii="宋体" w:hAnsi="宋体" w:eastAsia="宋体" w:cs="宋体"/>
              </w:rPr>
            </w:pPr>
          </w:p>
        </w:tc>
        <w:tc>
          <w:tcPr>
            <w:tcW w:w="997" w:type="dxa"/>
            <w:vAlign w:val="center"/>
          </w:tcPr>
          <w:p w14:paraId="562D60B5">
            <w:pPr>
              <w:spacing w:line="360" w:lineRule="auto"/>
              <w:jc w:val="center"/>
              <w:rPr>
                <w:rFonts w:hint="eastAsia" w:ascii="宋体" w:hAnsi="宋体" w:eastAsia="宋体" w:cs="宋体"/>
              </w:rPr>
            </w:pPr>
          </w:p>
        </w:tc>
        <w:tc>
          <w:tcPr>
            <w:tcW w:w="677" w:type="dxa"/>
            <w:vAlign w:val="center"/>
          </w:tcPr>
          <w:p w14:paraId="54674FFC">
            <w:pPr>
              <w:spacing w:line="360" w:lineRule="auto"/>
              <w:jc w:val="center"/>
              <w:rPr>
                <w:rFonts w:hint="eastAsia" w:ascii="宋体" w:hAnsi="宋体" w:eastAsia="宋体" w:cs="宋体"/>
              </w:rPr>
            </w:pPr>
          </w:p>
        </w:tc>
        <w:tc>
          <w:tcPr>
            <w:tcW w:w="677" w:type="dxa"/>
            <w:vAlign w:val="center"/>
          </w:tcPr>
          <w:p w14:paraId="45B42ABB">
            <w:pPr>
              <w:spacing w:line="360" w:lineRule="auto"/>
              <w:jc w:val="center"/>
              <w:rPr>
                <w:rFonts w:hint="eastAsia" w:ascii="宋体" w:hAnsi="宋体" w:eastAsia="宋体" w:cs="宋体"/>
              </w:rPr>
            </w:pPr>
          </w:p>
        </w:tc>
      </w:tr>
    </w:tbl>
    <w:p w14:paraId="53630DA5">
      <w:pPr>
        <w:pStyle w:val="3"/>
        <w:tabs>
          <w:tab w:val="right" w:leader="dot" w:pos="9061"/>
        </w:tabs>
        <w:ind w:left="0"/>
        <w:jc w:val="both"/>
        <w:rPr>
          <w:rFonts w:asciiTheme="minorEastAsia" w:hAnsiTheme="minorEastAsia" w:eastAsiaTheme="minorEastAsia" w:cstheme="minorEastAsia"/>
          <w:sz w:val="20"/>
        </w:rPr>
      </w:pPr>
    </w:p>
    <w:p w14:paraId="1844B351">
      <w:pPr>
        <w:rPr>
          <w:rFonts w:asciiTheme="minorEastAsia" w:hAnsiTheme="minorEastAsia" w:eastAsiaTheme="minorEastAsia" w:cstheme="minorEastAsia"/>
          <w:sz w:val="20"/>
        </w:rPr>
      </w:pPr>
    </w:p>
    <w:p w14:paraId="75EB2E6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BA58F26">
      <w:pPr>
        <w:widowControl/>
        <w:adjustRightInd w:val="0"/>
        <w:snapToGrid w:val="0"/>
        <w:spacing w:line="360" w:lineRule="auto"/>
        <w:ind w:firstLine="480" w:firstLineChars="200"/>
        <w:jc w:val="left"/>
        <w:rPr>
          <w:rFonts w:hint="eastAsia" w:ascii="宋体" w:hAnsi="宋体" w:eastAsia="宋体" w:cs="宋体"/>
          <w:b/>
          <w:bCs/>
          <w:snapToGrid w:val="0"/>
          <w:kern w:val="0"/>
          <w:sz w:val="24"/>
          <w:szCs w:val="24"/>
          <w:u w:val="single"/>
        </w:rPr>
      </w:pPr>
      <w:r>
        <w:rPr>
          <w:rFonts w:hint="eastAsia" w:ascii="宋体" w:hAnsi="宋体" w:eastAsia="宋体" w:cs="宋体"/>
          <w:snapToGrid w:val="0"/>
          <w:kern w:val="0"/>
          <w:sz w:val="24"/>
          <w:szCs w:val="24"/>
          <w:lang w:eastAsia="zh-Hans"/>
        </w:rPr>
        <w:t>甲方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bCs/>
          <w:snapToGrid w:val="0"/>
          <w:kern w:val="0"/>
          <w:sz w:val="24"/>
          <w:szCs w:val="24"/>
          <w:u w:val="single"/>
          <w:lang w:eastAsia="zh-CN"/>
        </w:rPr>
        <w:t>甲方单位</w:t>
      </w:r>
      <w:r>
        <w:rPr>
          <w:rFonts w:hint="eastAsia" w:ascii="宋体" w:hAnsi="宋体" w:eastAsia="宋体" w:cs="宋体"/>
          <w:b/>
          <w:bCs/>
          <w:snapToGrid w:val="0"/>
          <w:kern w:val="0"/>
          <w:sz w:val="24"/>
          <w:szCs w:val="24"/>
          <w:u w:val="single"/>
        </w:rPr>
        <w:t>全称</w:t>
      </w:r>
    </w:p>
    <w:p w14:paraId="7945CDD9">
      <w:pPr>
        <w:widowControl/>
        <w:adjustRightInd w:val="0"/>
        <w:snapToGrid w:val="0"/>
        <w:spacing w:line="360" w:lineRule="auto"/>
        <w:ind w:firstLine="482" w:firstLineChars="200"/>
        <w:jc w:val="left"/>
        <w:rPr>
          <w:rFonts w:hint="eastAsia" w:ascii="宋体" w:hAnsi="宋体" w:eastAsia="宋体" w:cs="宋体"/>
          <w:b/>
          <w:bCs/>
          <w:snapToGrid w:val="0"/>
          <w:kern w:val="0"/>
          <w:sz w:val="24"/>
          <w:szCs w:val="24"/>
          <w:u w:val="single"/>
        </w:rPr>
      </w:pPr>
    </w:p>
    <w:p w14:paraId="36B9CA09">
      <w:pPr>
        <w:widowControl/>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rPr>
        <w:t>甲方</w:t>
      </w:r>
      <w:r>
        <w:rPr>
          <w:rFonts w:hint="eastAsia" w:ascii="宋体" w:hAnsi="宋体" w:eastAsia="宋体" w:cs="宋体"/>
          <w:snapToGrid w:val="0"/>
          <w:color w:val="000000"/>
          <w:kern w:val="0"/>
          <w:sz w:val="24"/>
          <w:szCs w:val="24"/>
        </w:rPr>
        <w:t>代表</w:t>
      </w:r>
      <w:r>
        <w:rPr>
          <w:rFonts w:hint="eastAsia" w:ascii="宋体" w:hAnsi="宋体" w:eastAsia="宋体" w:cs="宋体"/>
          <w:snapToGrid w:val="0"/>
          <w:color w:val="000000"/>
          <w:kern w:val="0"/>
          <w:sz w:val="24"/>
          <w:szCs w:val="24"/>
          <w:lang w:eastAsia="zh-Hans"/>
        </w:rPr>
        <w:t xml:space="preserve">（签字）： </w:t>
      </w:r>
    </w:p>
    <w:p w14:paraId="1D11706E">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p>
    <w:p w14:paraId="632ADDA8">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p>
    <w:p w14:paraId="403DDA04">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p>
    <w:p w14:paraId="40F98E1A">
      <w:pPr>
        <w:widowControl/>
        <w:adjustRightInd w:val="0"/>
        <w:snapToGrid w:val="0"/>
        <w:spacing w:line="360" w:lineRule="auto"/>
        <w:ind w:firstLine="480" w:firstLineChars="200"/>
        <w:jc w:val="left"/>
        <w:rPr>
          <w:rFonts w:hint="eastAsia" w:ascii="宋体" w:hAnsi="宋体" w:eastAsia="宋体" w:cs="宋体"/>
          <w:b/>
          <w:sz w:val="24"/>
          <w:szCs w:val="24"/>
          <w:u w:val="single"/>
        </w:rPr>
      </w:pPr>
      <w:r>
        <w:rPr>
          <w:rFonts w:hint="eastAsia" w:ascii="宋体" w:hAnsi="宋体" w:eastAsia="宋体" w:cs="宋体"/>
          <w:snapToGrid w:val="0"/>
          <w:kern w:val="0"/>
          <w:sz w:val="24"/>
          <w:szCs w:val="24"/>
        </w:rPr>
        <w:t>乙</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sz w:val="24"/>
          <w:szCs w:val="24"/>
          <w:u w:val="single"/>
          <w:lang w:eastAsia="zh-CN"/>
        </w:rPr>
        <w:t>乙方单位</w:t>
      </w:r>
      <w:r>
        <w:rPr>
          <w:rFonts w:hint="eastAsia" w:ascii="宋体" w:hAnsi="宋体" w:eastAsia="宋体" w:cs="宋体"/>
          <w:b/>
          <w:sz w:val="24"/>
          <w:szCs w:val="24"/>
          <w:u w:val="single"/>
        </w:rPr>
        <w:t>全称</w:t>
      </w:r>
    </w:p>
    <w:p w14:paraId="388A33CC">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val="en-US" w:eastAsia="zh-Hans"/>
        </w:rPr>
      </w:pPr>
      <w:r>
        <w:rPr>
          <w:rFonts w:hint="eastAsia" w:ascii="宋体" w:hAnsi="宋体" w:eastAsia="宋体" w:cs="宋体"/>
          <w:snapToGrid w:val="0"/>
          <w:color w:val="000000"/>
          <w:kern w:val="0"/>
          <w:sz w:val="24"/>
          <w:szCs w:val="24"/>
          <w:lang w:val="en-US" w:eastAsia="zh-CN"/>
        </w:rPr>
        <w:t>乙方代表</w:t>
      </w:r>
      <w:r>
        <w:rPr>
          <w:rFonts w:hint="eastAsia" w:ascii="宋体" w:hAnsi="宋体" w:eastAsia="宋体" w:cs="宋体"/>
          <w:snapToGrid w:val="0"/>
          <w:color w:val="000000"/>
          <w:kern w:val="0"/>
          <w:sz w:val="24"/>
          <w:szCs w:val="24"/>
          <w:lang w:val="en-US" w:eastAsia="zh-Hans"/>
        </w:rPr>
        <w:t xml:space="preserve">（签字）： </w:t>
      </w:r>
    </w:p>
    <w:p w14:paraId="448B92D4">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18FE86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70D6E01D">
      <w:pPr>
        <w:spacing w:line="360" w:lineRule="auto"/>
        <w:ind w:firstLine="480" w:firstLineChars="200"/>
        <w:rPr>
          <w:rFonts w:hint="eastAsia" w:ascii="宋体" w:hAnsi="宋体" w:eastAsia="宋体" w:cs="宋体"/>
          <w:sz w:val="24"/>
          <w:szCs w:val="24"/>
        </w:rPr>
      </w:pPr>
    </w:p>
    <w:p w14:paraId="7B9C4E12">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F943B8A">
      <w:pPr>
        <w:pStyle w:val="2"/>
        <w:spacing w:before="8" w:after="156"/>
        <w:rPr>
          <w:rFonts w:ascii="楷体" w:hAnsi="楷体" w:eastAsia="楷体" w:cs="楷体"/>
          <w:sz w:val="44"/>
          <w:szCs w:val="28"/>
        </w:rPr>
      </w:pPr>
    </w:p>
    <w:p w14:paraId="6C7A25F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224393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54366E1">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AA92897">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9A024E9">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DEC5823">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93A45F7">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2246CB3A">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27AF2543">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8B13121">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141E76D7">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29A943C">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0B36E01">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BE8CC7E">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9CDE085">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74BA93F0">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665967F">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197AAC7">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06CA981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7BC9D833">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E853F7E">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5063386">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5D0B91EF">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8659649">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9B53053">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1BB3B8">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99FC657">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FF10BE6">
      <w:pPr>
        <w:pStyle w:val="2"/>
        <w:spacing w:before="9" w:after="156"/>
        <w:rPr>
          <w:rFonts w:ascii="楷体" w:hAnsi="楷体" w:eastAsia="楷体" w:cs="楷体"/>
          <w:sz w:val="40"/>
          <w:szCs w:val="28"/>
        </w:rPr>
      </w:pPr>
    </w:p>
    <w:p w14:paraId="2F75674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11B8D37">
      <w:pPr>
        <w:pStyle w:val="2"/>
        <w:spacing w:after="156"/>
        <w:rPr>
          <w:rFonts w:ascii="楷体" w:hAnsi="楷体" w:eastAsia="楷体" w:cs="楷体"/>
          <w:b/>
          <w:sz w:val="24"/>
          <w:szCs w:val="28"/>
        </w:rPr>
      </w:pPr>
    </w:p>
    <w:p w14:paraId="4C7BBE19">
      <w:pPr>
        <w:pStyle w:val="2"/>
        <w:spacing w:before="1" w:after="156"/>
        <w:rPr>
          <w:rFonts w:ascii="楷体" w:hAnsi="楷体" w:eastAsia="楷体" w:cs="楷体"/>
          <w:b/>
          <w:sz w:val="24"/>
          <w:szCs w:val="28"/>
        </w:rPr>
      </w:pPr>
    </w:p>
    <w:p w14:paraId="52890989">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0BCAE5A">
      <w:pPr>
        <w:pStyle w:val="2"/>
        <w:spacing w:after="156"/>
        <w:rPr>
          <w:rFonts w:ascii="楷体" w:hAnsi="楷体" w:eastAsia="楷体" w:cs="楷体"/>
          <w:b/>
          <w:sz w:val="24"/>
          <w:szCs w:val="28"/>
        </w:rPr>
      </w:pPr>
    </w:p>
    <w:p w14:paraId="3B806799">
      <w:pPr>
        <w:pStyle w:val="2"/>
        <w:spacing w:before="4" w:after="156"/>
        <w:rPr>
          <w:rFonts w:ascii="楷体" w:hAnsi="楷体" w:eastAsia="楷体" w:cs="楷体"/>
          <w:b/>
          <w:sz w:val="24"/>
          <w:szCs w:val="28"/>
        </w:rPr>
      </w:pPr>
    </w:p>
    <w:p w14:paraId="4F60F15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91360E">
      <w:pPr>
        <w:tabs>
          <w:tab w:val="left" w:pos="5457"/>
        </w:tabs>
        <w:ind w:left="117"/>
        <w:rPr>
          <w:rFonts w:ascii="楷体" w:hAnsi="楷体" w:eastAsia="楷体" w:cs="楷体"/>
          <w:b/>
          <w:sz w:val="24"/>
          <w:szCs w:val="21"/>
        </w:rPr>
      </w:pPr>
    </w:p>
    <w:p w14:paraId="7BF9EBA6">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1978C15A">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p>
    <w:p w14:paraId="41CA73D7">
      <w:pPr>
        <w:keepNext/>
        <w:keepLines/>
        <w:rPr>
          <w:rFonts w:ascii="Times New Roman" w:hAnsi="Times New Roman" w:eastAsia="宋体" w:cs="Times New Roman"/>
          <w:b/>
          <w:bCs/>
          <w:color w:val="000000"/>
          <w:sz w:val="24"/>
          <w:szCs w:val="24"/>
        </w:rPr>
      </w:pPr>
    </w:p>
    <w:p w14:paraId="76DA086A">
      <w:pPr>
        <w:pStyle w:val="18"/>
        <w:rPr>
          <w:rFonts w:ascii="Times New Roman" w:hAnsi="Times New Roman" w:eastAsia="宋体" w:cs="Times New Roman"/>
          <w:b/>
          <w:bCs/>
          <w:color w:val="000000"/>
          <w:sz w:val="24"/>
          <w:szCs w:val="24"/>
        </w:rPr>
      </w:pPr>
    </w:p>
    <w:p w14:paraId="3A5241E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F46ABA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369C79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85E15F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78C84D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167902B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59180DC">
      <w:pPr>
        <w:pStyle w:val="18"/>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7AD520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8" w:name="_Toc353881012"/>
      <w:bookmarkStart w:id="139" w:name="_Toc212369550"/>
      <w:bookmarkStart w:id="140" w:name="_Toc25811"/>
      <w:bookmarkStart w:id="141"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8"/>
      <w:bookmarkEnd w:id="139"/>
      <w:bookmarkEnd w:id="140"/>
      <w:bookmarkEnd w:id="141"/>
    </w:p>
    <w:p w14:paraId="4879C5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red"/>
        </w:rPr>
        <w:t>致：中国重汽集团济南</w:t>
      </w:r>
      <w:r>
        <w:rPr>
          <w:rFonts w:hint="eastAsia" w:ascii="宋体" w:hAnsi="宋体" w:eastAsia="宋体" w:cs="Times New Roman"/>
          <w:color w:val="000000"/>
          <w:sz w:val="24"/>
          <w:szCs w:val="24"/>
          <w:highlight w:val="red"/>
          <w:lang w:val="en-US" w:eastAsia="zh-CN"/>
        </w:rPr>
        <w:t>商用车</w:t>
      </w:r>
      <w:r>
        <w:rPr>
          <w:rFonts w:hint="eastAsia" w:ascii="宋体" w:hAnsi="宋体" w:eastAsia="宋体" w:cs="Times New Roman"/>
          <w:color w:val="000000"/>
          <w:sz w:val="24"/>
          <w:szCs w:val="24"/>
          <w:highlight w:val="red"/>
        </w:rPr>
        <w:t>有限公司</w:t>
      </w:r>
      <w:r>
        <w:rPr>
          <w:rFonts w:hint="eastAsia" w:ascii="宋体" w:hAnsi="宋体" w:eastAsia="宋体" w:cs="Times New Roman"/>
          <w:color w:val="000000"/>
          <w:sz w:val="24"/>
          <w:szCs w:val="24"/>
        </w:rPr>
        <w:t>：</w:t>
      </w:r>
    </w:p>
    <w:p w14:paraId="0A78EF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仿宋_GB2312" w:hAnsi="宋体" w:eastAsia="仿宋_GB2312"/>
          <w:sz w:val="24"/>
          <w:u w:val="single"/>
          <w:lang w:val="en-US" w:eastAsia="zh-CN"/>
        </w:rPr>
        <w:t>汕德卡新增配置驾驶室设备工装改造及更新技改项目</w:t>
      </w:r>
      <w:r>
        <w:rPr>
          <w:rFonts w:hint="eastAsia" w:ascii="宋体" w:hAnsi="宋体" w:eastAsia="宋体" w:cs="Times New Roman"/>
          <w:color w:val="000000"/>
          <w:sz w:val="24"/>
          <w:szCs w:val="24"/>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14:paraId="277288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9A310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575FD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37A2F0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C8287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9AEB70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9505C5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5A77D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2FC1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A0E78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D6B68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08676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EAC3F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03ED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4113ED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F3E11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A2AAA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6406AD">
      <w:pPr>
        <w:rPr>
          <w:rFonts w:ascii="黑体" w:hAnsi="Calibri" w:eastAsia="黑体" w:cs="Times New Roman"/>
          <w:color w:val="000000"/>
          <w:sz w:val="24"/>
          <w:szCs w:val="24"/>
        </w:rPr>
      </w:pPr>
    </w:p>
    <w:p w14:paraId="64BF9B76">
      <w:pPr>
        <w:rPr>
          <w:rFonts w:ascii="黑体" w:hAnsi="Calibri" w:eastAsia="黑体" w:cs="Times New Roman"/>
          <w:color w:val="000000"/>
          <w:sz w:val="24"/>
          <w:szCs w:val="24"/>
        </w:rPr>
      </w:pPr>
    </w:p>
    <w:p w14:paraId="56D0FCE1">
      <w:pPr>
        <w:pStyle w:val="18"/>
        <w:rPr>
          <w:rFonts w:ascii="黑体" w:hAnsi="Calibri" w:eastAsia="黑体" w:cs="Times New Roman"/>
          <w:color w:val="000000"/>
          <w:sz w:val="24"/>
          <w:szCs w:val="24"/>
        </w:rPr>
      </w:pPr>
    </w:p>
    <w:p w14:paraId="74663D5E">
      <w:pPr>
        <w:pStyle w:val="18"/>
        <w:rPr>
          <w:rFonts w:ascii="黑体" w:hAnsi="Calibri" w:eastAsia="黑体" w:cs="Times New Roman"/>
          <w:color w:val="000000"/>
          <w:sz w:val="24"/>
          <w:szCs w:val="24"/>
        </w:rPr>
      </w:pPr>
    </w:p>
    <w:p w14:paraId="04F90C00">
      <w:pPr>
        <w:pStyle w:val="18"/>
        <w:rPr>
          <w:rFonts w:ascii="黑体" w:hAnsi="Calibri" w:eastAsia="黑体" w:cs="Times New Roman"/>
          <w:color w:val="000000"/>
          <w:sz w:val="24"/>
          <w:szCs w:val="24"/>
        </w:rPr>
      </w:pPr>
    </w:p>
    <w:p w14:paraId="2CC25EC2">
      <w:pPr>
        <w:pStyle w:val="18"/>
        <w:rPr>
          <w:rFonts w:ascii="黑体" w:hAnsi="Calibri" w:eastAsia="黑体" w:cs="Times New Roman"/>
          <w:color w:val="000000"/>
          <w:sz w:val="24"/>
          <w:szCs w:val="24"/>
        </w:rPr>
      </w:pPr>
    </w:p>
    <w:p w14:paraId="13A4567B">
      <w:pPr>
        <w:rPr>
          <w:rFonts w:ascii="黑体" w:hAnsi="Calibri" w:eastAsia="黑体" w:cs="Times New Roman"/>
          <w:color w:val="000000"/>
          <w:sz w:val="24"/>
          <w:szCs w:val="24"/>
        </w:rPr>
      </w:pPr>
    </w:p>
    <w:p w14:paraId="1C8160D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BBE44C">
      <w:pPr>
        <w:adjustRightInd w:val="0"/>
        <w:snapToGrid w:val="0"/>
        <w:spacing w:before="93" w:beforeLines="30" w:line="240" w:lineRule="exact"/>
        <w:jc w:val="center"/>
        <w:rPr>
          <w:rFonts w:ascii="宋体" w:hAnsi="Calibri" w:eastAsia="宋体" w:cs="Times New Roman"/>
          <w:sz w:val="24"/>
          <w:szCs w:val="20"/>
        </w:rPr>
      </w:pPr>
    </w:p>
    <w:p w14:paraId="409543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仿宋_GB2312" w:hAnsi="宋体" w:eastAsia="仿宋_GB2312"/>
          <w:sz w:val="24"/>
          <w:u w:val="single"/>
          <w:lang w:val="en-US" w:eastAsia="zh-CN"/>
        </w:rPr>
        <w:t>汕德卡新增配置驾驶室设备工装改造及更新技改项目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13A33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D26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CB2A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1C3D46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28C8E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D845E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F5B56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27A79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E504F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3B5BD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30CCB0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319799">
      <w:pPr>
        <w:rPr>
          <w:rFonts w:ascii="Calibri" w:hAnsi="Calibri" w:eastAsia="黑体" w:cs="Times New Roman"/>
          <w:b/>
          <w:bCs/>
          <w:color w:val="000000"/>
          <w:sz w:val="28"/>
          <w:szCs w:val="20"/>
        </w:rPr>
      </w:pPr>
    </w:p>
    <w:p w14:paraId="4AE3AC4A">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592243D">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4B92C6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0DAE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BCDFD5D">
            <w:pPr>
              <w:pStyle w:val="139"/>
              <w:spacing w:before="114"/>
              <w:ind w:left="720"/>
            </w:pPr>
            <w:r>
              <w:t xml:space="preserve">企业名称 </w:t>
            </w:r>
          </w:p>
        </w:tc>
        <w:tc>
          <w:tcPr>
            <w:tcW w:w="4680" w:type="dxa"/>
            <w:gridSpan w:val="4"/>
            <w:vAlign w:val="center"/>
          </w:tcPr>
          <w:p w14:paraId="38721BF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CF65976">
            <w:pPr>
              <w:pStyle w:val="13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368506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967D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2C5BBC8">
            <w:pPr>
              <w:pStyle w:val="139"/>
              <w:spacing w:before="114"/>
              <w:ind w:left="720"/>
            </w:pPr>
            <w:r>
              <w:t xml:space="preserve">企业地址 </w:t>
            </w:r>
          </w:p>
        </w:tc>
        <w:tc>
          <w:tcPr>
            <w:tcW w:w="4680" w:type="dxa"/>
            <w:gridSpan w:val="4"/>
            <w:vAlign w:val="center"/>
          </w:tcPr>
          <w:p w14:paraId="6EAB05B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F437D1">
            <w:pPr>
              <w:pStyle w:val="13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3E7735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D0FE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E584B6">
            <w:pPr>
              <w:pStyle w:val="139"/>
              <w:spacing w:before="111"/>
              <w:ind w:left="720"/>
            </w:pPr>
            <w:r>
              <w:t xml:space="preserve">企业性质 </w:t>
            </w:r>
          </w:p>
        </w:tc>
        <w:tc>
          <w:tcPr>
            <w:tcW w:w="4680" w:type="dxa"/>
            <w:gridSpan w:val="4"/>
            <w:vAlign w:val="center"/>
          </w:tcPr>
          <w:p w14:paraId="3A28776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7ACEDD1">
            <w:pPr>
              <w:pStyle w:val="13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8ACED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979C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D300F1C">
            <w:pPr>
              <w:pStyle w:val="139"/>
              <w:spacing w:before="111"/>
              <w:ind w:left="509"/>
            </w:pPr>
            <w:r>
              <w:t xml:space="preserve">企业法人代表  </w:t>
            </w:r>
          </w:p>
        </w:tc>
        <w:tc>
          <w:tcPr>
            <w:tcW w:w="4680" w:type="dxa"/>
            <w:gridSpan w:val="4"/>
          </w:tcPr>
          <w:p w14:paraId="15095FAD">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5F7307D">
            <w:pPr>
              <w:pStyle w:val="13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5F0BE7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BC34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69FE6E">
            <w:pPr>
              <w:pStyle w:val="139"/>
              <w:spacing w:before="114"/>
              <w:ind w:left="720"/>
            </w:pPr>
            <w:r>
              <w:t xml:space="preserve">品牌区分 </w:t>
            </w:r>
          </w:p>
        </w:tc>
        <w:tc>
          <w:tcPr>
            <w:tcW w:w="7500" w:type="dxa"/>
            <w:gridSpan w:val="6"/>
          </w:tcPr>
          <w:p w14:paraId="45949C67">
            <w:pPr>
              <w:pStyle w:val="13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FB7D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273286A">
            <w:pPr>
              <w:pStyle w:val="139"/>
              <w:spacing w:before="178"/>
              <w:ind w:left="720"/>
            </w:pPr>
            <w:r>
              <w:t xml:space="preserve">品牌名称 </w:t>
            </w:r>
          </w:p>
        </w:tc>
        <w:tc>
          <w:tcPr>
            <w:tcW w:w="3583" w:type="dxa"/>
            <w:gridSpan w:val="3"/>
            <w:vAlign w:val="center"/>
          </w:tcPr>
          <w:p w14:paraId="6446631F">
            <w:pPr>
              <w:widowControl/>
              <w:rPr>
                <w:rFonts w:ascii="宋体" w:hAnsi="宋体" w:eastAsia="仿宋_GB2312"/>
                <w:kern w:val="0"/>
                <w:szCs w:val="21"/>
                <w:lang w:bidi="ar"/>
              </w:rPr>
            </w:pPr>
          </w:p>
        </w:tc>
        <w:tc>
          <w:tcPr>
            <w:tcW w:w="1097" w:type="dxa"/>
          </w:tcPr>
          <w:p w14:paraId="2A4E269F">
            <w:pPr>
              <w:pStyle w:val="139"/>
              <w:spacing w:before="15"/>
              <w:ind w:left="279"/>
            </w:pPr>
            <w:r>
              <w:rPr>
                <w:spacing w:val="-2"/>
              </w:rPr>
              <w:t>质量</w:t>
            </w:r>
            <w:r>
              <w:t xml:space="preserve"> </w:t>
            </w:r>
          </w:p>
          <w:p w14:paraId="232A7EE4">
            <w:pPr>
              <w:pStyle w:val="139"/>
              <w:spacing w:before="30" w:line="277" w:lineRule="exact"/>
              <w:ind w:left="279"/>
            </w:pPr>
            <w:r>
              <w:rPr>
                <w:rFonts w:hint="eastAsia"/>
              </w:rPr>
              <w:t>体系</w:t>
            </w:r>
          </w:p>
        </w:tc>
        <w:tc>
          <w:tcPr>
            <w:tcW w:w="2820" w:type="dxa"/>
            <w:gridSpan w:val="2"/>
          </w:tcPr>
          <w:p w14:paraId="5110D2D2">
            <w:pPr>
              <w:pStyle w:val="139"/>
              <w:spacing w:before="158"/>
              <w:jc w:val="center"/>
              <w:rPr>
                <w:sz w:val="24"/>
              </w:rPr>
            </w:pPr>
            <w:r>
              <w:rPr>
                <w:rFonts w:hint="eastAsia"/>
                <w:kern w:val="0"/>
                <w:szCs w:val="21"/>
                <w:lang w:bidi="ar"/>
              </w:rPr>
              <w:t>/</w:t>
            </w:r>
          </w:p>
        </w:tc>
      </w:tr>
      <w:tr w14:paraId="215FC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909349F">
            <w:pPr>
              <w:pStyle w:val="139"/>
              <w:spacing w:before="149"/>
              <w:ind w:left="3345" w:right="3223"/>
              <w:jc w:val="center"/>
            </w:pPr>
            <w:r>
              <w:rPr>
                <w:rFonts w:hint="eastAsia"/>
                <w:szCs w:val="21"/>
              </w:rPr>
              <w:t>单位概况</w:t>
            </w:r>
          </w:p>
        </w:tc>
      </w:tr>
      <w:tr w14:paraId="29B98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14:paraId="27BAFD9F">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E67E0F7">
            <w:pPr>
              <w:widowControl/>
              <w:textAlignment w:val="center"/>
              <w:rPr>
                <w:rFonts w:ascii="宋体" w:hAnsi="宋体" w:eastAsia="宋体" w:cs="宋体"/>
                <w:szCs w:val="21"/>
              </w:rPr>
            </w:pPr>
          </w:p>
        </w:tc>
        <w:tc>
          <w:tcPr>
            <w:tcW w:w="1530" w:type="dxa"/>
            <w:vAlign w:val="center"/>
          </w:tcPr>
          <w:p w14:paraId="5EB6967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88DEE18">
            <w:pPr>
              <w:widowControl/>
              <w:jc w:val="center"/>
              <w:textAlignment w:val="center"/>
              <w:rPr>
                <w:rFonts w:ascii="宋体" w:hAnsi="宋体" w:eastAsia="宋体" w:cs="宋体"/>
                <w:szCs w:val="21"/>
              </w:rPr>
            </w:pPr>
          </w:p>
        </w:tc>
        <w:tc>
          <w:tcPr>
            <w:tcW w:w="1097" w:type="dxa"/>
            <w:vAlign w:val="center"/>
          </w:tcPr>
          <w:p w14:paraId="3E507292">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63D7427">
            <w:pPr>
              <w:widowControl/>
              <w:jc w:val="center"/>
              <w:textAlignment w:val="center"/>
              <w:rPr>
                <w:rFonts w:ascii="宋体" w:hAnsi="宋体" w:eastAsia="宋体" w:cs="宋体"/>
                <w:szCs w:val="21"/>
              </w:rPr>
            </w:pPr>
          </w:p>
        </w:tc>
      </w:tr>
      <w:tr w14:paraId="44599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3D8253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0117B2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C964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0D015F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71D62A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05FE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9A16C1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E53763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8E5E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FE13D2F">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383148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A2E4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B93B211">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60E351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AF78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C3B7E6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B151214">
            <w:pPr>
              <w:widowControl/>
              <w:jc w:val="left"/>
              <w:rPr>
                <w:rFonts w:ascii="宋体" w:hAnsi="宋体" w:eastAsia="宋体" w:cs="宋体"/>
                <w:kern w:val="0"/>
                <w:szCs w:val="21"/>
                <w:lang w:bidi="ar"/>
              </w:rPr>
            </w:pPr>
          </w:p>
        </w:tc>
      </w:tr>
    </w:tbl>
    <w:p w14:paraId="4957D052">
      <w:pPr>
        <w:pStyle w:val="18"/>
        <w:rPr>
          <w:rFonts w:ascii="Times New Roman" w:hAnsi="Times New Roman" w:eastAsia="宋体" w:cs="Times New Roman"/>
          <w:b/>
          <w:bCs/>
          <w:color w:val="000000"/>
          <w:sz w:val="24"/>
          <w:szCs w:val="24"/>
        </w:rPr>
      </w:pPr>
    </w:p>
    <w:p w14:paraId="04CC526A">
      <w:pPr>
        <w:pStyle w:val="18"/>
        <w:rPr>
          <w:rFonts w:ascii="Times New Roman" w:hAnsi="Times New Roman" w:eastAsia="宋体" w:cs="Times New Roman"/>
          <w:b/>
          <w:bCs/>
          <w:color w:val="000000"/>
          <w:sz w:val="24"/>
          <w:szCs w:val="24"/>
        </w:rPr>
      </w:pPr>
    </w:p>
    <w:p w14:paraId="035EF74C">
      <w:pPr>
        <w:pStyle w:val="18"/>
        <w:rPr>
          <w:rFonts w:ascii="Times New Roman" w:hAnsi="Times New Roman" w:eastAsia="宋体" w:cs="Times New Roman"/>
          <w:b/>
          <w:bCs/>
          <w:color w:val="000000"/>
          <w:sz w:val="24"/>
          <w:szCs w:val="24"/>
        </w:rPr>
      </w:pPr>
    </w:p>
    <w:p w14:paraId="2CDC0C62">
      <w:pPr>
        <w:pStyle w:val="18"/>
        <w:rPr>
          <w:rFonts w:ascii="Times New Roman" w:hAnsi="Times New Roman" w:eastAsia="宋体" w:cs="Times New Roman"/>
          <w:b/>
          <w:bCs/>
          <w:color w:val="000000"/>
          <w:sz w:val="24"/>
          <w:szCs w:val="24"/>
        </w:rPr>
      </w:pPr>
    </w:p>
    <w:p w14:paraId="7C3CA516">
      <w:pPr>
        <w:pStyle w:val="18"/>
        <w:rPr>
          <w:rFonts w:ascii="Times New Roman" w:hAnsi="Times New Roman" w:eastAsia="宋体" w:cs="Times New Roman"/>
          <w:b/>
          <w:bCs/>
          <w:color w:val="000000"/>
          <w:sz w:val="24"/>
          <w:szCs w:val="24"/>
        </w:rPr>
      </w:pPr>
    </w:p>
    <w:p w14:paraId="6D1D2081">
      <w:pPr>
        <w:pStyle w:val="18"/>
        <w:rPr>
          <w:rFonts w:ascii="Times New Roman" w:hAnsi="Times New Roman" w:eastAsia="宋体" w:cs="Times New Roman"/>
          <w:b/>
          <w:bCs/>
          <w:color w:val="000000"/>
          <w:sz w:val="24"/>
          <w:szCs w:val="24"/>
        </w:rPr>
      </w:pPr>
    </w:p>
    <w:p w14:paraId="355302D2">
      <w:pPr>
        <w:pStyle w:val="18"/>
        <w:rPr>
          <w:rFonts w:ascii="Times New Roman" w:hAnsi="Times New Roman" w:eastAsia="宋体" w:cs="Times New Roman"/>
          <w:b/>
          <w:bCs/>
          <w:color w:val="000000"/>
          <w:sz w:val="24"/>
          <w:szCs w:val="24"/>
        </w:rPr>
      </w:pPr>
    </w:p>
    <w:p w14:paraId="5D6C1289">
      <w:pPr>
        <w:pStyle w:val="18"/>
        <w:rPr>
          <w:rFonts w:ascii="Times New Roman" w:hAnsi="Times New Roman" w:eastAsia="宋体" w:cs="Times New Roman"/>
          <w:b/>
          <w:bCs/>
          <w:color w:val="000000"/>
          <w:sz w:val="24"/>
          <w:szCs w:val="24"/>
        </w:rPr>
      </w:pPr>
    </w:p>
    <w:p w14:paraId="0301B203">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B8D1B12">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920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1DEF0B0B">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4A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CDC7D9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5C7C25C">
            <w:pPr>
              <w:spacing w:line="440" w:lineRule="exact"/>
              <w:jc w:val="center"/>
              <w:rPr>
                <w:rFonts w:ascii="宋体" w:hAnsi="宋体"/>
                <w:color w:val="000000"/>
                <w:sz w:val="24"/>
                <w:szCs w:val="24"/>
              </w:rPr>
            </w:pPr>
          </w:p>
        </w:tc>
      </w:tr>
      <w:tr w14:paraId="759C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AEC323">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5D8E5335">
            <w:pPr>
              <w:spacing w:line="440" w:lineRule="exact"/>
              <w:jc w:val="center"/>
              <w:rPr>
                <w:rFonts w:ascii="宋体" w:hAnsi="宋体"/>
                <w:color w:val="000000"/>
                <w:sz w:val="24"/>
                <w:szCs w:val="24"/>
              </w:rPr>
            </w:pPr>
          </w:p>
        </w:tc>
      </w:tr>
      <w:tr w14:paraId="166A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4D06A86E">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D30AEB">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14:paraId="7BE52E6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5BB85E6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553B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370674">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0CEC090">
            <w:pPr>
              <w:spacing w:line="440" w:lineRule="exact"/>
              <w:jc w:val="center"/>
              <w:rPr>
                <w:rFonts w:ascii="宋体" w:hAnsi="宋体"/>
                <w:color w:val="000000"/>
                <w:sz w:val="24"/>
                <w:szCs w:val="24"/>
              </w:rPr>
            </w:pPr>
          </w:p>
        </w:tc>
        <w:tc>
          <w:tcPr>
            <w:tcW w:w="1288" w:type="dxa"/>
          </w:tcPr>
          <w:p w14:paraId="06342039">
            <w:pPr>
              <w:spacing w:line="440" w:lineRule="exact"/>
              <w:jc w:val="center"/>
              <w:rPr>
                <w:rFonts w:ascii="宋体" w:hAnsi="宋体"/>
                <w:color w:val="000000"/>
                <w:sz w:val="24"/>
                <w:szCs w:val="24"/>
              </w:rPr>
            </w:pPr>
          </w:p>
        </w:tc>
        <w:tc>
          <w:tcPr>
            <w:tcW w:w="1288" w:type="dxa"/>
          </w:tcPr>
          <w:p w14:paraId="4448BA68">
            <w:pPr>
              <w:spacing w:line="440" w:lineRule="exact"/>
              <w:jc w:val="center"/>
              <w:rPr>
                <w:rFonts w:ascii="宋体" w:hAnsi="宋体"/>
                <w:color w:val="000000"/>
                <w:sz w:val="24"/>
                <w:szCs w:val="24"/>
              </w:rPr>
            </w:pPr>
          </w:p>
        </w:tc>
      </w:tr>
      <w:tr w14:paraId="3591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35CE56">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EBDD024">
            <w:pPr>
              <w:spacing w:line="440" w:lineRule="exact"/>
              <w:jc w:val="center"/>
              <w:rPr>
                <w:rFonts w:ascii="宋体" w:hAnsi="宋体"/>
                <w:color w:val="000000"/>
                <w:sz w:val="24"/>
                <w:szCs w:val="24"/>
              </w:rPr>
            </w:pPr>
          </w:p>
        </w:tc>
        <w:tc>
          <w:tcPr>
            <w:tcW w:w="1288" w:type="dxa"/>
          </w:tcPr>
          <w:p w14:paraId="6DC4959A">
            <w:pPr>
              <w:spacing w:line="440" w:lineRule="exact"/>
              <w:jc w:val="center"/>
              <w:rPr>
                <w:rFonts w:ascii="宋体" w:hAnsi="宋体"/>
                <w:color w:val="000000"/>
                <w:sz w:val="24"/>
                <w:szCs w:val="24"/>
              </w:rPr>
            </w:pPr>
          </w:p>
        </w:tc>
        <w:tc>
          <w:tcPr>
            <w:tcW w:w="1288" w:type="dxa"/>
          </w:tcPr>
          <w:p w14:paraId="435D688E">
            <w:pPr>
              <w:spacing w:line="440" w:lineRule="exact"/>
              <w:jc w:val="center"/>
              <w:rPr>
                <w:rFonts w:ascii="宋体" w:hAnsi="宋体"/>
                <w:color w:val="000000"/>
                <w:sz w:val="24"/>
                <w:szCs w:val="24"/>
              </w:rPr>
            </w:pPr>
          </w:p>
        </w:tc>
      </w:tr>
      <w:tr w14:paraId="2188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75E45F">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E209236">
            <w:pPr>
              <w:spacing w:line="440" w:lineRule="exact"/>
              <w:jc w:val="center"/>
              <w:rPr>
                <w:rFonts w:ascii="宋体" w:hAnsi="宋体"/>
                <w:color w:val="000000"/>
                <w:sz w:val="24"/>
                <w:szCs w:val="24"/>
              </w:rPr>
            </w:pPr>
          </w:p>
        </w:tc>
        <w:tc>
          <w:tcPr>
            <w:tcW w:w="1288" w:type="dxa"/>
          </w:tcPr>
          <w:p w14:paraId="040EF90C">
            <w:pPr>
              <w:spacing w:line="440" w:lineRule="exact"/>
              <w:jc w:val="center"/>
              <w:rPr>
                <w:rFonts w:ascii="宋体" w:hAnsi="宋体"/>
                <w:color w:val="000000"/>
                <w:sz w:val="24"/>
                <w:szCs w:val="24"/>
              </w:rPr>
            </w:pPr>
          </w:p>
        </w:tc>
        <w:tc>
          <w:tcPr>
            <w:tcW w:w="1288" w:type="dxa"/>
          </w:tcPr>
          <w:p w14:paraId="636997B3">
            <w:pPr>
              <w:spacing w:line="440" w:lineRule="exact"/>
              <w:jc w:val="center"/>
              <w:rPr>
                <w:rFonts w:ascii="宋体" w:hAnsi="宋体"/>
                <w:color w:val="000000"/>
                <w:sz w:val="24"/>
                <w:szCs w:val="24"/>
              </w:rPr>
            </w:pPr>
          </w:p>
        </w:tc>
      </w:tr>
      <w:tr w14:paraId="7AB2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B2166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E68D10D">
            <w:pPr>
              <w:spacing w:line="440" w:lineRule="exact"/>
              <w:jc w:val="center"/>
              <w:rPr>
                <w:rFonts w:ascii="宋体" w:hAnsi="宋体"/>
                <w:color w:val="000000"/>
                <w:sz w:val="24"/>
                <w:szCs w:val="24"/>
              </w:rPr>
            </w:pPr>
          </w:p>
        </w:tc>
        <w:tc>
          <w:tcPr>
            <w:tcW w:w="1288" w:type="dxa"/>
          </w:tcPr>
          <w:p w14:paraId="0FEB3220">
            <w:pPr>
              <w:spacing w:line="440" w:lineRule="exact"/>
              <w:jc w:val="center"/>
              <w:rPr>
                <w:rFonts w:ascii="宋体" w:hAnsi="宋体"/>
                <w:color w:val="000000"/>
                <w:sz w:val="24"/>
                <w:szCs w:val="24"/>
              </w:rPr>
            </w:pPr>
          </w:p>
        </w:tc>
        <w:tc>
          <w:tcPr>
            <w:tcW w:w="1288" w:type="dxa"/>
          </w:tcPr>
          <w:p w14:paraId="5FA51356">
            <w:pPr>
              <w:spacing w:line="440" w:lineRule="exact"/>
              <w:jc w:val="center"/>
              <w:rPr>
                <w:rFonts w:ascii="宋体" w:hAnsi="宋体"/>
                <w:color w:val="000000"/>
                <w:sz w:val="24"/>
                <w:szCs w:val="24"/>
              </w:rPr>
            </w:pPr>
          </w:p>
        </w:tc>
      </w:tr>
      <w:tr w14:paraId="0326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09EA0DE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C25BDD6">
            <w:pPr>
              <w:spacing w:line="440" w:lineRule="exact"/>
              <w:jc w:val="center"/>
              <w:rPr>
                <w:rFonts w:ascii="宋体" w:hAnsi="宋体"/>
                <w:color w:val="000000"/>
                <w:sz w:val="24"/>
                <w:szCs w:val="24"/>
              </w:rPr>
            </w:pPr>
          </w:p>
        </w:tc>
        <w:tc>
          <w:tcPr>
            <w:tcW w:w="1288" w:type="dxa"/>
          </w:tcPr>
          <w:p w14:paraId="1C68F1EF">
            <w:pPr>
              <w:spacing w:line="440" w:lineRule="exact"/>
              <w:jc w:val="center"/>
              <w:rPr>
                <w:rFonts w:ascii="宋体" w:hAnsi="宋体"/>
                <w:color w:val="000000"/>
                <w:sz w:val="24"/>
                <w:szCs w:val="24"/>
              </w:rPr>
            </w:pPr>
          </w:p>
        </w:tc>
        <w:tc>
          <w:tcPr>
            <w:tcW w:w="1288" w:type="dxa"/>
          </w:tcPr>
          <w:p w14:paraId="16561786">
            <w:pPr>
              <w:spacing w:line="440" w:lineRule="exact"/>
              <w:jc w:val="center"/>
              <w:rPr>
                <w:rFonts w:ascii="宋体" w:hAnsi="宋体"/>
                <w:color w:val="000000"/>
                <w:sz w:val="24"/>
                <w:szCs w:val="24"/>
              </w:rPr>
            </w:pPr>
          </w:p>
        </w:tc>
      </w:tr>
      <w:tr w14:paraId="11C7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BE3A1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E5CC506">
            <w:pPr>
              <w:spacing w:line="440" w:lineRule="exact"/>
              <w:jc w:val="center"/>
              <w:rPr>
                <w:rFonts w:ascii="宋体" w:hAnsi="宋体"/>
                <w:color w:val="000000"/>
                <w:sz w:val="24"/>
                <w:szCs w:val="24"/>
              </w:rPr>
            </w:pPr>
          </w:p>
        </w:tc>
        <w:tc>
          <w:tcPr>
            <w:tcW w:w="1288" w:type="dxa"/>
          </w:tcPr>
          <w:p w14:paraId="17BD5DF9">
            <w:pPr>
              <w:spacing w:line="440" w:lineRule="exact"/>
              <w:jc w:val="center"/>
              <w:rPr>
                <w:rFonts w:ascii="宋体" w:hAnsi="宋体"/>
                <w:color w:val="000000"/>
                <w:sz w:val="24"/>
                <w:szCs w:val="24"/>
              </w:rPr>
            </w:pPr>
          </w:p>
        </w:tc>
        <w:tc>
          <w:tcPr>
            <w:tcW w:w="1288" w:type="dxa"/>
          </w:tcPr>
          <w:p w14:paraId="7A0DF500">
            <w:pPr>
              <w:spacing w:line="440" w:lineRule="exact"/>
              <w:jc w:val="center"/>
              <w:rPr>
                <w:rFonts w:ascii="宋体" w:hAnsi="宋体"/>
                <w:color w:val="000000"/>
                <w:sz w:val="24"/>
                <w:szCs w:val="24"/>
              </w:rPr>
            </w:pPr>
          </w:p>
        </w:tc>
      </w:tr>
      <w:tr w14:paraId="478A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E78E5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A93EBBF">
            <w:pPr>
              <w:spacing w:line="440" w:lineRule="exact"/>
              <w:jc w:val="center"/>
              <w:rPr>
                <w:rFonts w:ascii="宋体" w:hAnsi="宋体"/>
                <w:color w:val="000000"/>
                <w:sz w:val="24"/>
                <w:szCs w:val="24"/>
              </w:rPr>
            </w:pPr>
          </w:p>
        </w:tc>
        <w:tc>
          <w:tcPr>
            <w:tcW w:w="1288" w:type="dxa"/>
          </w:tcPr>
          <w:p w14:paraId="14FFA373">
            <w:pPr>
              <w:spacing w:line="440" w:lineRule="exact"/>
              <w:jc w:val="center"/>
              <w:rPr>
                <w:rFonts w:ascii="宋体" w:hAnsi="宋体"/>
                <w:color w:val="000000"/>
                <w:sz w:val="24"/>
                <w:szCs w:val="24"/>
              </w:rPr>
            </w:pPr>
          </w:p>
        </w:tc>
        <w:tc>
          <w:tcPr>
            <w:tcW w:w="1288" w:type="dxa"/>
          </w:tcPr>
          <w:p w14:paraId="20C83F3B">
            <w:pPr>
              <w:spacing w:line="440" w:lineRule="exact"/>
              <w:jc w:val="center"/>
              <w:rPr>
                <w:rFonts w:ascii="宋体" w:hAnsi="宋体"/>
                <w:color w:val="000000"/>
                <w:sz w:val="24"/>
                <w:szCs w:val="24"/>
              </w:rPr>
            </w:pPr>
          </w:p>
        </w:tc>
      </w:tr>
      <w:tr w14:paraId="02C4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4760B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5C591E">
            <w:pPr>
              <w:spacing w:line="440" w:lineRule="exact"/>
              <w:jc w:val="center"/>
              <w:rPr>
                <w:rFonts w:ascii="宋体" w:hAnsi="宋体"/>
                <w:color w:val="000000"/>
                <w:sz w:val="24"/>
                <w:szCs w:val="24"/>
              </w:rPr>
            </w:pPr>
          </w:p>
        </w:tc>
        <w:tc>
          <w:tcPr>
            <w:tcW w:w="1288" w:type="dxa"/>
          </w:tcPr>
          <w:p w14:paraId="7C75D15F">
            <w:pPr>
              <w:spacing w:line="440" w:lineRule="exact"/>
              <w:jc w:val="center"/>
              <w:rPr>
                <w:rFonts w:ascii="宋体" w:hAnsi="宋体"/>
                <w:color w:val="000000"/>
                <w:sz w:val="24"/>
                <w:szCs w:val="24"/>
              </w:rPr>
            </w:pPr>
          </w:p>
        </w:tc>
        <w:tc>
          <w:tcPr>
            <w:tcW w:w="1288" w:type="dxa"/>
          </w:tcPr>
          <w:p w14:paraId="1B19AA2F">
            <w:pPr>
              <w:spacing w:line="440" w:lineRule="exact"/>
              <w:jc w:val="center"/>
              <w:rPr>
                <w:rFonts w:ascii="宋体" w:hAnsi="宋体"/>
                <w:color w:val="000000"/>
                <w:sz w:val="24"/>
                <w:szCs w:val="24"/>
              </w:rPr>
            </w:pPr>
          </w:p>
        </w:tc>
      </w:tr>
      <w:tr w14:paraId="6740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DF851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3F33F39">
            <w:pPr>
              <w:spacing w:line="440" w:lineRule="exact"/>
              <w:jc w:val="center"/>
              <w:rPr>
                <w:rFonts w:ascii="宋体" w:hAnsi="宋体"/>
                <w:color w:val="000000"/>
                <w:sz w:val="24"/>
                <w:szCs w:val="24"/>
              </w:rPr>
            </w:pPr>
          </w:p>
        </w:tc>
        <w:tc>
          <w:tcPr>
            <w:tcW w:w="1288" w:type="dxa"/>
          </w:tcPr>
          <w:p w14:paraId="5316DA05">
            <w:pPr>
              <w:spacing w:line="440" w:lineRule="exact"/>
              <w:jc w:val="center"/>
              <w:rPr>
                <w:rFonts w:ascii="宋体" w:hAnsi="宋体"/>
                <w:color w:val="000000"/>
                <w:sz w:val="24"/>
                <w:szCs w:val="24"/>
              </w:rPr>
            </w:pPr>
          </w:p>
        </w:tc>
        <w:tc>
          <w:tcPr>
            <w:tcW w:w="1288" w:type="dxa"/>
          </w:tcPr>
          <w:p w14:paraId="7137CEE7">
            <w:pPr>
              <w:spacing w:line="440" w:lineRule="exact"/>
              <w:jc w:val="center"/>
              <w:rPr>
                <w:rFonts w:ascii="宋体" w:hAnsi="宋体"/>
                <w:color w:val="000000"/>
                <w:sz w:val="24"/>
                <w:szCs w:val="24"/>
              </w:rPr>
            </w:pPr>
          </w:p>
        </w:tc>
      </w:tr>
      <w:tr w14:paraId="0DF6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711445">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44A1DCAA">
            <w:pPr>
              <w:spacing w:line="440" w:lineRule="exact"/>
              <w:jc w:val="center"/>
              <w:rPr>
                <w:rFonts w:ascii="宋体" w:hAnsi="宋体"/>
                <w:color w:val="000000"/>
                <w:sz w:val="24"/>
                <w:szCs w:val="24"/>
              </w:rPr>
            </w:pPr>
          </w:p>
        </w:tc>
        <w:tc>
          <w:tcPr>
            <w:tcW w:w="1288" w:type="dxa"/>
          </w:tcPr>
          <w:p w14:paraId="1EF6D1EB">
            <w:pPr>
              <w:spacing w:line="440" w:lineRule="exact"/>
              <w:jc w:val="center"/>
              <w:rPr>
                <w:rFonts w:ascii="宋体" w:hAnsi="宋体"/>
                <w:color w:val="000000"/>
                <w:sz w:val="24"/>
                <w:szCs w:val="24"/>
              </w:rPr>
            </w:pPr>
          </w:p>
        </w:tc>
        <w:tc>
          <w:tcPr>
            <w:tcW w:w="1288" w:type="dxa"/>
          </w:tcPr>
          <w:p w14:paraId="54011CCE">
            <w:pPr>
              <w:spacing w:line="440" w:lineRule="exact"/>
              <w:jc w:val="center"/>
              <w:rPr>
                <w:rFonts w:ascii="宋体" w:hAnsi="宋体"/>
                <w:color w:val="000000"/>
                <w:sz w:val="24"/>
                <w:szCs w:val="24"/>
              </w:rPr>
            </w:pPr>
          </w:p>
        </w:tc>
      </w:tr>
    </w:tbl>
    <w:p w14:paraId="54D198E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7085C2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D5164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A424C0">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A585B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3E7C32C">
      <w:pPr>
        <w:spacing w:line="240" w:lineRule="exact"/>
        <w:jc w:val="center"/>
        <w:rPr>
          <w:rFonts w:ascii="宋体" w:hAnsi="Calibri" w:eastAsia="宋体" w:cs="Times New Roman"/>
          <w:b/>
          <w:bCs/>
          <w:sz w:val="36"/>
          <w:szCs w:val="20"/>
        </w:rPr>
      </w:pPr>
    </w:p>
    <w:p w14:paraId="44C58010">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仿宋_GB2312" w:hAnsi="宋体" w:eastAsia="仿宋_GB2312"/>
          <w:sz w:val="24"/>
          <w:u w:val="single"/>
          <w:lang w:val="en-US" w:eastAsia="zh-CN"/>
        </w:rPr>
        <w:t>汕德卡新增配置驾驶室设备工装改造及更新技改项目</w:t>
      </w:r>
    </w:p>
    <w:p w14:paraId="590571CC">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w:t>
      </w:r>
      <w:r>
        <w:rPr>
          <w:rFonts w:hint="eastAsia" w:ascii="宋体" w:hAnsi="宋体" w:eastAsia="宋体" w:cs="Times New Roman"/>
          <w:b/>
          <w:bCs/>
          <w:sz w:val="24"/>
          <w:szCs w:val="20"/>
          <w:highlight w:val="red"/>
          <w:lang w:val="en-US" w:eastAsia="zh-CN"/>
        </w:rPr>
        <w:t>济南商用车</w:t>
      </w:r>
      <w:r>
        <w:rPr>
          <w:rFonts w:hint="eastAsia" w:ascii="宋体" w:hAnsi="宋体" w:eastAsia="宋体" w:cs="Times New Roman"/>
          <w:b/>
          <w:bCs/>
          <w:sz w:val="24"/>
          <w:szCs w:val="20"/>
          <w:highlight w:val="red"/>
        </w:rPr>
        <w:t>有限公司：</w:t>
      </w:r>
    </w:p>
    <w:p w14:paraId="7CC1DFB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59D28B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1894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D0A6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6CD7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518B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F7F2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74F1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3B39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130A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617A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9951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3C36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792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FA95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E1BB7E">
      <w:pPr>
        <w:spacing w:line="360" w:lineRule="auto"/>
        <w:ind w:firstLine="480" w:firstLineChars="200"/>
        <w:rPr>
          <w:rFonts w:ascii="宋体" w:hAnsi="宋体" w:eastAsia="宋体" w:cs="Times New Roman"/>
          <w:sz w:val="24"/>
          <w:szCs w:val="20"/>
          <w:u w:val="single"/>
        </w:rPr>
      </w:pPr>
    </w:p>
    <w:p w14:paraId="43FD99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C0876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B341D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8F8AEC">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361435D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47429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仿宋_GB2312" w:hAnsi="宋体" w:eastAsia="仿宋_GB2312"/>
          <w:sz w:val="24"/>
          <w:u w:val="single"/>
          <w:lang w:val="en-US" w:eastAsia="zh-CN"/>
        </w:rPr>
        <w:t>汕德卡新增配置驾驶室设备工装改造及更新技改项目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FE4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22A0B7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70C6A1B">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91C2A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3E3134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9B0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F99324">
            <w:pPr>
              <w:jc w:val="center"/>
              <w:rPr>
                <w:rFonts w:ascii="Times New Roman" w:hAnsi="Times New Roman" w:eastAsia="宋体" w:cs="Times New Roman"/>
                <w:b/>
                <w:sz w:val="24"/>
                <w:szCs w:val="20"/>
              </w:rPr>
            </w:pPr>
          </w:p>
        </w:tc>
        <w:tc>
          <w:tcPr>
            <w:tcW w:w="3449" w:type="dxa"/>
          </w:tcPr>
          <w:p w14:paraId="35301A0B">
            <w:pPr>
              <w:jc w:val="center"/>
              <w:rPr>
                <w:rFonts w:ascii="Times New Roman" w:hAnsi="Times New Roman" w:eastAsia="宋体" w:cs="Times New Roman"/>
                <w:b/>
                <w:sz w:val="24"/>
                <w:szCs w:val="20"/>
              </w:rPr>
            </w:pPr>
          </w:p>
        </w:tc>
        <w:tc>
          <w:tcPr>
            <w:tcW w:w="2414" w:type="dxa"/>
          </w:tcPr>
          <w:p w14:paraId="7C11EF2F">
            <w:pPr>
              <w:jc w:val="center"/>
              <w:rPr>
                <w:rFonts w:ascii="Times New Roman" w:hAnsi="Times New Roman" w:eastAsia="宋体" w:cs="Times New Roman"/>
                <w:b/>
                <w:sz w:val="24"/>
                <w:szCs w:val="20"/>
              </w:rPr>
            </w:pPr>
          </w:p>
        </w:tc>
        <w:tc>
          <w:tcPr>
            <w:tcW w:w="1608" w:type="dxa"/>
          </w:tcPr>
          <w:p w14:paraId="30C7DC01">
            <w:pPr>
              <w:jc w:val="center"/>
              <w:rPr>
                <w:rFonts w:ascii="Times New Roman" w:hAnsi="Times New Roman" w:eastAsia="宋体" w:cs="Times New Roman"/>
                <w:b/>
                <w:sz w:val="24"/>
                <w:szCs w:val="20"/>
              </w:rPr>
            </w:pPr>
          </w:p>
        </w:tc>
      </w:tr>
      <w:tr w14:paraId="4AC0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DD568C">
            <w:pPr>
              <w:jc w:val="center"/>
              <w:rPr>
                <w:rFonts w:ascii="Times New Roman" w:hAnsi="Times New Roman" w:eastAsia="宋体" w:cs="Times New Roman"/>
                <w:b/>
                <w:sz w:val="24"/>
                <w:szCs w:val="20"/>
              </w:rPr>
            </w:pPr>
          </w:p>
        </w:tc>
        <w:tc>
          <w:tcPr>
            <w:tcW w:w="3449" w:type="dxa"/>
          </w:tcPr>
          <w:p w14:paraId="529DC5C4">
            <w:pPr>
              <w:jc w:val="center"/>
              <w:rPr>
                <w:rFonts w:ascii="Times New Roman" w:hAnsi="Times New Roman" w:eastAsia="宋体" w:cs="Times New Roman"/>
                <w:b/>
                <w:sz w:val="24"/>
                <w:szCs w:val="20"/>
              </w:rPr>
            </w:pPr>
          </w:p>
        </w:tc>
        <w:tc>
          <w:tcPr>
            <w:tcW w:w="2414" w:type="dxa"/>
          </w:tcPr>
          <w:p w14:paraId="185A3CF9">
            <w:pPr>
              <w:jc w:val="center"/>
              <w:rPr>
                <w:rFonts w:ascii="Times New Roman" w:hAnsi="Times New Roman" w:eastAsia="宋体" w:cs="Times New Roman"/>
                <w:b/>
                <w:sz w:val="24"/>
                <w:szCs w:val="20"/>
              </w:rPr>
            </w:pPr>
          </w:p>
        </w:tc>
        <w:tc>
          <w:tcPr>
            <w:tcW w:w="1608" w:type="dxa"/>
          </w:tcPr>
          <w:p w14:paraId="216E1CDC">
            <w:pPr>
              <w:jc w:val="center"/>
              <w:rPr>
                <w:rFonts w:ascii="Times New Roman" w:hAnsi="Times New Roman" w:eastAsia="宋体" w:cs="Times New Roman"/>
                <w:b/>
                <w:sz w:val="24"/>
                <w:szCs w:val="20"/>
              </w:rPr>
            </w:pPr>
          </w:p>
        </w:tc>
      </w:tr>
      <w:tr w14:paraId="055F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264597">
            <w:pPr>
              <w:jc w:val="center"/>
              <w:rPr>
                <w:rFonts w:ascii="Times New Roman" w:hAnsi="Times New Roman" w:eastAsia="宋体" w:cs="Times New Roman"/>
                <w:b/>
                <w:sz w:val="24"/>
                <w:szCs w:val="20"/>
              </w:rPr>
            </w:pPr>
          </w:p>
        </w:tc>
        <w:tc>
          <w:tcPr>
            <w:tcW w:w="3449" w:type="dxa"/>
          </w:tcPr>
          <w:p w14:paraId="4660024A">
            <w:pPr>
              <w:jc w:val="center"/>
              <w:rPr>
                <w:rFonts w:ascii="Times New Roman" w:hAnsi="Times New Roman" w:eastAsia="宋体" w:cs="Times New Roman"/>
                <w:b/>
                <w:sz w:val="24"/>
                <w:szCs w:val="20"/>
              </w:rPr>
            </w:pPr>
          </w:p>
        </w:tc>
        <w:tc>
          <w:tcPr>
            <w:tcW w:w="2414" w:type="dxa"/>
          </w:tcPr>
          <w:p w14:paraId="22F78E08">
            <w:pPr>
              <w:jc w:val="center"/>
              <w:rPr>
                <w:rFonts w:ascii="Times New Roman" w:hAnsi="Times New Roman" w:eastAsia="宋体" w:cs="Times New Roman"/>
                <w:b/>
                <w:sz w:val="24"/>
                <w:szCs w:val="20"/>
              </w:rPr>
            </w:pPr>
          </w:p>
        </w:tc>
        <w:tc>
          <w:tcPr>
            <w:tcW w:w="1608" w:type="dxa"/>
          </w:tcPr>
          <w:p w14:paraId="04EC1D73">
            <w:pPr>
              <w:jc w:val="center"/>
              <w:rPr>
                <w:rFonts w:ascii="Times New Roman" w:hAnsi="Times New Roman" w:eastAsia="宋体" w:cs="Times New Roman"/>
                <w:b/>
                <w:sz w:val="24"/>
                <w:szCs w:val="20"/>
              </w:rPr>
            </w:pPr>
          </w:p>
        </w:tc>
      </w:tr>
      <w:tr w14:paraId="5EE4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59674E3">
            <w:pPr>
              <w:jc w:val="center"/>
              <w:rPr>
                <w:rFonts w:ascii="Times New Roman" w:hAnsi="Times New Roman" w:eastAsia="宋体" w:cs="Times New Roman"/>
                <w:b/>
                <w:sz w:val="24"/>
                <w:szCs w:val="20"/>
              </w:rPr>
            </w:pPr>
          </w:p>
        </w:tc>
        <w:tc>
          <w:tcPr>
            <w:tcW w:w="3449" w:type="dxa"/>
          </w:tcPr>
          <w:p w14:paraId="47CDCD6C">
            <w:pPr>
              <w:jc w:val="center"/>
              <w:rPr>
                <w:rFonts w:ascii="Times New Roman" w:hAnsi="Times New Roman" w:eastAsia="宋体" w:cs="Times New Roman"/>
                <w:b/>
                <w:sz w:val="24"/>
                <w:szCs w:val="20"/>
              </w:rPr>
            </w:pPr>
          </w:p>
        </w:tc>
        <w:tc>
          <w:tcPr>
            <w:tcW w:w="2414" w:type="dxa"/>
          </w:tcPr>
          <w:p w14:paraId="6ECC4F0D">
            <w:pPr>
              <w:jc w:val="center"/>
              <w:rPr>
                <w:rFonts w:ascii="Times New Roman" w:hAnsi="Times New Roman" w:eastAsia="宋体" w:cs="Times New Roman"/>
                <w:b/>
                <w:sz w:val="24"/>
                <w:szCs w:val="20"/>
              </w:rPr>
            </w:pPr>
          </w:p>
        </w:tc>
        <w:tc>
          <w:tcPr>
            <w:tcW w:w="1608" w:type="dxa"/>
          </w:tcPr>
          <w:p w14:paraId="1B03268A">
            <w:pPr>
              <w:jc w:val="center"/>
              <w:rPr>
                <w:rFonts w:ascii="Times New Roman" w:hAnsi="Times New Roman" w:eastAsia="宋体" w:cs="Times New Roman"/>
                <w:b/>
                <w:sz w:val="24"/>
                <w:szCs w:val="20"/>
              </w:rPr>
            </w:pPr>
          </w:p>
        </w:tc>
      </w:tr>
      <w:tr w14:paraId="72C2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07FD5E">
            <w:pPr>
              <w:jc w:val="center"/>
              <w:rPr>
                <w:rFonts w:ascii="Times New Roman" w:hAnsi="Times New Roman" w:eastAsia="宋体" w:cs="Times New Roman"/>
                <w:b/>
                <w:sz w:val="24"/>
                <w:szCs w:val="20"/>
              </w:rPr>
            </w:pPr>
          </w:p>
        </w:tc>
        <w:tc>
          <w:tcPr>
            <w:tcW w:w="3449" w:type="dxa"/>
          </w:tcPr>
          <w:p w14:paraId="031066B7">
            <w:pPr>
              <w:jc w:val="center"/>
              <w:rPr>
                <w:rFonts w:ascii="Times New Roman" w:hAnsi="Times New Roman" w:eastAsia="宋体" w:cs="Times New Roman"/>
                <w:b/>
                <w:sz w:val="24"/>
                <w:szCs w:val="20"/>
              </w:rPr>
            </w:pPr>
          </w:p>
        </w:tc>
        <w:tc>
          <w:tcPr>
            <w:tcW w:w="2414" w:type="dxa"/>
          </w:tcPr>
          <w:p w14:paraId="179C3E49">
            <w:pPr>
              <w:jc w:val="center"/>
              <w:rPr>
                <w:rFonts w:ascii="Times New Roman" w:hAnsi="Times New Roman" w:eastAsia="宋体" w:cs="Times New Roman"/>
                <w:b/>
                <w:sz w:val="24"/>
                <w:szCs w:val="20"/>
              </w:rPr>
            </w:pPr>
          </w:p>
        </w:tc>
        <w:tc>
          <w:tcPr>
            <w:tcW w:w="1608" w:type="dxa"/>
          </w:tcPr>
          <w:p w14:paraId="67F2AE14">
            <w:pPr>
              <w:jc w:val="center"/>
              <w:rPr>
                <w:rFonts w:ascii="Times New Roman" w:hAnsi="Times New Roman" w:eastAsia="宋体" w:cs="Times New Roman"/>
                <w:b/>
                <w:sz w:val="24"/>
                <w:szCs w:val="20"/>
              </w:rPr>
            </w:pPr>
          </w:p>
        </w:tc>
      </w:tr>
      <w:tr w14:paraId="3442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55CE363">
            <w:pPr>
              <w:jc w:val="center"/>
              <w:rPr>
                <w:rFonts w:ascii="Times New Roman" w:hAnsi="Times New Roman" w:eastAsia="宋体" w:cs="Times New Roman"/>
                <w:b/>
                <w:sz w:val="24"/>
                <w:szCs w:val="20"/>
              </w:rPr>
            </w:pPr>
          </w:p>
        </w:tc>
        <w:tc>
          <w:tcPr>
            <w:tcW w:w="3449" w:type="dxa"/>
          </w:tcPr>
          <w:p w14:paraId="1D6D4D14">
            <w:pPr>
              <w:jc w:val="center"/>
              <w:rPr>
                <w:rFonts w:ascii="Times New Roman" w:hAnsi="Times New Roman" w:eastAsia="宋体" w:cs="Times New Roman"/>
                <w:b/>
                <w:sz w:val="24"/>
                <w:szCs w:val="20"/>
              </w:rPr>
            </w:pPr>
          </w:p>
        </w:tc>
        <w:tc>
          <w:tcPr>
            <w:tcW w:w="2414" w:type="dxa"/>
          </w:tcPr>
          <w:p w14:paraId="4F1AA8CE">
            <w:pPr>
              <w:jc w:val="center"/>
              <w:rPr>
                <w:rFonts w:ascii="Times New Roman" w:hAnsi="Times New Roman" w:eastAsia="宋体" w:cs="Times New Roman"/>
                <w:b/>
                <w:sz w:val="24"/>
                <w:szCs w:val="20"/>
              </w:rPr>
            </w:pPr>
          </w:p>
        </w:tc>
        <w:tc>
          <w:tcPr>
            <w:tcW w:w="1608" w:type="dxa"/>
          </w:tcPr>
          <w:p w14:paraId="063D974E">
            <w:pPr>
              <w:jc w:val="center"/>
              <w:rPr>
                <w:rFonts w:ascii="Times New Roman" w:hAnsi="Times New Roman" w:eastAsia="宋体" w:cs="Times New Roman"/>
                <w:b/>
                <w:sz w:val="24"/>
                <w:szCs w:val="20"/>
              </w:rPr>
            </w:pPr>
          </w:p>
        </w:tc>
      </w:tr>
      <w:tr w14:paraId="2601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413B53">
            <w:pPr>
              <w:jc w:val="center"/>
              <w:rPr>
                <w:rFonts w:ascii="Times New Roman" w:hAnsi="Times New Roman" w:eastAsia="宋体" w:cs="Times New Roman"/>
                <w:b/>
                <w:sz w:val="24"/>
                <w:szCs w:val="20"/>
              </w:rPr>
            </w:pPr>
          </w:p>
        </w:tc>
        <w:tc>
          <w:tcPr>
            <w:tcW w:w="3449" w:type="dxa"/>
          </w:tcPr>
          <w:p w14:paraId="09040096">
            <w:pPr>
              <w:jc w:val="center"/>
              <w:rPr>
                <w:rFonts w:ascii="Times New Roman" w:hAnsi="Times New Roman" w:eastAsia="宋体" w:cs="Times New Roman"/>
                <w:b/>
                <w:sz w:val="24"/>
                <w:szCs w:val="20"/>
              </w:rPr>
            </w:pPr>
          </w:p>
        </w:tc>
        <w:tc>
          <w:tcPr>
            <w:tcW w:w="2414" w:type="dxa"/>
          </w:tcPr>
          <w:p w14:paraId="648701E1">
            <w:pPr>
              <w:jc w:val="center"/>
              <w:rPr>
                <w:rFonts w:ascii="Times New Roman" w:hAnsi="Times New Roman" w:eastAsia="宋体" w:cs="Times New Roman"/>
                <w:b/>
                <w:sz w:val="24"/>
                <w:szCs w:val="20"/>
              </w:rPr>
            </w:pPr>
          </w:p>
        </w:tc>
        <w:tc>
          <w:tcPr>
            <w:tcW w:w="1608" w:type="dxa"/>
          </w:tcPr>
          <w:p w14:paraId="5C35928B">
            <w:pPr>
              <w:jc w:val="center"/>
              <w:rPr>
                <w:rFonts w:ascii="Times New Roman" w:hAnsi="Times New Roman" w:eastAsia="宋体" w:cs="Times New Roman"/>
                <w:b/>
                <w:sz w:val="24"/>
                <w:szCs w:val="20"/>
              </w:rPr>
            </w:pPr>
          </w:p>
        </w:tc>
      </w:tr>
      <w:tr w14:paraId="331D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3D0003">
            <w:pPr>
              <w:jc w:val="center"/>
              <w:rPr>
                <w:rFonts w:ascii="Times New Roman" w:hAnsi="Times New Roman" w:eastAsia="宋体" w:cs="Times New Roman"/>
                <w:b/>
                <w:sz w:val="24"/>
                <w:szCs w:val="20"/>
              </w:rPr>
            </w:pPr>
          </w:p>
        </w:tc>
        <w:tc>
          <w:tcPr>
            <w:tcW w:w="3449" w:type="dxa"/>
          </w:tcPr>
          <w:p w14:paraId="2515131E">
            <w:pPr>
              <w:jc w:val="center"/>
              <w:rPr>
                <w:rFonts w:ascii="Times New Roman" w:hAnsi="Times New Roman" w:eastAsia="宋体" w:cs="Times New Roman"/>
                <w:b/>
                <w:sz w:val="24"/>
                <w:szCs w:val="20"/>
              </w:rPr>
            </w:pPr>
          </w:p>
        </w:tc>
        <w:tc>
          <w:tcPr>
            <w:tcW w:w="2414" w:type="dxa"/>
          </w:tcPr>
          <w:p w14:paraId="76138CB5">
            <w:pPr>
              <w:jc w:val="center"/>
              <w:rPr>
                <w:rFonts w:ascii="Times New Roman" w:hAnsi="Times New Roman" w:eastAsia="宋体" w:cs="Times New Roman"/>
                <w:b/>
                <w:sz w:val="24"/>
                <w:szCs w:val="20"/>
              </w:rPr>
            </w:pPr>
          </w:p>
        </w:tc>
        <w:tc>
          <w:tcPr>
            <w:tcW w:w="1608" w:type="dxa"/>
          </w:tcPr>
          <w:p w14:paraId="05C7B885">
            <w:pPr>
              <w:jc w:val="center"/>
              <w:rPr>
                <w:rFonts w:ascii="Times New Roman" w:hAnsi="Times New Roman" w:eastAsia="宋体" w:cs="Times New Roman"/>
                <w:b/>
                <w:sz w:val="24"/>
                <w:szCs w:val="20"/>
              </w:rPr>
            </w:pPr>
          </w:p>
        </w:tc>
      </w:tr>
      <w:tr w14:paraId="6478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024227B">
            <w:pPr>
              <w:jc w:val="center"/>
              <w:rPr>
                <w:rFonts w:ascii="Times New Roman" w:hAnsi="Times New Roman" w:eastAsia="宋体" w:cs="Times New Roman"/>
                <w:b/>
                <w:sz w:val="24"/>
                <w:szCs w:val="20"/>
              </w:rPr>
            </w:pPr>
          </w:p>
        </w:tc>
        <w:tc>
          <w:tcPr>
            <w:tcW w:w="3449" w:type="dxa"/>
          </w:tcPr>
          <w:p w14:paraId="643A39FB">
            <w:pPr>
              <w:jc w:val="center"/>
              <w:rPr>
                <w:rFonts w:ascii="Times New Roman" w:hAnsi="Times New Roman" w:eastAsia="宋体" w:cs="Times New Roman"/>
                <w:b/>
                <w:sz w:val="24"/>
                <w:szCs w:val="20"/>
              </w:rPr>
            </w:pPr>
          </w:p>
        </w:tc>
        <w:tc>
          <w:tcPr>
            <w:tcW w:w="2414" w:type="dxa"/>
          </w:tcPr>
          <w:p w14:paraId="2FB2263F">
            <w:pPr>
              <w:jc w:val="center"/>
              <w:rPr>
                <w:rFonts w:ascii="Times New Roman" w:hAnsi="Times New Roman" w:eastAsia="宋体" w:cs="Times New Roman"/>
                <w:b/>
                <w:sz w:val="24"/>
                <w:szCs w:val="20"/>
              </w:rPr>
            </w:pPr>
          </w:p>
        </w:tc>
        <w:tc>
          <w:tcPr>
            <w:tcW w:w="1608" w:type="dxa"/>
          </w:tcPr>
          <w:p w14:paraId="144DCE77">
            <w:pPr>
              <w:jc w:val="center"/>
              <w:rPr>
                <w:rFonts w:ascii="Times New Roman" w:hAnsi="Times New Roman" w:eastAsia="宋体" w:cs="Times New Roman"/>
                <w:b/>
                <w:sz w:val="24"/>
                <w:szCs w:val="20"/>
              </w:rPr>
            </w:pPr>
          </w:p>
        </w:tc>
      </w:tr>
      <w:tr w14:paraId="1CD9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AC48D2">
            <w:pPr>
              <w:jc w:val="center"/>
              <w:rPr>
                <w:rFonts w:ascii="Times New Roman" w:hAnsi="Times New Roman" w:eastAsia="宋体" w:cs="Times New Roman"/>
                <w:b/>
                <w:sz w:val="24"/>
                <w:szCs w:val="20"/>
              </w:rPr>
            </w:pPr>
          </w:p>
        </w:tc>
        <w:tc>
          <w:tcPr>
            <w:tcW w:w="3449" w:type="dxa"/>
          </w:tcPr>
          <w:p w14:paraId="122083BE">
            <w:pPr>
              <w:jc w:val="center"/>
              <w:rPr>
                <w:rFonts w:ascii="Times New Roman" w:hAnsi="Times New Roman" w:eastAsia="宋体" w:cs="Times New Roman"/>
                <w:b/>
                <w:sz w:val="24"/>
                <w:szCs w:val="20"/>
              </w:rPr>
            </w:pPr>
          </w:p>
        </w:tc>
        <w:tc>
          <w:tcPr>
            <w:tcW w:w="2414" w:type="dxa"/>
          </w:tcPr>
          <w:p w14:paraId="65124F0A">
            <w:pPr>
              <w:jc w:val="center"/>
              <w:rPr>
                <w:rFonts w:ascii="Times New Roman" w:hAnsi="Times New Roman" w:eastAsia="宋体" w:cs="Times New Roman"/>
                <w:b/>
                <w:sz w:val="24"/>
                <w:szCs w:val="20"/>
              </w:rPr>
            </w:pPr>
          </w:p>
        </w:tc>
        <w:tc>
          <w:tcPr>
            <w:tcW w:w="1608" w:type="dxa"/>
          </w:tcPr>
          <w:p w14:paraId="44981956">
            <w:pPr>
              <w:jc w:val="center"/>
              <w:rPr>
                <w:rFonts w:ascii="Times New Roman" w:hAnsi="Times New Roman" w:eastAsia="宋体" w:cs="Times New Roman"/>
                <w:b/>
                <w:sz w:val="24"/>
                <w:szCs w:val="20"/>
              </w:rPr>
            </w:pPr>
          </w:p>
        </w:tc>
      </w:tr>
      <w:tr w14:paraId="6495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4C4E8F1">
            <w:pPr>
              <w:jc w:val="center"/>
              <w:rPr>
                <w:rFonts w:ascii="Times New Roman" w:hAnsi="Times New Roman" w:eastAsia="宋体" w:cs="Times New Roman"/>
                <w:b/>
                <w:sz w:val="24"/>
                <w:szCs w:val="20"/>
              </w:rPr>
            </w:pPr>
          </w:p>
        </w:tc>
        <w:tc>
          <w:tcPr>
            <w:tcW w:w="3449" w:type="dxa"/>
          </w:tcPr>
          <w:p w14:paraId="3106B0F7">
            <w:pPr>
              <w:jc w:val="center"/>
              <w:rPr>
                <w:rFonts w:ascii="Times New Roman" w:hAnsi="Times New Roman" w:eastAsia="宋体" w:cs="Times New Roman"/>
                <w:b/>
                <w:sz w:val="24"/>
                <w:szCs w:val="20"/>
              </w:rPr>
            </w:pPr>
          </w:p>
        </w:tc>
        <w:tc>
          <w:tcPr>
            <w:tcW w:w="2414" w:type="dxa"/>
          </w:tcPr>
          <w:p w14:paraId="6B060EFF">
            <w:pPr>
              <w:jc w:val="center"/>
              <w:rPr>
                <w:rFonts w:ascii="Times New Roman" w:hAnsi="Times New Roman" w:eastAsia="宋体" w:cs="Times New Roman"/>
                <w:b/>
                <w:sz w:val="24"/>
                <w:szCs w:val="20"/>
              </w:rPr>
            </w:pPr>
          </w:p>
        </w:tc>
        <w:tc>
          <w:tcPr>
            <w:tcW w:w="1608" w:type="dxa"/>
          </w:tcPr>
          <w:p w14:paraId="6058F6B5">
            <w:pPr>
              <w:jc w:val="center"/>
              <w:rPr>
                <w:rFonts w:ascii="Times New Roman" w:hAnsi="Times New Roman" w:eastAsia="宋体" w:cs="Times New Roman"/>
                <w:b/>
                <w:sz w:val="24"/>
                <w:szCs w:val="20"/>
              </w:rPr>
            </w:pPr>
          </w:p>
        </w:tc>
      </w:tr>
      <w:tr w14:paraId="1CE2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92661B">
            <w:pPr>
              <w:jc w:val="center"/>
              <w:rPr>
                <w:rFonts w:ascii="Times New Roman" w:hAnsi="Times New Roman" w:eastAsia="宋体" w:cs="Times New Roman"/>
                <w:b/>
                <w:sz w:val="24"/>
                <w:szCs w:val="20"/>
              </w:rPr>
            </w:pPr>
          </w:p>
        </w:tc>
        <w:tc>
          <w:tcPr>
            <w:tcW w:w="3449" w:type="dxa"/>
          </w:tcPr>
          <w:p w14:paraId="1902CDFC">
            <w:pPr>
              <w:jc w:val="center"/>
              <w:rPr>
                <w:rFonts w:ascii="Times New Roman" w:hAnsi="Times New Roman" w:eastAsia="宋体" w:cs="Times New Roman"/>
                <w:b/>
                <w:sz w:val="24"/>
                <w:szCs w:val="20"/>
              </w:rPr>
            </w:pPr>
          </w:p>
        </w:tc>
        <w:tc>
          <w:tcPr>
            <w:tcW w:w="2414" w:type="dxa"/>
          </w:tcPr>
          <w:p w14:paraId="71D1ABD6">
            <w:pPr>
              <w:jc w:val="center"/>
              <w:rPr>
                <w:rFonts w:ascii="Times New Roman" w:hAnsi="Times New Roman" w:eastAsia="宋体" w:cs="Times New Roman"/>
                <w:b/>
                <w:sz w:val="24"/>
                <w:szCs w:val="20"/>
              </w:rPr>
            </w:pPr>
          </w:p>
        </w:tc>
        <w:tc>
          <w:tcPr>
            <w:tcW w:w="1608" w:type="dxa"/>
          </w:tcPr>
          <w:p w14:paraId="7FFD9F33">
            <w:pPr>
              <w:jc w:val="center"/>
              <w:rPr>
                <w:rFonts w:ascii="Times New Roman" w:hAnsi="Times New Roman" w:eastAsia="宋体" w:cs="Times New Roman"/>
                <w:b/>
                <w:sz w:val="24"/>
                <w:szCs w:val="20"/>
              </w:rPr>
            </w:pPr>
          </w:p>
        </w:tc>
      </w:tr>
      <w:tr w14:paraId="5B1E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4EA28A3">
            <w:pPr>
              <w:jc w:val="center"/>
              <w:rPr>
                <w:rFonts w:ascii="Times New Roman" w:hAnsi="Times New Roman" w:eastAsia="宋体" w:cs="Times New Roman"/>
                <w:b/>
                <w:sz w:val="24"/>
                <w:szCs w:val="20"/>
              </w:rPr>
            </w:pPr>
          </w:p>
        </w:tc>
        <w:tc>
          <w:tcPr>
            <w:tcW w:w="3449" w:type="dxa"/>
          </w:tcPr>
          <w:p w14:paraId="09EF4564">
            <w:pPr>
              <w:jc w:val="center"/>
              <w:rPr>
                <w:rFonts w:ascii="Times New Roman" w:hAnsi="Times New Roman" w:eastAsia="宋体" w:cs="Times New Roman"/>
                <w:b/>
                <w:sz w:val="24"/>
                <w:szCs w:val="20"/>
              </w:rPr>
            </w:pPr>
          </w:p>
        </w:tc>
        <w:tc>
          <w:tcPr>
            <w:tcW w:w="2414" w:type="dxa"/>
          </w:tcPr>
          <w:p w14:paraId="45A61E63">
            <w:pPr>
              <w:jc w:val="center"/>
              <w:rPr>
                <w:rFonts w:ascii="Times New Roman" w:hAnsi="Times New Roman" w:eastAsia="宋体" w:cs="Times New Roman"/>
                <w:b/>
                <w:sz w:val="24"/>
                <w:szCs w:val="20"/>
              </w:rPr>
            </w:pPr>
          </w:p>
        </w:tc>
        <w:tc>
          <w:tcPr>
            <w:tcW w:w="1608" w:type="dxa"/>
          </w:tcPr>
          <w:p w14:paraId="39238987">
            <w:pPr>
              <w:jc w:val="center"/>
              <w:rPr>
                <w:rFonts w:ascii="Times New Roman" w:hAnsi="Times New Roman" w:eastAsia="宋体" w:cs="Times New Roman"/>
                <w:b/>
                <w:sz w:val="24"/>
                <w:szCs w:val="20"/>
              </w:rPr>
            </w:pPr>
          </w:p>
        </w:tc>
      </w:tr>
      <w:tr w14:paraId="7143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3848C1">
            <w:pPr>
              <w:jc w:val="center"/>
              <w:rPr>
                <w:rFonts w:ascii="Times New Roman" w:hAnsi="Times New Roman" w:eastAsia="宋体" w:cs="Times New Roman"/>
                <w:b/>
                <w:sz w:val="24"/>
                <w:szCs w:val="20"/>
              </w:rPr>
            </w:pPr>
          </w:p>
        </w:tc>
        <w:tc>
          <w:tcPr>
            <w:tcW w:w="3449" w:type="dxa"/>
          </w:tcPr>
          <w:p w14:paraId="31756B80">
            <w:pPr>
              <w:jc w:val="center"/>
              <w:rPr>
                <w:rFonts w:ascii="Times New Roman" w:hAnsi="Times New Roman" w:eastAsia="宋体" w:cs="Times New Roman"/>
                <w:b/>
                <w:sz w:val="24"/>
                <w:szCs w:val="20"/>
              </w:rPr>
            </w:pPr>
          </w:p>
        </w:tc>
        <w:tc>
          <w:tcPr>
            <w:tcW w:w="2414" w:type="dxa"/>
          </w:tcPr>
          <w:p w14:paraId="10CF9C6D">
            <w:pPr>
              <w:jc w:val="center"/>
              <w:rPr>
                <w:rFonts w:ascii="Times New Roman" w:hAnsi="Times New Roman" w:eastAsia="宋体" w:cs="Times New Roman"/>
                <w:b/>
                <w:sz w:val="24"/>
                <w:szCs w:val="20"/>
              </w:rPr>
            </w:pPr>
          </w:p>
        </w:tc>
        <w:tc>
          <w:tcPr>
            <w:tcW w:w="1608" w:type="dxa"/>
          </w:tcPr>
          <w:p w14:paraId="34671B67">
            <w:pPr>
              <w:jc w:val="center"/>
              <w:rPr>
                <w:rFonts w:ascii="Times New Roman" w:hAnsi="Times New Roman" w:eastAsia="宋体" w:cs="Times New Roman"/>
                <w:b/>
                <w:sz w:val="24"/>
                <w:szCs w:val="20"/>
              </w:rPr>
            </w:pPr>
          </w:p>
        </w:tc>
      </w:tr>
    </w:tbl>
    <w:p w14:paraId="10BAF06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F6AEE8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09FB9A0">
      <w:pPr>
        <w:rPr>
          <w:rFonts w:ascii="宋体" w:hAnsi="Calibri" w:eastAsia="宋体" w:cs="宋体"/>
          <w:b/>
          <w:bCs/>
          <w:color w:val="000000"/>
          <w:sz w:val="28"/>
          <w:szCs w:val="20"/>
        </w:rPr>
      </w:pPr>
    </w:p>
    <w:p w14:paraId="109FA5A5">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D9F4B4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2022</w:t>
      </w:r>
      <w:r>
        <w:rPr>
          <w:rFonts w:hint="eastAsia" w:ascii="Times New Roman" w:hAnsi="Times New Roman" w:eastAsia="宋体" w:cs="Times New Roman"/>
          <w:b/>
          <w:bCs/>
          <w:color w:val="000000"/>
          <w:sz w:val="24"/>
          <w:szCs w:val="24"/>
        </w:rPr>
        <w:t>年1月1日至今同类项目业绩一览表</w:t>
      </w:r>
    </w:p>
    <w:p w14:paraId="3D315B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仿宋_GB2312" w:hAnsi="宋体" w:eastAsia="仿宋_GB2312"/>
          <w:sz w:val="24"/>
          <w:u w:val="single"/>
          <w:lang w:val="en-US" w:eastAsia="zh-CN"/>
        </w:rPr>
        <w:t>汕德卡新增配置驾驶室设备工装改造及更新技改项目</w:t>
      </w:r>
      <w:r>
        <w:rPr>
          <w:rFonts w:ascii="宋体" w:hAnsi="宋体" w:eastAsia="宋体" w:cs="Times New Roman"/>
          <w:color w:val="000000"/>
          <w:sz w:val="24"/>
          <w:szCs w:val="24"/>
        </w:rPr>
        <w:t xml:space="preserve">                                                         </w:t>
      </w:r>
    </w:p>
    <w:tbl>
      <w:tblPr>
        <w:tblStyle w:val="39"/>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1DC6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D7A2BEB">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0DF6E4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5BBF17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B55F1B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7D21DC4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4957D59">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240DCC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05B0495">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B32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F1B8B4">
            <w:pPr>
              <w:ind w:left="420" w:hanging="420"/>
              <w:rPr>
                <w:rFonts w:ascii="宋体" w:hAnsi="Times New Roman" w:eastAsia="宋体" w:cs="Times New Roman"/>
                <w:b/>
                <w:szCs w:val="20"/>
              </w:rPr>
            </w:pPr>
          </w:p>
        </w:tc>
        <w:tc>
          <w:tcPr>
            <w:tcW w:w="2082" w:type="dxa"/>
          </w:tcPr>
          <w:p w14:paraId="01E5097A">
            <w:pPr>
              <w:ind w:left="420" w:hanging="420"/>
              <w:rPr>
                <w:rFonts w:ascii="宋体" w:hAnsi="Times New Roman" w:eastAsia="宋体" w:cs="Times New Roman"/>
                <w:b/>
                <w:szCs w:val="20"/>
              </w:rPr>
            </w:pPr>
          </w:p>
        </w:tc>
        <w:tc>
          <w:tcPr>
            <w:tcW w:w="1355" w:type="dxa"/>
          </w:tcPr>
          <w:p w14:paraId="392A3AFA">
            <w:pPr>
              <w:ind w:left="420" w:hanging="420"/>
              <w:rPr>
                <w:rFonts w:ascii="宋体" w:hAnsi="Times New Roman" w:eastAsia="宋体" w:cs="Times New Roman"/>
                <w:b/>
                <w:szCs w:val="20"/>
              </w:rPr>
            </w:pPr>
          </w:p>
        </w:tc>
        <w:tc>
          <w:tcPr>
            <w:tcW w:w="1320" w:type="dxa"/>
          </w:tcPr>
          <w:p w14:paraId="3970507B">
            <w:pPr>
              <w:ind w:left="420" w:hanging="420"/>
              <w:rPr>
                <w:rFonts w:ascii="宋体" w:hAnsi="Times New Roman" w:eastAsia="宋体" w:cs="Times New Roman"/>
                <w:b/>
                <w:szCs w:val="20"/>
              </w:rPr>
            </w:pPr>
          </w:p>
        </w:tc>
        <w:tc>
          <w:tcPr>
            <w:tcW w:w="1023" w:type="dxa"/>
          </w:tcPr>
          <w:p w14:paraId="736D12D6">
            <w:pPr>
              <w:ind w:left="420" w:hanging="420"/>
              <w:rPr>
                <w:rFonts w:ascii="宋体" w:hAnsi="Times New Roman" w:eastAsia="宋体" w:cs="Times New Roman"/>
                <w:b/>
                <w:szCs w:val="20"/>
              </w:rPr>
            </w:pPr>
          </w:p>
        </w:tc>
        <w:tc>
          <w:tcPr>
            <w:tcW w:w="1590" w:type="dxa"/>
          </w:tcPr>
          <w:p w14:paraId="47EBEF13">
            <w:pPr>
              <w:ind w:left="420" w:hanging="420"/>
              <w:rPr>
                <w:rFonts w:ascii="宋体" w:hAnsi="Times New Roman" w:eastAsia="宋体" w:cs="Times New Roman"/>
                <w:b/>
                <w:szCs w:val="20"/>
              </w:rPr>
            </w:pPr>
          </w:p>
        </w:tc>
      </w:tr>
      <w:tr w14:paraId="1424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3452ED">
            <w:pPr>
              <w:ind w:left="420" w:hanging="420"/>
              <w:rPr>
                <w:rFonts w:ascii="宋体" w:hAnsi="Times New Roman" w:eastAsia="宋体" w:cs="Times New Roman"/>
                <w:b/>
                <w:szCs w:val="20"/>
              </w:rPr>
            </w:pPr>
          </w:p>
        </w:tc>
        <w:tc>
          <w:tcPr>
            <w:tcW w:w="2082" w:type="dxa"/>
          </w:tcPr>
          <w:p w14:paraId="27B72B2E">
            <w:pPr>
              <w:ind w:left="420" w:hanging="420"/>
              <w:rPr>
                <w:rFonts w:ascii="宋体" w:hAnsi="Times New Roman" w:eastAsia="宋体" w:cs="Times New Roman"/>
                <w:b/>
                <w:szCs w:val="20"/>
              </w:rPr>
            </w:pPr>
          </w:p>
        </w:tc>
        <w:tc>
          <w:tcPr>
            <w:tcW w:w="1355" w:type="dxa"/>
          </w:tcPr>
          <w:p w14:paraId="3945C14E">
            <w:pPr>
              <w:ind w:left="420" w:hanging="420"/>
              <w:rPr>
                <w:rFonts w:ascii="宋体" w:hAnsi="Times New Roman" w:eastAsia="宋体" w:cs="Times New Roman"/>
                <w:b/>
                <w:szCs w:val="20"/>
              </w:rPr>
            </w:pPr>
          </w:p>
        </w:tc>
        <w:tc>
          <w:tcPr>
            <w:tcW w:w="1320" w:type="dxa"/>
          </w:tcPr>
          <w:p w14:paraId="5BB2D481">
            <w:pPr>
              <w:ind w:left="420" w:hanging="420"/>
              <w:rPr>
                <w:rFonts w:ascii="宋体" w:hAnsi="Times New Roman" w:eastAsia="宋体" w:cs="Times New Roman"/>
                <w:b/>
                <w:szCs w:val="20"/>
              </w:rPr>
            </w:pPr>
          </w:p>
        </w:tc>
        <w:tc>
          <w:tcPr>
            <w:tcW w:w="1023" w:type="dxa"/>
          </w:tcPr>
          <w:p w14:paraId="52DC0693">
            <w:pPr>
              <w:ind w:left="420" w:hanging="420"/>
              <w:rPr>
                <w:rFonts w:ascii="宋体" w:hAnsi="Times New Roman" w:eastAsia="宋体" w:cs="Times New Roman"/>
                <w:b/>
                <w:szCs w:val="20"/>
              </w:rPr>
            </w:pPr>
          </w:p>
        </w:tc>
        <w:tc>
          <w:tcPr>
            <w:tcW w:w="1590" w:type="dxa"/>
          </w:tcPr>
          <w:p w14:paraId="005AF015">
            <w:pPr>
              <w:ind w:left="420" w:hanging="420"/>
              <w:rPr>
                <w:rFonts w:ascii="宋体" w:hAnsi="Times New Roman" w:eastAsia="宋体" w:cs="Times New Roman"/>
                <w:b/>
                <w:szCs w:val="20"/>
              </w:rPr>
            </w:pPr>
          </w:p>
        </w:tc>
      </w:tr>
      <w:tr w14:paraId="2349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7B48F1">
            <w:pPr>
              <w:ind w:left="420" w:hanging="420"/>
              <w:rPr>
                <w:rFonts w:ascii="宋体" w:hAnsi="Times New Roman" w:eastAsia="宋体" w:cs="Times New Roman"/>
                <w:b/>
                <w:szCs w:val="20"/>
              </w:rPr>
            </w:pPr>
          </w:p>
        </w:tc>
        <w:tc>
          <w:tcPr>
            <w:tcW w:w="2082" w:type="dxa"/>
          </w:tcPr>
          <w:p w14:paraId="4EFC5A14">
            <w:pPr>
              <w:ind w:left="420" w:hanging="420"/>
              <w:rPr>
                <w:rFonts w:ascii="宋体" w:hAnsi="Times New Roman" w:eastAsia="宋体" w:cs="Times New Roman"/>
                <w:b/>
                <w:szCs w:val="20"/>
              </w:rPr>
            </w:pPr>
          </w:p>
        </w:tc>
        <w:tc>
          <w:tcPr>
            <w:tcW w:w="1355" w:type="dxa"/>
          </w:tcPr>
          <w:p w14:paraId="1FAD2997">
            <w:pPr>
              <w:ind w:left="420" w:hanging="420"/>
              <w:rPr>
                <w:rFonts w:ascii="宋体" w:hAnsi="Times New Roman" w:eastAsia="宋体" w:cs="Times New Roman"/>
                <w:b/>
                <w:szCs w:val="20"/>
              </w:rPr>
            </w:pPr>
          </w:p>
        </w:tc>
        <w:tc>
          <w:tcPr>
            <w:tcW w:w="1320" w:type="dxa"/>
          </w:tcPr>
          <w:p w14:paraId="470A6B4E">
            <w:pPr>
              <w:ind w:left="420" w:hanging="420"/>
              <w:rPr>
                <w:rFonts w:ascii="宋体" w:hAnsi="Times New Roman" w:eastAsia="宋体" w:cs="Times New Roman"/>
                <w:b/>
                <w:szCs w:val="20"/>
              </w:rPr>
            </w:pPr>
          </w:p>
        </w:tc>
        <w:tc>
          <w:tcPr>
            <w:tcW w:w="1023" w:type="dxa"/>
          </w:tcPr>
          <w:p w14:paraId="36593DE1">
            <w:pPr>
              <w:ind w:left="420" w:hanging="420"/>
              <w:rPr>
                <w:rFonts w:ascii="宋体" w:hAnsi="Times New Roman" w:eastAsia="宋体" w:cs="Times New Roman"/>
                <w:b/>
                <w:szCs w:val="20"/>
              </w:rPr>
            </w:pPr>
          </w:p>
        </w:tc>
        <w:tc>
          <w:tcPr>
            <w:tcW w:w="1590" w:type="dxa"/>
          </w:tcPr>
          <w:p w14:paraId="16ED1D40">
            <w:pPr>
              <w:ind w:left="420" w:hanging="420"/>
              <w:rPr>
                <w:rFonts w:ascii="宋体" w:hAnsi="Times New Roman" w:eastAsia="宋体" w:cs="Times New Roman"/>
                <w:b/>
                <w:szCs w:val="20"/>
              </w:rPr>
            </w:pPr>
          </w:p>
        </w:tc>
      </w:tr>
      <w:tr w14:paraId="4839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E1B59B">
            <w:pPr>
              <w:ind w:left="420" w:hanging="420"/>
              <w:rPr>
                <w:rFonts w:ascii="宋体" w:hAnsi="Times New Roman" w:eastAsia="宋体" w:cs="Times New Roman"/>
                <w:b/>
                <w:szCs w:val="20"/>
              </w:rPr>
            </w:pPr>
          </w:p>
        </w:tc>
        <w:tc>
          <w:tcPr>
            <w:tcW w:w="2082" w:type="dxa"/>
          </w:tcPr>
          <w:p w14:paraId="64D7D8B0">
            <w:pPr>
              <w:ind w:left="420" w:hanging="420"/>
              <w:rPr>
                <w:rFonts w:ascii="宋体" w:hAnsi="Times New Roman" w:eastAsia="宋体" w:cs="Times New Roman"/>
                <w:b/>
                <w:szCs w:val="20"/>
              </w:rPr>
            </w:pPr>
          </w:p>
        </w:tc>
        <w:tc>
          <w:tcPr>
            <w:tcW w:w="1355" w:type="dxa"/>
          </w:tcPr>
          <w:p w14:paraId="2F5B8F48">
            <w:pPr>
              <w:ind w:left="420" w:hanging="420"/>
              <w:rPr>
                <w:rFonts w:ascii="宋体" w:hAnsi="Times New Roman" w:eastAsia="宋体" w:cs="Times New Roman"/>
                <w:b/>
                <w:szCs w:val="20"/>
              </w:rPr>
            </w:pPr>
          </w:p>
        </w:tc>
        <w:tc>
          <w:tcPr>
            <w:tcW w:w="1320" w:type="dxa"/>
          </w:tcPr>
          <w:p w14:paraId="793EB460">
            <w:pPr>
              <w:ind w:left="420" w:hanging="420"/>
              <w:rPr>
                <w:rFonts w:ascii="宋体" w:hAnsi="Times New Roman" w:eastAsia="宋体" w:cs="Times New Roman"/>
                <w:b/>
                <w:szCs w:val="20"/>
              </w:rPr>
            </w:pPr>
          </w:p>
        </w:tc>
        <w:tc>
          <w:tcPr>
            <w:tcW w:w="1023" w:type="dxa"/>
          </w:tcPr>
          <w:p w14:paraId="6A5C96AC">
            <w:pPr>
              <w:ind w:left="420" w:hanging="420"/>
              <w:rPr>
                <w:rFonts w:ascii="宋体" w:hAnsi="Times New Roman" w:eastAsia="宋体" w:cs="Times New Roman"/>
                <w:b/>
                <w:szCs w:val="20"/>
              </w:rPr>
            </w:pPr>
          </w:p>
        </w:tc>
        <w:tc>
          <w:tcPr>
            <w:tcW w:w="1590" w:type="dxa"/>
          </w:tcPr>
          <w:p w14:paraId="0E27264B">
            <w:pPr>
              <w:ind w:left="420" w:hanging="420"/>
              <w:rPr>
                <w:rFonts w:ascii="宋体" w:hAnsi="Times New Roman" w:eastAsia="宋体" w:cs="Times New Roman"/>
                <w:b/>
                <w:szCs w:val="20"/>
              </w:rPr>
            </w:pPr>
          </w:p>
        </w:tc>
      </w:tr>
      <w:tr w14:paraId="1AB4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B53D2A">
            <w:pPr>
              <w:ind w:left="420" w:hanging="420"/>
              <w:rPr>
                <w:rFonts w:ascii="宋体" w:hAnsi="Times New Roman" w:eastAsia="宋体" w:cs="Times New Roman"/>
                <w:b/>
                <w:szCs w:val="20"/>
              </w:rPr>
            </w:pPr>
          </w:p>
        </w:tc>
        <w:tc>
          <w:tcPr>
            <w:tcW w:w="2082" w:type="dxa"/>
          </w:tcPr>
          <w:p w14:paraId="24AFFD1A">
            <w:pPr>
              <w:ind w:left="420" w:hanging="420"/>
              <w:rPr>
                <w:rFonts w:ascii="宋体" w:hAnsi="Times New Roman" w:eastAsia="宋体" w:cs="Times New Roman"/>
                <w:b/>
                <w:szCs w:val="20"/>
              </w:rPr>
            </w:pPr>
          </w:p>
        </w:tc>
        <w:tc>
          <w:tcPr>
            <w:tcW w:w="1355" w:type="dxa"/>
          </w:tcPr>
          <w:p w14:paraId="54BD83F4">
            <w:pPr>
              <w:ind w:left="420" w:hanging="420"/>
              <w:rPr>
                <w:rFonts w:ascii="宋体" w:hAnsi="Times New Roman" w:eastAsia="宋体" w:cs="Times New Roman"/>
                <w:b/>
                <w:szCs w:val="20"/>
              </w:rPr>
            </w:pPr>
          </w:p>
        </w:tc>
        <w:tc>
          <w:tcPr>
            <w:tcW w:w="1320" w:type="dxa"/>
          </w:tcPr>
          <w:p w14:paraId="080F2EE8">
            <w:pPr>
              <w:ind w:left="420" w:hanging="420"/>
              <w:rPr>
                <w:rFonts w:ascii="宋体" w:hAnsi="Times New Roman" w:eastAsia="宋体" w:cs="Times New Roman"/>
                <w:b/>
                <w:szCs w:val="20"/>
              </w:rPr>
            </w:pPr>
          </w:p>
        </w:tc>
        <w:tc>
          <w:tcPr>
            <w:tcW w:w="1023" w:type="dxa"/>
          </w:tcPr>
          <w:p w14:paraId="1F2E2A65">
            <w:pPr>
              <w:ind w:left="420" w:hanging="420"/>
              <w:rPr>
                <w:rFonts w:ascii="宋体" w:hAnsi="Times New Roman" w:eastAsia="宋体" w:cs="Times New Roman"/>
                <w:b/>
                <w:szCs w:val="20"/>
              </w:rPr>
            </w:pPr>
          </w:p>
        </w:tc>
        <w:tc>
          <w:tcPr>
            <w:tcW w:w="1590" w:type="dxa"/>
          </w:tcPr>
          <w:p w14:paraId="6146626F">
            <w:pPr>
              <w:ind w:left="420" w:hanging="420"/>
              <w:rPr>
                <w:rFonts w:ascii="宋体" w:hAnsi="Times New Roman" w:eastAsia="宋体" w:cs="Times New Roman"/>
                <w:b/>
                <w:szCs w:val="20"/>
              </w:rPr>
            </w:pPr>
          </w:p>
        </w:tc>
      </w:tr>
      <w:tr w14:paraId="6CDF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A2F8A3">
            <w:pPr>
              <w:ind w:left="420" w:hanging="420"/>
              <w:rPr>
                <w:rFonts w:ascii="宋体" w:hAnsi="Times New Roman" w:eastAsia="宋体" w:cs="Times New Roman"/>
                <w:b/>
                <w:szCs w:val="20"/>
              </w:rPr>
            </w:pPr>
          </w:p>
        </w:tc>
        <w:tc>
          <w:tcPr>
            <w:tcW w:w="2082" w:type="dxa"/>
          </w:tcPr>
          <w:p w14:paraId="251FB485">
            <w:pPr>
              <w:ind w:left="420" w:hanging="420"/>
              <w:rPr>
                <w:rFonts w:ascii="宋体" w:hAnsi="Times New Roman" w:eastAsia="宋体" w:cs="Times New Roman"/>
                <w:b/>
                <w:szCs w:val="20"/>
              </w:rPr>
            </w:pPr>
          </w:p>
        </w:tc>
        <w:tc>
          <w:tcPr>
            <w:tcW w:w="1355" w:type="dxa"/>
          </w:tcPr>
          <w:p w14:paraId="33BBFAA7">
            <w:pPr>
              <w:ind w:left="420" w:hanging="420"/>
              <w:rPr>
                <w:rFonts w:ascii="宋体" w:hAnsi="Times New Roman" w:eastAsia="宋体" w:cs="Times New Roman"/>
                <w:b/>
                <w:szCs w:val="20"/>
              </w:rPr>
            </w:pPr>
          </w:p>
        </w:tc>
        <w:tc>
          <w:tcPr>
            <w:tcW w:w="1320" w:type="dxa"/>
          </w:tcPr>
          <w:p w14:paraId="798E8F13">
            <w:pPr>
              <w:ind w:left="420" w:hanging="420"/>
              <w:rPr>
                <w:rFonts w:ascii="宋体" w:hAnsi="Times New Roman" w:eastAsia="宋体" w:cs="Times New Roman"/>
                <w:b/>
                <w:szCs w:val="20"/>
              </w:rPr>
            </w:pPr>
          </w:p>
        </w:tc>
        <w:tc>
          <w:tcPr>
            <w:tcW w:w="1023" w:type="dxa"/>
          </w:tcPr>
          <w:p w14:paraId="693FCD1E">
            <w:pPr>
              <w:ind w:left="420" w:hanging="420"/>
              <w:rPr>
                <w:rFonts w:ascii="宋体" w:hAnsi="Times New Roman" w:eastAsia="宋体" w:cs="Times New Roman"/>
                <w:b/>
                <w:szCs w:val="20"/>
              </w:rPr>
            </w:pPr>
          </w:p>
        </w:tc>
        <w:tc>
          <w:tcPr>
            <w:tcW w:w="1590" w:type="dxa"/>
          </w:tcPr>
          <w:p w14:paraId="0621C1B9">
            <w:pPr>
              <w:ind w:left="420" w:hanging="420"/>
              <w:rPr>
                <w:rFonts w:ascii="宋体" w:hAnsi="Times New Roman" w:eastAsia="宋体" w:cs="Times New Roman"/>
                <w:b/>
                <w:szCs w:val="20"/>
              </w:rPr>
            </w:pPr>
          </w:p>
        </w:tc>
      </w:tr>
      <w:tr w14:paraId="388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B4B2C2">
            <w:pPr>
              <w:ind w:left="420" w:hanging="420"/>
              <w:rPr>
                <w:rFonts w:ascii="宋体" w:hAnsi="Times New Roman" w:eastAsia="宋体" w:cs="Times New Roman"/>
                <w:b/>
                <w:szCs w:val="20"/>
              </w:rPr>
            </w:pPr>
          </w:p>
        </w:tc>
        <w:tc>
          <w:tcPr>
            <w:tcW w:w="2082" w:type="dxa"/>
          </w:tcPr>
          <w:p w14:paraId="03B9DE8C">
            <w:pPr>
              <w:ind w:left="420" w:hanging="420"/>
              <w:rPr>
                <w:rFonts w:ascii="宋体" w:hAnsi="Times New Roman" w:eastAsia="宋体" w:cs="Times New Roman"/>
                <w:b/>
                <w:szCs w:val="20"/>
              </w:rPr>
            </w:pPr>
          </w:p>
        </w:tc>
        <w:tc>
          <w:tcPr>
            <w:tcW w:w="1355" w:type="dxa"/>
          </w:tcPr>
          <w:p w14:paraId="595A85D6">
            <w:pPr>
              <w:ind w:left="420" w:hanging="420"/>
              <w:rPr>
                <w:rFonts w:ascii="宋体" w:hAnsi="Times New Roman" w:eastAsia="宋体" w:cs="Times New Roman"/>
                <w:b/>
                <w:szCs w:val="20"/>
              </w:rPr>
            </w:pPr>
          </w:p>
        </w:tc>
        <w:tc>
          <w:tcPr>
            <w:tcW w:w="1320" w:type="dxa"/>
          </w:tcPr>
          <w:p w14:paraId="76F1DF63">
            <w:pPr>
              <w:ind w:left="420" w:hanging="420"/>
              <w:rPr>
                <w:rFonts w:ascii="宋体" w:hAnsi="Times New Roman" w:eastAsia="宋体" w:cs="Times New Roman"/>
                <w:b/>
                <w:szCs w:val="20"/>
              </w:rPr>
            </w:pPr>
          </w:p>
        </w:tc>
        <w:tc>
          <w:tcPr>
            <w:tcW w:w="1023" w:type="dxa"/>
          </w:tcPr>
          <w:p w14:paraId="56ABF8D5">
            <w:pPr>
              <w:ind w:left="420" w:hanging="420"/>
              <w:rPr>
                <w:rFonts w:ascii="宋体" w:hAnsi="Times New Roman" w:eastAsia="宋体" w:cs="Times New Roman"/>
                <w:b/>
                <w:szCs w:val="20"/>
              </w:rPr>
            </w:pPr>
          </w:p>
        </w:tc>
        <w:tc>
          <w:tcPr>
            <w:tcW w:w="1590" w:type="dxa"/>
          </w:tcPr>
          <w:p w14:paraId="6E90D1B5">
            <w:pPr>
              <w:ind w:left="420" w:hanging="420"/>
              <w:rPr>
                <w:rFonts w:ascii="宋体" w:hAnsi="Times New Roman" w:eastAsia="宋体" w:cs="Times New Roman"/>
                <w:b/>
                <w:szCs w:val="20"/>
              </w:rPr>
            </w:pPr>
          </w:p>
        </w:tc>
      </w:tr>
      <w:tr w14:paraId="0C8A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F1E177">
            <w:pPr>
              <w:ind w:left="420" w:hanging="420"/>
              <w:rPr>
                <w:rFonts w:ascii="宋体" w:hAnsi="Times New Roman" w:eastAsia="宋体" w:cs="Times New Roman"/>
                <w:b/>
                <w:szCs w:val="20"/>
              </w:rPr>
            </w:pPr>
          </w:p>
        </w:tc>
        <w:tc>
          <w:tcPr>
            <w:tcW w:w="2082" w:type="dxa"/>
          </w:tcPr>
          <w:p w14:paraId="5C803ADB">
            <w:pPr>
              <w:ind w:left="420" w:hanging="420"/>
              <w:rPr>
                <w:rFonts w:ascii="宋体" w:hAnsi="Times New Roman" w:eastAsia="宋体" w:cs="Times New Roman"/>
                <w:b/>
                <w:szCs w:val="20"/>
              </w:rPr>
            </w:pPr>
          </w:p>
        </w:tc>
        <w:tc>
          <w:tcPr>
            <w:tcW w:w="1355" w:type="dxa"/>
          </w:tcPr>
          <w:p w14:paraId="25311F16">
            <w:pPr>
              <w:ind w:left="420" w:hanging="420"/>
              <w:rPr>
                <w:rFonts w:ascii="宋体" w:hAnsi="Times New Roman" w:eastAsia="宋体" w:cs="Times New Roman"/>
                <w:b/>
                <w:szCs w:val="20"/>
              </w:rPr>
            </w:pPr>
          </w:p>
        </w:tc>
        <w:tc>
          <w:tcPr>
            <w:tcW w:w="1320" w:type="dxa"/>
          </w:tcPr>
          <w:p w14:paraId="19BBEB1E">
            <w:pPr>
              <w:ind w:left="420" w:hanging="420"/>
              <w:rPr>
                <w:rFonts w:ascii="宋体" w:hAnsi="Times New Roman" w:eastAsia="宋体" w:cs="Times New Roman"/>
                <w:b/>
                <w:szCs w:val="20"/>
              </w:rPr>
            </w:pPr>
          </w:p>
        </w:tc>
        <w:tc>
          <w:tcPr>
            <w:tcW w:w="1023" w:type="dxa"/>
          </w:tcPr>
          <w:p w14:paraId="000B1491">
            <w:pPr>
              <w:ind w:left="420" w:hanging="420"/>
              <w:rPr>
                <w:rFonts w:ascii="宋体" w:hAnsi="Times New Roman" w:eastAsia="宋体" w:cs="Times New Roman"/>
                <w:b/>
                <w:szCs w:val="20"/>
              </w:rPr>
            </w:pPr>
          </w:p>
        </w:tc>
        <w:tc>
          <w:tcPr>
            <w:tcW w:w="1590" w:type="dxa"/>
          </w:tcPr>
          <w:p w14:paraId="683E3AE4">
            <w:pPr>
              <w:ind w:left="420" w:hanging="420"/>
              <w:rPr>
                <w:rFonts w:ascii="宋体" w:hAnsi="Times New Roman" w:eastAsia="宋体" w:cs="Times New Roman"/>
                <w:b/>
                <w:szCs w:val="20"/>
              </w:rPr>
            </w:pPr>
          </w:p>
        </w:tc>
      </w:tr>
      <w:tr w14:paraId="1397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EB2BDA">
            <w:pPr>
              <w:ind w:left="420" w:hanging="420"/>
              <w:rPr>
                <w:rFonts w:ascii="宋体" w:hAnsi="Times New Roman" w:eastAsia="宋体" w:cs="Times New Roman"/>
                <w:b/>
                <w:szCs w:val="20"/>
              </w:rPr>
            </w:pPr>
          </w:p>
        </w:tc>
        <w:tc>
          <w:tcPr>
            <w:tcW w:w="2082" w:type="dxa"/>
          </w:tcPr>
          <w:p w14:paraId="52319F40">
            <w:pPr>
              <w:ind w:left="420" w:hanging="420"/>
              <w:rPr>
                <w:rFonts w:ascii="宋体" w:hAnsi="Times New Roman" w:eastAsia="宋体" w:cs="Times New Roman"/>
                <w:b/>
                <w:szCs w:val="20"/>
              </w:rPr>
            </w:pPr>
          </w:p>
        </w:tc>
        <w:tc>
          <w:tcPr>
            <w:tcW w:w="1355" w:type="dxa"/>
          </w:tcPr>
          <w:p w14:paraId="540B8696">
            <w:pPr>
              <w:ind w:left="420" w:hanging="420"/>
              <w:rPr>
                <w:rFonts w:ascii="宋体" w:hAnsi="Times New Roman" w:eastAsia="宋体" w:cs="Times New Roman"/>
                <w:b/>
                <w:szCs w:val="20"/>
              </w:rPr>
            </w:pPr>
          </w:p>
        </w:tc>
        <w:tc>
          <w:tcPr>
            <w:tcW w:w="1320" w:type="dxa"/>
          </w:tcPr>
          <w:p w14:paraId="0B8B3ADA">
            <w:pPr>
              <w:ind w:left="420" w:hanging="420"/>
              <w:rPr>
                <w:rFonts w:ascii="宋体" w:hAnsi="Times New Roman" w:eastAsia="宋体" w:cs="Times New Roman"/>
                <w:b/>
                <w:szCs w:val="20"/>
              </w:rPr>
            </w:pPr>
          </w:p>
        </w:tc>
        <w:tc>
          <w:tcPr>
            <w:tcW w:w="1023" w:type="dxa"/>
          </w:tcPr>
          <w:p w14:paraId="6D441F53">
            <w:pPr>
              <w:ind w:left="420" w:hanging="420"/>
              <w:rPr>
                <w:rFonts w:ascii="宋体" w:hAnsi="Times New Roman" w:eastAsia="宋体" w:cs="Times New Roman"/>
                <w:b/>
                <w:szCs w:val="20"/>
              </w:rPr>
            </w:pPr>
          </w:p>
        </w:tc>
        <w:tc>
          <w:tcPr>
            <w:tcW w:w="1590" w:type="dxa"/>
          </w:tcPr>
          <w:p w14:paraId="6C41EF01">
            <w:pPr>
              <w:ind w:left="420" w:hanging="420"/>
              <w:rPr>
                <w:rFonts w:ascii="宋体" w:hAnsi="Times New Roman" w:eastAsia="宋体" w:cs="Times New Roman"/>
                <w:b/>
                <w:szCs w:val="20"/>
              </w:rPr>
            </w:pPr>
          </w:p>
        </w:tc>
      </w:tr>
      <w:tr w14:paraId="49F6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DF7854">
            <w:pPr>
              <w:ind w:left="420" w:hanging="420"/>
              <w:rPr>
                <w:rFonts w:ascii="宋体" w:hAnsi="Times New Roman" w:eastAsia="宋体" w:cs="Times New Roman"/>
                <w:b/>
                <w:szCs w:val="20"/>
              </w:rPr>
            </w:pPr>
          </w:p>
        </w:tc>
        <w:tc>
          <w:tcPr>
            <w:tcW w:w="2082" w:type="dxa"/>
          </w:tcPr>
          <w:p w14:paraId="188309D7">
            <w:pPr>
              <w:ind w:left="420" w:hanging="420"/>
              <w:rPr>
                <w:rFonts w:ascii="宋体" w:hAnsi="Times New Roman" w:eastAsia="宋体" w:cs="Times New Roman"/>
                <w:b/>
                <w:szCs w:val="20"/>
              </w:rPr>
            </w:pPr>
          </w:p>
        </w:tc>
        <w:tc>
          <w:tcPr>
            <w:tcW w:w="1355" w:type="dxa"/>
          </w:tcPr>
          <w:p w14:paraId="18C1D142">
            <w:pPr>
              <w:ind w:left="420" w:hanging="420"/>
              <w:rPr>
                <w:rFonts w:ascii="宋体" w:hAnsi="Times New Roman" w:eastAsia="宋体" w:cs="Times New Roman"/>
                <w:b/>
                <w:szCs w:val="20"/>
              </w:rPr>
            </w:pPr>
          </w:p>
        </w:tc>
        <w:tc>
          <w:tcPr>
            <w:tcW w:w="1320" w:type="dxa"/>
          </w:tcPr>
          <w:p w14:paraId="4F2EA91F">
            <w:pPr>
              <w:ind w:left="420" w:hanging="420"/>
              <w:rPr>
                <w:rFonts w:ascii="宋体" w:hAnsi="Times New Roman" w:eastAsia="宋体" w:cs="Times New Roman"/>
                <w:b/>
                <w:szCs w:val="20"/>
              </w:rPr>
            </w:pPr>
          </w:p>
        </w:tc>
        <w:tc>
          <w:tcPr>
            <w:tcW w:w="1023" w:type="dxa"/>
          </w:tcPr>
          <w:p w14:paraId="7A94759A">
            <w:pPr>
              <w:ind w:left="420" w:hanging="420"/>
              <w:rPr>
                <w:rFonts w:ascii="宋体" w:hAnsi="Times New Roman" w:eastAsia="宋体" w:cs="Times New Roman"/>
                <w:b/>
                <w:szCs w:val="20"/>
              </w:rPr>
            </w:pPr>
          </w:p>
        </w:tc>
        <w:tc>
          <w:tcPr>
            <w:tcW w:w="1590" w:type="dxa"/>
          </w:tcPr>
          <w:p w14:paraId="3344E4EB">
            <w:pPr>
              <w:ind w:left="420" w:hanging="420"/>
              <w:rPr>
                <w:rFonts w:ascii="宋体" w:hAnsi="Times New Roman" w:eastAsia="宋体" w:cs="Times New Roman"/>
                <w:b/>
                <w:szCs w:val="20"/>
              </w:rPr>
            </w:pPr>
          </w:p>
        </w:tc>
      </w:tr>
      <w:tr w14:paraId="6D31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F4F70B">
            <w:pPr>
              <w:ind w:left="420" w:hanging="420"/>
              <w:rPr>
                <w:rFonts w:ascii="宋体" w:hAnsi="Times New Roman" w:eastAsia="宋体" w:cs="Times New Roman"/>
                <w:b/>
                <w:szCs w:val="20"/>
              </w:rPr>
            </w:pPr>
          </w:p>
        </w:tc>
        <w:tc>
          <w:tcPr>
            <w:tcW w:w="2082" w:type="dxa"/>
          </w:tcPr>
          <w:p w14:paraId="7BDE243D">
            <w:pPr>
              <w:ind w:left="420" w:hanging="420"/>
              <w:rPr>
                <w:rFonts w:ascii="宋体" w:hAnsi="Times New Roman" w:eastAsia="宋体" w:cs="Times New Roman"/>
                <w:b/>
                <w:szCs w:val="20"/>
              </w:rPr>
            </w:pPr>
          </w:p>
        </w:tc>
        <w:tc>
          <w:tcPr>
            <w:tcW w:w="1355" w:type="dxa"/>
          </w:tcPr>
          <w:p w14:paraId="75B15000">
            <w:pPr>
              <w:ind w:left="420" w:hanging="420"/>
              <w:rPr>
                <w:rFonts w:ascii="宋体" w:hAnsi="Times New Roman" w:eastAsia="宋体" w:cs="Times New Roman"/>
                <w:b/>
                <w:szCs w:val="20"/>
              </w:rPr>
            </w:pPr>
          </w:p>
        </w:tc>
        <w:tc>
          <w:tcPr>
            <w:tcW w:w="1320" w:type="dxa"/>
          </w:tcPr>
          <w:p w14:paraId="15652A87">
            <w:pPr>
              <w:ind w:left="420" w:hanging="420"/>
              <w:rPr>
                <w:rFonts w:ascii="宋体" w:hAnsi="Times New Roman" w:eastAsia="宋体" w:cs="Times New Roman"/>
                <w:b/>
                <w:szCs w:val="20"/>
              </w:rPr>
            </w:pPr>
          </w:p>
        </w:tc>
        <w:tc>
          <w:tcPr>
            <w:tcW w:w="1023" w:type="dxa"/>
          </w:tcPr>
          <w:p w14:paraId="26027F9E">
            <w:pPr>
              <w:ind w:left="420" w:hanging="420"/>
              <w:rPr>
                <w:rFonts w:ascii="宋体" w:hAnsi="Times New Roman" w:eastAsia="宋体" w:cs="Times New Roman"/>
                <w:b/>
                <w:szCs w:val="20"/>
              </w:rPr>
            </w:pPr>
          </w:p>
        </w:tc>
        <w:tc>
          <w:tcPr>
            <w:tcW w:w="1590" w:type="dxa"/>
          </w:tcPr>
          <w:p w14:paraId="384D9621">
            <w:pPr>
              <w:ind w:left="420" w:hanging="420"/>
              <w:rPr>
                <w:rFonts w:ascii="宋体" w:hAnsi="Times New Roman" w:eastAsia="宋体" w:cs="Times New Roman"/>
                <w:b/>
                <w:szCs w:val="20"/>
              </w:rPr>
            </w:pPr>
          </w:p>
        </w:tc>
      </w:tr>
      <w:tr w14:paraId="2D18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F1CCA8">
            <w:pPr>
              <w:ind w:left="420" w:hanging="420"/>
              <w:rPr>
                <w:rFonts w:ascii="宋体" w:hAnsi="Times New Roman" w:eastAsia="宋体" w:cs="Times New Roman"/>
                <w:b/>
                <w:szCs w:val="20"/>
              </w:rPr>
            </w:pPr>
          </w:p>
        </w:tc>
        <w:tc>
          <w:tcPr>
            <w:tcW w:w="2082" w:type="dxa"/>
          </w:tcPr>
          <w:p w14:paraId="5E8A48EF">
            <w:pPr>
              <w:ind w:left="420" w:hanging="420"/>
              <w:rPr>
                <w:rFonts w:ascii="宋体" w:hAnsi="Times New Roman" w:eastAsia="宋体" w:cs="Times New Roman"/>
                <w:b/>
                <w:szCs w:val="20"/>
              </w:rPr>
            </w:pPr>
          </w:p>
        </w:tc>
        <w:tc>
          <w:tcPr>
            <w:tcW w:w="1355" w:type="dxa"/>
          </w:tcPr>
          <w:p w14:paraId="55F83424">
            <w:pPr>
              <w:ind w:left="420" w:hanging="420"/>
              <w:rPr>
                <w:rFonts w:ascii="宋体" w:hAnsi="Times New Roman" w:eastAsia="宋体" w:cs="Times New Roman"/>
                <w:b/>
                <w:szCs w:val="20"/>
              </w:rPr>
            </w:pPr>
          </w:p>
        </w:tc>
        <w:tc>
          <w:tcPr>
            <w:tcW w:w="1320" w:type="dxa"/>
          </w:tcPr>
          <w:p w14:paraId="6ABDF7D4">
            <w:pPr>
              <w:ind w:left="420" w:hanging="420"/>
              <w:rPr>
                <w:rFonts w:ascii="宋体" w:hAnsi="Times New Roman" w:eastAsia="宋体" w:cs="Times New Roman"/>
                <w:b/>
                <w:szCs w:val="20"/>
              </w:rPr>
            </w:pPr>
          </w:p>
        </w:tc>
        <w:tc>
          <w:tcPr>
            <w:tcW w:w="1023" w:type="dxa"/>
          </w:tcPr>
          <w:p w14:paraId="22A947B9">
            <w:pPr>
              <w:ind w:left="420" w:hanging="420"/>
              <w:rPr>
                <w:rFonts w:ascii="宋体" w:hAnsi="Times New Roman" w:eastAsia="宋体" w:cs="Times New Roman"/>
                <w:b/>
                <w:szCs w:val="20"/>
              </w:rPr>
            </w:pPr>
          </w:p>
        </w:tc>
        <w:tc>
          <w:tcPr>
            <w:tcW w:w="1590" w:type="dxa"/>
          </w:tcPr>
          <w:p w14:paraId="1F1972F0">
            <w:pPr>
              <w:ind w:left="420" w:hanging="420"/>
              <w:rPr>
                <w:rFonts w:ascii="宋体" w:hAnsi="Times New Roman" w:eastAsia="宋体" w:cs="Times New Roman"/>
                <w:b/>
                <w:szCs w:val="20"/>
              </w:rPr>
            </w:pPr>
          </w:p>
        </w:tc>
      </w:tr>
      <w:tr w14:paraId="18BF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9DD91FF">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7206384F">
            <w:pPr>
              <w:ind w:left="420" w:hanging="420"/>
              <w:rPr>
                <w:rFonts w:ascii="宋体" w:hAnsi="Times New Roman" w:eastAsia="宋体" w:cs="Times New Roman"/>
                <w:b/>
                <w:szCs w:val="20"/>
              </w:rPr>
            </w:pPr>
          </w:p>
        </w:tc>
        <w:tc>
          <w:tcPr>
            <w:tcW w:w="1023" w:type="dxa"/>
          </w:tcPr>
          <w:p w14:paraId="56B3774A">
            <w:pPr>
              <w:ind w:left="420" w:hanging="420"/>
              <w:rPr>
                <w:rFonts w:ascii="宋体" w:hAnsi="Times New Roman" w:eastAsia="宋体" w:cs="Times New Roman"/>
                <w:b/>
                <w:szCs w:val="20"/>
              </w:rPr>
            </w:pPr>
          </w:p>
        </w:tc>
        <w:tc>
          <w:tcPr>
            <w:tcW w:w="1590" w:type="dxa"/>
          </w:tcPr>
          <w:p w14:paraId="5D59B6F6">
            <w:pPr>
              <w:ind w:left="420" w:hanging="420"/>
              <w:rPr>
                <w:rFonts w:ascii="宋体" w:hAnsi="Times New Roman" w:eastAsia="宋体" w:cs="Times New Roman"/>
                <w:b/>
                <w:szCs w:val="20"/>
              </w:rPr>
            </w:pPr>
          </w:p>
        </w:tc>
      </w:tr>
    </w:tbl>
    <w:p w14:paraId="30E16545">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E2875F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69D8A9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38559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CDEBF78">
      <w:pPr>
        <w:rPr>
          <w:rFonts w:ascii="宋体" w:hAnsi="Calibri" w:eastAsia="宋体" w:cs="宋体"/>
          <w:b/>
          <w:bCs/>
          <w:color w:val="000000"/>
          <w:sz w:val="28"/>
        </w:rPr>
      </w:pPr>
    </w:p>
    <w:p w14:paraId="0F5FE23F">
      <w:pPr>
        <w:rPr>
          <w:rFonts w:ascii="宋体" w:hAnsi="Calibri" w:eastAsia="宋体" w:cs="宋体"/>
          <w:b/>
          <w:bCs/>
          <w:color w:val="000000"/>
          <w:sz w:val="28"/>
        </w:rPr>
        <w:sectPr>
          <w:footerReference r:id="rId29" w:type="default"/>
          <w:pgSz w:w="11906" w:h="16838"/>
          <w:pgMar w:top="1588" w:right="1418" w:bottom="1134" w:left="1418" w:header="851" w:footer="992" w:gutter="0"/>
          <w:cols w:space="720" w:num="1"/>
          <w:titlePg/>
          <w:docGrid w:type="lines" w:linePitch="312" w:charSpace="0"/>
        </w:sectPr>
      </w:pPr>
    </w:p>
    <w:p w14:paraId="12ADC82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CDD96D2">
      <w:pPr>
        <w:spacing w:line="240" w:lineRule="exact"/>
        <w:rPr>
          <w:rFonts w:ascii="宋体" w:hAnsi="宋体" w:eastAsia="宋体" w:cs="Times New Roman"/>
          <w:szCs w:val="20"/>
        </w:rPr>
      </w:pPr>
      <w:r>
        <w:rPr>
          <w:rFonts w:ascii="宋体" w:hAnsi="宋体" w:eastAsia="宋体" w:cs="Times New Roman"/>
          <w:szCs w:val="20"/>
        </w:rPr>
        <w:t xml:space="preserve">                                               </w:t>
      </w:r>
    </w:p>
    <w:p w14:paraId="1C9807D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仿宋_GB2312" w:hAnsi="宋体" w:eastAsia="仿宋_GB2312"/>
          <w:sz w:val="24"/>
          <w:u w:val="single"/>
          <w:lang w:val="en-US" w:eastAsia="zh-CN"/>
        </w:rPr>
        <w:t>汕德卡新增配置驾驶室设备工装改造及更新技改项目</w:t>
      </w:r>
    </w:p>
    <w:p w14:paraId="1A943436">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w:t>
      </w:r>
      <w:r>
        <w:rPr>
          <w:rFonts w:hint="eastAsia" w:ascii="宋体" w:hAnsi="宋体" w:eastAsia="宋体" w:cs="Times New Roman"/>
          <w:b/>
          <w:bCs/>
          <w:sz w:val="24"/>
          <w:szCs w:val="20"/>
          <w:highlight w:val="red"/>
          <w:lang w:val="en-US" w:eastAsia="zh-CN"/>
        </w:rPr>
        <w:t>济南商用车</w:t>
      </w:r>
      <w:r>
        <w:rPr>
          <w:rFonts w:hint="eastAsia" w:ascii="宋体" w:hAnsi="宋体" w:eastAsia="宋体" w:cs="Times New Roman"/>
          <w:b/>
          <w:bCs/>
          <w:sz w:val="24"/>
          <w:szCs w:val="20"/>
          <w:highlight w:val="red"/>
        </w:rPr>
        <w:t>有限公司：</w:t>
      </w:r>
    </w:p>
    <w:p w14:paraId="50CDDAF2">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C26B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67C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86A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D5F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6A02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B15B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6978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6E0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A090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079C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A475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EA8B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4D19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21BF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8C9F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36B6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3E9F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C38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131F50">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304156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8C7C4C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64EBE6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869142">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56919D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E0B2909">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AC58E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仿宋_GB2312" w:hAnsi="宋体" w:eastAsia="仿宋_GB2312"/>
          <w:sz w:val="24"/>
          <w:u w:val="single"/>
          <w:lang w:val="en-US" w:eastAsia="zh-CN"/>
        </w:rPr>
        <w:t>汕德卡新增配置驾驶室设备工装改造及更新技改项目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A47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4B5E12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25B2AE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FADEAD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FECF77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0FC002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3F797C6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AD7BCEF">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F3B0F2F">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1285DFB9">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07A6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C7FB52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542152B1">
            <w:pPr>
              <w:jc w:val="center"/>
              <w:rPr>
                <w:rFonts w:ascii="Times New Roman" w:hAnsi="Times New Roman" w:eastAsia="宋体" w:cs="Times New Roman"/>
                <w:b/>
                <w:szCs w:val="20"/>
              </w:rPr>
            </w:pPr>
            <w:r>
              <w:rPr>
                <w:rFonts w:hint="eastAsia" w:ascii="仿宋_GB2312" w:hAnsi="宋体" w:eastAsia="仿宋_GB2312"/>
                <w:sz w:val="24"/>
                <w:u w:val="single"/>
                <w:lang w:val="en-US" w:eastAsia="zh-CN"/>
              </w:rPr>
              <w:t>汕德卡新增配置驾驶室设备工装改造及更新技改项目</w:t>
            </w:r>
          </w:p>
        </w:tc>
        <w:tc>
          <w:tcPr>
            <w:tcW w:w="848" w:type="dxa"/>
            <w:vAlign w:val="center"/>
          </w:tcPr>
          <w:p w14:paraId="19822438">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59F92729">
            <w:pPr>
              <w:jc w:val="center"/>
              <w:rPr>
                <w:rFonts w:ascii="等线" w:hAnsi="等线" w:eastAsia="等线" w:cs="Times New Roman"/>
                <w:b/>
                <w:szCs w:val="20"/>
              </w:rPr>
            </w:pPr>
            <w:r>
              <w:rPr>
                <w:rFonts w:hint="eastAsia" w:ascii="等线" w:hAnsi="等线" w:eastAsia="等线" w:cs="Times New Roman"/>
                <w:b/>
                <w:szCs w:val="20"/>
              </w:rPr>
              <w:t>不含税价：</w:t>
            </w:r>
          </w:p>
          <w:p w14:paraId="7E389AD5">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4B107D4D">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90D9E72">
            <w:pPr>
              <w:jc w:val="center"/>
              <w:rPr>
                <w:rFonts w:ascii="Times New Roman" w:hAnsi="Times New Roman" w:eastAsia="宋体" w:cs="Times New Roman"/>
                <w:b/>
                <w:szCs w:val="20"/>
              </w:rPr>
            </w:pPr>
          </w:p>
        </w:tc>
        <w:tc>
          <w:tcPr>
            <w:tcW w:w="1243" w:type="dxa"/>
            <w:vAlign w:val="center"/>
          </w:tcPr>
          <w:p w14:paraId="3E9FB1DD">
            <w:pPr>
              <w:jc w:val="center"/>
              <w:rPr>
                <w:rFonts w:ascii="Times New Roman" w:hAnsi="Times New Roman" w:eastAsia="宋体" w:cs="Times New Roman"/>
                <w:b/>
                <w:szCs w:val="20"/>
              </w:rPr>
            </w:pPr>
          </w:p>
        </w:tc>
        <w:tc>
          <w:tcPr>
            <w:tcW w:w="705" w:type="dxa"/>
            <w:vAlign w:val="center"/>
          </w:tcPr>
          <w:p w14:paraId="2DF2AF6A">
            <w:pPr>
              <w:jc w:val="center"/>
              <w:rPr>
                <w:rFonts w:ascii="Times New Roman" w:hAnsi="Times New Roman" w:eastAsia="宋体" w:cs="Times New Roman"/>
                <w:b/>
                <w:szCs w:val="20"/>
              </w:rPr>
            </w:pPr>
          </w:p>
        </w:tc>
        <w:tc>
          <w:tcPr>
            <w:tcW w:w="699" w:type="dxa"/>
            <w:vAlign w:val="center"/>
          </w:tcPr>
          <w:p w14:paraId="35CA0428">
            <w:pPr>
              <w:jc w:val="center"/>
              <w:rPr>
                <w:rFonts w:ascii="Times New Roman" w:hAnsi="Times New Roman" w:eastAsia="宋体" w:cs="Times New Roman"/>
                <w:b/>
                <w:szCs w:val="20"/>
              </w:rPr>
            </w:pPr>
          </w:p>
        </w:tc>
      </w:tr>
    </w:tbl>
    <w:p w14:paraId="56EDC5AA">
      <w:pPr>
        <w:rPr>
          <w:rFonts w:ascii="宋体" w:hAnsi="Arial" w:eastAsia="宋体" w:cs="Times New Roman"/>
          <w:sz w:val="24"/>
          <w:szCs w:val="24"/>
        </w:rPr>
      </w:pPr>
    </w:p>
    <w:p w14:paraId="12BEDEA7">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1771621">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71A5448">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3CD6AB9A">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5FB2E1FE">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0BDD0933">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5319C860">
      <w:pPr>
        <w:pStyle w:val="18"/>
        <w:rPr>
          <w:rFonts w:hAnsi="宋体" w:eastAsia="宋体" w:cs="Times New Roman"/>
          <w:b/>
          <w:bCs/>
          <w:szCs w:val="21"/>
        </w:rPr>
      </w:pPr>
    </w:p>
    <w:p w14:paraId="56698AB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94151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0E5BED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316B4A">
      <w:pPr>
        <w:ind w:firstLine="480"/>
        <w:rPr>
          <w:rFonts w:ascii="宋体" w:hAnsi="Calibri" w:eastAsia="宋体" w:cs="Times New Roman"/>
          <w:color w:val="000000"/>
          <w:sz w:val="24"/>
          <w:szCs w:val="24"/>
        </w:rPr>
      </w:pPr>
    </w:p>
    <w:p w14:paraId="33692246">
      <w:pPr>
        <w:pStyle w:val="18"/>
        <w:sectPr>
          <w:pgSz w:w="11906" w:h="16838"/>
          <w:pgMar w:top="1588" w:right="1418" w:bottom="1134" w:left="1418" w:header="851" w:footer="992" w:gutter="0"/>
          <w:cols w:space="720" w:num="1"/>
          <w:titlePg/>
          <w:docGrid w:type="lines" w:linePitch="312" w:charSpace="0"/>
        </w:sectPr>
      </w:pPr>
    </w:p>
    <w:p w14:paraId="7B8E78EA">
      <w:pPr>
        <w:rPr>
          <w:rFonts w:ascii="宋体" w:hAnsi="宋体" w:cs="宋体"/>
          <w:color w:val="000000"/>
          <w:sz w:val="24"/>
          <w:szCs w:val="24"/>
        </w:rPr>
      </w:pPr>
    </w:p>
    <w:p w14:paraId="6A0D3030">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BD72F4">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6AE2E8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AFB34A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77611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4C69CB15">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4856A556">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4C242DE8">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572377CA">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149249AB">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145BC9D4">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11CE4097">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2BAAAEF4">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4F0159F0">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7EB91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6BA9D1A6">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11463FFE">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06CA2570">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106E3853">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5928AFAE">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139A13F4">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2B37CE02">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2AD42CCA">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2548B018">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7593DC5D">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17513DC0">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07700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035F118">
            <w:pPr>
              <w:pStyle w:val="135"/>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0579AB8B">
            <w:pPr>
              <w:jc w:val="center"/>
              <w:rPr>
                <w:rFonts w:ascii="宋体" w:hAnsi="宋体" w:eastAsia="宋体" w:cs="宋体"/>
                <w:szCs w:val="21"/>
              </w:rPr>
            </w:pPr>
          </w:p>
        </w:tc>
        <w:tc>
          <w:tcPr>
            <w:tcW w:w="1722" w:type="dxa"/>
          </w:tcPr>
          <w:p w14:paraId="62A36635">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75C94B2">
            <w:pPr>
              <w:jc w:val="center"/>
              <w:rPr>
                <w:rFonts w:ascii="Times New Roman" w:hAnsi="Times New Roman" w:eastAsia="宋体" w:cs="Times New Roman"/>
                <w:sz w:val="18"/>
                <w:szCs w:val="18"/>
              </w:rPr>
            </w:pPr>
          </w:p>
        </w:tc>
        <w:tc>
          <w:tcPr>
            <w:tcW w:w="550" w:type="dxa"/>
            <w:shd w:val="clear" w:color="auto" w:fill="auto"/>
            <w:vAlign w:val="center"/>
          </w:tcPr>
          <w:p w14:paraId="2762D80F">
            <w:pPr>
              <w:jc w:val="center"/>
              <w:rPr>
                <w:rFonts w:ascii="Times New Roman" w:hAnsi="Times New Roman" w:eastAsia="宋体" w:cs="Times New Roman"/>
                <w:sz w:val="18"/>
                <w:szCs w:val="18"/>
              </w:rPr>
            </w:pPr>
          </w:p>
        </w:tc>
        <w:tc>
          <w:tcPr>
            <w:tcW w:w="2550" w:type="dxa"/>
          </w:tcPr>
          <w:p w14:paraId="6AC0B4AF">
            <w:pPr>
              <w:rPr>
                <w:rFonts w:ascii="宋体" w:hAnsi="宋体" w:eastAsia="宋体" w:cs="宋体"/>
                <w:szCs w:val="21"/>
              </w:rPr>
            </w:pPr>
          </w:p>
        </w:tc>
        <w:tc>
          <w:tcPr>
            <w:tcW w:w="2510" w:type="dxa"/>
            <w:tcBorders>
              <w:right w:val="single" w:color="000000" w:sz="4" w:space="0"/>
            </w:tcBorders>
          </w:tcPr>
          <w:p w14:paraId="54EDFB11">
            <w:pPr>
              <w:ind w:left="105" w:leftChars="50"/>
              <w:jc w:val="left"/>
              <w:rPr>
                <w:rFonts w:ascii="宋体" w:hAnsi="宋体" w:eastAsia="宋体" w:cs="宋体"/>
                <w:szCs w:val="21"/>
              </w:rPr>
            </w:pPr>
          </w:p>
        </w:tc>
        <w:tc>
          <w:tcPr>
            <w:tcW w:w="2196" w:type="dxa"/>
            <w:tcBorders>
              <w:left w:val="single" w:color="000000" w:sz="4" w:space="0"/>
            </w:tcBorders>
          </w:tcPr>
          <w:p w14:paraId="04807EFD">
            <w:pPr>
              <w:ind w:left="105" w:leftChars="50"/>
              <w:jc w:val="left"/>
              <w:rPr>
                <w:rFonts w:ascii="宋体" w:hAnsi="宋体" w:eastAsia="宋体" w:cs="宋体"/>
                <w:szCs w:val="21"/>
              </w:rPr>
            </w:pPr>
          </w:p>
        </w:tc>
        <w:tc>
          <w:tcPr>
            <w:tcW w:w="964" w:type="dxa"/>
          </w:tcPr>
          <w:p w14:paraId="20525C89">
            <w:pPr>
              <w:rPr>
                <w:rFonts w:ascii="宋体" w:hAnsi="宋体" w:eastAsia="宋体" w:cs="宋体"/>
                <w:szCs w:val="21"/>
              </w:rPr>
            </w:pPr>
          </w:p>
        </w:tc>
      </w:tr>
      <w:tr w14:paraId="46F5E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E22CF17">
            <w:pPr>
              <w:pStyle w:val="13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35E37961">
            <w:pPr>
              <w:jc w:val="center"/>
              <w:rPr>
                <w:rFonts w:ascii="宋体" w:hAnsi="宋体" w:eastAsia="宋体" w:cs="宋体"/>
                <w:szCs w:val="21"/>
              </w:rPr>
            </w:pPr>
          </w:p>
        </w:tc>
        <w:tc>
          <w:tcPr>
            <w:tcW w:w="1722" w:type="dxa"/>
          </w:tcPr>
          <w:p w14:paraId="2C247452">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7AC457D">
            <w:pPr>
              <w:jc w:val="center"/>
              <w:rPr>
                <w:rFonts w:ascii="Times New Roman" w:hAnsi="Times New Roman" w:eastAsia="宋体" w:cs="Times New Roman"/>
                <w:sz w:val="18"/>
                <w:szCs w:val="18"/>
              </w:rPr>
            </w:pPr>
          </w:p>
        </w:tc>
        <w:tc>
          <w:tcPr>
            <w:tcW w:w="550" w:type="dxa"/>
            <w:shd w:val="clear" w:color="auto" w:fill="auto"/>
            <w:vAlign w:val="center"/>
          </w:tcPr>
          <w:p w14:paraId="53ECEE26">
            <w:pPr>
              <w:jc w:val="center"/>
              <w:rPr>
                <w:rFonts w:ascii="Times New Roman" w:hAnsi="Times New Roman" w:eastAsia="宋体" w:cs="Times New Roman"/>
                <w:sz w:val="18"/>
                <w:szCs w:val="18"/>
              </w:rPr>
            </w:pPr>
          </w:p>
        </w:tc>
        <w:tc>
          <w:tcPr>
            <w:tcW w:w="2550" w:type="dxa"/>
          </w:tcPr>
          <w:p w14:paraId="101316C9">
            <w:pPr>
              <w:rPr>
                <w:rFonts w:ascii="宋体" w:hAnsi="宋体" w:eastAsia="宋体" w:cs="宋体"/>
                <w:szCs w:val="21"/>
              </w:rPr>
            </w:pPr>
          </w:p>
        </w:tc>
        <w:tc>
          <w:tcPr>
            <w:tcW w:w="2510" w:type="dxa"/>
            <w:tcBorders>
              <w:right w:val="single" w:color="000000" w:sz="4" w:space="0"/>
            </w:tcBorders>
          </w:tcPr>
          <w:p w14:paraId="17AEB125">
            <w:pPr>
              <w:ind w:left="105" w:leftChars="50"/>
              <w:jc w:val="left"/>
              <w:rPr>
                <w:rFonts w:ascii="宋体" w:hAnsi="宋体" w:eastAsia="宋体" w:cs="宋体"/>
                <w:szCs w:val="21"/>
              </w:rPr>
            </w:pPr>
          </w:p>
        </w:tc>
        <w:tc>
          <w:tcPr>
            <w:tcW w:w="2196" w:type="dxa"/>
            <w:tcBorders>
              <w:left w:val="single" w:color="000000" w:sz="4" w:space="0"/>
            </w:tcBorders>
          </w:tcPr>
          <w:p w14:paraId="4E3024E8">
            <w:pPr>
              <w:ind w:left="105" w:leftChars="50"/>
              <w:jc w:val="left"/>
              <w:rPr>
                <w:rFonts w:ascii="宋体" w:hAnsi="宋体" w:eastAsia="宋体" w:cs="宋体"/>
                <w:szCs w:val="21"/>
              </w:rPr>
            </w:pPr>
          </w:p>
        </w:tc>
        <w:tc>
          <w:tcPr>
            <w:tcW w:w="964" w:type="dxa"/>
          </w:tcPr>
          <w:p w14:paraId="48573F9A">
            <w:pPr>
              <w:rPr>
                <w:rFonts w:ascii="宋体" w:hAnsi="宋体" w:eastAsia="宋体" w:cs="宋体"/>
                <w:szCs w:val="21"/>
              </w:rPr>
            </w:pPr>
          </w:p>
        </w:tc>
      </w:tr>
      <w:tr w14:paraId="720B0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03E7E49">
            <w:pPr>
              <w:pStyle w:val="13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31767383">
            <w:pPr>
              <w:jc w:val="center"/>
              <w:rPr>
                <w:rFonts w:ascii="宋体" w:hAnsi="宋体" w:eastAsia="宋体" w:cs="宋体"/>
                <w:szCs w:val="21"/>
              </w:rPr>
            </w:pPr>
          </w:p>
        </w:tc>
        <w:tc>
          <w:tcPr>
            <w:tcW w:w="1722" w:type="dxa"/>
          </w:tcPr>
          <w:p w14:paraId="3C49C9B4">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6A24C60">
            <w:pPr>
              <w:jc w:val="center"/>
              <w:rPr>
                <w:rFonts w:ascii="Times New Roman" w:hAnsi="Times New Roman" w:eastAsia="宋体" w:cs="Times New Roman"/>
                <w:sz w:val="18"/>
                <w:szCs w:val="18"/>
              </w:rPr>
            </w:pPr>
          </w:p>
        </w:tc>
        <w:tc>
          <w:tcPr>
            <w:tcW w:w="550" w:type="dxa"/>
            <w:shd w:val="clear" w:color="auto" w:fill="auto"/>
            <w:vAlign w:val="center"/>
          </w:tcPr>
          <w:p w14:paraId="117217C5">
            <w:pPr>
              <w:jc w:val="center"/>
              <w:rPr>
                <w:rFonts w:ascii="Times New Roman" w:hAnsi="Times New Roman" w:eastAsia="宋体" w:cs="Times New Roman"/>
                <w:sz w:val="18"/>
                <w:szCs w:val="18"/>
              </w:rPr>
            </w:pPr>
          </w:p>
        </w:tc>
        <w:tc>
          <w:tcPr>
            <w:tcW w:w="2550" w:type="dxa"/>
          </w:tcPr>
          <w:p w14:paraId="15A72189">
            <w:pPr>
              <w:rPr>
                <w:rFonts w:ascii="宋体" w:hAnsi="宋体" w:eastAsia="宋体" w:cs="宋体"/>
                <w:szCs w:val="21"/>
              </w:rPr>
            </w:pPr>
          </w:p>
        </w:tc>
        <w:tc>
          <w:tcPr>
            <w:tcW w:w="2510" w:type="dxa"/>
            <w:tcBorders>
              <w:right w:val="single" w:color="000000" w:sz="4" w:space="0"/>
            </w:tcBorders>
          </w:tcPr>
          <w:p w14:paraId="41B5001D">
            <w:pPr>
              <w:ind w:left="105" w:leftChars="50"/>
              <w:jc w:val="left"/>
              <w:rPr>
                <w:rFonts w:ascii="宋体" w:hAnsi="宋体" w:eastAsia="宋体" w:cs="宋体"/>
                <w:szCs w:val="21"/>
              </w:rPr>
            </w:pPr>
          </w:p>
        </w:tc>
        <w:tc>
          <w:tcPr>
            <w:tcW w:w="2196" w:type="dxa"/>
            <w:tcBorders>
              <w:left w:val="single" w:color="000000" w:sz="4" w:space="0"/>
            </w:tcBorders>
          </w:tcPr>
          <w:p w14:paraId="4E032820">
            <w:pPr>
              <w:ind w:left="105" w:leftChars="50"/>
              <w:jc w:val="left"/>
              <w:rPr>
                <w:rFonts w:ascii="宋体" w:hAnsi="宋体" w:eastAsia="宋体" w:cs="宋体"/>
                <w:szCs w:val="21"/>
              </w:rPr>
            </w:pPr>
          </w:p>
        </w:tc>
        <w:tc>
          <w:tcPr>
            <w:tcW w:w="964" w:type="dxa"/>
          </w:tcPr>
          <w:p w14:paraId="562202A4">
            <w:pPr>
              <w:rPr>
                <w:rFonts w:ascii="宋体" w:hAnsi="宋体" w:eastAsia="宋体" w:cs="宋体"/>
                <w:szCs w:val="21"/>
              </w:rPr>
            </w:pPr>
          </w:p>
        </w:tc>
      </w:tr>
      <w:tr w14:paraId="118D1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19B04A46">
            <w:pPr>
              <w:pStyle w:val="13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6C0A4339">
            <w:pPr>
              <w:jc w:val="center"/>
              <w:rPr>
                <w:rFonts w:ascii="宋体" w:hAnsi="宋体" w:eastAsia="宋体" w:cs="宋体"/>
                <w:szCs w:val="21"/>
              </w:rPr>
            </w:pPr>
          </w:p>
        </w:tc>
        <w:tc>
          <w:tcPr>
            <w:tcW w:w="1722" w:type="dxa"/>
          </w:tcPr>
          <w:p w14:paraId="2EF70568">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03609E6F">
            <w:pPr>
              <w:jc w:val="center"/>
              <w:rPr>
                <w:rFonts w:ascii="Times New Roman" w:hAnsi="Times New Roman" w:eastAsia="宋体" w:cs="Times New Roman"/>
                <w:sz w:val="18"/>
                <w:szCs w:val="18"/>
              </w:rPr>
            </w:pPr>
          </w:p>
        </w:tc>
        <w:tc>
          <w:tcPr>
            <w:tcW w:w="550" w:type="dxa"/>
            <w:shd w:val="clear" w:color="auto" w:fill="auto"/>
            <w:vAlign w:val="center"/>
          </w:tcPr>
          <w:p w14:paraId="56F644BC">
            <w:pPr>
              <w:jc w:val="center"/>
              <w:rPr>
                <w:rFonts w:ascii="Times New Roman" w:hAnsi="Times New Roman" w:eastAsia="宋体" w:cs="Times New Roman"/>
                <w:sz w:val="18"/>
                <w:szCs w:val="18"/>
              </w:rPr>
            </w:pPr>
          </w:p>
        </w:tc>
        <w:tc>
          <w:tcPr>
            <w:tcW w:w="2550" w:type="dxa"/>
          </w:tcPr>
          <w:p w14:paraId="41FC2DD8">
            <w:pPr>
              <w:rPr>
                <w:rFonts w:ascii="宋体" w:hAnsi="宋体" w:eastAsia="宋体" w:cs="宋体"/>
                <w:szCs w:val="21"/>
              </w:rPr>
            </w:pPr>
          </w:p>
        </w:tc>
        <w:tc>
          <w:tcPr>
            <w:tcW w:w="2510" w:type="dxa"/>
            <w:tcBorders>
              <w:right w:val="single" w:color="000000" w:sz="4" w:space="0"/>
            </w:tcBorders>
          </w:tcPr>
          <w:p w14:paraId="7848284E">
            <w:pPr>
              <w:ind w:left="105" w:leftChars="50"/>
              <w:jc w:val="left"/>
              <w:rPr>
                <w:rFonts w:ascii="宋体" w:hAnsi="宋体" w:eastAsia="宋体" w:cs="宋体"/>
                <w:szCs w:val="21"/>
              </w:rPr>
            </w:pPr>
          </w:p>
        </w:tc>
        <w:tc>
          <w:tcPr>
            <w:tcW w:w="2196" w:type="dxa"/>
            <w:tcBorders>
              <w:left w:val="single" w:color="000000" w:sz="4" w:space="0"/>
            </w:tcBorders>
          </w:tcPr>
          <w:p w14:paraId="676C46D9">
            <w:pPr>
              <w:ind w:left="105" w:leftChars="50"/>
              <w:jc w:val="left"/>
              <w:rPr>
                <w:rFonts w:ascii="宋体" w:hAnsi="宋体" w:eastAsia="宋体" w:cs="宋体"/>
                <w:szCs w:val="21"/>
              </w:rPr>
            </w:pPr>
          </w:p>
        </w:tc>
        <w:tc>
          <w:tcPr>
            <w:tcW w:w="964" w:type="dxa"/>
          </w:tcPr>
          <w:p w14:paraId="0AE0AF7F">
            <w:pPr>
              <w:rPr>
                <w:rFonts w:ascii="宋体" w:hAnsi="宋体" w:eastAsia="宋体" w:cs="宋体"/>
                <w:szCs w:val="21"/>
              </w:rPr>
            </w:pPr>
          </w:p>
        </w:tc>
      </w:tr>
      <w:tr w14:paraId="3A5BE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10D37E1">
            <w:pPr>
              <w:pStyle w:val="13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4219A2EA">
            <w:pPr>
              <w:jc w:val="center"/>
              <w:rPr>
                <w:rFonts w:ascii="宋体" w:hAnsi="宋体" w:eastAsia="宋体" w:cs="宋体"/>
                <w:szCs w:val="21"/>
              </w:rPr>
            </w:pPr>
          </w:p>
        </w:tc>
        <w:tc>
          <w:tcPr>
            <w:tcW w:w="1722" w:type="dxa"/>
          </w:tcPr>
          <w:p w14:paraId="5A177FC2">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1B03D93D">
            <w:pPr>
              <w:jc w:val="center"/>
              <w:rPr>
                <w:rFonts w:ascii="Times New Roman" w:hAnsi="Times New Roman" w:eastAsia="宋体" w:cs="Times New Roman"/>
                <w:sz w:val="18"/>
                <w:szCs w:val="18"/>
              </w:rPr>
            </w:pPr>
          </w:p>
        </w:tc>
        <w:tc>
          <w:tcPr>
            <w:tcW w:w="550" w:type="dxa"/>
            <w:shd w:val="clear" w:color="auto" w:fill="auto"/>
            <w:vAlign w:val="center"/>
          </w:tcPr>
          <w:p w14:paraId="4FD8CB7D">
            <w:pPr>
              <w:jc w:val="center"/>
              <w:rPr>
                <w:rFonts w:ascii="Times New Roman" w:hAnsi="Times New Roman" w:eastAsia="宋体" w:cs="Times New Roman"/>
                <w:sz w:val="18"/>
                <w:szCs w:val="18"/>
              </w:rPr>
            </w:pPr>
          </w:p>
        </w:tc>
        <w:tc>
          <w:tcPr>
            <w:tcW w:w="2550" w:type="dxa"/>
          </w:tcPr>
          <w:p w14:paraId="156074E6">
            <w:pPr>
              <w:rPr>
                <w:rFonts w:ascii="宋体" w:hAnsi="宋体" w:eastAsia="宋体" w:cs="宋体"/>
                <w:szCs w:val="21"/>
              </w:rPr>
            </w:pPr>
          </w:p>
        </w:tc>
        <w:tc>
          <w:tcPr>
            <w:tcW w:w="2510" w:type="dxa"/>
            <w:tcBorders>
              <w:right w:val="single" w:color="000000" w:sz="4" w:space="0"/>
            </w:tcBorders>
          </w:tcPr>
          <w:p w14:paraId="6A366907">
            <w:pPr>
              <w:ind w:left="105" w:leftChars="50"/>
              <w:jc w:val="left"/>
              <w:rPr>
                <w:rFonts w:ascii="宋体" w:hAnsi="宋体" w:eastAsia="宋体" w:cs="宋体"/>
                <w:szCs w:val="21"/>
              </w:rPr>
            </w:pPr>
          </w:p>
        </w:tc>
        <w:tc>
          <w:tcPr>
            <w:tcW w:w="2196" w:type="dxa"/>
            <w:tcBorders>
              <w:left w:val="single" w:color="000000" w:sz="4" w:space="0"/>
            </w:tcBorders>
          </w:tcPr>
          <w:p w14:paraId="4349BF64">
            <w:pPr>
              <w:ind w:left="105" w:leftChars="50"/>
              <w:jc w:val="left"/>
              <w:rPr>
                <w:rFonts w:ascii="宋体" w:hAnsi="宋体" w:eastAsia="宋体" w:cs="宋体"/>
                <w:szCs w:val="21"/>
              </w:rPr>
            </w:pPr>
          </w:p>
        </w:tc>
        <w:tc>
          <w:tcPr>
            <w:tcW w:w="964" w:type="dxa"/>
          </w:tcPr>
          <w:p w14:paraId="1A9351F4">
            <w:pPr>
              <w:rPr>
                <w:rFonts w:ascii="宋体" w:hAnsi="宋体" w:eastAsia="宋体" w:cs="宋体"/>
                <w:szCs w:val="21"/>
              </w:rPr>
            </w:pPr>
          </w:p>
        </w:tc>
      </w:tr>
      <w:tr w14:paraId="32212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33979FFA">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79C6F6CF">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5D3D7AA9">
            <w:pPr>
              <w:rPr>
                <w:rFonts w:ascii="Arial"/>
              </w:rPr>
            </w:pPr>
            <w:r>
              <w:rPr>
                <w:rFonts w:hint="eastAsia" w:ascii="宋体" w:hAnsi="宋体" w:eastAsia="宋体" w:cs="宋体"/>
                <w:szCs w:val="21"/>
              </w:rPr>
              <w:t xml:space="preserve"> </w:t>
            </w:r>
          </w:p>
        </w:tc>
        <w:tc>
          <w:tcPr>
            <w:tcW w:w="703" w:type="dxa"/>
          </w:tcPr>
          <w:p w14:paraId="021B70B8">
            <w:pPr>
              <w:rPr>
                <w:rFonts w:ascii="Arial"/>
              </w:rPr>
            </w:pPr>
            <w:r>
              <w:rPr>
                <w:rFonts w:hint="eastAsia" w:ascii="宋体" w:hAnsi="宋体" w:eastAsia="宋体" w:cs="宋体"/>
                <w:szCs w:val="21"/>
              </w:rPr>
              <w:t xml:space="preserve"> </w:t>
            </w:r>
          </w:p>
        </w:tc>
        <w:tc>
          <w:tcPr>
            <w:tcW w:w="550" w:type="dxa"/>
          </w:tcPr>
          <w:p w14:paraId="07B3DE40">
            <w:pPr>
              <w:rPr>
                <w:rFonts w:ascii="Arial"/>
              </w:rPr>
            </w:pPr>
            <w:r>
              <w:rPr>
                <w:rFonts w:hint="eastAsia" w:ascii="宋体" w:hAnsi="宋体" w:eastAsia="宋体" w:cs="宋体"/>
                <w:szCs w:val="21"/>
              </w:rPr>
              <w:t xml:space="preserve"> </w:t>
            </w:r>
          </w:p>
        </w:tc>
        <w:tc>
          <w:tcPr>
            <w:tcW w:w="2550" w:type="dxa"/>
          </w:tcPr>
          <w:p w14:paraId="7513ECAD">
            <w:pPr>
              <w:rPr>
                <w:rFonts w:ascii="Arial"/>
              </w:rPr>
            </w:pPr>
          </w:p>
        </w:tc>
        <w:tc>
          <w:tcPr>
            <w:tcW w:w="2510" w:type="dxa"/>
            <w:tcBorders>
              <w:right w:val="single" w:color="000000" w:sz="4" w:space="0"/>
            </w:tcBorders>
          </w:tcPr>
          <w:p w14:paraId="23BB089D">
            <w:pPr>
              <w:rPr>
                <w:rFonts w:ascii="Arial"/>
              </w:rPr>
            </w:pPr>
          </w:p>
        </w:tc>
        <w:tc>
          <w:tcPr>
            <w:tcW w:w="2196" w:type="dxa"/>
            <w:tcBorders>
              <w:left w:val="single" w:color="000000" w:sz="4" w:space="0"/>
            </w:tcBorders>
          </w:tcPr>
          <w:p w14:paraId="1C1ECC57">
            <w:pPr>
              <w:rPr>
                <w:rFonts w:ascii="Arial"/>
              </w:rPr>
            </w:pPr>
          </w:p>
        </w:tc>
        <w:tc>
          <w:tcPr>
            <w:tcW w:w="964" w:type="dxa"/>
          </w:tcPr>
          <w:p w14:paraId="33371287">
            <w:pPr>
              <w:rPr>
                <w:rFonts w:ascii="Arial"/>
              </w:rPr>
            </w:pPr>
          </w:p>
        </w:tc>
      </w:tr>
      <w:tr w14:paraId="06163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7BE2DDC5">
            <w:pPr>
              <w:jc w:val="center"/>
              <w:rPr>
                <w:rFonts w:ascii="宋体" w:hAnsi="宋体" w:eastAsia="宋体" w:cs="宋体"/>
                <w:spacing w:val="-6"/>
                <w:szCs w:val="21"/>
              </w:rPr>
            </w:pPr>
          </w:p>
        </w:tc>
        <w:tc>
          <w:tcPr>
            <w:tcW w:w="9440" w:type="dxa"/>
            <w:gridSpan w:val="6"/>
            <w:tcBorders>
              <w:right w:val="single" w:color="000000" w:sz="4" w:space="0"/>
            </w:tcBorders>
          </w:tcPr>
          <w:p w14:paraId="7E34F2B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1968B880">
            <w:pPr>
              <w:rPr>
                <w:rFonts w:ascii="Arial"/>
              </w:rPr>
            </w:pPr>
          </w:p>
        </w:tc>
        <w:tc>
          <w:tcPr>
            <w:tcW w:w="964" w:type="dxa"/>
          </w:tcPr>
          <w:p w14:paraId="0169F890">
            <w:pPr>
              <w:rPr>
                <w:rFonts w:ascii="Arial"/>
              </w:rPr>
            </w:pPr>
          </w:p>
        </w:tc>
      </w:tr>
    </w:tbl>
    <w:p w14:paraId="02109D33">
      <w:pPr>
        <w:spacing w:before="58" w:line="219" w:lineRule="auto"/>
        <w:ind w:left="8"/>
        <w:rPr>
          <w:rFonts w:ascii="宋体" w:hAnsi="宋体" w:eastAsia="宋体" w:cs="宋体"/>
          <w:spacing w:val="-8"/>
          <w:szCs w:val="21"/>
        </w:rPr>
      </w:pPr>
    </w:p>
    <w:p w14:paraId="6B8C11D0">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6F2245">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6C511D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041320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81DEDC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E0966D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48B1BFF">
      <w:pPr>
        <w:spacing w:before="78" w:line="219" w:lineRule="auto"/>
        <w:ind w:left="431"/>
        <w:rPr>
          <w:rFonts w:ascii="宋体" w:hAnsi="宋体" w:eastAsia="宋体" w:cs="宋体"/>
          <w:spacing w:val="-6"/>
          <w:szCs w:val="21"/>
        </w:rPr>
      </w:pPr>
    </w:p>
    <w:p w14:paraId="6BB5B422">
      <w:pPr>
        <w:spacing w:before="78" w:line="219" w:lineRule="auto"/>
        <w:ind w:left="431"/>
        <w:rPr>
          <w:rFonts w:ascii="宋体" w:hAnsi="宋体" w:eastAsia="宋体" w:cs="宋体"/>
          <w:spacing w:val="-6"/>
          <w:szCs w:val="21"/>
        </w:rPr>
      </w:pPr>
    </w:p>
    <w:p w14:paraId="0C161408">
      <w:pPr>
        <w:spacing w:before="78" w:line="219" w:lineRule="auto"/>
        <w:ind w:left="431"/>
        <w:rPr>
          <w:rFonts w:ascii="宋体" w:hAnsi="宋体" w:eastAsia="宋体" w:cs="宋体"/>
          <w:spacing w:val="-6"/>
          <w:szCs w:val="21"/>
        </w:rPr>
      </w:pPr>
    </w:p>
    <w:p w14:paraId="572590D8">
      <w:pPr>
        <w:spacing w:before="78" w:line="219" w:lineRule="auto"/>
        <w:ind w:left="431"/>
        <w:rPr>
          <w:rFonts w:ascii="宋体" w:hAnsi="宋体" w:eastAsia="宋体" w:cs="宋体"/>
          <w:spacing w:val="-6"/>
          <w:szCs w:val="21"/>
        </w:rPr>
      </w:pPr>
    </w:p>
    <w:p w14:paraId="226851D0">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16605AD5">
      <w:pPr>
        <w:rPr>
          <w:rFonts w:ascii="宋体" w:hAnsi="宋体" w:eastAsia="宋体" w:cs="宋体"/>
          <w:sz w:val="24"/>
          <w:szCs w:val="24"/>
        </w:rPr>
      </w:pPr>
    </w:p>
    <w:p w14:paraId="3DB3763D">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A39033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EBDF62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B2CF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032A823">
            <w:pPr>
              <w:spacing w:line="296" w:lineRule="auto"/>
              <w:rPr>
                <w:rFonts w:ascii="Arial"/>
              </w:rPr>
            </w:pPr>
          </w:p>
          <w:p w14:paraId="616DFBB6">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57E9581A">
            <w:pPr>
              <w:spacing w:line="295" w:lineRule="auto"/>
              <w:rPr>
                <w:rFonts w:ascii="Arial"/>
              </w:rPr>
            </w:pPr>
          </w:p>
          <w:p w14:paraId="47016209">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09EC5FF4">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24B0151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2368349C">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48DD9329">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13648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398590A">
            <w:pPr>
              <w:rPr>
                <w:rFonts w:ascii="Arial"/>
              </w:rPr>
            </w:pPr>
          </w:p>
        </w:tc>
        <w:tc>
          <w:tcPr>
            <w:tcW w:w="3530" w:type="dxa"/>
            <w:vMerge w:val="continue"/>
            <w:tcBorders>
              <w:top w:val="nil"/>
            </w:tcBorders>
          </w:tcPr>
          <w:p w14:paraId="31735962">
            <w:pPr>
              <w:rPr>
                <w:rFonts w:ascii="Arial"/>
              </w:rPr>
            </w:pPr>
          </w:p>
        </w:tc>
        <w:tc>
          <w:tcPr>
            <w:tcW w:w="2159" w:type="dxa"/>
          </w:tcPr>
          <w:p w14:paraId="06B5C5B2">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0C08C2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9F67EB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84C7924">
            <w:pPr>
              <w:spacing w:before="161" w:line="185" w:lineRule="auto"/>
              <w:ind w:left="1031"/>
              <w:rPr>
                <w:rFonts w:ascii="宋体" w:hAnsi="宋体" w:eastAsia="宋体" w:cs="宋体"/>
                <w:szCs w:val="21"/>
              </w:rPr>
            </w:pPr>
            <w:r>
              <w:rPr>
                <w:rFonts w:ascii="宋体" w:hAnsi="宋体" w:eastAsia="宋体" w:cs="宋体"/>
                <w:szCs w:val="21"/>
              </w:rPr>
              <w:t>4</w:t>
            </w:r>
          </w:p>
        </w:tc>
      </w:tr>
      <w:tr w14:paraId="452F9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998DB28">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819A05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334D817">
            <w:pPr>
              <w:rPr>
                <w:rFonts w:ascii="Arial"/>
              </w:rPr>
            </w:pPr>
          </w:p>
        </w:tc>
        <w:tc>
          <w:tcPr>
            <w:tcW w:w="2186" w:type="dxa"/>
          </w:tcPr>
          <w:p w14:paraId="0EACEFAA">
            <w:pPr>
              <w:rPr>
                <w:rFonts w:ascii="Arial"/>
              </w:rPr>
            </w:pPr>
          </w:p>
        </w:tc>
        <w:tc>
          <w:tcPr>
            <w:tcW w:w="2596" w:type="dxa"/>
          </w:tcPr>
          <w:p w14:paraId="5B5D6E7C">
            <w:pPr>
              <w:rPr>
                <w:rFonts w:ascii="Arial"/>
              </w:rPr>
            </w:pPr>
          </w:p>
        </w:tc>
        <w:tc>
          <w:tcPr>
            <w:tcW w:w="2164" w:type="dxa"/>
          </w:tcPr>
          <w:p w14:paraId="0B1A5D2D">
            <w:pPr>
              <w:rPr>
                <w:rFonts w:ascii="Arial"/>
              </w:rPr>
            </w:pPr>
          </w:p>
        </w:tc>
      </w:tr>
      <w:tr w14:paraId="607C2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E10A0B0">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38790C42">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94E165A">
            <w:pPr>
              <w:rPr>
                <w:rFonts w:ascii="Arial"/>
              </w:rPr>
            </w:pPr>
          </w:p>
        </w:tc>
        <w:tc>
          <w:tcPr>
            <w:tcW w:w="2186" w:type="dxa"/>
          </w:tcPr>
          <w:p w14:paraId="4818CED7">
            <w:pPr>
              <w:rPr>
                <w:rFonts w:ascii="Arial"/>
              </w:rPr>
            </w:pPr>
          </w:p>
        </w:tc>
        <w:tc>
          <w:tcPr>
            <w:tcW w:w="2596" w:type="dxa"/>
          </w:tcPr>
          <w:p w14:paraId="42E4634B">
            <w:pPr>
              <w:rPr>
                <w:rFonts w:ascii="Arial"/>
              </w:rPr>
            </w:pPr>
          </w:p>
        </w:tc>
        <w:tc>
          <w:tcPr>
            <w:tcW w:w="2164" w:type="dxa"/>
            <w:vMerge w:val="restart"/>
            <w:tcBorders>
              <w:bottom w:val="nil"/>
            </w:tcBorders>
          </w:tcPr>
          <w:p w14:paraId="3C58412D">
            <w:pPr>
              <w:spacing w:line="295" w:lineRule="auto"/>
              <w:rPr>
                <w:rFonts w:ascii="Arial"/>
              </w:rPr>
            </w:pPr>
          </w:p>
          <w:p w14:paraId="60213661">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E8E8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60CAB8B">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4288D1E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48AB78B9">
            <w:pPr>
              <w:rPr>
                <w:rFonts w:ascii="Arial"/>
              </w:rPr>
            </w:pPr>
          </w:p>
        </w:tc>
        <w:tc>
          <w:tcPr>
            <w:tcW w:w="2186" w:type="dxa"/>
          </w:tcPr>
          <w:p w14:paraId="5066C69A">
            <w:pPr>
              <w:rPr>
                <w:rFonts w:ascii="Arial"/>
              </w:rPr>
            </w:pPr>
          </w:p>
        </w:tc>
        <w:tc>
          <w:tcPr>
            <w:tcW w:w="2596" w:type="dxa"/>
          </w:tcPr>
          <w:p w14:paraId="1F6C916D">
            <w:pPr>
              <w:rPr>
                <w:rFonts w:ascii="Arial"/>
              </w:rPr>
            </w:pPr>
          </w:p>
        </w:tc>
        <w:tc>
          <w:tcPr>
            <w:tcW w:w="2164" w:type="dxa"/>
            <w:vMerge w:val="continue"/>
            <w:tcBorders>
              <w:top w:val="nil"/>
            </w:tcBorders>
          </w:tcPr>
          <w:p w14:paraId="3BE93D3D">
            <w:pPr>
              <w:rPr>
                <w:rFonts w:ascii="Arial"/>
              </w:rPr>
            </w:pPr>
          </w:p>
        </w:tc>
      </w:tr>
      <w:tr w14:paraId="31620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AFA66B">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7D685C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998B65">
            <w:pPr>
              <w:rPr>
                <w:rFonts w:ascii="Arial"/>
              </w:rPr>
            </w:pPr>
          </w:p>
        </w:tc>
        <w:tc>
          <w:tcPr>
            <w:tcW w:w="2186" w:type="dxa"/>
          </w:tcPr>
          <w:p w14:paraId="62CEF3A8">
            <w:pPr>
              <w:rPr>
                <w:rFonts w:ascii="Arial"/>
              </w:rPr>
            </w:pPr>
          </w:p>
        </w:tc>
        <w:tc>
          <w:tcPr>
            <w:tcW w:w="2596" w:type="dxa"/>
          </w:tcPr>
          <w:p w14:paraId="622F48F8">
            <w:pPr>
              <w:rPr>
                <w:rFonts w:ascii="Arial"/>
              </w:rPr>
            </w:pPr>
          </w:p>
        </w:tc>
        <w:tc>
          <w:tcPr>
            <w:tcW w:w="2164" w:type="dxa"/>
          </w:tcPr>
          <w:p w14:paraId="6544ED5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DC0B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E0A972">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14C7D55A">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5F122382">
            <w:pPr>
              <w:rPr>
                <w:rFonts w:ascii="Arial"/>
              </w:rPr>
            </w:pPr>
          </w:p>
        </w:tc>
        <w:tc>
          <w:tcPr>
            <w:tcW w:w="2186" w:type="dxa"/>
          </w:tcPr>
          <w:p w14:paraId="495DE08D">
            <w:pPr>
              <w:rPr>
                <w:rFonts w:ascii="Arial"/>
              </w:rPr>
            </w:pPr>
          </w:p>
        </w:tc>
        <w:tc>
          <w:tcPr>
            <w:tcW w:w="2596" w:type="dxa"/>
          </w:tcPr>
          <w:p w14:paraId="0F01DA96">
            <w:pPr>
              <w:rPr>
                <w:rFonts w:ascii="Arial"/>
              </w:rPr>
            </w:pPr>
          </w:p>
        </w:tc>
        <w:tc>
          <w:tcPr>
            <w:tcW w:w="2164" w:type="dxa"/>
          </w:tcPr>
          <w:p w14:paraId="1632A1F1">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CA4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3E31C8">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52C13071">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6F554096">
            <w:pPr>
              <w:rPr>
                <w:rFonts w:ascii="Arial"/>
              </w:rPr>
            </w:pPr>
          </w:p>
        </w:tc>
        <w:tc>
          <w:tcPr>
            <w:tcW w:w="2186" w:type="dxa"/>
          </w:tcPr>
          <w:p w14:paraId="6FEC1AE9">
            <w:pPr>
              <w:rPr>
                <w:rFonts w:ascii="Arial"/>
              </w:rPr>
            </w:pPr>
          </w:p>
        </w:tc>
        <w:tc>
          <w:tcPr>
            <w:tcW w:w="2596" w:type="dxa"/>
          </w:tcPr>
          <w:p w14:paraId="228DD912">
            <w:pPr>
              <w:rPr>
                <w:rFonts w:ascii="Arial"/>
              </w:rPr>
            </w:pPr>
          </w:p>
        </w:tc>
        <w:tc>
          <w:tcPr>
            <w:tcW w:w="2164" w:type="dxa"/>
          </w:tcPr>
          <w:p w14:paraId="549736FC">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4033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3DF092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2309084">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65E5AC8">
      <w:pPr>
        <w:spacing w:line="172" w:lineRule="exact"/>
      </w:pPr>
    </w:p>
    <w:p w14:paraId="40455EB7">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01F9EFC">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C151709">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11B99C4">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FA029FE">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EBA6F36">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BF9D4E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7DA520A">
      <w:pPr>
        <w:rPr>
          <w:sz w:val="24"/>
          <w:szCs w:val="24"/>
        </w:rPr>
        <w:sectPr>
          <w:headerReference r:id="rId32" w:type="default"/>
          <w:footerReference r:id="rId33" w:type="default"/>
          <w:pgSz w:w="16841" w:h="11907"/>
          <w:pgMar w:top="400" w:right="1699" w:bottom="1184" w:left="1481" w:header="0" w:footer="1022" w:gutter="0"/>
          <w:cols w:space="720" w:num="1"/>
        </w:sectPr>
      </w:pPr>
    </w:p>
    <w:p w14:paraId="556E71A3">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19F0B10">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A064761">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7A23CB1"/>
    <w:p w14:paraId="2ACEDAD5">
      <w:pPr>
        <w:spacing w:line="20" w:lineRule="exact"/>
      </w:pPr>
    </w:p>
    <w:tbl>
      <w:tblPr>
        <w:tblStyle w:val="13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AADC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B1D53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16115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0038DC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0747B33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C58C98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63405C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5A296C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6EED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4AA6242">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0A82CDA2">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758CBB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2AA5949">
            <w:pPr>
              <w:spacing w:before="266" w:line="221" w:lineRule="auto"/>
              <w:jc w:val="center"/>
              <w:rPr>
                <w:rFonts w:ascii="宋体" w:hAnsi="宋体" w:eastAsia="宋体" w:cs="宋体"/>
                <w:spacing w:val="-2"/>
                <w:szCs w:val="21"/>
              </w:rPr>
            </w:pPr>
          </w:p>
        </w:tc>
        <w:tc>
          <w:tcPr>
            <w:tcW w:w="1138" w:type="dxa"/>
          </w:tcPr>
          <w:p w14:paraId="5C3B0096">
            <w:pPr>
              <w:spacing w:before="266" w:line="221" w:lineRule="auto"/>
              <w:jc w:val="center"/>
              <w:rPr>
                <w:rFonts w:ascii="宋体" w:hAnsi="宋体" w:eastAsia="宋体" w:cs="宋体"/>
                <w:spacing w:val="-2"/>
                <w:szCs w:val="21"/>
              </w:rPr>
            </w:pPr>
          </w:p>
        </w:tc>
        <w:tc>
          <w:tcPr>
            <w:tcW w:w="2449" w:type="dxa"/>
          </w:tcPr>
          <w:p w14:paraId="05823C7A">
            <w:pPr>
              <w:rPr>
                <w:rFonts w:ascii="Arial"/>
              </w:rPr>
            </w:pPr>
          </w:p>
        </w:tc>
        <w:tc>
          <w:tcPr>
            <w:tcW w:w="3328" w:type="dxa"/>
          </w:tcPr>
          <w:p w14:paraId="6280036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79B2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481637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5644BD2D">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E2EBAEE">
            <w:pPr>
              <w:spacing w:before="266" w:line="221" w:lineRule="auto"/>
              <w:jc w:val="center"/>
              <w:rPr>
                <w:rFonts w:ascii="宋体" w:hAnsi="宋体" w:eastAsia="宋体" w:cs="宋体"/>
                <w:spacing w:val="-2"/>
                <w:szCs w:val="21"/>
              </w:rPr>
            </w:pPr>
          </w:p>
        </w:tc>
        <w:tc>
          <w:tcPr>
            <w:tcW w:w="1138" w:type="dxa"/>
          </w:tcPr>
          <w:p w14:paraId="59C66B46">
            <w:pPr>
              <w:spacing w:before="266" w:line="221" w:lineRule="auto"/>
              <w:jc w:val="center"/>
              <w:rPr>
                <w:rFonts w:ascii="宋体" w:hAnsi="宋体" w:eastAsia="宋体" w:cs="宋体"/>
                <w:spacing w:val="-2"/>
                <w:szCs w:val="21"/>
              </w:rPr>
            </w:pPr>
          </w:p>
        </w:tc>
        <w:tc>
          <w:tcPr>
            <w:tcW w:w="1138" w:type="dxa"/>
          </w:tcPr>
          <w:p w14:paraId="6C47C719">
            <w:pPr>
              <w:spacing w:before="266" w:line="221" w:lineRule="auto"/>
              <w:jc w:val="center"/>
              <w:rPr>
                <w:rFonts w:ascii="宋体" w:hAnsi="宋体" w:eastAsia="宋体" w:cs="宋体"/>
                <w:spacing w:val="-2"/>
                <w:szCs w:val="21"/>
              </w:rPr>
            </w:pPr>
          </w:p>
        </w:tc>
        <w:tc>
          <w:tcPr>
            <w:tcW w:w="2449" w:type="dxa"/>
          </w:tcPr>
          <w:p w14:paraId="43C63573">
            <w:pPr>
              <w:rPr>
                <w:rFonts w:ascii="Arial"/>
              </w:rPr>
            </w:pPr>
          </w:p>
        </w:tc>
        <w:tc>
          <w:tcPr>
            <w:tcW w:w="3328" w:type="dxa"/>
          </w:tcPr>
          <w:p w14:paraId="42B1500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A152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A31D30A">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4894E17B">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2ECE88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A9F1975">
            <w:pPr>
              <w:spacing w:before="266" w:line="221" w:lineRule="auto"/>
              <w:jc w:val="center"/>
              <w:rPr>
                <w:rFonts w:ascii="宋体" w:hAnsi="宋体" w:eastAsia="宋体" w:cs="宋体"/>
                <w:spacing w:val="-2"/>
                <w:szCs w:val="21"/>
              </w:rPr>
            </w:pPr>
          </w:p>
        </w:tc>
        <w:tc>
          <w:tcPr>
            <w:tcW w:w="1138" w:type="dxa"/>
          </w:tcPr>
          <w:p w14:paraId="524A2941">
            <w:pPr>
              <w:spacing w:before="266" w:line="221" w:lineRule="auto"/>
              <w:jc w:val="center"/>
              <w:rPr>
                <w:rFonts w:ascii="宋体" w:hAnsi="宋体" w:eastAsia="宋体" w:cs="宋体"/>
                <w:spacing w:val="-2"/>
                <w:szCs w:val="21"/>
              </w:rPr>
            </w:pPr>
          </w:p>
        </w:tc>
        <w:tc>
          <w:tcPr>
            <w:tcW w:w="2449" w:type="dxa"/>
          </w:tcPr>
          <w:p w14:paraId="78D6264A">
            <w:pPr>
              <w:rPr>
                <w:rFonts w:ascii="Arial"/>
              </w:rPr>
            </w:pPr>
          </w:p>
        </w:tc>
        <w:tc>
          <w:tcPr>
            <w:tcW w:w="3328" w:type="dxa"/>
          </w:tcPr>
          <w:p w14:paraId="47FE6D1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F8A8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BEA65CF">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053D08D2">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A4374E4">
            <w:pPr>
              <w:spacing w:before="266" w:line="221" w:lineRule="auto"/>
              <w:jc w:val="center"/>
              <w:rPr>
                <w:rFonts w:ascii="宋体" w:hAnsi="宋体" w:eastAsia="宋体" w:cs="宋体"/>
                <w:spacing w:val="-2"/>
                <w:szCs w:val="21"/>
              </w:rPr>
            </w:pPr>
          </w:p>
        </w:tc>
        <w:tc>
          <w:tcPr>
            <w:tcW w:w="1138" w:type="dxa"/>
          </w:tcPr>
          <w:p w14:paraId="527F9F4B">
            <w:pPr>
              <w:spacing w:before="266" w:line="221" w:lineRule="auto"/>
              <w:jc w:val="center"/>
              <w:rPr>
                <w:rFonts w:ascii="宋体" w:hAnsi="宋体" w:eastAsia="宋体" w:cs="宋体"/>
                <w:spacing w:val="-2"/>
                <w:szCs w:val="21"/>
              </w:rPr>
            </w:pPr>
          </w:p>
        </w:tc>
        <w:tc>
          <w:tcPr>
            <w:tcW w:w="1138" w:type="dxa"/>
          </w:tcPr>
          <w:p w14:paraId="7A115458">
            <w:pPr>
              <w:spacing w:before="266" w:line="221" w:lineRule="auto"/>
              <w:jc w:val="center"/>
              <w:rPr>
                <w:rFonts w:ascii="宋体" w:hAnsi="宋体" w:eastAsia="宋体" w:cs="宋体"/>
                <w:spacing w:val="-2"/>
                <w:szCs w:val="21"/>
              </w:rPr>
            </w:pPr>
          </w:p>
        </w:tc>
        <w:tc>
          <w:tcPr>
            <w:tcW w:w="2449" w:type="dxa"/>
          </w:tcPr>
          <w:p w14:paraId="051AE8E2">
            <w:pPr>
              <w:rPr>
                <w:rFonts w:ascii="Arial"/>
              </w:rPr>
            </w:pPr>
          </w:p>
        </w:tc>
        <w:tc>
          <w:tcPr>
            <w:tcW w:w="3328" w:type="dxa"/>
          </w:tcPr>
          <w:p w14:paraId="6C02301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DB1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4C7438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F53842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20AAA5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CB31C8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EE2195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7AE994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28F1E2E">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5370051">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4E48D2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15205A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E0ACB6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20245B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5FD1D50"/>
    <w:p w14:paraId="02D541EE">
      <w:pPr>
        <w:pStyle w:val="18"/>
      </w:pPr>
    </w:p>
    <w:p w14:paraId="0A6245C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FB0D43F">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14:paraId="255BB609">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03140E77">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CC93E91">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FB5FDF2">
      <w:pPr>
        <w:spacing w:line="172" w:lineRule="exact"/>
      </w:pPr>
    </w:p>
    <w:tbl>
      <w:tblPr>
        <w:tblStyle w:val="13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B1DC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52A3EA3">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0C1DFEB">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175A30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18DF9A9">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2F7F00D">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8F2E962">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9FBB0B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3A91D77A">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73559D5A">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FDC2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02B19F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F716E8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1508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C008AF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87A3A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62F920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DAA93F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F1323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54B2ED5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286B384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587D19A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AC6F0D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A77B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CAD08C9">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E9410F1">
            <w:pPr>
              <w:rPr>
                <w:rFonts w:ascii="Arial"/>
              </w:rPr>
            </w:pPr>
          </w:p>
        </w:tc>
        <w:tc>
          <w:tcPr>
            <w:tcW w:w="2100" w:type="dxa"/>
          </w:tcPr>
          <w:p w14:paraId="6AF6ED0C">
            <w:pPr>
              <w:rPr>
                <w:rFonts w:ascii="Arial"/>
              </w:rPr>
            </w:pPr>
          </w:p>
        </w:tc>
        <w:tc>
          <w:tcPr>
            <w:tcW w:w="840" w:type="dxa"/>
          </w:tcPr>
          <w:p w14:paraId="0D892CCF">
            <w:pPr>
              <w:rPr>
                <w:rFonts w:ascii="Arial"/>
              </w:rPr>
            </w:pPr>
          </w:p>
        </w:tc>
        <w:tc>
          <w:tcPr>
            <w:tcW w:w="2239" w:type="dxa"/>
          </w:tcPr>
          <w:p w14:paraId="043BBD14">
            <w:pPr>
              <w:rPr>
                <w:rFonts w:ascii="Arial"/>
              </w:rPr>
            </w:pPr>
          </w:p>
        </w:tc>
        <w:tc>
          <w:tcPr>
            <w:tcW w:w="1498" w:type="dxa"/>
          </w:tcPr>
          <w:p w14:paraId="4644ECCB">
            <w:pPr>
              <w:rPr>
                <w:rFonts w:ascii="Arial"/>
              </w:rPr>
            </w:pPr>
          </w:p>
        </w:tc>
        <w:tc>
          <w:tcPr>
            <w:tcW w:w="1861" w:type="dxa"/>
          </w:tcPr>
          <w:p w14:paraId="076EDAD9">
            <w:pPr>
              <w:rPr>
                <w:rFonts w:ascii="Arial"/>
              </w:rPr>
            </w:pPr>
          </w:p>
        </w:tc>
        <w:tc>
          <w:tcPr>
            <w:tcW w:w="1120" w:type="dxa"/>
          </w:tcPr>
          <w:p w14:paraId="066ACD01">
            <w:pPr>
              <w:rPr>
                <w:rFonts w:ascii="Arial"/>
              </w:rPr>
            </w:pPr>
          </w:p>
        </w:tc>
        <w:tc>
          <w:tcPr>
            <w:tcW w:w="1125" w:type="dxa"/>
          </w:tcPr>
          <w:p w14:paraId="7E78F6CB">
            <w:pPr>
              <w:rPr>
                <w:rFonts w:ascii="Arial"/>
              </w:rPr>
            </w:pPr>
          </w:p>
        </w:tc>
      </w:tr>
      <w:tr w14:paraId="66935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9581B5A">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63196553">
            <w:pPr>
              <w:rPr>
                <w:rFonts w:ascii="Arial"/>
              </w:rPr>
            </w:pPr>
          </w:p>
        </w:tc>
        <w:tc>
          <w:tcPr>
            <w:tcW w:w="2100" w:type="dxa"/>
          </w:tcPr>
          <w:p w14:paraId="6CE3237C">
            <w:pPr>
              <w:rPr>
                <w:rFonts w:ascii="Arial"/>
              </w:rPr>
            </w:pPr>
          </w:p>
        </w:tc>
        <w:tc>
          <w:tcPr>
            <w:tcW w:w="840" w:type="dxa"/>
          </w:tcPr>
          <w:p w14:paraId="1C70DA4F">
            <w:pPr>
              <w:rPr>
                <w:rFonts w:ascii="Arial"/>
              </w:rPr>
            </w:pPr>
          </w:p>
        </w:tc>
        <w:tc>
          <w:tcPr>
            <w:tcW w:w="2239" w:type="dxa"/>
          </w:tcPr>
          <w:p w14:paraId="75821089">
            <w:pPr>
              <w:rPr>
                <w:rFonts w:ascii="Arial"/>
              </w:rPr>
            </w:pPr>
          </w:p>
        </w:tc>
        <w:tc>
          <w:tcPr>
            <w:tcW w:w="1498" w:type="dxa"/>
          </w:tcPr>
          <w:p w14:paraId="2E083717">
            <w:pPr>
              <w:rPr>
                <w:rFonts w:ascii="Arial"/>
              </w:rPr>
            </w:pPr>
          </w:p>
        </w:tc>
        <w:tc>
          <w:tcPr>
            <w:tcW w:w="1861" w:type="dxa"/>
          </w:tcPr>
          <w:p w14:paraId="5DF4660E">
            <w:pPr>
              <w:rPr>
                <w:rFonts w:ascii="Arial"/>
              </w:rPr>
            </w:pPr>
          </w:p>
        </w:tc>
        <w:tc>
          <w:tcPr>
            <w:tcW w:w="1120" w:type="dxa"/>
          </w:tcPr>
          <w:p w14:paraId="57764EC0">
            <w:pPr>
              <w:rPr>
                <w:rFonts w:ascii="Arial"/>
              </w:rPr>
            </w:pPr>
          </w:p>
        </w:tc>
        <w:tc>
          <w:tcPr>
            <w:tcW w:w="1125" w:type="dxa"/>
          </w:tcPr>
          <w:p w14:paraId="598FA737">
            <w:pPr>
              <w:rPr>
                <w:rFonts w:ascii="Arial"/>
              </w:rPr>
            </w:pPr>
          </w:p>
        </w:tc>
      </w:tr>
      <w:tr w14:paraId="67CE4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FAB0CA0">
            <w:pPr>
              <w:rPr>
                <w:rFonts w:ascii="Arial"/>
              </w:rPr>
            </w:pPr>
          </w:p>
        </w:tc>
        <w:tc>
          <w:tcPr>
            <w:tcW w:w="2543" w:type="dxa"/>
          </w:tcPr>
          <w:p w14:paraId="0252250D">
            <w:pPr>
              <w:rPr>
                <w:rFonts w:ascii="Arial"/>
              </w:rPr>
            </w:pPr>
          </w:p>
        </w:tc>
        <w:tc>
          <w:tcPr>
            <w:tcW w:w="2100" w:type="dxa"/>
          </w:tcPr>
          <w:p w14:paraId="5B66A1DF">
            <w:pPr>
              <w:rPr>
                <w:rFonts w:ascii="Arial"/>
              </w:rPr>
            </w:pPr>
          </w:p>
        </w:tc>
        <w:tc>
          <w:tcPr>
            <w:tcW w:w="840" w:type="dxa"/>
          </w:tcPr>
          <w:p w14:paraId="5E1CE0F3">
            <w:pPr>
              <w:rPr>
                <w:rFonts w:ascii="Arial"/>
              </w:rPr>
            </w:pPr>
          </w:p>
        </w:tc>
        <w:tc>
          <w:tcPr>
            <w:tcW w:w="2239" w:type="dxa"/>
          </w:tcPr>
          <w:p w14:paraId="296364BB">
            <w:pPr>
              <w:rPr>
                <w:rFonts w:ascii="Arial"/>
              </w:rPr>
            </w:pPr>
          </w:p>
        </w:tc>
        <w:tc>
          <w:tcPr>
            <w:tcW w:w="1498" w:type="dxa"/>
          </w:tcPr>
          <w:p w14:paraId="388E01BA">
            <w:pPr>
              <w:rPr>
                <w:rFonts w:ascii="Arial"/>
              </w:rPr>
            </w:pPr>
          </w:p>
        </w:tc>
        <w:tc>
          <w:tcPr>
            <w:tcW w:w="1861" w:type="dxa"/>
          </w:tcPr>
          <w:p w14:paraId="4540D119">
            <w:pPr>
              <w:rPr>
                <w:rFonts w:ascii="Arial"/>
              </w:rPr>
            </w:pPr>
          </w:p>
        </w:tc>
        <w:tc>
          <w:tcPr>
            <w:tcW w:w="1120" w:type="dxa"/>
          </w:tcPr>
          <w:p w14:paraId="60493B2C">
            <w:pPr>
              <w:rPr>
                <w:rFonts w:ascii="Arial"/>
              </w:rPr>
            </w:pPr>
          </w:p>
        </w:tc>
        <w:tc>
          <w:tcPr>
            <w:tcW w:w="1125" w:type="dxa"/>
          </w:tcPr>
          <w:p w14:paraId="16AB564F">
            <w:pPr>
              <w:rPr>
                <w:rFonts w:ascii="Arial"/>
              </w:rPr>
            </w:pPr>
          </w:p>
        </w:tc>
      </w:tr>
      <w:tr w14:paraId="024AD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3A22F8">
            <w:pPr>
              <w:rPr>
                <w:rFonts w:ascii="Arial"/>
              </w:rPr>
            </w:pPr>
          </w:p>
        </w:tc>
        <w:tc>
          <w:tcPr>
            <w:tcW w:w="2543" w:type="dxa"/>
          </w:tcPr>
          <w:p w14:paraId="37F578B9">
            <w:pPr>
              <w:rPr>
                <w:rFonts w:ascii="Arial"/>
              </w:rPr>
            </w:pPr>
          </w:p>
        </w:tc>
        <w:tc>
          <w:tcPr>
            <w:tcW w:w="2100" w:type="dxa"/>
          </w:tcPr>
          <w:p w14:paraId="76F2EA5A">
            <w:pPr>
              <w:rPr>
                <w:rFonts w:ascii="Arial"/>
              </w:rPr>
            </w:pPr>
          </w:p>
        </w:tc>
        <w:tc>
          <w:tcPr>
            <w:tcW w:w="840" w:type="dxa"/>
          </w:tcPr>
          <w:p w14:paraId="5F463DE6">
            <w:pPr>
              <w:rPr>
                <w:rFonts w:ascii="Arial"/>
              </w:rPr>
            </w:pPr>
          </w:p>
        </w:tc>
        <w:tc>
          <w:tcPr>
            <w:tcW w:w="2239" w:type="dxa"/>
          </w:tcPr>
          <w:p w14:paraId="39B35A4A">
            <w:pPr>
              <w:rPr>
                <w:rFonts w:ascii="Arial"/>
              </w:rPr>
            </w:pPr>
          </w:p>
        </w:tc>
        <w:tc>
          <w:tcPr>
            <w:tcW w:w="1498" w:type="dxa"/>
          </w:tcPr>
          <w:p w14:paraId="40B43923">
            <w:pPr>
              <w:rPr>
                <w:rFonts w:ascii="Arial"/>
              </w:rPr>
            </w:pPr>
          </w:p>
        </w:tc>
        <w:tc>
          <w:tcPr>
            <w:tcW w:w="1861" w:type="dxa"/>
          </w:tcPr>
          <w:p w14:paraId="26F457FE">
            <w:pPr>
              <w:rPr>
                <w:rFonts w:ascii="Arial"/>
              </w:rPr>
            </w:pPr>
          </w:p>
        </w:tc>
        <w:tc>
          <w:tcPr>
            <w:tcW w:w="1120" w:type="dxa"/>
          </w:tcPr>
          <w:p w14:paraId="618177CA">
            <w:pPr>
              <w:rPr>
                <w:rFonts w:ascii="Arial"/>
              </w:rPr>
            </w:pPr>
          </w:p>
        </w:tc>
        <w:tc>
          <w:tcPr>
            <w:tcW w:w="1125" w:type="dxa"/>
          </w:tcPr>
          <w:p w14:paraId="09801AFD">
            <w:pPr>
              <w:rPr>
                <w:rFonts w:ascii="Arial"/>
              </w:rPr>
            </w:pPr>
          </w:p>
        </w:tc>
      </w:tr>
      <w:tr w14:paraId="15C9D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1C7101D">
            <w:pPr>
              <w:rPr>
                <w:rFonts w:ascii="Arial"/>
              </w:rPr>
            </w:pPr>
          </w:p>
        </w:tc>
        <w:tc>
          <w:tcPr>
            <w:tcW w:w="2543" w:type="dxa"/>
          </w:tcPr>
          <w:p w14:paraId="0832C98A">
            <w:pPr>
              <w:rPr>
                <w:rFonts w:ascii="Arial"/>
              </w:rPr>
            </w:pPr>
          </w:p>
        </w:tc>
        <w:tc>
          <w:tcPr>
            <w:tcW w:w="2100" w:type="dxa"/>
          </w:tcPr>
          <w:p w14:paraId="68C6C6B8">
            <w:pPr>
              <w:rPr>
                <w:rFonts w:ascii="Arial"/>
              </w:rPr>
            </w:pPr>
          </w:p>
        </w:tc>
        <w:tc>
          <w:tcPr>
            <w:tcW w:w="840" w:type="dxa"/>
          </w:tcPr>
          <w:p w14:paraId="1ADA4E6C">
            <w:pPr>
              <w:rPr>
                <w:rFonts w:ascii="Arial"/>
              </w:rPr>
            </w:pPr>
          </w:p>
        </w:tc>
        <w:tc>
          <w:tcPr>
            <w:tcW w:w="2239" w:type="dxa"/>
          </w:tcPr>
          <w:p w14:paraId="2BB556F7">
            <w:pPr>
              <w:rPr>
                <w:rFonts w:ascii="Arial"/>
              </w:rPr>
            </w:pPr>
          </w:p>
        </w:tc>
        <w:tc>
          <w:tcPr>
            <w:tcW w:w="1498" w:type="dxa"/>
          </w:tcPr>
          <w:p w14:paraId="1EED7D22">
            <w:pPr>
              <w:rPr>
                <w:rFonts w:ascii="Arial"/>
              </w:rPr>
            </w:pPr>
          </w:p>
        </w:tc>
        <w:tc>
          <w:tcPr>
            <w:tcW w:w="1861" w:type="dxa"/>
          </w:tcPr>
          <w:p w14:paraId="17D2DA60">
            <w:pPr>
              <w:rPr>
                <w:rFonts w:ascii="Arial"/>
              </w:rPr>
            </w:pPr>
          </w:p>
        </w:tc>
        <w:tc>
          <w:tcPr>
            <w:tcW w:w="1120" w:type="dxa"/>
          </w:tcPr>
          <w:p w14:paraId="082A7DC1">
            <w:pPr>
              <w:rPr>
                <w:rFonts w:ascii="Arial"/>
              </w:rPr>
            </w:pPr>
          </w:p>
        </w:tc>
        <w:tc>
          <w:tcPr>
            <w:tcW w:w="1125" w:type="dxa"/>
          </w:tcPr>
          <w:p w14:paraId="1A5FDB70">
            <w:pPr>
              <w:rPr>
                <w:rFonts w:ascii="Arial"/>
              </w:rPr>
            </w:pPr>
          </w:p>
        </w:tc>
      </w:tr>
      <w:tr w14:paraId="7AD4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298B5B">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0DBD8569">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256A85">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61A6B05">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14DE900">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518F6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A6864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48145B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C98799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6698F9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2BBF3">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83A888A">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14:paraId="157E8C6F">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2A153DD">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A01E3D8">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1E54941">
      <w:pPr>
        <w:spacing w:line="127" w:lineRule="exact"/>
      </w:pPr>
    </w:p>
    <w:tbl>
      <w:tblPr>
        <w:tblStyle w:val="13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8E93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3639D2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3B9100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DA64F8E">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9A6D346">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5677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9A3A86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2D72768">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04322AC3">
            <w:pPr>
              <w:rPr>
                <w:rFonts w:ascii="Arial"/>
              </w:rPr>
            </w:pPr>
          </w:p>
        </w:tc>
        <w:tc>
          <w:tcPr>
            <w:tcW w:w="3362" w:type="dxa"/>
          </w:tcPr>
          <w:p w14:paraId="1E245184">
            <w:pPr>
              <w:rPr>
                <w:rFonts w:ascii="Arial"/>
              </w:rPr>
            </w:pPr>
          </w:p>
        </w:tc>
      </w:tr>
      <w:tr w14:paraId="70A2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BFED846">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FA15939">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3C073E0F">
            <w:pPr>
              <w:rPr>
                <w:rFonts w:ascii="Arial"/>
              </w:rPr>
            </w:pPr>
          </w:p>
        </w:tc>
        <w:tc>
          <w:tcPr>
            <w:tcW w:w="3362" w:type="dxa"/>
          </w:tcPr>
          <w:p w14:paraId="064401FB">
            <w:pPr>
              <w:rPr>
                <w:rFonts w:ascii="Arial"/>
              </w:rPr>
            </w:pPr>
          </w:p>
        </w:tc>
      </w:tr>
      <w:tr w14:paraId="3B4F9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E549810">
            <w:pPr>
              <w:rPr>
                <w:rFonts w:ascii="Arial"/>
              </w:rPr>
            </w:pPr>
          </w:p>
          <w:p w14:paraId="43D0EE0E">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29F5233">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A8BBB43">
            <w:pPr>
              <w:rPr>
                <w:rFonts w:ascii="Arial"/>
              </w:rPr>
            </w:pPr>
          </w:p>
        </w:tc>
        <w:tc>
          <w:tcPr>
            <w:tcW w:w="3362" w:type="dxa"/>
          </w:tcPr>
          <w:p w14:paraId="0E1F15B5">
            <w:pPr>
              <w:rPr>
                <w:rFonts w:ascii="Arial"/>
              </w:rPr>
            </w:pPr>
          </w:p>
        </w:tc>
      </w:tr>
      <w:tr w14:paraId="40A4E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0AE5F7F">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361FFB7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4BBED1BC">
            <w:pPr>
              <w:rPr>
                <w:rFonts w:ascii="Arial"/>
              </w:rPr>
            </w:pPr>
          </w:p>
        </w:tc>
        <w:tc>
          <w:tcPr>
            <w:tcW w:w="3362" w:type="dxa"/>
          </w:tcPr>
          <w:p w14:paraId="5681CEC6">
            <w:pPr>
              <w:rPr>
                <w:rFonts w:ascii="Arial"/>
              </w:rPr>
            </w:pPr>
          </w:p>
        </w:tc>
      </w:tr>
      <w:tr w14:paraId="4097F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6F9D8A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8F27AB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410422A">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0FC05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E52F18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7180F7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A1CCC65">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9979EC7">
      <w:pPr>
        <w:spacing w:line="291" w:lineRule="auto"/>
        <w:rPr>
          <w:rFonts w:ascii="Arial"/>
        </w:rPr>
      </w:pPr>
    </w:p>
    <w:p w14:paraId="53B366F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659EB9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68FC9F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04579B1">
      <w:pPr>
        <w:pStyle w:val="18"/>
      </w:pPr>
    </w:p>
    <w:p w14:paraId="68743240">
      <w:pPr>
        <w:pStyle w:val="18"/>
      </w:pPr>
    </w:p>
    <w:p w14:paraId="3944BF71">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B9AA7B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32E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17C7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830222D">
            <w:pPr>
              <w:jc w:val="center"/>
              <w:rPr>
                <w:rFonts w:ascii="Times New Roman" w:hAnsi="Times New Roman" w:eastAsia="宋体" w:cs="Times New Roman"/>
                <w:b/>
                <w:szCs w:val="20"/>
              </w:rPr>
            </w:pPr>
            <w:r>
              <w:rPr>
                <w:rFonts w:hint="eastAsia" w:ascii="仿宋_GB2312" w:hAnsi="宋体" w:eastAsia="仿宋_GB2312"/>
                <w:sz w:val="24"/>
                <w:u w:val="single"/>
                <w:lang w:val="en-US" w:eastAsia="zh-CN"/>
              </w:rPr>
              <w:t>汕德卡新增配置驾驶室设备工装改造及更新技改项目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7F7368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90941C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C6ABBB7">
            <w:pPr>
              <w:jc w:val="center"/>
              <w:rPr>
                <w:rFonts w:ascii="Times New Roman" w:hAnsi="Times New Roman" w:eastAsia="宋体" w:cs="Times New Roman"/>
                <w:b/>
                <w:szCs w:val="20"/>
              </w:rPr>
            </w:pPr>
            <w:r>
              <w:rPr>
                <w:rFonts w:hint="eastAsia" w:ascii="宋体" w:hAnsi="宋体" w:eastAsia="宋体" w:cs="宋体"/>
                <w:b/>
                <w:szCs w:val="20"/>
              </w:rPr>
              <w:t>是否偏离</w:t>
            </w:r>
          </w:p>
          <w:p w14:paraId="59889DE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B849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C54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3DD896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D7BFE3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FB6377A">
            <w:pPr>
              <w:jc w:val="center"/>
              <w:rPr>
                <w:rFonts w:ascii="Times New Roman" w:hAnsi="Times New Roman" w:eastAsia="宋体" w:cs="Times New Roman"/>
                <w:b/>
                <w:szCs w:val="20"/>
              </w:rPr>
            </w:pPr>
          </w:p>
        </w:tc>
      </w:tr>
      <w:tr w14:paraId="7EC6A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72E92F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7E91F5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C76CC2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BC40C8A">
            <w:pPr>
              <w:jc w:val="center"/>
              <w:rPr>
                <w:rFonts w:ascii="Times New Roman" w:hAnsi="Times New Roman" w:eastAsia="宋体" w:cs="Times New Roman"/>
                <w:b/>
                <w:szCs w:val="21"/>
              </w:rPr>
            </w:pPr>
          </w:p>
        </w:tc>
      </w:tr>
      <w:tr w14:paraId="55E94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F36C2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242472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CF5C77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CFFA76C">
            <w:pPr>
              <w:jc w:val="center"/>
              <w:rPr>
                <w:rFonts w:ascii="Times New Roman" w:hAnsi="Times New Roman" w:eastAsia="宋体" w:cs="Times New Roman"/>
                <w:b/>
                <w:szCs w:val="20"/>
              </w:rPr>
            </w:pPr>
          </w:p>
        </w:tc>
      </w:tr>
      <w:tr w14:paraId="6D7CA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0510A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50BB13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B5A65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E6F9A78">
            <w:pPr>
              <w:jc w:val="center"/>
              <w:rPr>
                <w:rFonts w:ascii="Times New Roman" w:hAnsi="Times New Roman" w:eastAsia="宋体" w:cs="Times New Roman"/>
                <w:b/>
                <w:szCs w:val="21"/>
              </w:rPr>
            </w:pPr>
          </w:p>
          <w:p w14:paraId="58C1EEE8">
            <w:pPr>
              <w:jc w:val="center"/>
              <w:rPr>
                <w:rFonts w:ascii="Times New Roman" w:hAnsi="Times New Roman" w:eastAsia="宋体" w:cs="Times New Roman"/>
                <w:b/>
                <w:szCs w:val="21"/>
              </w:rPr>
            </w:pPr>
          </w:p>
          <w:p w14:paraId="365C084D">
            <w:pPr>
              <w:jc w:val="center"/>
              <w:rPr>
                <w:rFonts w:ascii="Times New Roman" w:hAnsi="Times New Roman" w:eastAsia="宋体" w:cs="Times New Roman"/>
                <w:b/>
                <w:szCs w:val="21"/>
              </w:rPr>
            </w:pPr>
          </w:p>
          <w:p w14:paraId="1DE6C55E">
            <w:pPr>
              <w:jc w:val="center"/>
              <w:rPr>
                <w:rFonts w:ascii="Times New Roman" w:hAnsi="Times New Roman" w:eastAsia="宋体" w:cs="Times New Roman"/>
                <w:b/>
                <w:szCs w:val="21"/>
              </w:rPr>
            </w:pPr>
          </w:p>
          <w:p w14:paraId="0BCF20D8">
            <w:pPr>
              <w:jc w:val="center"/>
              <w:rPr>
                <w:rFonts w:ascii="Times New Roman" w:hAnsi="Times New Roman" w:eastAsia="宋体" w:cs="Times New Roman"/>
                <w:b/>
                <w:szCs w:val="21"/>
              </w:rPr>
            </w:pPr>
          </w:p>
          <w:p w14:paraId="5DEB2ADE">
            <w:pPr>
              <w:jc w:val="center"/>
              <w:rPr>
                <w:rFonts w:ascii="Times New Roman" w:hAnsi="Times New Roman" w:eastAsia="宋体" w:cs="Times New Roman"/>
                <w:b/>
                <w:szCs w:val="21"/>
              </w:rPr>
            </w:pPr>
          </w:p>
          <w:p w14:paraId="220D7EDC">
            <w:pPr>
              <w:jc w:val="center"/>
              <w:rPr>
                <w:rFonts w:ascii="Times New Roman" w:hAnsi="Times New Roman" w:eastAsia="宋体" w:cs="Times New Roman"/>
                <w:b/>
                <w:szCs w:val="21"/>
              </w:rPr>
            </w:pPr>
          </w:p>
          <w:p w14:paraId="077E982A">
            <w:pPr>
              <w:jc w:val="center"/>
              <w:rPr>
                <w:rFonts w:ascii="Times New Roman" w:hAnsi="Times New Roman" w:eastAsia="宋体" w:cs="Times New Roman"/>
                <w:b/>
                <w:szCs w:val="21"/>
              </w:rPr>
            </w:pPr>
          </w:p>
          <w:p w14:paraId="04C3E8F6">
            <w:pPr>
              <w:jc w:val="center"/>
              <w:rPr>
                <w:rFonts w:ascii="Times New Roman" w:hAnsi="Times New Roman" w:eastAsia="宋体" w:cs="Times New Roman"/>
                <w:b/>
                <w:szCs w:val="21"/>
              </w:rPr>
            </w:pPr>
          </w:p>
          <w:p w14:paraId="40A4F0E7">
            <w:pPr>
              <w:jc w:val="center"/>
              <w:rPr>
                <w:rFonts w:ascii="Times New Roman" w:hAnsi="Times New Roman" w:eastAsia="宋体" w:cs="Times New Roman"/>
                <w:b/>
                <w:szCs w:val="21"/>
              </w:rPr>
            </w:pPr>
          </w:p>
          <w:p w14:paraId="5BD44DB8">
            <w:pPr>
              <w:jc w:val="center"/>
              <w:rPr>
                <w:rFonts w:ascii="Times New Roman" w:hAnsi="Times New Roman" w:eastAsia="宋体" w:cs="Times New Roman"/>
                <w:b/>
                <w:szCs w:val="21"/>
              </w:rPr>
            </w:pPr>
          </w:p>
          <w:p w14:paraId="2FEDC07C">
            <w:pPr>
              <w:jc w:val="center"/>
              <w:rPr>
                <w:rFonts w:ascii="Times New Roman" w:hAnsi="Times New Roman" w:eastAsia="宋体" w:cs="Times New Roman"/>
                <w:b/>
                <w:szCs w:val="21"/>
              </w:rPr>
            </w:pPr>
          </w:p>
          <w:p w14:paraId="6C2FE511">
            <w:pPr>
              <w:jc w:val="center"/>
              <w:rPr>
                <w:rFonts w:ascii="Times New Roman" w:hAnsi="Times New Roman" w:eastAsia="宋体" w:cs="Times New Roman"/>
                <w:b/>
                <w:szCs w:val="21"/>
              </w:rPr>
            </w:pPr>
          </w:p>
          <w:p w14:paraId="10E12E95">
            <w:pPr>
              <w:jc w:val="center"/>
              <w:rPr>
                <w:rFonts w:ascii="Times New Roman" w:hAnsi="Times New Roman" w:eastAsia="宋体" w:cs="Times New Roman"/>
                <w:b/>
                <w:szCs w:val="21"/>
              </w:rPr>
            </w:pPr>
          </w:p>
          <w:p w14:paraId="5100087F">
            <w:pPr>
              <w:jc w:val="center"/>
              <w:rPr>
                <w:rFonts w:ascii="Times New Roman" w:hAnsi="Times New Roman" w:eastAsia="宋体" w:cs="Times New Roman"/>
                <w:b/>
                <w:szCs w:val="21"/>
              </w:rPr>
            </w:pPr>
          </w:p>
          <w:p w14:paraId="4793B07D">
            <w:pPr>
              <w:jc w:val="center"/>
              <w:rPr>
                <w:rFonts w:ascii="Times New Roman" w:hAnsi="Times New Roman" w:eastAsia="宋体" w:cs="Times New Roman"/>
                <w:b/>
                <w:szCs w:val="21"/>
              </w:rPr>
            </w:pPr>
          </w:p>
          <w:p w14:paraId="2E562CF8">
            <w:pPr>
              <w:jc w:val="center"/>
              <w:rPr>
                <w:rFonts w:ascii="Times New Roman" w:hAnsi="Times New Roman" w:eastAsia="宋体" w:cs="Times New Roman"/>
                <w:b/>
                <w:szCs w:val="20"/>
              </w:rPr>
            </w:pPr>
          </w:p>
        </w:tc>
      </w:tr>
      <w:tr w14:paraId="40A37D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4EAC0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FDE0877">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62239A1">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0808549">
            <w:pPr>
              <w:jc w:val="center"/>
              <w:rPr>
                <w:rFonts w:ascii="Times New Roman" w:hAnsi="Times New Roman" w:eastAsia="宋体" w:cs="Times New Roman"/>
                <w:b/>
                <w:szCs w:val="20"/>
              </w:rPr>
            </w:pPr>
          </w:p>
        </w:tc>
      </w:tr>
    </w:tbl>
    <w:p w14:paraId="10B1FF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827E5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1E7A580">
      <w:pPr>
        <w:rPr>
          <w:rFonts w:ascii="宋体" w:hAnsi="Calibri" w:eastAsia="宋体" w:cs="Times New Roman"/>
          <w:szCs w:val="20"/>
        </w:rPr>
      </w:pPr>
    </w:p>
    <w:p w14:paraId="7593DCE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CBD2B9C">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475B3C9">
      <w:pPr>
        <w:spacing w:line="272" w:lineRule="auto"/>
        <w:rPr>
          <w:rFonts w:ascii="Arial"/>
        </w:rPr>
      </w:pPr>
    </w:p>
    <w:p w14:paraId="50C5FD8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仿宋_GB2312" w:hAnsi="宋体" w:eastAsia="仿宋_GB2312"/>
          <w:sz w:val="24"/>
          <w:u w:val="single"/>
          <w:lang w:val="en-US" w:eastAsia="zh-CN"/>
        </w:rPr>
        <w:t>汕德卡新增配置驾驶室设备工装改造及更新技改项目</w:t>
      </w:r>
    </w:p>
    <w:p w14:paraId="2E37B18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9F30705"/>
    <w:p w14:paraId="075681E3">
      <w:pPr>
        <w:spacing w:line="109" w:lineRule="exact"/>
      </w:pPr>
    </w:p>
    <w:tbl>
      <w:tblPr>
        <w:tblStyle w:val="13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676227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D03699C">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23BE559">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B334C28">
      <w:pPr>
        <w:keepNext/>
        <w:keepLines/>
        <w:rPr>
          <w:rFonts w:ascii="Times New Roman" w:hAnsi="Times New Roman" w:eastAsia="宋体" w:cs="Times New Roman"/>
          <w:b/>
          <w:bCs/>
          <w:color w:val="000000"/>
          <w:sz w:val="24"/>
          <w:szCs w:val="24"/>
        </w:rPr>
      </w:pPr>
    </w:p>
    <w:p w14:paraId="62A9C230">
      <w:pPr>
        <w:spacing w:before="75" w:line="227" w:lineRule="auto"/>
        <w:ind w:left="135"/>
        <w:rPr>
          <w:rFonts w:ascii="宋体" w:hAnsi="宋体" w:eastAsia="宋体" w:cs="宋体"/>
          <w:spacing w:val="-2"/>
          <w:sz w:val="24"/>
          <w:szCs w:val="24"/>
        </w:rPr>
      </w:pPr>
    </w:p>
    <w:p w14:paraId="5A7EFF71">
      <w:pPr>
        <w:spacing w:before="75" w:line="227" w:lineRule="auto"/>
        <w:ind w:left="135"/>
        <w:rPr>
          <w:rFonts w:ascii="宋体" w:hAnsi="宋体" w:eastAsia="宋体" w:cs="宋体"/>
          <w:spacing w:val="-2"/>
          <w:sz w:val="24"/>
          <w:szCs w:val="24"/>
        </w:rPr>
      </w:pPr>
    </w:p>
    <w:p w14:paraId="5863B907">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FF1FEF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2EDE7C">
      <w:pPr>
        <w:spacing w:line="240" w:lineRule="exact"/>
        <w:jc w:val="center"/>
        <w:rPr>
          <w:rFonts w:ascii="宋体" w:hAnsi="Calibri" w:eastAsia="宋体" w:cs="Times New Roman"/>
          <w:b/>
          <w:bCs/>
          <w:sz w:val="36"/>
          <w:szCs w:val="20"/>
        </w:rPr>
      </w:pPr>
    </w:p>
    <w:p w14:paraId="5C18DE1D">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仿宋_GB2312" w:hAnsi="宋体" w:eastAsia="仿宋_GB2312"/>
          <w:sz w:val="24"/>
          <w:u w:val="single"/>
          <w:lang w:val="en-US" w:eastAsia="zh-CN"/>
        </w:rPr>
        <w:t>汕德卡新增配置驾驶室设备工装改造及更新技改项目</w:t>
      </w:r>
    </w:p>
    <w:p w14:paraId="68F5DA97">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中国重汽集团济南</w:t>
      </w:r>
      <w:r>
        <w:rPr>
          <w:rFonts w:hint="eastAsia" w:ascii="宋体" w:hAnsi="宋体" w:eastAsia="宋体" w:cs="Times New Roman"/>
          <w:b/>
          <w:bCs/>
          <w:sz w:val="24"/>
          <w:szCs w:val="20"/>
          <w:highlight w:val="red"/>
          <w:lang w:val="en-US" w:eastAsia="zh-CN"/>
        </w:rPr>
        <w:t>商用车</w:t>
      </w:r>
      <w:r>
        <w:rPr>
          <w:rFonts w:hint="eastAsia" w:ascii="宋体" w:hAnsi="宋体" w:eastAsia="宋体" w:cs="Times New Roman"/>
          <w:b/>
          <w:bCs/>
          <w:sz w:val="24"/>
          <w:szCs w:val="20"/>
          <w:highlight w:val="red"/>
        </w:rPr>
        <w:t>有限公司：</w:t>
      </w:r>
    </w:p>
    <w:p w14:paraId="0D0375C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07F123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11E3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91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E87C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C451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C9E31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9C3F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2124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F750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E740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78FF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F51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2546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E42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AD50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F091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E3E1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5FEB7C">
      <w:pPr>
        <w:spacing w:line="360" w:lineRule="auto"/>
        <w:ind w:firstLine="480" w:firstLineChars="200"/>
        <w:rPr>
          <w:rFonts w:ascii="宋体" w:hAnsi="宋体" w:eastAsia="宋体" w:cs="Times New Roman"/>
          <w:sz w:val="24"/>
          <w:szCs w:val="20"/>
          <w:u w:val="single"/>
        </w:rPr>
      </w:pPr>
    </w:p>
    <w:p w14:paraId="559C4E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8210C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EBF8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091EDDD">
      <w:pPr>
        <w:rPr>
          <w:rFonts w:ascii="宋体" w:hAnsi="Calibri" w:eastAsia="宋体" w:cs="宋体"/>
          <w:b/>
          <w:bCs/>
          <w:color w:val="000000"/>
          <w:sz w:val="28"/>
          <w:szCs w:val="20"/>
        </w:rPr>
      </w:pPr>
    </w:p>
    <w:p w14:paraId="12CC8250">
      <w:pPr>
        <w:pStyle w:val="18"/>
        <w:rPr>
          <w:rFonts w:hAnsi="Calibri" w:eastAsia="宋体" w:cs="宋体"/>
          <w:b/>
          <w:bCs/>
          <w:color w:val="000000"/>
          <w:sz w:val="28"/>
          <w:szCs w:val="20"/>
        </w:rPr>
      </w:pPr>
    </w:p>
    <w:p w14:paraId="22D3EEBF">
      <w:pPr>
        <w:rPr>
          <w:rFonts w:ascii="宋体" w:hAnsi="Calibri" w:eastAsia="宋体" w:cs="宋体"/>
          <w:b/>
          <w:bCs/>
          <w:color w:val="000000"/>
          <w:sz w:val="28"/>
          <w:szCs w:val="20"/>
        </w:rPr>
      </w:pPr>
    </w:p>
    <w:p w14:paraId="54F38E0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CF8A2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15A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6410554">
            <w:pPr>
              <w:jc w:val="center"/>
              <w:rPr>
                <w:rFonts w:ascii="Times New Roman" w:hAnsi="Times New Roman" w:eastAsia="宋体" w:cs="Times New Roman"/>
                <w:b/>
                <w:szCs w:val="20"/>
              </w:rPr>
            </w:pPr>
          </w:p>
          <w:p w14:paraId="0FE9159D">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7712FAD">
            <w:pPr>
              <w:rPr>
                <w:rFonts w:ascii="Times New Roman" w:hAnsi="Times New Roman" w:eastAsia="等线" w:cs="Times New Roman"/>
                <w:b/>
                <w:sz w:val="30"/>
                <w:szCs w:val="30"/>
              </w:rPr>
            </w:pPr>
          </w:p>
          <w:p w14:paraId="7B34D66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EFE0758">
            <w:pPr>
              <w:jc w:val="center"/>
              <w:rPr>
                <w:rFonts w:ascii="Times New Roman" w:hAnsi="Times New Roman" w:eastAsia="宋体" w:cs="Times New Roman"/>
                <w:b/>
                <w:szCs w:val="20"/>
              </w:rPr>
            </w:pPr>
          </w:p>
          <w:p w14:paraId="20D828E2">
            <w:pPr>
              <w:jc w:val="center"/>
              <w:rPr>
                <w:rFonts w:ascii="Times New Roman" w:hAnsi="Times New Roman" w:eastAsia="宋体" w:cs="Times New Roman"/>
                <w:b/>
                <w:szCs w:val="20"/>
              </w:rPr>
            </w:pPr>
          </w:p>
          <w:p w14:paraId="0C5CAADA">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仿宋_GB2312" w:hAnsi="宋体" w:eastAsia="仿宋_GB2312"/>
                <w:sz w:val="24"/>
                <w:u w:val="single"/>
                <w:lang w:val="en-US" w:eastAsia="zh-CN"/>
              </w:rPr>
              <w:t>汕德卡新增配置驾驶室设备工装改造及更新技改项目</w:t>
            </w:r>
          </w:p>
          <w:p w14:paraId="2285FE5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4104FCB">
            <w:pPr>
              <w:jc w:val="center"/>
              <w:rPr>
                <w:rFonts w:ascii="Times New Roman" w:hAnsi="Times New Roman" w:eastAsia="宋体" w:cs="Times New Roman"/>
                <w:b/>
                <w:szCs w:val="20"/>
              </w:rPr>
            </w:pPr>
            <w:r>
              <w:rPr>
                <w:rFonts w:hint="eastAsia" w:ascii="宋体" w:hAnsi="宋体" w:eastAsia="宋体" w:cs="宋体"/>
                <w:b/>
                <w:szCs w:val="20"/>
              </w:rPr>
              <w:t>地址：</w:t>
            </w:r>
          </w:p>
          <w:p w14:paraId="1133122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825DFB5">
            <w:pPr>
              <w:jc w:val="center"/>
              <w:rPr>
                <w:rFonts w:ascii="Times New Roman" w:hAnsi="Times New Roman" w:eastAsia="宋体" w:cs="Times New Roman"/>
                <w:b/>
                <w:szCs w:val="20"/>
              </w:rPr>
            </w:pPr>
            <w:r>
              <w:rPr>
                <w:rFonts w:hint="eastAsia" w:ascii="宋体" w:hAnsi="宋体" w:eastAsia="宋体" w:cs="宋体"/>
                <w:b/>
                <w:szCs w:val="20"/>
              </w:rPr>
              <w:t>传真：</w:t>
            </w:r>
          </w:p>
          <w:p w14:paraId="1A95B793">
            <w:pPr>
              <w:jc w:val="center"/>
              <w:rPr>
                <w:rFonts w:ascii="Times New Roman" w:hAnsi="Times New Roman" w:eastAsia="宋体" w:cs="Times New Roman"/>
                <w:b/>
                <w:szCs w:val="20"/>
              </w:rPr>
            </w:pPr>
          </w:p>
          <w:p w14:paraId="5BE3F0D0">
            <w:pPr>
              <w:jc w:val="center"/>
              <w:rPr>
                <w:rFonts w:ascii="Times New Roman" w:hAnsi="Times New Roman" w:eastAsia="宋体" w:cs="Times New Roman"/>
                <w:b/>
                <w:szCs w:val="20"/>
              </w:rPr>
            </w:pPr>
          </w:p>
        </w:tc>
      </w:tr>
    </w:tbl>
    <w:p w14:paraId="76BD15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AB295E6">
      <w:pPr>
        <w:pStyle w:val="18"/>
      </w:pPr>
    </w:p>
    <w:p w14:paraId="6B662F3B">
      <w:pPr>
        <w:jc w:val="right"/>
        <w:rPr>
          <w:rFonts w:asciiTheme="minorEastAsia" w:hAnsiTheme="minorEastAsia" w:cstheme="minorEastAsia"/>
          <w:sz w:val="20"/>
          <w:szCs w:val="20"/>
        </w:rPr>
      </w:pPr>
    </w:p>
    <w:p w14:paraId="76ED49A1">
      <w:pPr>
        <w:jc w:val="right"/>
        <w:rPr>
          <w:rFonts w:asciiTheme="minorEastAsia" w:hAnsiTheme="minorEastAsia" w:cstheme="minorEastAsia"/>
          <w:sz w:val="20"/>
          <w:szCs w:val="20"/>
        </w:rPr>
      </w:pPr>
    </w:p>
    <w:p w14:paraId="136169A2">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6D6FDB2D">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14A155DA">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仿宋_GB2312" w:hAnsi="宋体" w:eastAsia="仿宋_GB2312"/>
          <w:sz w:val="24"/>
          <w:u w:val="single"/>
          <w:lang w:val="en-US" w:eastAsia="zh-CN"/>
        </w:rPr>
        <w:t>汕德卡新增配置驾驶室设备工装改造及更新技改项目</w:t>
      </w:r>
    </w:p>
    <w:p w14:paraId="1D50508B">
      <w:pPr>
        <w:spacing w:line="360" w:lineRule="auto"/>
        <w:rPr>
          <w:rFonts w:ascii="宋体" w:hAnsi="Calibri" w:eastAsia="宋体" w:cs="Times New Roman"/>
          <w:b/>
          <w:bCs/>
          <w:sz w:val="24"/>
          <w:szCs w:val="20"/>
          <w:highlight w:val="red"/>
        </w:rPr>
      </w:pPr>
      <w:r>
        <w:rPr>
          <w:rFonts w:hint="eastAsia" w:ascii="宋体" w:hAnsi="宋体" w:cs="Times New Roman"/>
          <w:b/>
          <w:bCs/>
          <w:sz w:val="24"/>
          <w:szCs w:val="20"/>
          <w:highlight w:val="red"/>
          <w:lang w:val="en-US" w:eastAsia="zh-CN"/>
        </w:rPr>
        <w:t>中国重汽集团济南商用车有限公司</w:t>
      </w:r>
      <w:r>
        <w:rPr>
          <w:rFonts w:hint="eastAsia" w:ascii="宋体" w:hAnsi="宋体" w:eastAsia="宋体" w:cs="Times New Roman"/>
          <w:b/>
          <w:bCs/>
          <w:sz w:val="24"/>
          <w:szCs w:val="20"/>
          <w:highlight w:val="red"/>
        </w:rPr>
        <w:t>：</w:t>
      </w:r>
    </w:p>
    <w:p w14:paraId="4D252CE9">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red"/>
        </w:rPr>
        <w:t>（投标单位名称）</w:t>
      </w:r>
      <w:r>
        <w:rPr>
          <w:rFonts w:hint="eastAsia" w:ascii="宋体" w:hAnsi="宋体" w:eastAsia="宋体" w:cs="Times New Roman"/>
          <w:sz w:val="24"/>
          <w:szCs w:val="20"/>
        </w:rPr>
        <w:t>对中标合同产品的服务作如下承诺：</w:t>
      </w:r>
    </w:p>
    <w:p w14:paraId="53C15DA3">
      <w:pPr>
        <w:pStyle w:val="4"/>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7DE82E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A518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BF14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3AC2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77CDE9">
      <w:pPr>
        <w:pStyle w:val="4"/>
        <w:tabs>
          <w:tab w:val="right" w:leader="dot" w:pos="9061"/>
        </w:tabs>
      </w:pPr>
    </w:p>
    <w:p w14:paraId="41D008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EDCA7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C816A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F7547D">
      <w:pPr>
        <w:sectPr>
          <w:pgSz w:w="11906" w:h="16838"/>
          <w:pgMar w:top="1587" w:right="1417" w:bottom="1134" w:left="1417" w:header="850" w:footer="992" w:gutter="0"/>
          <w:pgNumType w:fmt="decimal"/>
          <w:cols w:space="0" w:num="1"/>
          <w:titlePg/>
          <w:docGrid w:type="lines" w:linePitch="324" w:charSpace="0"/>
        </w:sectPr>
      </w:pPr>
    </w:p>
    <w:p w14:paraId="74CF154F">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评分标准</w:t>
      </w:r>
    </w:p>
    <w:p w14:paraId="55848CD1">
      <w:pPr>
        <w:outlineLvl w:val="2"/>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技术标评分标准</w:t>
      </w:r>
    </w:p>
    <w:tbl>
      <w:tblPr>
        <w:tblStyle w:val="39"/>
        <w:tblpPr w:leftFromText="180" w:rightFromText="180" w:vertAnchor="text" w:horzAnchor="page" w:tblpX="1135" w:tblpY="197"/>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2"/>
        <w:gridCol w:w="1165"/>
        <w:gridCol w:w="758"/>
        <w:gridCol w:w="5404"/>
      </w:tblGrid>
      <w:tr w14:paraId="6233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14:paraId="0954BBF9">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评价类型</w:t>
            </w:r>
          </w:p>
        </w:tc>
        <w:tc>
          <w:tcPr>
            <w:tcW w:w="384" w:type="pct"/>
            <w:vAlign w:val="center"/>
          </w:tcPr>
          <w:p w14:paraId="16DC95B5">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评审</w:t>
            </w:r>
          </w:p>
          <w:p w14:paraId="5E6BD659">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内容</w:t>
            </w:r>
          </w:p>
        </w:tc>
        <w:tc>
          <w:tcPr>
            <w:tcW w:w="294" w:type="pct"/>
            <w:vAlign w:val="center"/>
          </w:tcPr>
          <w:p w14:paraId="793A49DB">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序号</w:t>
            </w:r>
          </w:p>
        </w:tc>
        <w:tc>
          <w:tcPr>
            <w:tcW w:w="632" w:type="pct"/>
            <w:vAlign w:val="center"/>
          </w:tcPr>
          <w:p w14:paraId="2C4A29DD">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内   容</w:t>
            </w:r>
          </w:p>
        </w:tc>
        <w:tc>
          <w:tcPr>
            <w:tcW w:w="411" w:type="pct"/>
            <w:vAlign w:val="center"/>
          </w:tcPr>
          <w:p w14:paraId="5BC7F7EB">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标准分</w:t>
            </w:r>
          </w:p>
        </w:tc>
        <w:tc>
          <w:tcPr>
            <w:tcW w:w="2930" w:type="pct"/>
            <w:vAlign w:val="center"/>
          </w:tcPr>
          <w:p w14:paraId="63D0B761">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b/>
                <w:sz w:val="18"/>
                <w:szCs w:val="18"/>
              </w:rPr>
            </w:pPr>
            <w:r>
              <w:rPr>
                <w:rFonts w:hint="eastAsia" w:ascii="仿宋" w:hAnsi="仿宋" w:eastAsia="仿宋" w:cs="仿宋"/>
                <w:b/>
                <w:sz w:val="18"/>
                <w:szCs w:val="18"/>
              </w:rPr>
              <w:t>评分标准</w:t>
            </w:r>
          </w:p>
        </w:tc>
      </w:tr>
      <w:tr w14:paraId="77A8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14:paraId="3839C6A3">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sz w:val="18"/>
                <w:szCs w:val="18"/>
              </w:rPr>
            </w:pPr>
            <w:r>
              <w:rPr>
                <w:rFonts w:hint="eastAsia" w:ascii="仿宋" w:hAnsi="仿宋" w:eastAsia="仿宋" w:cs="仿宋"/>
                <w:sz w:val="18"/>
                <w:szCs w:val="18"/>
              </w:rPr>
              <w:t>技术</w:t>
            </w:r>
          </w:p>
          <w:p w14:paraId="2886656B">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hint="eastAsia" w:ascii="仿宋" w:hAnsi="仿宋" w:eastAsia="仿宋" w:cs="仿宋"/>
                <w:sz w:val="18"/>
                <w:szCs w:val="18"/>
              </w:rPr>
            </w:pPr>
            <w:r>
              <w:rPr>
                <w:rFonts w:hint="eastAsia" w:ascii="仿宋" w:hAnsi="仿宋" w:eastAsia="仿宋" w:cs="仿宋"/>
                <w:sz w:val="18"/>
                <w:szCs w:val="18"/>
              </w:rPr>
              <w:t>100分</w:t>
            </w:r>
          </w:p>
        </w:tc>
        <w:tc>
          <w:tcPr>
            <w:tcW w:w="384" w:type="pct"/>
            <w:vMerge w:val="restart"/>
            <w:vAlign w:val="center"/>
          </w:tcPr>
          <w:p w14:paraId="69F7AA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产品技术</w:t>
            </w:r>
          </w:p>
        </w:tc>
        <w:tc>
          <w:tcPr>
            <w:tcW w:w="294" w:type="pct"/>
            <w:vAlign w:val="center"/>
          </w:tcPr>
          <w:p w14:paraId="158F05DF">
            <w:pPr>
              <w:keepNext w:val="0"/>
              <w:keepLines w:val="0"/>
              <w:pageBreakBefore w:val="0"/>
              <w:widowControl w:val="0"/>
              <w:tabs>
                <w:tab w:val="left" w:pos="13965"/>
              </w:tabs>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1</w:t>
            </w:r>
          </w:p>
        </w:tc>
        <w:tc>
          <w:tcPr>
            <w:tcW w:w="632" w:type="pct"/>
            <w:vAlign w:val="center"/>
          </w:tcPr>
          <w:p w14:paraId="3793C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技术要求</w:t>
            </w:r>
          </w:p>
        </w:tc>
        <w:tc>
          <w:tcPr>
            <w:tcW w:w="411" w:type="pct"/>
            <w:vAlign w:val="center"/>
          </w:tcPr>
          <w:p w14:paraId="7219F3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40</w:t>
            </w:r>
          </w:p>
        </w:tc>
        <w:tc>
          <w:tcPr>
            <w:tcW w:w="2930" w:type="pct"/>
            <w:vAlign w:val="center"/>
          </w:tcPr>
          <w:p w14:paraId="354D48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投标文件中技术参数符合招标文件的要求得30分，再详细考察其功能与项目需求的吻合性,有一处负偏离，扣5分；有正偏离，且对项目存在实际改进作用，则加2分，满分40分。</w:t>
            </w:r>
          </w:p>
          <w:p w14:paraId="00291E0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rPr>
            </w:pPr>
            <w:r>
              <w:rPr>
                <w:rFonts w:hint="eastAsia" w:ascii="仿宋" w:hAnsi="仿宋" w:eastAsia="仿宋" w:cs="仿宋"/>
                <w:bCs/>
                <w:sz w:val="18"/>
                <w:szCs w:val="18"/>
              </w:rPr>
              <w:t>注：加*号的条款不允许有负偏离。</w:t>
            </w:r>
          </w:p>
        </w:tc>
      </w:tr>
      <w:tr w14:paraId="1F46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359BE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p>
        </w:tc>
        <w:tc>
          <w:tcPr>
            <w:tcW w:w="384" w:type="pct"/>
            <w:vMerge w:val="continue"/>
            <w:vAlign w:val="center"/>
          </w:tcPr>
          <w:p w14:paraId="60D56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p>
        </w:tc>
        <w:tc>
          <w:tcPr>
            <w:tcW w:w="294" w:type="pct"/>
            <w:vAlign w:val="center"/>
          </w:tcPr>
          <w:p w14:paraId="13F0B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2</w:t>
            </w:r>
          </w:p>
        </w:tc>
        <w:tc>
          <w:tcPr>
            <w:tcW w:w="632" w:type="pct"/>
            <w:vAlign w:val="center"/>
          </w:tcPr>
          <w:p w14:paraId="7EDD3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18"/>
                <w:szCs w:val="18"/>
              </w:rPr>
            </w:pPr>
            <w:r>
              <w:rPr>
                <w:rFonts w:hint="eastAsia" w:ascii="仿宋" w:hAnsi="仿宋" w:eastAsia="仿宋" w:cs="仿宋"/>
                <w:bCs/>
                <w:sz w:val="18"/>
                <w:szCs w:val="18"/>
              </w:rPr>
              <w:t>业绩情况</w:t>
            </w:r>
          </w:p>
        </w:tc>
        <w:tc>
          <w:tcPr>
            <w:tcW w:w="411" w:type="pct"/>
            <w:vAlign w:val="center"/>
          </w:tcPr>
          <w:p w14:paraId="4FFF4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20</w:t>
            </w:r>
          </w:p>
        </w:tc>
        <w:tc>
          <w:tcPr>
            <w:tcW w:w="2930" w:type="pct"/>
            <w:vAlign w:val="center"/>
          </w:tcPr>
          <w:p w14:paraId="35CD67B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近三年投标人有5家相关项目业绩的得20分，不足5家的每减少一家扣3分，业绩少于2家（包含2家）不得分。</w:t>
            </w:r>
          </w:p>
          <w:p w14:paraId="68E9DE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注：1.投标人应在投标文件中提供相应业绩清单和所投设备的销售合同关键页（含签订合同双方的单位名称、签订合同双方的落款盖章、设备型号规格、签订日期等信息）复印件。时间以合同签订日期为准。以上材料均须加盖投标人公章，未按要求提供上述材料的不得分。合同原件备查。</w:t>
            </w:r>
          </w:p>
          <w:p w14:paraId="57DEDD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rPr>
            </w:pPr>
            <w:r>
              <w:rPr>
                <w:rFonts w:hint="eastAsia" w:ascii="仿宋" w:hAnsi="仿宋" w:eastAsia="仿宋" w:cs="仿宋"/>
                <w:bCs/>
                <w:sz w:val="18"/>
                <w:szCs w:val="18"/>
              </w:rPr>
              <w:t>2、业绩案例需均为真实案例如有作假，拉入供应商黑名单。</w:t>
            </w:r>
          </w:p>
        </w:tc>
      </w:tr>
      <w:tr w14:paraId="6F41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346" w:type="pct"/>
            <w:vMerge w:val="continue"/>
            <w:vAlign w:val="center"/>
          </w:tcPr>
          <w:p w14:paraId="7B8F1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p>
        </w:tc>
        <w:tc>
          <w:tcPr>
            <w:tcW w:w="384" w:type="pct"/>
            <w:vMerge w:val="continue"/>
            <w:vAlign w:val="center"/>
          </w:tcPr>
          <w:p w14:paraId="4F98E1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p>
        </w:tc>
        <w:tc>
          <w:tcPr>
            <w:tcW w:w="294" w:type="pct"/>
            <w:vAlign w:val="center"/>
          </w:tcPr>
          <w:p w14:paraId="6F900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3</w:t>
            </w:r>
          </w:p>
        </w:tc>
        <w:tc>
          <w:tcPr>
            <w:tcW w:w="632" w:type="pct"/>
            <w:vAlign w:val="center"/>
          </w:tcPr>
          <w:p w14:paraId="58D4DE7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18"/>
                <w:szCs w:val="18"/>
              </w:rPr>
            </w:pPr>
            <w:r>
              <w:rPr>
                <w:rFonts w:hint="eastAsia" w:ascii="仿宋" w:hAnsi="仿宋" w:eastAsia="仿宋" w:cs="仿宋"/>
                <w:bCs/>
                <w:sz w:val="18"/>
                <w:szCs w:val="18"/>
              </w:rPr>
              <w:t>质保期</w:t>
            </w:r>
          </w:p>
        </w:tc>
        <w:tc>
          <w:tcPr>
            <w:tcW w:w="411" w:type="pct"/>
            <w:vAlign w:val="center"/>
          </w:tcPr>
          <w:p w14:paraId="21A7F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10</w:t>
            </w:r>
          </w:p>
        </w:tc>
        <w:tc>
          <w:tcPr>
            <w:tcW w:w="2930" w:type="pct"/>
            <w:vAlign w:val="center"/>
          </w:tcPr>
          <w:p w14:paraId="6EE803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质保期满足招标书要求得8分，能每延长一年加1分，满分10分。</w:t>
            </w:r>
          </w:p>
        </w:tc>
      </w:tr>
      <w:tr w14:paraId="0CE3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346" w:type="pct"/>
            <w:vMerge w:val="continue"/>
            <w:vAlign w:val="center"/>
          </w:tcPr>
          <w:p w14:paraId="5C91C3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p>
        </w:tc>
        <w:tc>
          <w:tcPr>
            <w:tcW w:w="384" w:type="pct"/>
            <w:vAlign w:val="center"/>
          </w:tcPr>
          <w:p w14:paraId="24711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答疑</w:t>
            </w:r>
          </w:p>
        </w:tc>
        <w:tc>
          <w:tcPr>
            <w:tcW w:w="294" w:type="pct"/>
            <w:vAlign w:val="center"/>
          </w:tcPr>
          <w:p w14:paraId="44E27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4</w:t>
            </w:r>
          </w:p>
        </w:tc>
        <w:tc>
          <w:tcPr>
            <w:tcW w:w="632" w:type="pct"/>
            <w:vAlign w:val="center"/>
          </w:tcPr>
          <w:p w14:paraId="5D41A0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18"/>
                <w:szCs w:val="18"/>
              </w:rPr>
            </w:pPr>
            <w:r>
              <w:rPr>
                <w:rFonts w:hint="eastAsia" w:ascii="仿宋" w:hAnsi="仿宋" w:eastAsia="仿宋" w:cs="仿宋"/>
                <w:bCs/>
                <w:sz w:val="18"/>
                <w:szCs w:val="18"/>
              </w:rPr>
              <w:t>现场答疑</w:t>
            </w:r>
          </w:p>
        </w:tc>
        <w:tc>
          <w:tcPr>
            <w:tcW w:w="411" w:type="pct"/>
            <w:vAlign w:val="center"/>
          </w:tcPr>
          <w:p w14:paraId="71336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10</w:t>
            </w:r>
          </w:p>
        </w:tc>
        <w:tc>
          <w:tcPr>
            <w:tcW w:w="2930" w:type="pct"/>
            <w:vAlign w:val="center"/>
          </w:tcPr>
          <w:p w14:paraId="02D6A2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投标人代表对方案、技术优势的讲解，以及就该项目难点回答评标委员会成员现场提问。</w:t>
            </w:r>
            <w:r>
              <w:rPr>
                <w:rFonts w:hint="eastAsia" w:ascii="仿宋" w:hAnsi="仿宋" w:eastAsia="仿宋" w:cs="仿宋"/>
                <w:sz w:val="18"/>
                <w:szCs w:val="18"/>
              </w:rPr>
              <w:t>按照优、良、一般进行赋分，优得10分，良得5分，一般得0分。</w:t>
            </w:r>
          </w:p>
        </w:tc>
      </w:tr>
      <w:tr w14:paraId="70CD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0" w:hRule="atLeast"/>
        </w:trPr>
        <w:tc>
          <w:tcPr>
            <w:tcW w:w="346" w:type="pct"/>
            <w:vMerge w:val="continue"/>
            <w:vAlign w:val="center"/>
          </w:tcPr>
          <w:p w14:paraId="005A0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p>
        </w:tc>
        <w:tc>
          <w:tcPr>
            <w:tcW w:w="384" w:type="pct"/>
            <w:vMerge w:val="restart"/>
            <w:vAlign w:val="center"/>
          </w:tcPr>
          <w:p w14:paraId="04FBE6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售后服务</w:t>
            </w:r>
          </w:p>
        </w:tc>
        <w:tc>
          <w:tcPr>
            <w:tcW w:w="294" w:type="pct"/>
            <w:vAlign w:val="center"/>
          </w:tcPr>
          <w:p w14:paraId="2B2EE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6</w:t>
            </w:r>
          </w:p>
        </w:tc>
        <w:tc>
          <w:tcPr>
            <w:tcW w:w="632" w:type="pct"/>
            <w:vAlign w:val="center"/>
          </w:tcPr>
          <w:p w14:paraId="0F1C76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供货周期及工期进度计划</w:t>
            </w:r>
          </w:p>
        </w:tc>
        <w:tc>
          <w:tcPr>
            <w:tcW w:w="411" w:type="pct"/>
            <w:vAlign w:val="center"/>
          </w:tcPr>
          <w:p w14:paraId="7043A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18"/>
                <w:szCs w:val="18"/>
              </w:rPr>
            </w:pPr>
            <w:r>
              <w:rPr>
                <w:rFonts w:hint="eastAsia" w:ascii="仿宋" w:hAnsi="仿宋" w:eastAsia="仿宋" w:cs="仿宋"/>
                <w:bCs/>
                <w:sz w:val="18"/>
                <w:szCs w:val="18"/>
              </w:rPr>
              <w:t>6</w:t>
            </w:r>
          </w:p>
        </w:tc>
        <w:tc>
          <w:tcPr>
            <w:tcW w:w="2930" w:type="pct"/>
            <w:vAlign w:val="center"/>
          </w:tcPr>
          <w:p w14:paraId="2313B8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18"/>
                <w:szCs w:val="18"/>
              </w:rPr>
            </w:pPr>
            <w:r>
              <w:rPr>
                <w:rFonts w:hint="eastAsia" w:ascii="仿宋" w:hAnsi="仿宋" w:eastAsia="仿宋" w:cs="仿宋"/>
                <w:bCs/>
                <w:sz w:val="18"/>
                <w:szCs w:val="18"/>
              </w:rPr>
              <w:t>满足要求得4分，每提前一周加1分。</w:t>
            </w:r>
          </w:p>
        </w:tc>
      </w:tr>
      <w:tr w14:paraId="0BE5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6" w:hRule="atLeast"/>
        </w:trPr>
        <w:tc>
          <w:tcPr>
            <w:tcW w:w="346" w:type="pct"/>
            <w:vMerge w:val="continue"/>
            <w:vAlign w:val="center"/>
          </w:tcPr>
          <w:p w14:paraId="3E55594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p>
        </w:tc>
        <w:tc>
          <w:tcPr>
            <w:tcW w:w="384" w:type="pct"/>
            <w:vMerge w:val="continue"/>
            <w:vAlign w:val="center"/>
          </w:tcPr>
          <w:p w14:paraId="7C35ECB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p>
        </w:tc>
        <w:tc>
          <w:tcPr>
            <w:tcW w:w="294" w:type="pct"/>
            <w:vAlign w:val="center"/>
          </w:tcPr>
          <w:p w14:paraId="61CCF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7</w:t>
            </w:r>
          </w:p>
        </w:tc>
        <w:tc>
          <w:tcPr>
            <w:tcW w:w="632" w:type="pct"/>
            <w:vAlign w:val="center"/>
          </w:tcPr>
          <w:p w14:paraId="3B9321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专业技术力量</w:t>
            </w:r>
          </w:p>
        </w:tc>
        <w:tc>
          <w:tcPr>
            <w:tcW w:w="411" w:type="pct"/>
            <w:vAlign w:val="center"/>
          </w:tcPr>
          <w:p w14:paraId="0FE840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8</w:t>
            </w:r>
          </w:p>
        </w:tc>
        <w:tc>
          <w:tcPr>
            <w:tcW w:w="2930" w:type="pct"/>
            <w:vAlign w:val="center"/>
          </w:tcPr>
          <w:p w14:paraId="11BBF9C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根据设备制造商装备制造能力、生产设备、加工工艺完善程度：由评标委员会成员独立进行客观、公正的评价，按照优、良、一般进行赋分，优得8分，良得4分，一般得0分。</w:t>
            </w:r>
          </w:p>
        </w:tc>
      </w:tr>
      <w:tr w14:paraId="04F7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3E8A0EF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p>
        </w:tc>
        <w:tc>
          <w:tcPr>
            <w:tcW w:w="384" w:type="pct"/>
            <w:vMerge w:val="continue"/>
            <w:vAlign w:val="center"/>
          </w:tcPr>
          <w:p w14:paraId="0496EE9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p>
        </w:tc>
        <w:tc>
          <w:tcPr>
            <w:tcW w:w="294" w:type="pct"/>
            <w:vAlign w:val="center"/>
          </w:tcPr>
          <w:p w14:paraId="66FA9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8</w:t>
            </w:r>
          </w:p>
        </w:tc>
        <w:tc>
          <w:tcPr>
            <w:tcW w:w="632" w:type="pct"/>
            <w:vAlign w:val="center"/>
          </w:tcPr>
          <w:p w14:paraId="55F8C8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售后服务</w:t>
            </w:r>
          </w:p>
        </w:tc>
        <w:tc>
          <w:tcPr>
            <w:tcW w:w="411" w:type="pct"/>
            <w:vAlign w:val="center"/>
          </w:tcPr>
          <w:p w14:paraId="23917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6</w:t>
            </w:r>
          </w:p>
        </w:tc>
        <w:tc>
          <w:tcPr>
            <w:tcW w:w="2930" w:type="pct"/>
            <w:vAlign w:val="center"/>
          </w:tcPr>
          <w:p w14:paraId="44E5E3C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1.有完整的售后服务体系，有相应的服务承诺和具体的保证措施；</w:t>
            </w:r>
          </w:p>
          <w:p w14:paraId="0BE7321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2.提供完备的本地化服务支持承诺，明确承诺到现场响应时间（根据响应时间长短）；</w:t>
            </w:r>
          </w:p>
          <w:p w14:paraId="64AD18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3.投标人提供相应完善的培训计划；</w:t>
            </w:r>
          </w:p>
          <w:p w14:paraId="117E6E3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4.服务和支持的方式；</w:t>
            </w:r>
          </w:p>
          <w:p w14:paraId="1F87A95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5.超出质保服务的措施。</w:t>
            </w:r>
          </w:p>
          <w:p w14:paraId="4D68CA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rPr>
            </w:pPr>
            <w:r>
              <w:rPr>
                <w:rFonts w:hint="eastAsia" w:ascii="仿宋" w:hAnsi="仿宋" w:eastAsia="仿宋" w:cs="仿宋"/>
                <w:sz w:val="18"/>
                <w:szCs w:val="18"/>
              </w:rPr>
              <w:t>根据以上问题，按照优、良、一般进行赋分，优得6分，良得4分，一般得2分。</w:t>
            </w:r>
          </w:p>
        </w:tc>
      </w:tr>
    </w:tbl>
    <w:p w14:paraId="6410A625">
      <w:pPr>
        <w:keepNext/>
        <w:keepLines/>
        <w:spacing w:line="400" w:lineRule="exact"/>
        <w:jc w:val="left"/>
        <w:outlineLvl w:val="1"/>
        <w:rPr>
          <w:rFonts w:hint="eastAsia" w:ascii="仿宋" w:hAnsi="仿宋" w:eastAsia="仿宋" w:cs="仿宋"/>
          <w:b/>
          <w:bCs/>
          <w:sz w:val="24"/>
          <w:szCs w:val="24"/>
          <w:highlight w:val="yellow"/>
        </w:rPr>
      </w:pPr>
      <w:r>
        <w:rPr>
          <w:rFonts w:hint="eastAsia" w:ascii="仿宋" w:hAnsi="仿宋" w:eastAsia="仿宋" w:cs="仿宋"/>
          <w:b/>
          <w:bCs/>
          <w:sz w:val="24"/>
          <w:szCs w:val="24"/>
          <w:highlight w:val="yellow"/>
        </w:rPr>
        <w:t>附件  商务评价表（100分）</w:t>
      </w:r>
    </w:p>
    <w:tbl>
      <w:tblPr>
        <w:tblStyle w:val="3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6082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1DA20C6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sz w:val="18"/>
                <w:szCs w:val="18"/>
              </w:rPr>
            </w:pPr>
            <w:r>
              <w:rPr>
                <w:rFonts w:hint="eastAsia" w:ascii="仿宋" w:hAnsi="仿宋" w:eastAsia="仿宋" w:cs="仿宋"/>
                <w:b/>
                <w:sz w:val="18"/>
                <w:szCs w:val="18"/>
              </w:rPr>
              <w:t>评价类型</w:t>
            </w:r>
          </w:p>
        </w:tc>
        <w:tc>
          <w:tcPr>
            <w:tcW w:w="999" w:type="dxa"/>
            <w:vAlign w:val="center"/>
          </w:tcPr>
          <w:p w14:paraId="5F889B6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sz w:val="18"/>
                <w:szCs w:val="18"/>
              </w:rPr>
            </w:pPr>
            <w:r>
              <w:rPr>
                <w:rFonts w:hint="eastAsia" w:ascii="仿宋" w:hAnsi="仿宋" w:eastAsia="仿宋" w:cs="仿宋"/>
                <w:b/>
                <w:sz w:val="18"/>
                <w:szCs w:val="18"/>
              </w:rPr>
              <w:t>内   容</w:t>
            </w:r>
          </w:p>
        </w:tc>
        <w:tc>
          <w:tcPr>
            <w:tcW w:w="689" w:type="dxa"/>
            <w:vAlign w:val="center"/>
          </w:tcPr>
          <w:p w14:paraId="46301D6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sz w:val="18"/>
                <w:szCs w:val="18"/>
              </w:rPr>
            </w:pPr>
            <w:r>
              <w:rPr>
                <w:rFonts w:hint="eastAsia" w:ascii="仿宋" w:hAnsi="仿宋" w:eastAsia="仿宋" w:cs="仿宋"/>
                <w:b/>
                <w:sz w:val="18"/>
                <w:szCs w:val="18"/>
              </w:rPr>
              <w:t>标准分</w:t>
            </w:r>
          </w:p>
        </w:tc>
        <w:tc>
          <w:tcPr>
            <w:tcW w:w="7413" w:type="dxa"/>
            <w:vAlign w:val="center"/>
          </w:tcPr>
          <w:p w14:paraId="38536D0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sz w:val="18"/>
                <w:szCs w:val="18"/>
              </w:rPr>
            </w:pPr>
            <w:r>
              <w:rPr>
                <w:rFonts w:hint="eastAsia" w:ascii="仿宋" w:hAnsi="仿宋" w:eastAsia="仿宋" w:cs="仿宋"/>
                <w:b/>
                <w:sz w:val="18"/>
                <w:szCs w:val="18"/>
              </w:rPr>
              <w:t>评分标准</w:t>
            </w:r>
          </w:p>
        </w:tc>
      </w:tr>
      <w:tr w14:paraId="696E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2558A803">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商务</w:t>
            </w:r>
          </w:p>
          <w:p w14:paraId="2DD20F0A">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100分</w:t>
            </w:r>
          </w:p>
        </w:tc>
        <w:tc>
          <w:tcPr>
            <w:tcW w:w="999" w:type="dxa"/>
            <w:vAlign w:val="center"/>
          </w:tcPr>
          <w:p w14:paraId="4AC743E4">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商务评分计算</w:t>
            </w:r>
          </w:p>
        </w:tc>
        <w:tc>
          <w:tcPr>
            <w:tcW w:w="689" w:type="dxa"/>
            <w:vAlign w:val="center"/>
          </w:tcPr>
          <w:p w14:paraId="44DA9034">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100</w:t>
            </w:r>
          </w:p>
        </w:tc>
        <w:tc>
          <w:tcPr>
            <w:tcW w:w="7413" w:type="dxa"/>
            <w:vAlign w:val="center"/>
          </w:tcPr>
          <w:p w14:paraId="020F6F09">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 xml:space="preserve">评标基准价： </w:t>
            </w:r>
          </w:p>
          <w:p w14:paraId="65D84973">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1、评标基准价为所有合理有效的最终投标报价的最低价。</w:t>
            </w:r>
          </w:p>
          <w:p w14:paraId="550C99AC">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2、有效的评标基准价得100分；其他投标人的价格得分按下列公式计算：投标价格得分=100×（评标基准价/投标报价）。</w:t>
            </w:r>
          </w:p>
          <w:p w14:paraId="6345D814">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Cs/>
                <w:sz w:val="18"/>
                <w:szCs w:val="18"/>
              </w:rPr>
            </w:pPr>
            <w:r>
              <w:rPr>
                <w:rFonts w:hint="eastAsia" w:ascii="仿宋" w:hAnsi="仿宋" w:eastAsia="仿宋" w:cs="仿宋"/>
                <w:bCs/>
                <w:sz w:val="18"/>
                <w:szCs w:val="18"/>
              </w:rPr>
              <w:t xml:space="preserve">注：得分值取小数点后两位，不足一个百分点的，按照四舍五入法计算。 </w:t>
            </w:r>
          </w:p>
        </w:tc>
      </w:tr>
    </w:tbl>
    <w:p w14:paraId="31CFEDEB">
      <w:pPr>
        <w:pStyle w:val="18"/>
        <w:outlineLvl w:val="2"/>
        <w:rPr>
          <w:rFonts w:hint="eastAsia" w:ascii="仿宋" w:hAnsi="仿宋" w:eastAsia="仿宋" w:cs="仿宋"/>
          <w:b/>
          <w:bCs/>
          <w:color w:val="000000"/>
          <w:sz w:val="18"/>
          <w:szCs w:val="18"/>
        </w:rPr>
      </w:pPr>
      <w:r>
        <w:rPr>
          <w:rFonts w:hint="eastAsia" w:ascii="仿宋" w:hAnsi="仿宋" w:eastAsia="仿宋" w:cs="仿宋"/>
          <w:b/>
          <w:bCs/>
          <w:color w:val="000000"/>
          <w:sz w:val="18"/>
          <w:szCs w:val="18"/>
        </w:rPr>
        <w:t>综合得分=技术标得分*0.3+商务标得分*0.7</w:t>
      </w:r>
    </w:p>
    <w:p w14:paraId="096559BB">
      <w:pPr>
        <w:pStyle w:val="18"/>
        <w:outlineLvl w:val="2"/>
        <w:rPr>
          <w:rFonts w:hint="eastAsia" w:hAnsi="宋体" w:eastAsia="宋体" w:cs="宋体"/>
          <w:b/>
          <w:bCs/>
          <w:color w:val="000000"/>
          <w:sz w:val="24"/>
          <w:szCs w:val="24"/>
        </w:rPr>
      </w:pPr>
      <w:r>
        <w:rPr>
          <w:rFonts w:hint="eastAsia" w:ascii="仿宋_GB2312" w:hAnsi="仿宋_GB2312" w:cs="仿宋_GB2312"/>
          <w:bCs/>
        </w:rPr>
        <w:t>5.商务标：</w:t>
      </w:r>
      <w:r>
        <w:rPr>
          <w:rFonts w:hint="eastAsia" w:ascii="仿宋_GB2312" w:hAnsi="仿宋_GB2312" w:cs="仿宋_GB2312"/>
          <w:color w:val="000000"/>
          <w:szCs w:val="28"/>
        </w:rPr>
        <w:t>商</w:t>
      </w:r>
      <w:r>
        <w:rPr>
          <w:rFonts w:hint="eastAsia" w:ascii="仿宋_GB2312" w:hAnsi="仿宋_GB2312" w:cs="仿宋_GB2312"/>
          <w:bCs/>
        </w:rPr>
        <w:t>务标得分=当前轮次最低价/供方投标价×商务标总分.</w:t>
      </w:r>
    </w:p>
    <w:p w14:paraId="3C7BE39B">
      <w:pPr>
        <w:sectPr>
          <w:footerReference r:id="rId42" w:type="default"/>
          <w:pgSz w:w="11906" w:h="16838"/>
          <w:pgMar w:top="1587" w:right="1417" w:bottom="1134" w:left="1417" w:header="850" w:footer="992" w:gutter="0"/>
          <w:pgNumType w:fmt="decimal"/>
          <w:cols w:space="0" w:num="1"/>
          <w:titlePg/>
          <w:docGrid w:type="lines" w:linePitch="324" w:charSpace="0"/>
        </w:sectPr>
      </w:pPr>
    </w:p>
    <w:p w14:paraId="57EB0CD3">
      <w:pPr>
        <w:pStyle w:val="18"/>
      </w:pPr>
    </w:p>
    <w:p w14:paraId="69995200">
      <w:pPr>
        <w:rPr>
          <w:rFonts w:ascii="宋体" w:hAnsi="宋体" w:eastAsia="宋体" w:cs="宋体"/>
          <w:b/>
          <w:bCs/>
          <w:color w:val="000000"/>
          <w:sz w:val="24"/>
          <w:szCs w:val="24"/>
        </w:rPr>
      </w:pPr>
    </w:p>
    <w:p w14:paraId="64C62A7B">
      <w:pPr>
        <w:pStyle w:val="18"/>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2BED8E0E">
      <w:pPr>
        <w:pStyle w:val="18"/>
        <w:rPr>
          <w:rFonts w:eastAsia="宋体"/>
        </w:rPr>
      </w:pPr>
    </w:p>
    <w:p w14:paraId="42215875">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5F21BA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3C3604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6D101D99">
      <w:pPr>
        <w:snapToGrid w:val="0"/>
        <w:spacing w:line="312" w:lineRule="auto"/>
      </w:pPr>
      <w:r>
        <w:drawing>
          <wp:inline distT="0" distB="0" distL="0" distR="0">
            <wp:extent cx="5760085" cy="2933065"/>
            <wp:effectExtent l="0" t="0" r="1206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65"/>
                    <a:stretch>
                      <a:fillRect/>
                    </a:stretch>
                  </pic:blipFill>
                  <pic:spPr>
                    <a:xfrm>
                      <a:off x="0" y="0"/>
                      <a:ext cx="5760085" cy="2933377"/>
                    </a:xfrm>
                    <a:prstGeom prst="rect">
                      <a:avLst/>
                    </a:prstGeom>
                  </pic:spPr>
                </pic:pic>
              </a:graphicData>
            </a:graphic>
          </wp:inline>
        </w:drawing>
      </w:r>
    </w:p>
    <w:p w14:paraId="315387F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FB72AB7">
      <w:pPr>
        <w:snapToGrid w:val="0"/>
        <w:spacing w:line="312" w:lineRule="auto"/>
      </w:pPr>
      <w:r>
        <w:drawing>
          <wp:inline distT="0" distB="0" distL="0" distR="0">
            <wp:extent cx="5760085" cy="2766695"/>
            <wp:effectExtent l="0" t="0" r="12065" b="1460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66"/>
                    <a:stretch>
                      <a:fillRect/>
                    </a:stretch>
                  </pic:blipFill>
                  <pic:spPr>
                    <a:xfrm>
                      <a:off x="0" y="0"/>
                      <a:ext cx="5760085" cy="2766707"/>
                    </a:xfrm>
                    <a:prstGeom prst="rect">
                      <a:avLst/>
                    </a:prstGeom>
                  </pic:spPr>
                </pic:pic>
              </a:graphicData>
            </a:graphic>
          </wp:inline>
        </w:drawing>
      </w:r>
    </w:p>
    <w:p w14:paraId="7098A69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3DBBA9">
      <w:pPr>
        <w:snapToGrid w:val="0"/>
        <w:spacing w:line="312" w:lineRule="auto"/>
      </w:pPr>
      <w:r>
        <w:drawing>
          <wp:inline distT="0" distB="0" distL="0" distR="0">
            <wp:extent cx="5760085" cy="2869565"/>
            <wp:effectExtent l="0" t="0" r="12065" b="698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67"/>
                    <a:stretch>
                      <a:fillRect/>
                    </a:stretch>
                  </pic:blipFill>
                  <pic:spPr>
                    <a:xfrm>
                      <a:off x="0" y="0"/>
                      <a:ext cx="5760085" cy="2870054"/>
                    </a:xfrm>
                    <a:prstGeom prst="rect">
                      <a:avLst/>
                    </a:prstGeom>
                  </pic:spPr>
                </pic:pic>
              </a:graphicData>
            </a:graphic>
          </wp:inline>
        </w:drawing>
      </w:r>
    </w:p>
    <w:p w14:paraId="52D04D59">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2256AA0">
      <w:pPr>
        <w:snapToGrid w:val="0"/>
        <w:spacing w:line="312" w:lineRule="auto"/>
      </w:pPr>
      <w:r>
        <w:drawing>
          <wp:inline distT="0" distB="0" distL="0" distR="0">
            <wp:extent cx="5760085" cy="2853055"/>
            <wp:effectExtent l="0" t="0" r="1206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68"/>
                    <a:stretch>
                      <a:fillRect/>
                    </a:stretch>
                  </pic:blipFill>
                  <pic:spPr>
                    <a:xfrm>
                      <a:off x="0" y="0"/>
                      <a:ext cx="5760085" cy="2853375"/>
                    </a:xfrm>
                    <a:prstGeom prst="rect">
                      <a:avLst/>
                    </a:prstGeom>
                  </pic:spPr>
                </pic:pic>
              </a:graphicData>
            </a:graphic>
          </wp:inline>
        </w:drawing>
      </w:r>
    </w:p>
    <w:p w14:paraId="65249AE0">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7EFBC03">
      <w:pPr>
        <w:pStyle w:val="18"/>
      </w:pPr>
    </w:p>
    <w:p w14:paraId="4570D049">
      <w:r>
        <w:drawing>
          <wp:inline distT="0" distB="0" distL="0" distR="0">
            <wp:extent cx="5760085" cy="2809875"/>
            <wp:effectExtent l="0" t="0" r="1206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9"/>
                    <a:stretch>
                      <a:fillRect/>
                    </a:stretch>
                  </pic:blipFill>
                  <pic:spPr>
                    <a:xfrm>
                      <a:off x="0" y="0"/>
                      <a:ext cx="5760085" cy="2810122"/>
                    </a:xfrm>
                    <a:prstGeom prst="rect">
                      <a:avLst/>
                    </a:prstGeom>
                  </pic:spPr>
                </pic:pic>
              </a:graphicData>
            </a:graphic>
          </wp:inline>
        </w:drawing>
      </w:r>
    </w:p>
    <w:p w14:paraId="6DE090BF">
      <w:pPr>
        <w:pStyle w:val="18"/>
      </w:pPr>
      <w:r>
        <w:drawing>
          <wp:inline distT="0" distB="0" distL="0" distR="0">
            <wp:extent cx="5760085" cy="2820035"/>
            <wp:effectExtent l="0" t="0" r="12065" b="1841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70"/>
                    <a:stretch>
                      <a:fillRect/>
                    </a:stretch>
                  </pic:blipFill>
                  <pic:spPr>
                    <a:xfrm>
                      <a:off x="0" y="0"/>
                      <a:ext cx="5760085" cy="2820042"/>
                    </a:xfrm>
                    <a:prstGeom prst="rect">
                      <a:avLst/>
                    </a:prstGeom>
                  </pic:spPr>
                </pic:pic>
              </a:graphicData>
            </a:graphic>
          </wp:inline>
        </w:drawing>
      </w:r>
    </w:p>
    <w:p w14:paraId="28809C0B">
      <w:pPr>
        <w:pStyle w:val="18"/>
      </w:pPr>
    </w:p>
    <w:p w14:paraId="3DADB114">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04BE243F">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2455F69F">
      <w:pPr>
        <w:pStyle w:val="18"/>
      </w:pPr>
      <w:r>
        <w:rPr>
          <w:rFonts w:hint="eastAsia" w:hAnsi="宋体" w:eastAsia="宋体" w:cs="宋体"/>
          <w:b/>
          <w:bCs/>
          <w:color w:val="000000"/>
          <w:sz w:val="24"/>
          <w:szCs w:val="28"/>
        </w:rPr>
        <w:t>2.配套能力“供货类别”填“工艺装备”，业务主管部门选择“工艺工匠研究院”。</w:t>
      </w:r>
    </w:p>
    <w:p w14:paraId="4364525B">
      <w:pPr>
        <w:pStyle w:val="18"/>
        <w:sectPr>
          <w:pgSz w:w="11906" w:h="16838"/>
          <w:pgMar w:top="1588" w:right="1418" w:bottom="1134" w:left="1418" w:header="851" w:footer="992" w:gutter="0"/>
          <w:cols w:space="720" w:num="1"/>
          <w:titlePg/>
          <w:docGrid w:type="lines" w:linePitch="312" w:charSpace="0"/>
        </w:sectPr>
      </w:pPr>
    </w:p>
    <w:p w14:paraId="183D4C4D">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F10E7AC">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p>
    <w:p w14:paraId="3552591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F4920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4E7A914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847FF0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9C4B18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F1917C5">
      <w:r>
        <w:drawing>
          <wp:inline distT="0" distB="0" distL="0" distR="0">
            <wp:extent cx="5760085" cy="2269490"/>
            <wp:effectExtent l="0" t="0" r="12065" b="165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71"/>
                    <a:stretch>
                      <a:fillRect/>
                    </a:stretch>
                  </pic:blipFill>
                  <pic:spPr>
                    <a:xfrm>
                      <a:off x="0" y="0"/>
                      <a:ext cx="5760085" cy="2269864"/>
                    </a:xfrm>
                    <a:prstGeom prst="rect">
                      <a:avLst/>
                    </a:prstGeom>
                  </pic:spPr>
                </pic:pic>
              </a:graphicData>
            </a:graphic>
          </wp:inline>
        </w:drawing>
      </w:r>
    </w:p>
    <w:p w14:paraId="47235AF0"/>
    <w:p w14:paraId="35C4EAA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D6B523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7B253F2">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72"/>
                    <a:stretch>
                      <a:fillRect/>
                    </a:stretch>
                  </pic:blipFill>
                  <pic:spPr>
                    <a:xfrm>
                      <a:off x="0" y="0"/>
                      <a:ext cx="5760085" cy="2125673"/>
                    </a:xfrm>
                    <a:prstGeom prst="rect">
                      <a:avLst/>
                    </a:prstGeom>
                  </pic:spPr>
                </pic:pic>
              </a:graphicData>
            </a:graphic>
          </wp:inline>
        </w:drawing>
      </w:r>
    </w:p>
    <w:p w14:paraId="28342CCA">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044FA7C">
      <w:pPr>
        <w:pStyle w:val="18"/>
      </w:pPr>
      <w:r>
        <w:rPr>
          <w:rFonts w:hint="eastAsia" w:hAnsi="宋体" w:eastAsia="宋体" w:cs="宋体"/>
          <w:color w:val="000000"/>
          <w:sz w:val="24"/>
          <w:szCs w:val="28"/>
        </w:rPr>
        <w:t>注意：系统内的投标报价单位为“万元”，如开标现场发现填错报价，即直接淘汰。</w:t>
      </w:r>
    </w:p>
    <w:p w14:paraId="25DA394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73"/>
                    <a:stretch>
                      <a:fillRect/>
                    </a:stretch>
                  </pic:blipFill>
                  <pic:spPr>
                    <a:xfrm>
                      <a:off x="0" y="0"/>
                      <a:ext cx="5490210" cy="2669498"/>
                    </a:xfrm>
                    <a:prstGeom prst="rect">
                      <a:avLst/>
                    </a:prstGeom>
                  </pic:spPr>
                </pic:pic>
              </a:graphicData>
            </a:graphic>
          </wp:inline>
        </w:drawing>
      </w:r>
    </w:p>
    <w:p w14:paraId="59ED36A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CDBB40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E3E7290">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E84A8E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74"/>
                    <a:stretch>
                      <a:fillRect/>
                    </a:stretch>
                  </pic:blipFill>
                  <pic:spPr>
                    <a:xfrm>
                      <a:off x="0" y="0"/>
                      <a:ext cx="5490210" cy="1992743"/>
                    </a:xfrm>
                    <a:prstGeom prst="rect">
                      <a:avLst/>
                    </a:prstGeom>
                  </pic:spPr>
                </pic:pic>
              </a:graphicData>
            </a:graphic>
          </wp:inline>
        </w:drawing>
      </w:r>
    </w:p>
    <w:p w14:paraId="04C4B79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27D451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862248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5259BF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86271C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87CAE8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54C9B8E">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75"/>
                    <a:stretch>
                      <a:fillRect/>
                    </a:stretch>
                  </pic:blipFill>
                  <pic:spPr>
                    <a:xfrm>
                      <a:off x="0" y="0"/>
                      <a:ext cx="5490210" cy="2544669"/>
                    </a:xfrm>
                    <a:prstGeom prst="rect">
                      <a:avLst/>
                    </a:prstGeom>
                  </pic:spPr>
                </pic:pic>
              </a:graphicData>
            </a:graphic>
          </wp:inline>
        </w:drawing>
      </w:r>
    </w:p>
    <w:p w14:paraId="1D112A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8D642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5ED60B4">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050A3D54">
      <w:pPr>
        <w:spacing w:line="360" w:lineRule="auto"/>
        <w:ind w:firstLine="420" w:firstLineChars="200"/>
        <w:rPr>
          <w:rFonts w:hint="eastAsia" w:ascii="宋体" w:hAnsi="宋体" w:eastAsia="宋体" w:cs="宋体"/>
          <w:sz w:val="24"/>
          <w:szCs w:val="24"/>
        </w:rPr>
      </w:pPr>
      <w:r>
        <w:drawing>
          <wp:inline distT="0" distB="0" distL="0" distR="0">
            <wp:extent cx="5760085" cy="1956435"/>
            <wp:effectExtent l="0" t="0" r="12065" b="571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6"/>
                    <a:stretch>
                      <a:fillRect/>
                    </a:stretch>
                  </pic:blipFill>
                  <pic:spPr>
                    <a:xfrm>
                      <a:off x="0" y="0"/>
                      <a:ext cx="5760085" cy="1956600"/>
                    </a:xfrm>
                    <a:prstGeom prst="rect">
                      <a:avLst/>
                    </a:prstGeom>
                  </pic:spPr>
                </pic:pic>
              </a:graphicData>
            </a:graphic>
          </wp:inline>
        </w:drawing>
      </w:r>
    </w:p>
    <w:sectPr>
      <w:headerReference r:id="rId44" w:type="first"/>
      <w:footerReference r:id="rId46" w:type="first"/>
      <w:headerReference r:id="rId43" w:type="default"/>
      <w:footerReference r:id="rId4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93F3E">
    <w:pPr>
      <w:pStyle w:val="2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83E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6383E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20C74">
    <w:pPr>
      <w:pStyle w:val="2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760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81760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E48D2">
    <w:pPr>
      <w:pStyle w:val="2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2A4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4A2A4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9D232">
    <w:pPr>
      <w:pStyle w:val="2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4B4A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44B4A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0FB0E">
    <w:pPr>
      <w:pStyle w:val="24"/>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D4B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F0D4B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36E86">
    <w:pPr>
      <w:pStyle w:val="2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8A47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F88A47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E91B5">
    <w:pPr>
      <w:pStyle w:val="24"/>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DC0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42DC0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4CBD">
    <w:pPr>
      <w:pStyle w:val="2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C61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89C61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9D6F7">
    <w:pPr>
      <w:pStyle w:val="24"/>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F6FA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6AF6FA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529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067C">
    <w:pPr>
      <w:pStyle w:val="24"/>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2076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77D2076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C64DF">
    <w:pPr>
      <w:pStyle w:val="2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B837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24B837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9B6A7">
    <w:pPr>
      <w:pStyle w:val="24"/>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90B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C590B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3CC1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4278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6111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0DCC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5ABE3">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B46E3">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1CB46E3">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5A25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F7188">
                          <w:pPr>
                            <w:pStyle w:val="2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F3F7188">
                    <w:pPr>
                      <w:pStyle w:val="2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4096E">
    <w:pPr>
      <w:pStyle w:val="24"/>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621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1E621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C898D">
    <w:pPr>
      <w:pStyle w:val="2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606D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SxAY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t1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ISxAYzAgAAZQQAAA4AAAAAAAAAAQAgAAAAHwEAAGRycy9lMm9Eb2MueG1sUEsF&#10;BgAAAAAGAAYAWQEAAMQFAAAAAA==&#10;">
              <v:fill on="f" focussize="0,0"/>
              <v:stroke on="f" weight="0.5pt"/>
              <v:imagedata o:title=""/>
              <o:lock v:ext="edit" aspectratio="f"/>
              <v:textbox inset="0mm,0mm,0mm,0mm" style="mso-fit-shape-to-text:t;">
                <w:txbxContent>
                  <w:p w14:paraId="47606D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DBD8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9902D">
                          <w:pPr>
                            <w:pStyle w:val="24"/>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0A9902D">
                    <w:pPr>
                      <w:pStyle w:val="24"/>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F9149">
    <w:pPr>
      <w:pStyle w:val="24"/>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D70DC">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81D70DC">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E937">
    <w:pPr>
      <w:pStyle w:val="24"/>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F8D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6CF8D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9C14">
    <w:pPr>
      <w:pStyle w:val="24"/>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195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22195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81840">
    <w:pPr>
      <w:pStyle w:val="24"/>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DF875">
    <w:pPr>
      <w:pStyle w:val="24"/>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B43C">
    <w:pPr>
      <w:pStyle w:val="24"/>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6AB4">
    <w:pPr>
      <w:pStyle w:val="2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8ECA7">
                          <w:pPr>
                            <w:pStyle w:val="2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568ECA7">
                    <w:pPr>
                      <w:pStyle w:val="2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14206">
    <w:pPr>
      <w:pStyle w:val="2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20878">
                          <w:pPr>
                            <w:pStyle w:val="2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6020878">
                    <w:pPr>
                      <w:pStyle w:val="2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A5F48">
    <w:pPr>
      <w:pStyle w:val="2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72F1">
    <w:pPr>
      <w:pStyle w:val="25"/>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A2FA">
    <w:pPr>
      <w:pStyle w:val="25"/>
    </w:pPr>
  </w:p>
  <w:p w14:paraId="73B01F98">
    <w:pPr>
      <w:pStyle w:val="2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194BD">
    <w:pPr>
      <w:pStyle w:val="2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59B4">
    <w:pPr>
      <w:pStyle w:val="25"/>
      <w:rPr>
        <w:rFonts w:hint="eastAsia"/>
      </w:rPr>
    </w:pPr>
  </w:p>
  <w:p w14:paraId="43374537">
    <w:pPr>
      <w:pStyle w:val="25"/>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DE318">
    <w:pPr>
      <w:pStyle w:val="2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35329">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A4355">
    <w:pPr>
      <w:pStyle w:val="2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0F2B">
    <w:pPr>
      <w:pStyle w:val="2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7EC96">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F5425">
    <w:pPr>
      <w:pStyle w:val="25"/>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90010">
    <w:pPr>
      <w:pStyle w:val="25"/>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242C">
    <w:pPr>
      <w:pStyle w:val="25"/>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B72BF">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755D9"/>
    <w:multiLevelType w:val="singleLevel"/>
    <w:tmpl w:val="8B8755D9"/>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7"/>
      <w:suff w:val="nothing"/>
      <w:lvlText w:val="%1%2　"/>
      <w:lvlJc w:val="left"/>
      <w:pPr>
        <w:ind w:left="0" w:firstLine="0"/>
      </w:pPr>
      <w:rPr>
        <w:rFonts w:hint="eastAsia" w:ascii="黑体" w:hAnsi="Times New Roman" w:eastAsia="黑体"/>
        <w:b w:val="0"/>
        <w:i w:val="0"/>
        <w:sz w:val="21"/>
      </w:rPr>
    </w:lvl>
    <w:lvl w:ilvl="2" w:tentative="0">
      <w:start w:val="1"/>
      <w:numFmt w:val="decimal"/>
      <w:pStyle w:val="112"/>
      <w:suff w:val="nothing"/>
      <w:lvlText w:val="%1%2.%3　"/>
      <w:lvlJc w:val="left"/>
      <w:pPr>
        <w:ind w:left="2552" w:firstLine="0"/>
      </w:pPr>
      <w:rPr>
        <w:rFonts w:hint="eastAsia" w:ascii="黑体" w:hAnsi="Times New Roman" w:eastAsia="黑体"/>
        <w:b w:val="0"/>
        <w:i w:val="0"/>
        <w:sz w:val="21"/>
      </w:rPr>
    </w:lvl>
    <w:lvl w:ilvl="3" w:tentative="0">
      <w:start w:val="1"/>
      <w:numFmt w:val="decimal"/>
      <w:pStyle w:val="152"/>
      <w:suff w:val="nothing"/>
      <w:lvlText w:val="%1%2.%3.%4　"/>
      <w:lvlJc w:val="left"/>
      <w:pPr>
        <w:ind w:left="3827" w:firstLine="0"/>
      </w:pPr>
      <w:rPr>
        <w:rFonts w:hint="eastAsia" w:ascii="黑体" w:hAnsi="Times New Roman" w:eastAsia="黑体"/>
        <w:b w:val="0"/>
        <w:i w:val="0"/>
        <w:sz w:val="21"/>
      </w:rPr>
    </w:lvl>
    <w:lvl w:ilvl="4" w:tentative="0">
      <w:start w:val="1"/>
      <w:numFmt w:val="decimal"/>
      <w:pStyle w:val="153"/>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0"/>
  </w:num>
  <w:num w:numId="2">
    <w:abstractNumId w:val="9"/>
  </w:num>
  <w:num w:numId="3">
    <w:abstractNumId w:val="10"/>
  </w:num>
  <w:num w:numId="4">
    <w:abstractNumId w:val="1"/>
  </w:num>
  <w:num w:numId="5">
    <w:abstractNumId w:val="11"/>
  </w:num>
  <w:num w:numId="6">
    <w:abstractNumId w:val="6"/>
  </w:num>
  <w:num w:numId="7">
    <w:abstractNumId w:val="4"/>
  </w:num>
  <w:num w:numId="8">
    <w:abstractNumId w:val="8"/>
  </w:num>
  <w:num w:numId="9">
    <w:abstractNumId w:val="2"/>
  </w:num>
  <w:num w:numId="10">
    <w:abstractNumId w:val="7"/>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5ODRlMjk1NzM4OGEyZWNiMmY2Y2M2MzA3NzQ3ZmEifQ=="/>
    <w:docVar w:name="KSO_WPS_MARK_KEY" w:val="d0a53947-1893-4369-bf97-2e4dc540ee15"/>
  </w:docVars>
  <w:rsids>
    <w:rsidRoot w:val="00172A27"/>
    <w:rsid w:val="00002142"/>
    <w:rsid w:val="000139F5"/>
    <w:rsid w:val="00022B06"/>
    <w:rsid w:val="00036836"/>
    <w:rsid w:val="000509E7"/>
    <w:rsid w:val="0005777A"/>
    <w:rsid w:val="00065382"/>
    <w:rsid w:val="00080223"/>
    <w:rsid w:val="000A0A27"/>
    <w:rsid w:val="000A5309"/>
    <w:rsid w:val="000D6A51"/>
    <w:rsid w:val="000F45A3"/>
    <w:rsid w:val="00117358"/>
    <w:rsid w:val="001275BF"/>
    <w:rsid w:val="00140936"/>
    <w:rsid w:val="001564D8"/>
    <w:rsid w:val="00172A27"/>
    <w:rsid w:val="001B350F"/>
    <w:rsid w:val="001C1EE3"/>
    <w:rsid w:val="001C713C"/>
    <w:rsid w:val="001D75B9"/>
    <w:rsid w:val="001E565C"/>
    <w:rsid w:val="001E643A"/>
    <w:rsid w:val="00200F05"/>
    <w:rsid w:val="00203EE2"/>
    <w:rsid w:val="00220056"/>
    <w:rsid w:val="00225B5D"/>
    <w:rsid w:val="00236771"/>
    <w:rsid w:val="00237A6E"/>
    <w:rsid w:val="002626ED"/>
    <w:rsid w:val="00265A40"/>
    <w:rsid w:val="00265DB6"/>
    <w:rsid w:val="002761CA"/>
    <w:rsid w:val="002815CA"/>
    <w:rsid w:val="00282FDE"/>
    <w:rsid w:val="0029130A"/>
    <w:rsid w:val="002B5A4E"/>
    <w:rsid w:val="002E1DA1"/>
    <w:rsid w:val="003222FB"/>
    <w:rsid w:val="00385499"/>
    <w:rsid w:val="003A0914"/>
    <w:rsid w:val="003A4540"/>
    <w:rsid w:val="003B4D7D"/>
    <w:rsid w:val="003E0AB3"/>
    <w:rsid w:val="00401C42"/>
    <w:rsid w:val="004076DE"/>
    <w:rsid w:val="00420FC0"/>
    <w:rsid w:val="00460AFB"/>
    <w:rsid w:val="00470130"/>
    <w:rsid w:val="00470E83"/>
    <w:rsid w:val="00483B0A"/>
    <w:rsid w:val="004B5126"/>
    <w:rsid w:val="004C2817"/>
    <w:rsid w:val="004F7838"/>
    <w:rsid w:val="00503391"/>
    <w:rsid w:val="005201F1"/>
    <w:rsid w:val="00542725"/>
    <w:rsid w:val="00552960"/>
    <w:rsid w:val="0056018A"/>
    <w:rsid w:val="00565EEA"/>
    <w:rsid w:val="00567344"/>
    <w:rsid w:val="005829DC"/>
    <w:rsid w:val="005B4E60"/>
    <w:rsid w:val="005C0B4E"/>
    <w:rsid w:val="005C421F"/>
    <w:rsid w:val="005F0425"/>
    <w:rsid w:val="005F16F0"/>
    <w:rsid w:val="00623773"/>
    <w:rsid w:val="006239B0"/>
    <w:rsid w:val="006361DE"/>
    <w:rsid w:val="0065185D"/>
    <w:rsid w:val="00653CCD"/>
    <w:rsid w:val="00655A4A"/>
    <w:rsid w:val="00656894"/>
    <w:rsid w:val="00680629"/>
    <w:rsid w:val="006806B8"/>
    <w:rsid w:val="00686C52"/>
    <w:rsid w:val="006A477B"/>
    <w:rsid w:val="006B3DBA"/>
    <w:rsid w:val="006D287C"/>
    <w:rsid w:val="006F1414"/>
    <w:rsid w:val="00706ABF"/>
    <w:rsid w:val="007141E0"/>
    <w:rsid w:val="00721A0D"/>
    <w:rsid w:val="00736D2A"/>
    <w:rsid w:val="007430AF"/>
    <w:rsid w:val="007432BF"/>
    <w:rsid w:val="0074529D"/>
    <w:rsid w:val="007525BF"/>
    <w:rsid w:val="00756A6E"/>
    <w:rsid w:val="007800DC"/>
    <w:rsid w:val="007838AA"/>
    <w:rsid w:val="00783D5E"/>
    <w:rsid w:val="00785FD6"/>
    <w:rsid w:val="00794895"/>
    <w:rsid w:val="007A51B4"/>
    <w:rsid w:val="007B212D"/>
    <w:rsid w:val="007C2269"/>
    <w:rsid w:val="007C554C"/>
    <w:rsid w:val="007D714E"/>
    <w:rsid w:val="007E2B31"/>
    <w:rsid w:val="00806A61"/>
    <w:rsid w:val="00810587"/>
    <w:rsid w:val="00824BFD"/>
    <w:rsid w:val="008335E0"/>
    <w:rsid w:val="008453B3"/>
    <w:rsid w:val="008665BE"/>
    <w:rsid w:val="00885736"/>
    <w:rsid w:val="008D3B56"/>
    <w:rsid w:val="008D5CEF"/>
    <w:rsid w:val="008F28AD"/>
    <w:rsid w:val="008F3BC8"/>
    <w:rsid w:val="0093287D"/>
    <w:rsid w:val="009344DE"/>
    <w:rsid w:val="009360F9"/>
    <w:rsid w:val="00944696"/>
    <w:rsid w:val="00945CA9"/>
    <w:rsid w:val="00964F00"/>
    <w:rsid w:val="00994ECB"/>
    <w:rsid w:val="009B511E"/>
    <w:rsid w:val="009C597D"/>
    <w:rsid w:val="009C6475"/>
    <w:rsid w:val="009D51A7"/>
    <w:rsid w:val="009E0F5E"/>
    <w:rsid w:val="009F3E56"/>
    <w:rsid w:val="00A21EB2"/>
    <w:rsid w:val="00A3102B"/>
    <w:rsid w:val="00A31561"/>
    <w:rsid w:val="00A54E95"/>
    <w:rsid w:val="00A66DED"/>
    <w:rsid w:val="00A80564"/>
    <w:rsid w:val="00A960B2"/>
    <w:rsid w:val="00AE6633"/>
    <w:rsid w:val="00B01FF1"/>
    <w:rsid w:val="00B2182A"/>
    <w:rsid w:val="00B53508"/>
    <w:rsid w:val="00B72516"/>
    <w:rsid w:val="00B72C92"/>
    <w:rsid w:val="00B73F88"/>
    <w:rsid w:val="00B92C97"/>
    <w:rsid w:val="00B96FCE"/>
    <w:rsid w:val="00BA3C70"/>
    <w:rsid w:val="00BB4E42"/>
    <w:rsid w:val="00BC20E2"/>
    <w:rsid w:val="00BD1E02"/>
    <w:rsid w:val="00BF0E19"/>
    <w:rsid w:val="00BF2E63"/>
    <w:rsid w:val="00C01073"/>
    <w:rsid w:val="00C04F2B"/>
    <w:rsid w:val="00C33FF0"/>
    <w:rsid w:val="00C43293"/>
    <w:rsid w:val="00C501C6"/>
    <w:rsid w:val="00C855F6"/>
    <w:rsid w:val="00C92F53"/>
    <w:rsid w:val="00CD5223"/>
    <w:rsid w:val="00CE5010"/>
    <w:rsid w:val="00CE6E17"/>
    <w:rsid w:val="00D001C0"/>
    <w:rsid w:val="00D0528A"/>
    <w:rsid w:val="00D11B37"/>
    <w:rsid w:val="00D12697"/>
    <w:rsid w:val="00D36A09"/>
    <w:rsid w:val="00D408EF"/>
    <w:rsid w:val="00D5145C"/>
    <w:rsid w:val="00D64DAE"/>
    <w:rsid w:val="00D729A1"/>
    <w:rsid w:val="00D72BF1"/>
    <w:rsid w:val="00DA4FE9"/>
    <w:rsid w:val="00DB1F8E"/>
    <w:rsid w:val="00DB5225"/>
    <w:rsid w:val="00DD0A7F"/>
    <w:rsid w:val="00DD1E5E"/>
    <w:rsid w:val="00DD5EC7"/>
    <w:rsid w:val="00DE0B83"/>
    <w:rsid w:val="00DE6417"/>
    <w:rsid w:val="00E1627A"/>
    <w:rsid w:val="00E20779"/>
    <w:rsid w:val="00E34C35"/>
    <w:rsid w:val="00E549ED"/>
    <w:rsid w:val="00E650A8"/>
    <w:rsid w:val="00E878B4"/>
    <w:rsid w:val="00EB3D00"/>
    <w:rsid w:val="00EE3F89"/>
    <w:rsid w:val="00EF23BD"/>
    <w:rsid w:val="00F16F25"/>
    <w:rsid w:val="00F26B3E"/>
    <w:rsid w:val="00F40934"/>
    <w:rsid w:val="00F53814"/>
    <w:rsid w:val="00F64B9B"/>
    <w:rsid w:val="00F64F1D"/>
    <w:rsid w:val="00F71720"/>
    <w:rsid w:val="00F77126"/>
    <w:rsid w:val="00FA5955"/>
    <w:rsid w:val="00FB607B"/>
    <w:rsid w:val="00FE040F"/>
    <w:rsid w:val="00FE42B3"/>
    <w:rsid w:val="00FF1F11"/>
    <w:rsid w:val="01042CD0"/>
    <w:rsid w:val="01437C9C"/>
    <w:rsid w:val="0147778C"/>
    <w:rsid w:val="014832F2"/>
    <w:rsid w:val="014D51C1"/>
    <w:rsid w:val="01714809"/>
    <w:rsid w:val="01C52478"/>
    <w:rsid w:val="020874E3"/>
    <w:rsid w:val="021C006B"/>
    <w:rsid w:val="021D06EC"/>
    <w:rsid w:val="027408EE"/>
    <w:rsid w:val="02963F39"/>
    <w:rsid w:val="02B3095A"/>
    <w:rsid w:val="02BA7274"/>
    <w:rsid w:val="02C5727B"/>
    <w:rsid w:val="03251978"/>
    <w:rsid w:val="0325718A"/>
    <w:rsid w:val="03F205D1"/>
    <w:rsid w:val="0402799B"/>
    <w:rsid w:val="042921B6"/>
    <w:rsid w:val="043B72BB"/>
    <w:rsid w:val="04461EC1"/>
    <w:rsid w:val="04504B3F"/>
    <w:rsid w:val="049A5E25"/>
    <w:rsid w:val="049F168E"/>
    <w:rsid w:val="04AD02B8"/>
    <w:rsid w:val="04B944C7"/>
    <w:rsid w:val="04DE51C8"/>
    <w:rsid w:val="04DF17D4"/>
    <w:rsid w:val="05412745"/>
    <w:rsid w:val="05491761"/>
    <w:rsid w:val="058663AA"/>
    <w:rsid w:val="05A351AD"/>
    <w:rsid w:val="05D1591C"/>
    <w:rsid w:val="05F9748A"/>
    <w:rsid w:val="06266F78"/>
    <w:rsid w:val="063E7B7A"/>
    <w:rsid w:val="06565D7C"/>
    <w:rsid w:val="06582413"/>
    <w:rsid w:val="067E33B8"/>
    <w:rsid w:val="068C3E93"/>
    <w:rsid w:val="06936492"/>
    <w:rsid w:val="069F7723"/>
    <w:rsid w:val="06D7510F"/>
    <w:rsid w:val="06E82FCB"/>
    <w:rsid w:val="06F34B95"/>
    <w:rsid w:val="06F7755F"/>
    <w:rsid w:val="07571DAC"/>
    <w:rsid w:val="07797C0B"/>
    <w:rsid w:val="077E4EA5"/>
    <w:rsid w:val="0790350F"/>
    <w:rsid w:val="07AB20F7"/>
    <w:rsid w:val="07CD4764"/>
    <w:rsid w:val="08590488"/>
    <w:rsid w:val="08760957"/>
    <w:rsid w:val="08803584"/>
    <w:rsid w:val="08DB07BA"/>
    <w:rsid w:val="08DD171B"/>
    <w:rsid w:val="08E64121"/>
    <w:rsid w:val="08EB4EA1"/>
    <w:rsid w:val="09036BB8"/>
    <w:rsid w:val="091066B6"/>
    <w:rsid w:val="0942017F"/>
    <w:rsid w:val="09A36273"/>
    <w:rsid w:val="09BA1FBB"/>
    <w:rsid w:val="09CB139F"/>
    <w:rsid w:val="0A0106F5"/>
    <w:rsid w:val="0A112AB7"/>
    <w:rsid w:val="0A886720"/>
    <w:rsid w:val="0AAA504A"/>
    <w:rsid w:val="0ABB3229"/>
    <w:rsid w:val="0AD71BC7"/>
    <w:rsid w:val="0AF420EB"/>
    <w:rsid w:val="0B1B7594"/>
    <w:rsid w:val="0B2B2BF5"/>
    <w:rsid w:val="0B2F3908"/>
    <w:rsid w:val="0B3F6206"/>
    <w:rsid w:val="0B9C3F94"/>
    <w:rsid w:val="0BCF0AAA"/>
    <w:rsid w:val="0BE12DB6"/>
    <w:rsid w:val="0BFC6504"/>
    <w:rsid w:val="0C345AD1"/>
    <w:rsid w:val="0C626CE4"/>
    <w:rsid w:val="0C874EE1"/>
    <w:rsid w:val="0CBB2DDD"/>
    <w:rsid w:val="0D0C2B7B"/>
    <w:rsid w:val="0D103128"/>
    <w:rsid w:val="0D9308F8"/>
    <w:rsid w:val="0DE76C3D"/>
    <w:rsid w:val="0E083E00"/>
    <w:rsid w:val="0E1A1D85"/>
    <w:rsid w:val="0E214EC1"/>
    <w:rsid w:val="0E750568"/>
    <w:rsid w:val="0E8A111C"/>
    <w:rsid w:val="0E9C3C97"/>
    <w:rsid w:val="0F2D7A80"/>
    <w:rsid w:val="0F4277E5"/>
    <w:rsid w:val="0F5F3EF3"/>
    <w:rsid w:val="0F7D25CB"/>
    <w:rsid w:val="0FA75561"/>
    <w:rsid w:val="0FB0474F"/>
    <w:rsid w:val="0FB83603"/>
    <w:rsid w:val="0FCA77F1"/>
    <w:rsid w:val="0FCD5DCC"/>
    <w:rsid w:val="0FE655F3"/>
    <w:rsid w:val="10043197"/>
    <w:rsid w:val="101E1EA5"/>
    <w:rsid w:val="10270545"/>
    <w:rsid w:val="1032785A"/>
    <w:rsid w:val="103409DF"/>
    <w:rsid w:val="10513691"/>
    <w:rsid w:val="108A1D4B"/>
    <w:rsid w:val="10A10111"/>
    <w:rsid w:val="10BE093E"/>
    <w:rsid w:val="10E20BD8"/>
    <w:rsid w:val="111B0FE9"/>
    <w:rsid w:val="111E54BC"/>
    <w:rsid w:val="112C77F4"/>
    <w:rsid w:val="11350703"/>
    <w:rsid w:val="113D1B21"/>
    <w:rsid w:val="115F67A8"/>
    <w:rsid w:val="116339A6"/>
    <w:rsid w:val="11927FE9"/>
    <w:rsid w:val="119A7465"/>
    <w:rsid w:val="11C07DA5"/>
    <w:rsid w:val="11C2491E"/>
    <w:rsid w:val="11EC57E6"/>
    <w:rsid w:val="11F36B75"/>
    <w:rsid w:val="12174F59"/>
    <w:rsid w:val="12491386"/>
    <w:rsid w:val="12541D09"/>
    <w:rsid w:val="128807D2"/>
    <w:rsid w:val="12B50F6F"/>
    <w:rsid w:val="12E60579"/>
    <w:rsid w:val="12EB0F02"/>
    <w:rsid w:val="13355458"/>
    <w:rsid w:val="13695B36"/>
    <w:rsid w:val="1372609F"/>
    <w:rsid w:val="13D50C28"/>
    <w:rsid w:val="13D73572"/>
    <w:rsid w:val="13F217DA"/>
    <w:rsid w:val="1424395D"/>
    <w:rsid w:val="14302F5B"/>
    <w:rsid w:val="144363D4"/>
    <w:rsid w:val="14504752"/>
    <w:rsid w:val="145A6A37"/>
    <w:rsid w:val="14665D24"/>
    <w:rsid w:val="1467440F"/>
    <w:rsid w:val="14B60A59"/>
    <w:rsid w:val="15400323"/>
    <w:rsid w:val="15433A9B"/>
    <w:rsid w:val="15787ABD"/>
    <w:rsid w:val="15AC59B8"/>
    <w:rsid w:val="15FC2F04"/>
    <w:rsid w:val="16181FAC"/>
    <w:rsid w:val="16781D3E"/>
    <w:rsid w:val="168756A0"/>
    <w:rsid w:val="168D3A3C"/>
    <w:rsid w:val="16DE4BFF"/>
    <w:rsid w:val="16E75D5E"/>
    <w:rsid w:val="16F94849"/>
    <w:rsid w:val="16FF13AD"/>
    <w:rsid w:val="17045E51"/>
    <w:rsid w:val="172011D4"/>
    <w:rsid w:val="17252C3B"/>
    <w:rsid w:val="173F0A2E"/>
    <w:rsid w:val="17770BC2"/>
    <w:rsid w:val="17860E2F"/>
    <w:rsid w:val="178D44B2"/>
    <w:rsid w:val="17A119AA"/>
    <w:rsid w:val="17E551B2"/>
    <w:rsid w:val="17F17FFA"/>
    <w:rsid w:val="18181BB3"/>
    <w:rsid w:val="18586F2B"/>
    <w:rsid w:val="18B518DD"/>
    <w:rsid w:val="193D5052"/>
    <w:rsid w:val="19A4034B"/>
    <w:rsid w:val="19A766B9"/>
    <w:rsid w:val="19C31523"/>
    <w:rsid w:val="19CE76BA"/>
    <w:rsid w:val="19D11E91"/>
    <w:rsid w:val="19F26070"/>
    <w:rsid w:val="19F8541A"/>
    <w:rsid w:val="19F97C8B"/>
    <w:rsid w:val="1A1523CE"/>
    <w:rsid w:val="1A1E139B"/>
    <w:rsid w:val="1A3366A8"/>
    <w:rsid w:val="1A3B555D"/>
    <w:rsid w:val="1A6119E3"/>
    <w:rsid w:val="1A9058A9"/>
    <w:rsid w:val="1AA730BD"/>
    <w:rsid w:val="1AE6196C"/>
    <w:rsid w:val="1B333D5D"/>
    <w:rsid w:val="1B587618"/>
    <w:rsid w:val="1B5F19C7"/>
    <w:rsid w:val="1B6B0FE4"/>
    <w:rsid w:val="1B774356"/>
    <w:rsid w:val="1B795BA4"/>
    <w:rsid w:val="1B8549D3"/>
    <w:rsid w:val="1C071B9A"/>
    <w:rsid w:val="1C1C709B"/>
    <w:rsid w:val="1C4F52EF"/>
    <w:rsid w:val="1C4F6795"/>
    <w:rsid w:val="1C8625C6"/>
    <w:rsid w:val="1C9F6814"/>
    <w:rsid w:val="1CA23671"/>
    <w:rsid w:val="1CE739C9"/>
    <w:rsid w:val="1CF70D48"/>
    <w:rsid w:val="1D2A7420"/>
    <w:rsid w:val="1D5C514E"/>
    <w:rsid w:val="1D865D14"/>
    <w:rsid w:val="1D8705EC"/>
    <w:rsid w:val="1DA67191"/>
    <w:rsid w:val="1DA90A2F"/>
    <w:rsid w:val="1DBC5610"/>
    <w:rsid w:val="1E43150B"/>
    <w:rsid w:val="1E4E3AB1"/>
    <w:rsid w:val="1E8E577C"/>
    <w:rsid w:val="1EA93E80"/>
    <w:rsid w:val="1ED33FB6"/>
    <w:rsid w:val="1EE81332"/>
    <w:rsid w:val="1EF5217E"/>
    <w:rsid w:val="1F122D30"/>
    <w:rsid w:val="1F32415A"/>
    <w:rsid w:val="1F542F9A"/>
    <w:rsid w:val="1F702632"/>
    <w:rsid w:val="1F7D1043"/>
    <w:rsid w:val="1F7E2174"/>
    <w:rsid w:val="1F882FF2"/>
    <w:rsid w:val="20107567"/>
    <w:rsid w:val="201F3D6B"/>
    <w:rsid w:val="205C6834"/>
    <w:rsid w:val="20635322"/>
    <w:rsid w:val="20AB56C6"/>
    <w:rsid w:val="20CF7C34"/>
    <w:rsid w:val="21547789"/>
    <w:rsid w:val="2176507C"/>
    <w:rsid w:val="21BE35AF"/>
    <w:rsid w:val="21C11174"/>
    <w:rsid w:val="220D732D"/>
    <w:rsid w:val="22205764"/>
    <w:rsid w:val="22244B28"/>
    <w:rsid w:val="22467FD4"/>
    <w:rsid w:val="226A1E07"/>
    <w:rsid w:val="229451FD"/>
    <w:rsid w:val="22A12DB6"/>
    <w:rsid w:val="22E36792"/>
    <w:rsid w:val="230C7A96"/>
    <w:rsid w:val="236356D1"/>
    <w:rsid w:val="23A91C83"/>
    <w:rsid w:val="23BF2D5B"/>
    <w:rsid w:val="23C14D25"/>
    <w:rsid w:val="23C962E8"/>
    <w:rsid w:val="23F30C56"/>
    <w:rsid w:val="245B1ACF"/>
    <w:rsid w:val="246D6790"/>
    <w:rsid w:val="247E4FED"/>
    <w:rsid w:val="24AD52A9"/>
    <w:rsid w:val="24AD78E0"/>
    <w:rsid w:val="24B30BE8"/>
    <w:rsid w:val="24B959FC"/>
    <w:rsid w:val="24BB674A"/>
    <w:rsid w:val="24D665AE"/>
    <w:rsid w:val="24E34060"/>
    <w:rsid w:val="253A0491"/>
    <w:rsid w:val="25AE6D01"/>
    <w:rsid w:val="25B05051"/>
    <w:rsid w:val="25C10713"/>
    <w:rsid w:val="25E036B2"/>
    <w:rsid w:val="25E9082A"/>
    <w:rsid w:val="25F0480C"/>
    <w:rsid w:val="25F42473"/>
    <w:rsid w:val="26597496"/>
    <w:rsid w:val="26880594"/>
    <w:rsid w:val="26AF2D79"/>
    <w:rsid w:val="26B34B91"/>
    <w:rsid w:val="26D7660D"/>
    <w:rsid w:val="26FE1DEC"/>
    <w:rsid w:val="270D66E8"/>
    <w:rsid w:val="271460F5"/>
    <w:rsid w:val="27180043"/>
    <w:rsid w:val="27380592"/>
    <w:rsid w:val="27514612"/>
    <w:rsid w:val="278B0DAB"/>
    <w:rsid w:val="279C6B0E"/>
    <w:rsid w:val="27A64735"/>
    <w:rsid w:val="27AA7EDF"/>
    <w:rsid w:val="27CC4DF2"/>
    <w:rsid w:val="281864F2"/>
    <w:rsid w:val="282F658A"/>
    <w:rsid w:val="283F41FE"/>
    <w:rsid w:val="285C501C"/>
    <w:rsid w:val="285E218C"/>
    <w:rsid w:val="286903EF"/>
    <w:rsid w:val="287F5DD3"/>
    <w:rsid w:val="288047CB"/>
    <w:rsid w:val="28976054"/>
    <w:rsid w:val="289C366A"/>
    <w:rsid w:val="289E62FA"/>
    <w:rsid w:val="28CA629D"/>
    <w:rsid w:val="28FD6E90"/>
    <w:rsid w:val="291E2CA6"/>
    <w:rsid w:val="293143F3"/>
    <w:rsid w:val="29331862"/>
    <w:rsid w:val="293C4426"/>
    <w:rsid w:val="29453D02"/>
    <w:rsid w:val="299741EC"/>
    <w:rsid w:val="299E147F"/>
    <w:rsid w:val="29B91531"/>
    <w:rsid w:val="29C32A87"/>
    <w:rsid w:val="29CF26DC"/>
    <w:rsid w:val="29E70C6B"/>
    <w:rsid w:val="29EF2538"/>
    <w:rsid w:val="2A0151A8"/>
    <w:rsid w:val="2A1C5DA0"/>
    <w:rsid w:val="2A200D39"/>
    <w:rsid w:val="2A507EFF"/>
    <w:rsid w:val="2A832D34"/>
    <w:rsid w:val="2ADC05A4"/>
    <w:rsid w:val="2AEF2177"/>
    <w:rsid w:val="2AF855C0"/>
    <w:rsid w:val="2B2D2CA0"/>
    <w:rsid w:val="2B3B53BD"/>
    <w:rsid w:val="2B54647E"/>
    <w:rsid w:val="2B6F0D7F"/>
    <w:rsid w:val="2B8716BD"/>
    <w:rsid w:val="2B8B76FF"/>
    <w:rsid w:val="2BD5034F"/>
    <w:rsid w:val="2BFA123F"/>
    <w:rsid w:val="2C4F1B9F"/>
    <w:rsid w:val="2C934D84"/>
    <w:rsid w:val="2D025012"/>
    <w:rsid w:val="2D12039F"/>
    <w:rsid w:val="2D355E3C"/>
    <w:rsid w:val="2D3725E1"/>
    <w:rsid w:val="2D4178F0"/>
    <w:rsid w:val="2D8F379E"/>
    <w:rsid w:val="2DAE631A"/>
    <w:rsid w:val="2DD877E0"/>
    <w:rsid w:val="2DE616C9"/>
    <w:rsid w:val="2DFC2451"/>
    <w:rsid w:val="2E0917A2"/>
    <w:rsid w:val="2E0A551A"/>
    <w:rsid w:val="2E3422F8"/>
    <w:rsid w:val="2E383E35"/>
    <w:rsid w:val="2E530C6F"/>
    <w:rsid w:val="2E6E566D"/>
    <w:rsid w:val="2E7F188E"/>
    <w:rsid w:val="2E8F1410"/>
    <w:rsid w:val="2EA414CB"/>
    <w:rsid w:val="2EBC0905"/>
    <w:rsid w:val="2EC73739"/>
    <w:rsid w:val="2EFB1B0E"/>
    <w:rsid w:val="2F4B7B98"/>
    <w:rsid w:val="2F5C684F"/>
    <w:rsid w:val="2FA21EAE"/>
    <w:rsid w:val="300E30A0"/>
    <w:rsid w:val="3014442E"/>
    <w:rsid w:val="307776D1"/>
    <w:rsid w:val="30847806"/>
    <w:rsid w:val="30862574"/>
    <w:rsid w:val="30A30315"/>
    <w:rsid w:val="30B631E1"/>
    <w:rsid w:val="30D649C4"/>
    <w:rsid w:val="30F009F7"/>
    <w:rsid w:val="311933AA"/>
    <w:rsid w:val="3135465C"/>
    <w:rsid w:val="317D15BB"/>
    <w:rsid w:val="31CF76F3"/>
    <w:rsid w:val="31D07E6C"/>
    <w:rsid w:val="31DA51AD"/>
    <w:rsid w:val="31F167D5"/>
    <w:rsid w:val="322C6574"/>
    <w:rsid w:val="323F65DA"/>
    <w:rsid w:val="32412074"/>
    <w:rsid w:val="32515B4E"/>
    <w:rsid w:val="32BB6DE3"/>
    <w:rsid w:val="32DE0199"/>
    <w:rsid w:val="333C2963"/>
    <w:rsid w:val="3352350B"/>
    <w:rsid w:val="335A4D82"/>
    <w:rsid w:val="335B2774"/>
    <w:rsid w:val="33613647"/>
    <w:rsid w:val="33A4642E"/>
    <w:rsid w:val="33C63C91"/>
    <w:rsid w:val="33D10FB5"/>
    <w:rsid w:val="33D4039C"/>
    <w:rsid w:val="33D47E05"/>
    <w:rsid w:val="3413677D"/>
    <w:rsid w:val="34232E92"/>
    <w:rsid w:val="342B544B"/>
    <w:rsid w:val="345E036E"/>
    <w:rsid w:val="346911EC"/>
    <w:rsid w:val="34713838"/>
    <w:rsid w:val="34C47852"/>
    <w:rsid w:val="34D81ECE"/>
    <w:rsid w:val="34DE1E4F"/>
    <w:rsid w:val="34F07DB1"/>
    <w:rsid w:val="354D5BFB"/>
    <w:rsid w:val="35647C06"/>
    <w:rsid w:val="358523A3"/>
    <w:rsid w:val="359009FB"/>
    <w:rsid w:val="35A866C4"/>
    <w:rsid w:val="35A87466"/>
    <w:rsid w:val="35B91D00"/>
    <w:rsid w:val="35BF4E3C"/>
    <w:rsid w:val="35D354B8"/>
    <w:rsid w:val="35D4025C"/>
    <w:rsid w:val="35D408E8"/>
    <w:rsid w:val="362666BC"/>
    <w:rsid w:val="36513CE6"/>
    <w:rsid w:val="36681030"/>
    <w:rsid w:val="368A6B11"/>
    <w:rsid w:val="36BE6EA2"/>
    <w:rsid w:val="37052D23"/>
    <w:rsid w:val="37085B1F"/>
    <w:rsid w:val="372E04CB"/>
    <w:rsid w:val="37490E61"/>
    <w:rsid w:val="375F2433"/>
    <w:rsid w:val="379A7F64"/>
    <w:rsid w:val="37A329DC"/>
    <w:rsid w:val="37C4673A"/>
    <w:rsid w:val="389B393F"/>
    <w:rsid w:val="38E070F2"/>
    <w:rsid w:val="390D33AB"/>
    <w:rsid w:val="391E6D06"/>
    <w:rsid w:val="39D90D55"/>
    <w:rsid w:val="3A074847"/>
    <w:rsid w:val="3A371445"/>
    <w:rsid w:val="3A704957"/>
    <w:rsid w:val="3A830B2E"/>
    <w:rsid w:val="3AA90FE6"/>
    <w:rsid w:val="3AA9318F"/>
    <w:rsid w:val="3AB62DA0"/>
    <w:rsid w:val="3B0A330F"/>
    <w:rsid w:val="3B196D9D"/>
    <w:rsid w:val="3B351E28"/>
    <w:rsid w:val="3B427E5C"/>
    <w:rsid w:val="3B585B17"/>
    <w:rsid w:val="3B7D3FD5"/>
    <w:rsid w:val="3B823DDF"/>
    <w:rsid w:val="3B84690C"/>
    <w:rsid w:val="3B914B85"/>
    <w:rsid w:val="3B9B59E2"/>
    <w:rsid w:val="3BA40D5C"/>
    <w:rsid w:val="3BD827B4"/>
    <w:rsid w:val="3BE707EB"/>
    <w:rsid w:val="3C237ED3"/>
    <w:rsid w:val="3CAA596A"/>
    <w:rsid w:val="3CAF1D22"/>
    <w:rsid w:val="3CB1587B"/>
    <w:rsid w:val="3CB735F2"/>
    <w:rsid w:val="3D186684"/>
    <w:rsid w:val="3D363C36"/>
    <w:rsid w:val="3D477BF1"/>
    <w:rsid w:val="3D58310C"/>
    <w:rsid w:val="3D670293"/>
    <w:rsid w:val="3D6C08E2"/>
    <w:rsid w:val="3D8B2178"/>
    <w:rsid w:val="3DAE1A1E"/>
    <w:rsid w:val="3DB34909"/>
    <w:rsid w:val="3DD115F5"/>
    <w:rsid w:val="3DE435F0"/>
    <w:rsid w:val="3DE5122C"/>
    <w:rsid w:val="3DF37E53"/>
    <w:rsid w:val="3E424EE0"/>
    <w:rsid w:val="3E605F29"/>
    <w:rsid w:val="3E740EBA"/>
    <w:rsid w:val="3EC86B10"/>
    <w:rsid w:val="3ED26DE9"/>
    <w:rsid w:val="3EED17D0"/>
    <w:rsid w:val="3F093CDD"/>
    <w:rsid w:val="3F0C0304"/>
    <w:rsid w:val="3F774839"/>
    <w:rsid w:val="3F8A0269"/>
    <w:rsid w:val="3F9B06C8"/>
    <w:rsid w:val="3FA806EF"/>
    <w:rsid w:val="3FEC147E"/>
    <w:rsid w:val="3FFD2F68"/>
    <w:rsid w:val="40152228"/>
    <w:rsid w:val="40376375"/>
    <w:rsid w:val="4051112F"/>
    <w:rsid w:val="40A54167"/>
    <w:rsid w:val="40AB66E9"/>
    <w:rsid w:val="40D6427E"/>
    <w:rsid w:val="40D70587"/>
    <w:rsid w:val="412732B7"/>
    <w:rsid w:val="4127791F"/>
    <w:rsid w:val="41281794"/>
    <w:rsid w:val="413C1FDF"/>
    <w:rsid w:val="4151103E"/>
    <w:rsid w:val="416D399E"/>
    <w:rsid w:val="417A65A3"/>
    <w:rsid w:val="41806A69"/>
    <w:rsid w:val="41B0259C"/>
    <w:rsid w:val="41BC6F1C"/>
    <w:rsid w:val="41EF2363"/>
    <w:rsid w:val="41F77860"/>
    <w:rsid w:val="42100EF9"/>
    <w:rsid w:val="42134546"/>
    <w:rsid w:val="424A4B98"/>
    <w:rsid w:val="42581D3A"/>
    <w:rsid w:val="42D31F27"/>
    <w:rsid w:val="42DA5063"/>
    <w:rsid w:val="42ED2EA4"/>
    <w:rsid w:val="42F6649D"/>
    <w:rsid w:val="42FE0080"/>
    <w:rsid w:val="43100A85"/>
    <w:rsid w:val="43315D2E"/>
    <w:rsid w:val="43670C99"/>
    <w:rsid w:val="43824A1C"/>
    <w:rsid w:val="43D110E1"/>
    <w:rsid w:val="43E873C9"/>
    <w:rsid w:val="43F00151"/>
    <w:rsid w:val="43FE2FD4"/>
    <w:rsid w:val="4469669F"/>
    <w:rsid w:val="44905B1F"/>
    <w:rsid w:val="44A85002"/>
    <w:rsid w:val="4508410A"/>
    <w:rsid w:val="45316885"/>
    <w:rsid w:val="456F077F"/>
    <w:rsid w:val="45840F01"/>
    <w:rsid w:val="45A95EE9"/>
    <w:rsid w:val="45BC6F3D"/>
    <w:rsid w:val="45DC1C5F"/>
    <w:rsid w:val="45FB0F21"/>
    <w:rsid w:val="46020B59"/>
    <w:rsid w:val="46167166"/>
    <w:rsid w:val="4636719A"/>
    <w:rsid w:val="464A0752"/>
    <w:rsid w:val="46DC2BD2"/>
    <w:rsid w:val="47200EE3"/>
    <w:rsid w:val="47435AC2"/>
    <w:rsid w:val="47544B78"/>
    <w:rsid w:val="47587AF7"/>
    <w:rsid w:val="47745A86"/>
    <w:rsid w:val="477B2160"/>
    <w:rsid w:val="479B1265"/>
    <w:rsid w:val="47BC11DC"/>
    <w:rsid w:val="47CB7671"/>
    <w:rsid w:val="47E239AC"/>
    <w:rsid w:val="47E32C0C"/>
    <w:rsid w:val="47F72214"/>
    <w:rsid w:val="480F4B73"/>
    <w:rsid w:val="48126351"/>
    <w:rsid w:val="48253782"/>
    <w:rsid w:val="48435459"/>
    <w:rsid w:val="48741AB6"/>
    <w:rsid w:val="487B2624"/>
    <w:rsid w:val="48B14AB8"/>
    <w:rsid w:val="48C52312"/>
    <w:rsid w:val="48DB1B35"/>
    <w:rsid w:val="48DB38E3"/>
    <w:rsid w:val="48F826E7"/>
    <w:rsid w:val="49001B5E"/>
    <w:rsid w:val="491B1FA1"/>
    <w:rsid w:val="49376DB0"/>
    <w:rsid w:val="49535B70"/>
    <w:rsid w:val="496271AF"/>
    <w:rsid w:val="49804BB7"/>
    <w:rsid w:val="49826DCB"/>
    <w:rsid w:val="499013E7"/>
    <w:rsid w:val="499855AA"/>
    <w:rsid w:val="49C8088A"/>
    <w:rsid w:val="4A301C93"/>
    <w:rsid w:val="4A3302AB"/>
    <w:rsid w:val="4A3749D0"/>
    <w:rsid w:val="4A7B537E"/>
    <w:rsid w:val="4A834E68"/>
    <w:rsid w:val="4AC85D49"/>
    <w:rsid w:val="4AE308A9"/>
    <w:rsid w:val="4B1F3F5B"/>
    <w:rsid w:val="4B260F2D"/>
    <w:rsid w:val="4B2E23F0"/>
    <w:rsid w:val="4B2E418D"/>
    <w:rsid w:val="4B4F20F9"/>
    <w:rsid w:val="4B66794A"/>
    <w:rsid w:val="4B9A1456"/>
    <w:rsid w:val="4BA32C82"/>
    <w:rsid w:val="4BD022FD"/>
    <w:rsid w:val="4BE70627"/>
    <w:rsid w:val="4C0A5AE1"/>
    <w:rsid w:val="4C130AB8"/>
    <w:rsid w:val="4C393C27"/>
    <w:rsid w:val="4C5A284D"/>
    <w:rsid w:val="4C5C0673"/>
    <w:rsid w:val="4C8A6423"/>
    <w:rsid w:val="4CB96B43"/>
    <w:rsid w:val="4CC410A6"/>
    <w:rsid w:val="4CC75FCC"/>
    <w:rsid w:val="4CC87A5E"/>
    <w:rsid w:val="4CD63947"/>
    <w:rsid w:val="4CFC49F4"/>
    <w:rsid w:val="4D073D73"/>
    <w:rsid w:val="4D1B69A4"/>
    <w:rsid w:val="4D1E27BA"/>
    <w:rsid w:val="4D23574A"/>
    <w:rsid w:val="4D4C4DB0"/>
    <w:rsid w:val="4D7322D5"/>
    <w:rsid w:val="4DA93FB0"/>
    <w:rsid w:val="4DB837D6"/>
    <w:rsid w:val="4DD44293"/>
    <w:rsid w:val="4DD7034C"/>
    <w:rsid w:val="4DE312CB"/>
    <w:rsid w:val="4DF5318E"/>
    <w:rsid w:val="4E1F4862"/>
    <w:rsid w:val="4E2E4393"/>
    <w:rsid w:val="4E35690B"/>
    <w:rsid w:val="4E535EF2"/>
    <w:rsid w:val="4F08773C"/>
    <w:rsid w:val="4F1638C7"/>
    <w:rsid w:val="4F31409F"/>
    <w:rsid w:val="4F443F90"/>
    <w:rsid w:val="4F5E670E"/>
    <w:rsid w:val="4F846A83"/>
    <w:rsid w:val="4F895E47"/>
    <w:rsid w:val="4F896D48"/>
    <w:rsid w:val="4FC0482A"/>
    <w:rsid w:val="4FFF6109"/>
    <w:rsid w:val="50070E2C"/>
    <w:rsid w:val="501112F3"/>
    <w:rsid w:val="504B57F2"/>
    <w:rsid w:val="505162C9"/>
    <w:rsid w:val="507619E1"/>
    <w:rsid w:val="507B3E81"/>
    <w:rsid w:val="50C62BC7"/>
    <w:rsid w:val="50CF01D2"/>
    <w:rsid w:val="50F72A66"/>
    <w:rsid w:val="5123368C"/>
    <w:rsid w:val="5130747C"/>
    <w:rsid w:val="5140163F"/>
    <w:rsid w:val="515C765A"/>
    <w:rsid w:val="51705511"/>
    <w:rsid w:val="518A40F8"/>
    <w:rsid w:val="51905BB3"/>
    <w:rsid w:val="51946FCB"/>
    <w:rsid w:val="51DD796B"/>
    <w:rsid w:val="51DF373B"/>
    <w:rsid w:val="51E95740"/>
    <w:rsid w:val="51EB2DE9"/>
    <w:rsid w:val="52632790"/>
    <w:rsid w:val="52D970E6"/>
    <w:rsid w:val="52EF4CB5"/>
    <w:rsid w:val="52F959F0"/>
    <w:rsid w:val="52FB705C"/>
    <w:rsid w:val="5302488E"/>
    <w:rsid w:val="53136173"/>
    <w:rsid w:val="534B12B7"/>
    <w:rsid w:val="539A4AC7"/>
    <w:rsid w:val="541A085B"/>
    <w:rsid w:val="541D1254"/>
    <w:rsid w:val="542631B6"/>
    <w:rsid w:val="54295E4B"/>
    <w:rsid w:val="5447483C"/>
    <w:rsid w:val="544E58B1"/>
    <w:rsid w:val="5458228C"/>
    <w:rsid w:val="54785EAD"/>
    <w:rsid w:val="54942CAE"/>
    <w:rsid w:val="549C03CB"/>
    <w:rsid w:val="54A61722"/>
    <w:rsid w:val="54B31FAF"/>
    <w:rsid w:val="54E0475B"/>
    <w:rsid w:val="55326D63"/>
    <w:rsid w:val="555D1A10"/>
    <w:rsid w:val="55B03304"/>
    <w:rsid w:val="56356D29"/>
    <w:rsid w:val="563B3C13"/>
    <w:rsid w:val="568455BA"/>
    <w:rsid w:val="56A20EA8"/>
    <w:rsid w:val="56A65531"/>
    <w:rsid w:val="56AC4A78"/>
    <w:rsid w:val="56B539C6"/>
    <w:rsid w:val="56DB16B9"/>
    <w:rsid w:val="570A3D11"/>
    <w:rsid w:val="57293D77"/>
    <w:rsid w:val="577A3463"/>
    <w:rsid w:val="57C77E54"/>
    <w:rsid w:val="57D00325"/>
    <w:rsid w:val="57E36310"/>
    <w:rsid w:val="57F967AD"/>
    <w:rsid w:val="58052975"/>
    <w:rsid w:val="581F1A3E"/>
    <w:rsid w:val="584D1A65"/>
    <w:rsid w:val="584F5C44"/>
    <w:rsid w:val="587D0513"/>
    <w:rsid w:val="588C0756"/>
    <w:rsid w:val="589D58CA"/>
    <w:rsid w:val="58E525CA"/>
    <w:rsid w:val="593D045A"/>
    <w:rsid w:val="5960739E"/>
    <w:rsid w:val="59896D0A"/>
    <w:rsid w:val="59AC5554"/>
    <w:rsid w:val="59AC7302"/>
    <w:rsid w:val="59B72684"/>
    <w:rsid w:val="59E0527F"/>
    <w:rsid w:val="5A386DE8"/>
    <w:rsid w:val="5A421A14"/>
    <w:rsid w:val="5A9579AE"/>
    <w:rsid w:val="5AC468CD"/>
    <w:rsid w:val="5B342B9A"/>
    <w:rsid w:val="5B4377F2"/>
    <w:rsid w:val="5B5953B0"/>
    <w:rsid w:val="5B5F03A4"/>
    <w:rsid w:val="5B630802"/>
    <w:rsid w:val="5B644229"/>
    <w:rsid w:val="5B807F68"/>
    <w:rsid w:val="5B834092"/>
    <w:rsid w:val="5BA72CE5"/>
    <w:rsid w:val="5BA744E5"/>
    <w:rsid w:val="5C034D53"/>
    <w:rsid w:val="5C1765AF"/>
    <w:rsid w:val="5C757E7F"/>
    <w:rsid w:val="5D2C615D"/>
    <w:rsid w:val="5D635F29"/>
    <w:rsid w:val="5D6F018D"/>
    <w:rsid w:val="5DAA158A"/>
    <w:rsid w:val="5E1D6F56"/>
    <w:rsid w:val="5E4D2736"/>
    <w:rsid w:val="5E52187F"/>
    <w:rsid w:val="5E5F0DE7"/>
    <w:rsid w:val="5E6A13CD"/>
    <w:rsid w:val="5E705D15"/>
    <w:rsid w:val="5E93326C"/>
    <w:rsid w:val="5E9F1A7A"/>
    <w:rsid w:val="5EFB4BA4"/>
    <w:rsid w:val="5EFD389C"/>
    <w:rsid w:val="5F025452"/>
    <w:rsid w:val="5F490D33"/>
    <w:rsid w:val="5F5426EE"/>
    <w:rsid w:val="5F5F46B5"/>
    <w:rsid w:val="5F773F0E"/>
    <w:rsid w:val="5FB25360"/>
    <w:rsid w:val="5FBA3CC0"/>
    <w:rsid w:val="5FD90D61"/>
    <w:rsid w:val="60177697"/>
    <w:rsid w:val="602329DB"/>
    <w:rsid w:val="602A0F80"/>
    <w:rsid w:val="607777D6"/>
    <w:rsid w:val="60BC76A1"/>
    <w:rsid w:val="610B7637"/>
    <w:rsid w:val="612279BA"/>
    <w:rsid w:val="615F5624"/>
    <w:rsid w:val="61C25AC1"/>
    <w:rsid w:val="61D215CF"/>
    <w:rsid w:val="625C563D"/>
    <w:rsid w:val="626A1704"/>
    <w:rsid w:val="627921C2"/>
    <w:rsid w:val="62A50D92"/>
    <w:rsid w:val="62B362C8"/>
    <w:rsid w:val="62B64D4D"/>
    <w:rsid w:val="62C1330E"/>
    <w:rsid w:val="62DD22DA"/>
    <w:rsid w:val="6342085E"/>
    <w:rsid w:val="636F415C"/>
    <w:rsid w:val="639037F0"/>
    <w:rsid w:val="64491C09"/>
    <w:rsid w:val="644F33DD"/>
    <w:rsid w:val="646126CB"/>
    <w:rsid w:val="648B3FB8"/>
    <w:rsid w:val="64917820"/>
    <w:rsid w:val="64AA1CC5"/>
    <w:rsid w:val="64DA18C8"/>
    <w:rsid w:val="65043CE2"/>
    <w:rsid w:val="6528341F"/>
    <w:rsid w:val="652A557F"/>
    <w:rsid w:val="656B2909"/>
    <w:rsid w:val="65A3045D"/>
    <w:rsid w:val="65D97752"/>
    <w:rsid w:val="65E25E59"/>
    <w:rsid w:val="65F242EE"/>
    <w:rsid w:val="65FC516D"/>
    <w:rsid w:val="661E50E3"/>
    <w:rsid w:val="662D3578"/>
    <w:rsid w:val="662D5327"/>
    <w:rsid w:val="66307F76"/>
    <w:rsid w:val="66580EAF"/>
    <w:rsid w:val="66694D0D"/>
    <w:rsid w:val="667B4472"/>
    <w:rsid w:val="667C7BBB"/>
    <w:rsid w:val="6692787F"/>
    <w:rsid w:val="66F041A8"/>
    <w:rsid w:val="67002A3B"/>
    <w:rsid w:val="670C7632"/>
    <w:rsid w:val="6721178A"/>
    <w:rsid w:val="6739399A"/>
    <w:rsid w:val="673F39DE"/>
    <w:rsid w:val="674C5D22"/>
    <w:rsid w:val="67663AF8"/>
    <w:rsid w:val="67762CFD"/>
    <w:rsid w:val="677A678D"/>
    <w:rsid w:val="679847C2"/>
    <w:rsid w:val="679876F1"/>
    <w:rsid w:val="67B71C9E"/>
    <w:rsid w:val="67CF7349"/>
    <w:rsid w:val="67DF08A2"/>
    <w:rsid w:val="67E75936"/>
    <w:rsid w:val="67F02AB0"/>
    <w:rsid w:val="68011379"/>
    <w:rsid w:val="68252C37"/>
    <w:rsid w:val="68694610"/>
    <w:rsid w:val="687C07E7"/>
    <w:rsid w:val="68817BAC"/>
    <w:rsid w:val="689A5E59"/>
    <w:rsid w:val="68A11FFC"/>
    <w:rsid w:val="68A13DAA"/>
    <w:rsid w:val="68A94E70"/>
    <w:rsid w:val="68CA77A4"/>
    <w:rsid w:val="68EE72DF"/>
    <w:rsid w:val="68FB170C"/>
    <w:rsid w:val="69450BD9"/>
    <w:rsid w:val="69485FEA"/>
    <w:rsid w:val="69677DC0"/>
    <w:rsid w:val="697D0373"/>
    <w:rsid w:val="698D309A"/>
    <w:rsid w:val="69937EC7"/>
    <w:rsid w:val="699833FF"/>
    <w:rsid w:val="69C04704"/>
    <w:rsid w:val="69D64558"/>
    <w:rsid w:val="69E77473"/>
    <w:rsid w:val="6A042548"/>
    <w:rsid w:val="6A0C16F7"/>
    <w:rsid w:val="6A471EFD"/>
    <w:rsid w:val="6A4E1D0F"/>
    <w:rsid w:val="6A7E2C0A"/>
    <w:rsid w:val="6A885BA9"/>
    <w:rsid w:val="6AAA163C"/>
    <w:rsid w:val="6AB57116"/>
    <w:rsid w:val="6AC96B77"/>
    <w:rsid w:val="6AD541DF"/>
    <w:rsid w:val="6B17424A"/>
    <w:rsid w:val="6B2218FA"/>
    <w:rsid w:val="6B686C59"/>
    <w:rsid w:val="6B691672"/>
    <w:rsid w:val="6B91384B"/>
    <w:rsid w:val="6BB401EB"/>
    <w:rsid w:val="6BE97F42"/>
    <w:rsid w:val="6BEE7306"/>
    <w:rsid w:val="6BF07522"/>
    <w:rsid w:val="6C3F3CAC"/>
    <w:rsid w:val="6C417D7E"/>
    <w:rsid w:val="6C517895"/>
    <w:rsid w:val="6C5528BD"/>
    <w:rsid w:val="6C5E6A51"/>
    <w:rsid w:val="6C6513C3"/>
    <w:rsid w:val="6C744268"/>
    <w:rsid w:val="6C8E2897"/>
    <w:rsid w:val="6C913746"/>
    <w:rsid w:val="6CB00A5F"/>
    <w:rsid w:val="6CD62D03"/>
    <w:rsid w:val="6CD97FB6"/>
    <w:rsid w:val="6CE1330F"/>
    <w:rsid w:val="6D0E5050"/>
    <w:rsid w:val="6D1C19EE"/>
    <w:rsid w:val="6D4B22B8"/>
    <w:rsid w:val="6D5C2995"/>
    <w:rsid w:val="6D930013"/>
    <w:rsid w:val="6E1A1656"/>
    <w:rsid w:val="6E1C782F"/>
    <w:rsid w:val="6E231DD6"/>
    <w:rsid w:val="6E2A4841"/>
    <w:rsid w:val="6E3F2AAB"/>
    <w:rsid w:val="6E5518BE"/>
    <w:rsid w:val="6E5A5288"/>
    <w:rsid w:val="6E616BF4"/>
    <w:rsid w:val="6E777A87"/>
    <w:rsid w:val="6E9F108C"/>
    <w:rsid w:val="6EE013EE"/>
    <w:rsid w:val="6EE079F1"/>
    <w:rsid w:val="6EE42C42"/>
    <w:rsid w:val="6EF56BFD"/>
    <w:rsid w:val="6F0F08A5"/>
    <w:rsid w:val="6F437969"/>
    <w:rsid w:val="6F7F7CB0"/>
    <w:rsid w:val="6F8D6E36"/>
    <w:rsid w:val="6FA052B9"/>
    <w:rsid w:val="6FB70357"/>
    <w:rsid w:val="6FB95E7D"/>
    <w:rsid w:val="6FD809F9"/>
    <w:rsid w:val="6FE0165C"/>
    <w:rsid w:val="6FE10C44"/>
    <w:rsid w:val="70026FB8"/>
    <w:rsid w:val="70222744"/>
    <w:rsid w:val="705362D1"/>
    <w:rsid w:val="706D25DF"/>
    <w:rsid w:val="706D2B21"/>
    <w:rsid w:val="707B1384"/>
    <w:rsid w:val="70857A34"/>
    <w:rsid w:val="70985D3C"/>
    <w:rsid w:val="71047C73"/>
    <w:rsid w:val="7109004F"/>
    <w:rsid w:val="71103167"/>
    <w:rsid w:val="71160C93"/>
    <w:rsid w:val="712A02C5"/>
    <w:rsid w:val="712E56F7"/>
    <w:rsid w:val="71691ABB"/>
    <w:rsid w:val="71754026"/>
    <w:rsid w:val="71801BFB"/>
    <w:rsid w:val="71AA1F21"/>
    <w:rsid w:val="71AE1AEA"/>
    <w:rsid w:val="71B41A63"/>
    <w:rsid w:val="71CF3B6C"/>
    <w:rsid w:val="71F80F33"/>
    <w:rsid w:val="7205184D"/>
    <w:rsid w:val="722922C6"/>
    <w:rsid w:val="72477770"/>
    <w:rsid w:val="72AE3C93"/>
    <w:rsid w:val="72B8066E"/>
    <w:rsid w:val="72B9542A"/>
    <w:rsid w:val="72CB03A1"/>
    <w:rsid w:val="731E3BC5"/>
    <w:rsid w:val="732D4B5D"/>
    <w:rsid w:val="73342900"/>
    <w:rsid w:val="73353292"/>
    <w:rsid w:val="73393C88"/>
    <w:rsid w:val="733E6DC5"/>
    <w:rsid w:val="735B02C3"/>
    <w:rsid w:val="7362513F"/>
    <w:rsid w:val="73771D49"/>
    <w:rsid w:val="73A1354E"/>
    <w:rsid w:val="73CD1EF7"/>
    <w:rsid w:val="740F0761"/>
    <w:rsid w:val="74277859"/>
    <w:rsid w:val="74357964"/>
    <w:rsid w:val="746E5488"/>
    <w:rsid w:val="74811765"/>
    <w:rsid w:val="749E3893"/>
    <w:rsid w:val="74A11E7D"/>
    <w:rsid w:val="74DD6078"/>
    <w:rsid w:val="75590B0A"/>
    <w:rsid w:val="7582279F"/>
    <w:rsid w:val="75843EB5"/>
    <w:rsid w:val="75BB71AF"/>
    <w:rsid w:val="75D27C98"/>
    <w:rsid w:val="75EB18CD"/>
    <w:rsid w:val="75F01962"/>
    <w:rsid w:val="760E19DF"/>
    <w:rsid w:val="761D557D"/>
    <w:rsid w:val="76557F3E"/>
    <w:rsid w:val="76676A53"/>
    <w:rsid w:val="76A3294D"/>
    <w:rsid w:val="76B620A1"/>
    <w:rsid w:val="76F20814"/>
    <w:rsid w:val="77091498"/>
    <w:rsid w:val="77462524"/>
    <w:rsid w:val="77860D3A"/>
    <w:rsid w:val="77892AD7"/>
    <w:rsid w:val="779A6594"/>
    <w:rsid w:val="77A113FB"/>
    <w:rsid w:val="77A21064"/>
    <w:rsid w:val="77E34EB2"/>
    <w:rsid w:val="781564B8"/>
    <w:rsid w:val="78202F3D"/>
    <w:rsid w:val="78224ACF"/>
    <w:rsid w:val="7825297D"/>
    <w:rsid w:val="7840538D"/>
    <w:rsid w:val="78BD078C"/>
    <w:rsid w:val="78CD6DCC"/>
    <w:rsid w:val="78D07CAF"/>
    <w:rsid w:val="78DE12D7"/>
    <w:rsid w:val="78E977D3"/>
    <w:rsid w:val="79074E05"/>
    <w:rsid w:val="790811D4"/>
    <w:rsid w:val="79210683"/>
    <w:rsid w:val="7972370D"/>
    <w:rsid w:val="799C3465"/>
    <w:rsid w:val="79A03E0B"/>
    <w:rsid w:val="79B14EC4"/>
    <w:rsid w:val="79DD1288"/>
    <w:rsid w:val="79F42944"/>
    <w:rsid w:val="7A2A6B4A"/>
    <w:rsid w:val="7A681070"/>
    <w:rsid w:val="7A7A6828"/>
    <w:rsid w:val="7A860C7C"/>
    <w:rsid w:val="7AB879FE"/>
    <w:rsid w:val="7B22521E"/>
    <w:rsid w:val="7B302A3C"/>
    <w:rsid w:val="7B3264DD"/>
    <w:rsid w:val="7B5D0004"/>
    <w:rsid w:val="7B7B25D9"/>
    <w:rsid w:val="7B81188A"/>
    <w:rsid w:val="7B9E2902"/>
    <w:rsid w:val="7BAE6AB2"/>
    <w:rsid w:val="7BC854E2"/>
    <w:rsid w:val="7BE2675B"/>
    <w:rsid w:val="7C0562EC"/>
    <w:rsid w:val="7C067A45"/>
    <w:rsid w:val="7C27683F"/>
    <w:rsid w:val="7C4E2339"/>
    <w:rsid w:val="7C763BEE"/>
    <w:rsid w:val="7CB14B4D"/>
    <w:rsid w:val="7CB41EA6"/>
    <w:rsid w:val="7CF26969"/>
    <w:rsid w:val="7CF75832"/>
    <w:rsid w:val="7D25523C"/>
    <w:rsid w:val="7D697134"/>
    <w:rsid w:val="7DB23041"/>
    <w:rsid w:val="7DB54128"/>
    <w:rsid w:val="7DC4436B"/>
    <w:rsid w:val="7E0E3838"/>
    <w:rsid w:val="7E5F7809"/>
    <w:rsid w:val="7E8E417B"/>
    <w:rsid w:val="7ED56C53"/>
    <w:rsid w:val="7EE509FB"/>
    <w:rsid w:val="7EEA1BAF"/>
    <w:rsid w:val="7F006EDF"/>
    <w:rsid w:val="7F3855F3"/>
    <w:rsid w:val="7F397F86"/>
    <w:rsid w:val="7F5460D4"/>
    <w:rsid w:val="7F552892"/>
    <w:rsid w:val="7F8C2C66"/>
    <w:rsid w:val="7F945FBF"/>
    <w:rsid w:val="7FCA735A"/>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autoRedefine/>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tabs>
        <w:tab w:val="left" w:pos="2400"/>
      </w:tabs>
      <w:spacing w:before="260" w:after="260" w:line="416" w:lineRule="auto"/>
    </w:pPr>
    <w:rPr>
      <w:rFonts w:ascii="Calibri" w:hAnsi="Calibri" w:eastAsia="宋体" w:cs="Times New Roman"/>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86"/>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autoRedefine/>
    <w:qFormat/>
    <w:uiPriority w:val="39"/>
    <w:pPr>
      <w:ind w:left="1440"/>
      <w:jc w:val="left"/>
    </w:pPr>
    <w:rPr>
      <w:rFonts w:ascii="Calibri" w:hAnsi="Calibri" w:eastAsia="宋体" w:cs="Times New Roman"/>
      <w:sz w:val="18"/>
      <w:szCs w:val="18"/>
    </w:rPr>
  </w:style>
  <w:style w:type="paragraph" w:styleId="8">
    <w:name w:val="caption"/>
    <w:basedOn w:val="1"/>
    <w:next w:val="1"/>
    <w:autoRedefine/>
    <w:qFormat/>
    <w:uiPriority w:val="35"/>
    <w:pPr>
      <w:spacing w:before="152" w:after="160"/>
    </w:pPr>
    <w:rPr>
      <w:rFonts w:ascii="Arial" w:hAnsi="Arial" w:eastAsia="黑体" w:cs="Arial"/>
      <w:sz w:val="20"/>
      <w:szCs w:val="20"/>
    </w:rPr>
  </w:style>
  <w:style w:type="paragraph" w:styleId="9">
    <w:name w:val="Document Map"/>
    <w:basedOn w:val="1"/>
    <w:link w:val="74"/>
    <w:autoRedefine/>
    <w:qFormat/>
    <w:uiPriority w:val="0"/>
    <w:pPr>
      <w:shd w:val="clear" w:color="auto" w:fill="000080"/>
    </w:pPr>
    <w:rPr>
      <w:sz w:val="24"/>
    </w:rPr>
  </w:style>
  <w:style w:type="paragraph" w:styleId="10">
    <w:name w:val="toa heading"/>
    <w:basedOn w:val="1"/>
    <w:next w:val="1"/>
    <w:autoRedefine/>
    <w:qFormat/>
    <w:uiPriority w:val="99"/>
    <w:pPr>
      <w:spacing w:before="120"/>
    </w:pPr>
    <w:rPr>
      <w:rFonts w:ascii="Arial" w:hAnsi="Arial" w:eastAsia="宋体" w:cs="Arial"/>
      <w:sz w:val="24"/>
      <w:szCs w:val="24"/>
    </w:rPr>
  </w:style>
  <w:style w:type="paragraph" w:styleId="11">
    <w:name w:val="annotation text"/>
    <w:basedOn w:val="1"/>
    <w:link w:val="65"/>
    <w:autoRedefine/>
    <w:qFormat/>
    <w:uiPriority w:val="0"/>
    <w:pPr>
      <w:jc w:val="left"/>
    </w:pPr>
  </w:style>
  <w:style w:type="paragraph" w:styleId="12">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3">
    <w:name w:val="Body Text Indent"/>
    <w:basedOn w:val="1"/>
    <w:link w:val="83"/>
    <w:autoRedefine/>
    <w:qFormat/>
    <w:uiPriority w:val="99"/>
    <w:pPr>
      <w:spacing w:after="120"/>
      <w:ind w:left="420" w:leftChars="200"/>
    </w:pPr>
    <w:rPr>
      <w:rFonts w:ascii="Calibri" w:hAnsi="Calibri" w:eastAsia="宋体" w:cs="Times New Roman"/>
      <w:szCs w:val="20"/>
    </w:rPr>
  </w:style>
  <w:style w:type="paragraph" w:styleId="14">
    <w:name w:val="List 2"/>
    <w:basedOn w:val="1"/>
    <w:autoRedefine/>
    <w:qFormat/>
    <w:uiPriority w:val="0"/>
    <w:pPr>
      <w:widowControl/>
      <w:ind w:left="284"/>
      <w:jc w:val="left"/>
    </w:pPr>
    <w:rPr>
      <w:rFonts w:ascii="Arial" w:hAnsi="Arial" w:eastAsia="Arial" w:cs="Times New Roman"/>
      <w:kern w:val="0"/>
      <w:sz w:val="20"/>
      <w:szCs w:val="20"/>
    </w:rPr>
  </w:style>
  <w:style w:type="paragraph" w:styleId="15">
    <w:name w:val="index 4"/>
    <w:basedOn w:val="1"/>
    <w:next w:val="1"/>
    <w:autoRedefine/>
    <w:qFormat/>
    <w:uiPriority w:val="0"/>
    <w:pPr>
      <w:ind w:left="600" w:leftChars="600"/>
    </w:pPr>
  </w:style>
  <w:style w:type="paragraph" w:styleId="16">
    <w:name w:val="toc 5"/>
    <w:basedOn w:val="1"/>
    <w:next w:val="1"/>
    <w:autoRedefine/>
    <w:qFormat/>
    <w:uiPriority w:val="39"/>
    <w:pPr>
      <w:ind w:left="960"/>
      <w:jc w:val="left"/>
    </w:pPr>
    <w:rPr>
      <w:rFonts w:ascii="Calibri" w:hAnsi="Calibri" w:eastAsia="宋体" w:cs="Times New Roman"/>
      <w:sz w:val="18"/>
      <w:szCs w:val="18"/>
    </w:rPr>
  </w:style>
  <w:style w:type="paragraph" w:styleId="17">
    <w:name w:val="toc 3"/>
    <w:basedOn w:val="1"/>
    <w:next w:val="1"/>
    <w:autoRedefine/>
    <w:qFormat/>
    <w:uiPriority w:val="39"/>
    <w:pPr>
      <w:ind w:left="480"/>
      <w:jc w:val="left"/>
    </w:pPr>
    <w:rPr>
      <w:rFonts w:ascii="Calibri" w:hAnsi="Calibri" w:eastAsia="宋体" w:cs="Times New Roman"/>
      <w:i/>
      <w:iCs/>
      <w:sz w:val="20"/>
      <w:szCs w:val="20"/>
    </w:rPr>
  </w:style>
  <w:style w:type="paragraph" w:styleId="18">
    <w:name w:val="Plain Text"/>
    <w:basedOn w:val="1"/>
    <w:link w:val="76"/>
    <w:autoRedefine/>
    <w:qFormat/>
    <w:uiPriority w:val="99"/>
    <w:rPr>
      <w:rFonts w:ascii="宋体" w:hAnsi="Courier New"/>
    </w:rPr>
  </w:style>
  <w:style w:type="paragraph" w:styleId="19">
    <w:name w:val="List Bullet 5"/>
    <w:basedOn w:val="1"/>
    <w:autoRedefine/>
    <w:unhideWhenUsed/>
    <w:qFormat/>
    <w:uiPriority w:val="99"/>
    <w:pPr>
      <w:numPr>
        <w:ilvl w:val="0"/>
        <w:numId w:val="1"/>
      </w:numPr>
    </w:pPr>
  </w:style>
  <w:style w:type="paragraph" w:styleId="20">
    <w:name w:val="toc 8"/>
    <w:basedOn w:val="1"/>
    <w:next w:val="1"/>
    <w:autoRedefine/>
    <w:qFormat/>
    <w:uiPriority w:val="39"/>
    <w:pPr>
      <w:ind w:left="1680"/>
      <w:jc w:val="left"/>
    </w:pPr>
    <w:rPr>
      <w:rFonts w:ascii="Calibri" w:hAnsi="Calibri" w:eastAsia="宋体" w:cs="Times New Roman"/>
      <w:sz w:val="18"/>
      <w:szCs w:val="18"/>
    </w:rPr>
  </w:style>
  <w:style w:type="paragraph" w:styleId="21">
    <w:name w:val="Date"/>
    <w:basedOn w:val="1"/>
    <w:next w:val="1"/>
    <w:link w:val="67"/>
    <w:autoRedefine/>
    <w:qFormat/>
    <w:uiPriority w:val="0"/>
    <w:pPr>
      <w:ind w:left="100" w:leftChars="2500"/>
    </w:pPr>
    <w:rPr>
      <w:sz w:val="24"/>
    </w:rPr>
  </w:style>
  <w:style w:type="paragraph" w:styleId="22">
    <w:name w:val="Body Text Indent 2"/>
    <w:basedOn w:val="1"/>
    <w:link w:val="55"/>
    <w:autoRedefine/>
    <w:qFormat/>
    <w:uiPriority w:val="0"/>
    <w:pPr>
      <w:spacing w:after="120" w:line="480" w:lineRule="auto"/>
      <w:ind w:left="420" w:leftChars="200"/>
    </w:pPr>
  </w:style>
  <w:style w:type="paragraph" w:styleId="23">
    <w:name w:val="Balloon Text"/>
    <w:basedOn w:val="1"/>
    <w:link w:val="71"/>
    <w:autoRedefine/>
    <w:qFormat/>
    <w:uiPriority w:val="0"/>
    <w:rPr>
      <w:sz w:val="18"/>
    </w:rPr>
  </w:style>
  <w:style w:type="paragraph" w:styleId="24">
    <w:name w:val="footer"/>
    <w:basedOn w:val="1"/>
    <w:link w:val="77"/>
    <w:autoRedefine/>
    <w:qFormat/>
    <w:uiPriority w:val="99"/>
    <w:pPr>
      <w:tabs>
        <w:tab w:val="center" w:pos="4153"/>
        <w:tab w:val="right" w:pos="8306"/>
      </w:tabs>
      <w:snapToGrid w:val="0"/>
      <w:jc w:val="left"/>
    </w:pPr>
    <w:rPr>
      <w:sz w:val="18"/>
    </w:rPr>
  </w:style>
  <w:style w:type="paragraph" w:styleId="25">
    <w:name w:val="header"/>
    <w:basedOn w:val="1"/>
    <w:link w:val="63"/>
    <w:autoRedefine/>
    <w:qFormat/>
    <w:uiPriority w:val="99"/>
    <w:pPr>
      <w:pBdr>
        <w:bottom w:val="single" w:color="auto" w:sz="6" w:space="1"/>
      </w:pBdr>
      <w:tabs>
        <w:tab w:val="center" w:pos="4153"/>
        <w:tab w:val="right" w:pos="8306"/>
      </w:tabs>
      <w:snapToGrid w:val="0"/>
      <w:jc w:val="center"/>
    </w:pPr>
    <w:rPr>
      <w:sz w:val="18"/>
    </w:rPr>
  </w:style>
  <w:style w:type="paragraph" w:styleId="26">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autoRedefine/>
    <w:qFormat/>
    <w:uiPriority w:val="39"/>
    <w:pPr>
      <w:ind w:left="720"/>
      <w:jc w:val="left"/>
    </w:pPr>
    <w:rPr>
      <w:rFonts w:ascii="Calibri" w:hAnsi="Calibri" w:eastAsia="宋体" w:cs="Times New Roman"/>
      <w:sz w:val="18"/>
      <w:szCs w:val="18"/>
    </w:rPr>
  </w:style>
  <w:style w:type="paragraph" w:styleId="28">
    <w:name w:val="List"/>
    <w:basedOn w:val="1"/>
    <w:autoRedefine/>
    <w:qFormat/>
    <w:uiPriority w:val="99"/>
    <w:pPr>
      <w:ind w:left="420" w:hanging="420"/>
    </w:pPr>
    <w:rPr>
      <w:rFonts w:ascii="Times New Roman" w:hAnsi="Times New Roman" w:eastAsia="宋体" w:cs="Times New Roman"/>
      <w:szCs w:val="20"/>
    </w:rPr>
  </w:style>
  <w:style w:type="paragraph" w:styleId="29">
    <w:name w:val="toc 6"/>
    <w:basedOn w:val="1"/>
    <w:next w:val="1"/>
    <w:autoRedefine/>
    <w:qFormat/>
    <w:uiPriority w:val="39"/>
    <w:pPr>
      <w:ind w:left="1200"/>
      <w:jc w:val="left"/>
    </w:pPr>
    <w:rPr>
      <w:rFonts w:ascii="Calibri" w:hAnsi="Calibri" w:eastAsia="宋体" w:cs="Times New Roman"/>
      <w:sz w:val="18"/>
      <w:szCs w:val="18"/>
    </w:rPr>
  </w:style>
  <w:style w:type="paragraph" w:styleId="30">
    <w:name w:val="Body Text Indent 3"/>
    <w:basedOn w:val="1"/>
    <w:link w:val="57"/>
    <w:autoRedefine/>
    <w:qFormat/>
    <w:uiPriority w:val="0"/>
    <w:pPr>
      <w:spacing w:after="120"/>
      <w:ind w:left="420" w:leftChars="200"/>
    </w:pPr>
    <w:rPr>
      <w:sz w:val="16"/>
    </w:rPr>
  </w:style>
  <w:style w:type="paragraph" w:styleId="31">
    <w:name w:val="index 9"/>
    <w:basedOn w:val="1"/>
    <w:next w:val="1"/>
    <w:autoRedefine/>
    <w:unhideWhenUsed/>
    <w:qFormat/>
    <w:uiPriority w:val="0"/>
    <w:pPr>
      <w:ind w:left="2520" w:hanging="280"/>
    </w:pPr>
    <w:rPr>
      <w:rFonts w:eastAsia="仿宋"/>
      <w:sz w:val="28"/>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3"/>
    <w:next w:val="1"/>
    <w:link w:val="66"/>
    <w:autoRedefine/>
    <w:qFormat/>
    <w:uiPriority w:val="0"/>
    <w:pPr>
      <w:spacing w:before="160" w:after="40" w:line="240" w:lineRule="atLeast"/>
      <w:ind w:left="425" w:hanging="425"/>
    </w:pPr>
    <w:rPr>
      <w:rFonts w:ascii="Arial" w:hAnsi="Arial"/>
      <w:sz w:val="32"/>
    </w:rPr>
  </w:style>
  <w:style w:type="paragraph" w:styleId="37">
    <w:name w:val="annotation subject"/>
    <w:basedOn w:val="11"/>
    <w:next w:val="11"/>
    <w:link w:val="56"/>
    <w:autoRedefine/>
    <w:qFormat/>
    <w:uiPriority w:val="0"/>
    <w:rPr>
      <w:b/>
    </w:rPr>
  </w:style>
  <w:style w:type="paragraph" w:styleId="38">
    <w:name w:val="Body Text First Indent 2"/>
    <w:basedOn w:val="13"/>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paragraph" w:customStyle="1" w:styleId="49">
    <w:name w:val="标题2"/>
    <w:basedOn w:val="36"/>
    <w:autoRedefine/>
    <w:qFormat/>
    <w:uiPriority w:val="0"/>
    <w:pPr>
      <w:tabs>
        <w:tab w:val="left" w:pos="2400"/>
      </w:tabs>
      <w:ind w:left="1134" w:hanging="714"/>
      <w:outlineLvl w:val="2"/>
    </w:pPr>
  </w:style>
  <w:style w:type="paragraph" w:customStyle="1" w:styleId="50">
    <w:name w:val="首行缩进"/>
    <w:basedOn w:val="1"/>
    <w:autoRedefine/>
    <w:qFormat/>
    <w:uiPriority w:val="0"/>
    <w:pPr>
      <w:ind w:firstLine="480" w:firstLineChars="200"/>
    </w:pPr>
    <w:rPr>
      <w:lang w:val="zh-CN"/>
    </w:rPr>
  </w:style>
  <w:style w:type="character" w:customStyle="1" w:styleId="51">
    <w:name w:val="标题 1 字符"/>
    <w:basedOn w:val="41"/>
    <w:link w:val="3"/>
    <w:autoRedefine/>
    <w:qFormat/>
    <w:uiPriority w:val="99"/>
    <w:rPr>
      <w:rFonts w:ascii="Calibri" w:hAnsi="Calibri" w:eastAsia="宋体" w:cs="Times New Roman"/>
      <w:b/>
      <w:bCs/>
      <w:kern w:val="44"/>
      <w:sz w:val="36"/>
      <w:szCs w:val="44"/>
    </w:rPr>
  </w:style>
  <w:style w:type="character" w:customStyle="1" w:styleId="52">
    <w:name w:val="标题 2 字符"/>
    <w:basedOn w:val="41"/>
    <w:link w:val="4"/>
    <w:autoRedefine/>
    <w:qFormat/>
    <w:uiPriority w:val="99"/>
    <w:rPr>
      <w:rFonts w:ascii="Arial" w:hAnsi="Arial" w:eastAsia="宋体" w:cs="Times New Roman"/>
      <w:b/>
      <w:bCs/>
      <w:sz w:val="24"/>
      <w:szCs w:val="32"/>
    </w:rPr>
  </w:style>
  <w:style w:type="character" w:customStyle="1" w:styleId="53">
    <w:name w:val="标题 3 字符"/>
    <w:basedOn w:val="41"/>
    <w:link w:val="5"/>
    <w:autoRedefine/>
    <w:semiHidden/>
    <w:qFormat/>
    <w:uiPriority w:val="9"/>
    <w:rPr>
      <w:rFonts w:ascii="Calibri" w:hAnsi="Calibri" w:eastAsia="宋体" w:cs="Times New Roman"/>
      <w:b/>
      <w:bCs/>
      <w:sz w:val="32"/>
      <w:szCs w:val="32"/>
    </w:rPr>
  </w:style>
  <w:style w:type="character" w:customStyle="1" w:styleId="54">
    <w:name w:val="Char Char3"/>
    <w:autoRedefine/>
    <w:qFormat/>
    <w:uiPriority w:val="0"/>
    <w:rPr>
      <w:rFonts w:ascii="宋体" w:hAnsi="Courier New" w:eastAsia="宋体"/>
      <w:kern w:val="2"/>
      <w:sz w:val="21"/>
      <w:lang w:val="en-US" w:eastAsia="zh-CN"/>
    </w:rPr>
  </w:style>
  <w:style w:type="character" w:customStyle="1" w:styleId="55">
    <w:name w:val="正文文本缩进 2 字符"/>
    <w:link w:val="22"/>
    <w:autoRedefine/>
    <w:qFormat/>
    <w:locked/>
    <w:uiPriority w:val="0"/>
  </w:style>
  <w:style w:type="character" w:customStyle="1" w:styleId="56">
    <w:name w:val="批注主题 字符"/>
    <w:link w:val="37"/>
    <w:autoRedefine/>
    <w:qFormat/>
    <w:locked/>
    <w:uiPriority w:val="0"/>
    <w:rPr>
      <w:b/>
    </w:rPr>
  </w:style>
  <w:style w:type="character" w:customStyle="1" w:styleId="57">
    <w:name w:val="正文文本缩进 3 字符"/>
    <w:link w:val="30"/>
    <w:autoRedefine/>
    <w:qFormat/>
    <w:locked/>
    <w:uiPriority w:val="0"/>
    <w:rPr>
      <w:sz w:val="16"/>
    </w:rPr>
  </w:style>
  <w:style w:type="character" w:customStyle="1" w:styleId="58">
    <w:name w:val="纯文本 Char"/>
    <w:autoRedefine/>
    <w:qFormat/>
    <w:uiPriority w:val="0"/>
    <w:rPr>
      <w:rFonts w:ascii="宋体" w:hAnsi="Courier New" w:eastAsia="宋体"/>
      <w:kern w:val="2"/>
      <w:sz w:val="21"/>
      <w:lang w:val="en-US" w:eastAsia="zh-CN"/>
    </w:rPr>
  </w:style>
  <w:style w:type="character" w:customStyle="1" w:styleId="59">
    <w:name w:val="Char Char2"/>
    <w:autoRedefine/>
    <w:qFormat/>
    <w:uiPriority w:val="0"/>
    <w:rPr>
      <w:rFonts w:ascii="宋体" w:hAnsi="Courier New"/>
      <w:kern w:val="2"/>
      <w:sz w:val="21"/>
    </w:rPr>
  </w:style>
  <w:style w:type="character" w:customStyle="1" w:styleId="60">
    <w:name w:val="列出段落 字符"/>
    <w:link w:val="61"/>
    <w:autoRedefine/>
    <w:qFormat/>
    <w:locked/>
    <w:uiPriority w:val="34"/>
    <w:rPr>
      <w:sz w:val="22"/>
    </w:rPr>
  </w:style>
  <w:style w:type="paragraph" w:customStyle="1" w:styleId="61">
    <w:name w:val="列出段落1"/>
    <w:basedOn w:val="1"/>
    <w:link w:val="60"/>
    <w:autoRedefine/>
    <w:qFormat/>
    <w:uiPriority w:val="34"/>
    <w:pPr>
      <w:ind w:firstLine="420" w:firstLineChars="200"/>
    </w:pPr>
    <w:rPr>
      <w:sz w:val="22"/>
    </w:rPr>
  </w:style>
  <w:style w:type="character" w:customStyle="1" w:styleId="62">
    <w:name w:val="apple-converted-space"/>
    <w:basedOn w:val="41"/>
    <w:autoRedefine/>
    <w:qFormat/>
    <w:uiPriority w:val="0"/>
    <w:rPr>
      <w:rFonts w:cs="Times New Roman"/>
    </w:rPr>
  </w:style>
  <w:style w:type="character" w:customStyle="1" w:styleId="63">
    <w:name w:val="页眉 字符"/>
    <w:link w:val="25"/>
    <w:autoRedefine/>
    <w:qFormat/>
    <w:locked/>
    <w:uiPriority w:val="99"/>
    <w:rPr>
      <w:sz w:val="18"/>
    </w:rPr>
  </w:style>
  <w:style w:type="character" w:customStyle="1" w:styleId="64">
    <w:name w:val="BODY TEXT Char"/>
    <w:autoRedefine/>
    <w:qFormat/>
    <w:locked/>
    <w:uiPriority w:val="0"/>
    <w:rPr>
      <w:rFonts w:eastAsia="新宋体"/>
      <w:kern w:val="2"/>
      <w:sz w:val="21"/>
    </w:rPr>
  </w:style>
  <w:style w:type="character" w:customStyle="1" w:styleId="65">
    <w:name w:val="批注文字 字符"/>
    <w:link w:val="11"/>
    <w:autoRedefine/>
    <w:qFormat/>
    <w:locked/>
    <w:uiPriority w:val="0"/>
  </w:style>
  <w:style w:type="character" w:customStyle="1" w:styleId="66">
    <w:name w:val="标题 字符"/>
    <w:link w:val="36"/>
    <w:autoRedefine/>
    <w:qFormat/>
    <w:locked/>
    <w:uiPriority w:val="0"/>
    <w:rPr>
      <w:rFonts w:ascii="Arial" w:hAnsi="Arial"/>
      <w:b/>
      <w:sz w:val="32"/>
    </w:rPr>
  </w:style>
  <w:style w:type="character" w:customStyle="1" w:styleId="67">
    <w:name w:val="日期 字符"/>
    <w:link w:val="21"/>
    <w:autoRedefine/>
    <w:qFormat/>
    <w:locked/>
    <w:uiPriority w:val="0"/>
    <w:rPr>
      <w:sz w:val="24"/>
    </w:rPr>
  </w:style>
  <w:style w:type="character" w:customStyle="1" w:styleId="68">
    <w:name w:val="ATXT_Bullets Zchn"/>
    <w:link w:val="69"/>
    <w:autoRedefine/>
    <w:qFormat/>
    <w:locked/>
    <w:uiPriority w:val="99"/>
    <w:rPr>
      <w:rFonts w:ascii="Arial" w:hAnsi="Arial"/>
      <w:lang w:val="de-AT" w:eastAsia="zh-CN"/>
    </w:rPr>
  </w:style>
  <w:style w:type="paragraph" w:customStyle="1" w:styleId="69">
    <w:name w:val="ATXT_Bullets"/>
    <w:link w:val="68"/>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autoRedefine/>
    <w:qFormat/>
    <w:uiPriority w:val="0"/>
    <w:rPr>
      <w:rFonts w:ascii="宋体" w:hAnsi="Courier New" w:eastAsia="宋体"/>
      <w:kern w:val="2"/>
      <w:sz w:val="21"/>
      <w:lang w:val="en-US" w:eastAsia="zh-CN"/>
    </w:rPr>
  </w:style>
  <w:style w:type="character" w:customStyle="1" w:styleId="71">
    <w:name w:val="批注框文本 字符"/>
    <w:link w:val="23"/>
    <w:autoRedefine/>
    <w:qFormat/>
    <w:locked/>
    <w:uiPriority w:val="0"/>
    <w:rPr>
      <w:sz w:val="18"/>
    </w:rPr>
  </w:style>
  <w:style w:type="character" w:customStyle="1" w:styleId="72">
    <w:name w:val="批注文字 Char"/>
    <w:autoRedefine/>
    <w:qFormat/>
    <w:uiPriority w:val="0"/>
    <w:rPr>
      <w:kern w:val="2"/>
    </w:rPr>
  </w:style>
  <w:style w:type="character" w:customStyle="1" w:styleId="73">
    <w:name w:val="批注主题 Char"/>
    <w:autoRedefine/>
    <w:qFormat/>
    <w:uiPriority w:val="0"/>
    <w:rPr>
      <w:b/>
      <w:kern w:val="2"/>
    </w:rPr>
  </w:style>
  <w:style w:type="character" w:customStyle="1" w:styleId="74">
    <w:name w:val="文档结构图 字符"/>
    <w:link w:val="9"/>
    <w:autoRedefine/>
    <w:qFormat/>
    <w:locked/>
    <w:uiPriority w:val="0"/>
    <w:rPr>
      <w:sz w:val="24"/>
      <w:shd w:val="clear" w:color="auto" w:fill="000080"/>
    </w:rPr>
  </w:style>
  <w:style w:type="character" w:customStyle="1" w:styleId="75">
    <w:name w:val="HTML Markup"/>
    <w:autoRedefine/>
    <w:qFormat/>
    <w:uiPriority w:val="0"/>
    <w:rPr>
      <w:vanish/>
      <w:color w:val="FF0000"/>
    </w:rPr>
  </w:style>
  <w:style w:type="character" w:customStyle="1" w:styleId="76">
    <w:name w:val="纯文本 字符"/>
    <w:link w:val="18"/>
    <w:autoRedefine/>
    <w:qFormat/>
    <w:locked/>
    <w:uiPriority w:val="99"/>
    <w:rPr>
      <w:rFonts w:ascii="宋体" w:hAnsi="Courier New"/>
    </w:rPr>
  </w:style>
  <w:style w:type="character" w:customStyle="1" w:styleId="77">
    <w:name w:val="页脚 字符"/>
    <w:link w:val="24"/>
    <w:autoRedefine/>
    <w:qFormat/>
    <w:locked/>
    <w:uiPriority w:val="99"/>
    <w:rPr>
      <w:sz w:val="18"/>
    </w:rPr>
  </w:style>
  <w:style w:type="character" w:customStyle="1" w:styleId="78">
    <w:name w:val="Default Char"/>
    <w:link w:val="79"/>
    <w:autoRedefine/>
    <w:qFormat/>
    <w:locked/>
    <w:uiPriority w:val="0"/>
    <w:rPr>
      <w:rFonts w:ascii="仿宋_GB2312" w:eastAsia="仿宋_GB2312"/>
      <w:color w:val="000000"/>
      <w:sz w:val="24"/>
    </w:rPr>
  </w:style>
  <w:style w:type="paragraph" w:customStyle="1" w:styleId="79">
    <w:name w:val="Default"/>
    <w:link w:val="78"/>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autoRedefine/>
    <w:qFormat/>
    <w:locked/>
    <w:uiPriority w:val="99"/>
    <w:rPr>
      <w:sz w:val="18"/>
    </w:rPr>
  </w:style>
  <w:style w:type="character" w:customStyle="1" w:styleId="81">
    <w:name w:val="批注文字 字符1"/>
    <w:basedOn w:val="41"/>
    <w:autoRedefine/>
    <w:semiHidden/>
    <w:qFormat/>
    <w:uiPriority w:val="99"/>
  </w:style>
  <w:style w:type="character" w:customStyle="1" w:styleId="82">
    <w:name w:val="批注文字 字符11"/>
    <w:basedOn w:val="41"/>
    <w:autoRedefine/>
    <w:qFormat/>
    <w:uiPriority w:val="0"/>
    <w:rPr>
      <w:rFonts w:cs="Times New Roman"/>
      <w:kern w:val="2"/>
      <w:sz w:val="21"/>
    </w:rPr>
  </w:style>
  <w:style w:type="character" w:customStyle="1" w:styleId="83">
    <w:name w:val="正文文本缩进 字符"/>
    <w:basedOn w:val="41"/>
    <w:link w:val="13"/>
    <w:autoRedefine/>
    <w:qFormat/>
    <w:uiPriority w:val="99"/>
    <w:rPr>
      <w:rFonts w:ascii="Calibri" w:hAnsi="Calibri" w:eastAsia="宋体" w:cs="Times New Roman"/>
      <w:szCs w:val="20"/>
    </w:rPr>
  </w:style>
  <w:style w:type="character" w:customStyle="1" w:styleId="84">
    <w:name w:val="文档结构图 字符1"/>
    <w:basedOn w:val="41"/>
    <w:autoRedefine/>
    <w:semiHidden/>
    <w:qFormat/>
    <w:uiPriority w:val="99"/>
    <w:rPr>
      <w:rFonts w:ascii="Microsoft YaHei UI" w:eastAsia="Microsoft YaHei UI"/>
      <w:sz w:val="18"/>
      <w:szCs w:val="18"/>
    </w:rPr>
  </w:style>
  <w:style w:type="character" w:customStyle="1" w:styleId="85">
    <w:name w:val="文档结构图 字符11"/>
    <w:basedOn w:val="41"/>
    <w:semiHidden/>
    <w:qFormat/>
    <w:uiPriority w:val="99"/>
    <w:rPr>
      <w:rFonts w:ascii="Microsoft YaHei UI" w:eastAsia="Microsoft YaHei UI" w:cs="Times New Roman"/>
      <w:kern w:val="2"/>
      <w:sz w:val="18"/>
      <w:szCs w:val="18"/>
    </w:rPr>
  </w:style>
  <w:style w:type="character" w:customStyle="1" w:styleId="86">
    <w:name w:val="正文文本 字符"/>
    <w:basedOn w:val="41"/>
    <w:link w:val="2"/>
    <w:qFormat/>
    <w:uiPriority w:val="99"/>
    <w:rPr>
      <w:rFonts w:ascii="Calibri" w:hAnsi="Calibri" w:eastAsia="新宋体" w:cs="Times New Roman"/>
      <w:szCs w:val="21"/>
    </w:rPr>
  </w:style>
  <w:style w:type="character" w:customStyle="1" w:styleId="87">
    <w:name w:val="纯文本 字符1"/>
    <w:basedOn w:val="41"/>
    <w:semiHidden/>
    <w:qFormat/>
    <w:uiPriority w:val="99"/>
    <w:rPr>
      <w:rFonts w:hAnsi="Courier New" w:cs="Courier New" w:asciiTheme="minorEastAsia"/>
    </w:rPr>
  </w:style>
  <w:style w:type="character" w:customStyle="1" w:styleId="88">
    <w:name w:val="纯文本 字符11"/>
    <w:basedOn w:val="41"/>
    <w:qFormat/>
    <w:uiPriority w:val="0"/>
    <w:rPr>
      <w:rFonts w:hAnsi="Courier New" w:cs="Courier New" w:asciiTheme="minorEastAsia" w:eastAsiaTheme="minorEastAsia"/>
      <w:kern w:val="2"/>
      <w:sz w:val="21"/>
    </w:rPr>
  </w:style>
  <w:style w:type="character" w:customStyle="1" w:styleId="89">
    <w:name w:val="页眉 字符1"/>
    <w:basedOn w:val="41"/>
    <w:semiHidden/>
    <w:qFormat/>
    <w:uiPriority w:val="99"/>
    <w:rPr>
      <w:sz w:val="18"/>
      <w:szCs w:val="18"/>
    </w:rPr>
  </w:style>
  <w:style w:type="character" w:customStyle="1" w:styleId="90">
    <w:name w:val="页眉 字符11"/>
    <w:basedOn w:val="41"/>
    <w:semiHidden/>
    <w:qFormat/>
    <w:uiPriority w:val="99"/>
    <w:rPr>
      <w:rFonts w:cs="Times New Roman"/>
      <w:kern w:val="2"/>
      <w:sz w:val="18"/>
      <w:szCs w:val="18"/>
    </w:rPr>
  </w:style>
  <w:style w:type="character" w:customStyle="1" w:styleId="91">
    <w:name w:val="批注框文本 字符1"/>
    <w:basedOn w:val="41"/>
    <w:semiHidden/>
    <w:qFormat/>
    <w:uiPriority w:val="99"/>
    <w:rPr>
      <w:sz w:val="18"/>
      <w:szCs w:val="18"/>
    </w:rPr>
  </w:style>
  <w:style w:type="character" w:customStyle="1" w:styleId="92">
    <w:name w:val="批注框文本 字符11"/>
    <w:basedOn w:val="41"/>
    <w:semiHidden/>
    <w:qFormat/>
    <w:uiPriority w:val="99"/>
    <w:rPr>
      <w:rFonts w:cs="Times New Roman"/>
      <w:kern w:val="2"/>
      <w:sz w:val="18"/>
      <w:szCs w:val="18"/>
    </w:rPr>
  </w:style>
  <w:style w:type="character" w:customStyle="1" w:styleId="93">
    <w:name w:val="日期 字符1"/>
    <w:basedOn w:val="41"/>
    <w:semiHidden/>
    <w:qFormat/>
    <w:uiPriority w:val="99"/>
  </w:style>
  <w:style w:type="character" w:customStyle="1" w:styleId="94">
    <w:name w:val="日期 字符11"/>
    <w:basedOn w:val="41"/>
    <w:semiHidden/>
    <w:qFormat/>
    <w:uiPriority w:val="99"/>
    <w:rPr>
      <w:rFonts w:cs="Times New Roman"/>
      <w:kern w:val="2"/>
      <w:sz w:val="21"/>
    </w:rPr>
  </w:style>
  <w:style w:type="character" w:customStyle="1" w:styleId="95">
    <w:name w:val="页脚 字符1"/>
    <w:basedOn w:val="41"/>
    <w:semiHidden/>
    <w:qFormat/>
    <w:uiPriority w:val="99"/>
    <w:rPr>
      <w:sz w:val="18"/>
      <w:szCs w:val="18"/>
    </w:rPr>
  </w:style>
  <w:style w:type="character" w:customStyle="1" w:styleId="96">
    <w:name w:val="页脚 字符11"/>
    <w:basedOn w:val="41"/>
    <w:semiHidden/>
    <w:qFormat/>
    <w:uiPriority w:val="99"/>
    <w:rPr>
      <w:rFonts w:cs="Times New Roman"/>
      <w:kern w:val="2"/>
      <w:sz w:val="18"/>
      <w:szCs w:val="18"/>
    </w:rPr>
  </w:style>
  <w:style w:type="character" w:customStyle="1" w:styleId="97">
    <w:name w:val="正文文本缩进 2 字符1"/>
    <w:basedOn w:val="41"/>
    <w:semiHidden/>
    <w:qFormat/>
    <w:uiPriority w:val="99"/>
  </w:style>
  <w:style w:type="character" w:customStyle="1" w:styleId="98">
    <w:name w:val="正文文本缩进 2 字符11"/>
    <w:basedOn w:val="41"/>
    <w:semiHidden/>
    <w:qFormat/>
    <w:uiPriority w:val="99"/>
    <w:rPr>
      <w:rFonts w:cs="Times New Roman"/>
      <w:kern w:val="2"/>
      <w:sz w:val="21"/>
    </w:rPr>
  </w:style>
  <w:style w:type="character" w:customStyle="1" w:styleId="99">
    <w:name w:val="正文文本缩进 3 字符1"/>
    <w:basedOn w:val="41"/>
    <w:semiHidden/>
    <w:qFormat/>
    <w:uiPriority w:val="99"/>
    <w:rPr>
      <w:sz w:val="16"/>
      <w:szCs w:val="16"/>
    </w:rPr>
  </w:style>
  <w:style w:type="character" w:customStyle="1" w:styleId="100">
    <w:name w:val="正文文本缩进 3 字符11"/>
    <w:basedOn w:val="41"/>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1"/>
    <w:qFormat/>
    <w:uiPriority w:val="10"/>
    <w:rPr>
      <w:rFonts w:asciiTheme="majorHAnsi" w:hAnsiTheme="majorHAnsi" w:eastAsiaTheme="majorEastAsia" w:cstheme="majorBidi"/>
      <w:b/>
      <w:bCs/>
      <w:sz w:val="32"/>
      <w:szCs w:val="32"/>
    </w:rPr>
  </w:style>
  <w:style w:type="character" w:customStyle="1" w:styleId="104">
    <w:name w:val="标题 字符11"/>
    <w:basedOn w:val="41"/>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07"/>
    <w:qFormat/>
    <w:uiPriority w:val="0"/>
    <w:pPr>
      <w:spacing w:before="100" w:beforeAutospacing="1" w:after="100" w:afterAutospacing="1"/>
      <w:jc w:val="left"/>
    </w:pPr>
    <w:rPr>
      <w:rFonts w:ascii="宋体" w:hAnsi="宋体" w:eastAsia="宋体"/>
      <w:sz w:val="24"/>
      <w:szCs w:val="24"/>
    </w:rPr>
  </w:style>
  <w:style w:type="paragraph" w:customStyle="1" w:styleId="107">
    <w:name w:val="章标题"/>
    <w:next w:val="108"/>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0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9">
    <w:name w:val="0"/>
    <w:basedOn w:val="108"/>
    <w:qFormat/>
    <w:uiPriority w:val="0"/>
  </w:style>
  <w:style w:type="paragraph" w:customStyle="1" w:styleId="110">
    <w:name w:val="二级列表 Char"/>
    <w:basedOn w:val="1"/>
    <w:qFormat/>
    <w:uiPriority w:val="0"/>
    <w:rPr>
      <w:rFonts w:ascii="Calibri" w:hAnsi="Calibri" w:eastAsia="宋体" w:cs="Times New Roman"/>
      <w:szCs w:val="20"/>
    </w:rPr>
  </w:style>
  <w:style w:type="paragraph" w:customStyle="1" w:styleId="111">
    <w:name w:val="2"/>
    <w:basedOn w:val="112"/>
    <w:next w:val="109"/>
    <w:qFormat/>
    <w:uiPriority w:val="0"/>
    <w:pPr>
      <w:spacing w:after="160" w:line="240" w:lineRule="exact"/>
      <w:jc w:val="left"/>
    </w:pPr>
    <w:rPr>
      <w:rFonts w:ascii="Arial" w:hAnsi="Arial" w:eastAsia="宋体" w:cs="Verdana"/>
      <w:b/>
      <w:sz w:val="24"/>
      <w:szCs w:val="24"/>
      <w:lang w:eastAsia="en-US" w:bidi="th-TH"/>
    </w:rPr>
  </w:style>
  <w:style w:type="paragraph" w:customStyle="1" w:styleId="112">
    <w:name w:val="一级条标题"/>
    <w:basedOn w:val="107"/>
    <w:next w:val="108"/>
    <w:qFormat/>
    <w:uiPriority w:val="0"/>
    <w:pPr>
      <w:numPr>
        <w:ilvl w:val="2"/>
      </w:numPr>
      <w:spacing w:beforeLines="0" w:afterLines="0"/>
      <w:outlineLvl w:val="2"/>
    </w:pPr>
  </w:style>
  <w:style w:type="paragraph" w:customStyle="1" w:styleId="11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6">
    <w:name w:val="Char Char Char Char Char Char Char"/>
    <w:basedOn w:val="1"/>
    <w:qFormat/>
    <w:uiPriority w:val="0"/>
    <w:rPr>
      <w:rFonts w:ascii="Verdana" w:hAnsi="Verdana" w:eastAsia="宋体" w:cs="Times New Roman"/>
      <w:kern w:val="0"/>
      <w:sz w:val="20"/>
      <w:szCs w:val="20"/>
      <w:lang w:eastAsia="en-US"/>
    </w:rPr>
  </w:style>
  <w:style w:type="paragraph" w:customStyle="1" w:styleId="11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2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21">
    <w:name w:val="标书正文格式"/>
    <w:basedOn w:val="18"/>
    <w:link w:val="123"/>
    <w:qFormat/>
    <w:uiPriority w:val="0"/>
    <w:pPr>
      <w:spacing w:line="360" w:lineRule="auto"/>
      <w:ind w:firstLine="200" w:firstLineChars="200"/>
    </w:pPr>
    <w:rPr>
      <w:rFonts w:hAnsi="宋体"/>
      <w:color w:val="000000"/>
      <w:sz w:val="24"/>
      <w:szCs w:val="24"/>
    </w:rPr>
  </w:style>
  <w:style w:type="paragraph" w:customStyle="1" w:styleId="122">
    <w:name w:val="标书二级标题"/>
    <w:basedOn w:val="4"/>
    <w:link w:val="125"/>
    <w:qFormat/>
    <w:uiPriority w:val="0"/>
    <w:pPr>
      <w:spacing w:line="240" w:lineRule="auto"/>
      <w:jc w:val="left"/>
    </w:pPr>
    <w:rPr>
      <w:rFonts w:ascii="宋体" w:hAnsi="宋体" w:eastAsia="黑体"/>
      <w:b w:val="0"/>
      <w:sz w:val="28"/>
      <w:szCs w:val="30"/>
    </w:rPr>
  </w:style>
  <w:style w:type="character" w:customStyle="1" w:styleId="123">
    <w:name w:val="标书正文格式 字符"/>
    <w:link w:val="121"/>
    <w:qFormat/>
    <w:locked/>
    <w:uiPriority w:val="0"/>
    <w:rPr>
      <w:rFonts w:ascii="宋体" w:hAnsi="宋体"/>
      <w:color w:val="000000"/>
      <w:sz w:val="24"/>
      <w:szCs w:val="24"/>
    </w:rPr>
  </w:style>
  <w:style w:type="paragraph" w:customStyle="1" w:styleId="124">
    <w:name w:val="标书表格"/>
    <w:basedOn w:val="1"/>
    <w:link w:val="126"/>
    <w:qFormat/>
    <w:uiPriority w:val="0"/>
    <w:pPr>
      <w:jc w:val="center"/>
    </w:pPr>
    <w:rPr>
      <w:rFonts w:ascii="Times New Roman" w:hAnsi="Times New Roman" w:eastAsia="宋体" w:cs="Times New Roman"/>
      <w:b/>
      <w:szCs w:val="20"/>
    </w:rPr>
  </w:style>
  <w:style w:type="character" w:customStyle="1" w:styleId="125">
    <w:name w:val="标书二级标题 字符"/>
    <w:link w:val="122"/>
    <w:qFormat/>
    <w:locked/>
    <w:uiPriority w:val="0"/>
    <w:rPr>
      <w:rFonts w:ascii="宋体" w:hAnsi="宋体" w:eastAsia="黑体" w:cs="Times New Roman"/>
      <w:bCs/>
      <w:sz w:val="28"/>
      <w:szCs w:val="30"/>
    </w:rPr>
  </w:style>
  <w:style w:type="character" w:customStyle="1" w:styleId="126">
    <w:name w:val="标书表格 字符"/>
    <w:link w:val="124"/>
    <w:qFormat/>
    <w:locked/>
    <w:uiPriority w:val="0"/>
    <w:rPr>
      <w:rFonts w:ascii="Times New Roman" w:hAnsi="Times New Roman" w:eastAsia="宋体" w:cs="Times New Roman"/>
      <w:b/>
      <w:szCs w:val="20"/>
    </w:rPr>
  </w:style>
  <w:style w:type="paragraph" w:customStyle="1" w:styleId="127">
    <w:name w:val="标书三级标题"/>
    <w:basedOn w:val="5"/>
    <w:next w:val="121"/>
    <w:link w:val="12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8">
    <w:name w:val="标书三级标题 字符"/>
    <w:link w:val="127"/>
    <w:qFormat/>
    <w:locked/>
    <w:uiPriority w:val="0"/>
    <w:rPr>
      <w:rFonts w:ascii="Times New Roman" w:hAnsi="Times New Roman" w:eastAsia="宋体" w:cs="Times New Roman"/>
      <w:b/>
      <w:bCs/>
      <w:color w:val="000000"/>
      <w:sz w:val="24"/>
      <w:szCs w:val="24"/>
    </w:rPr>
  </w:style>
  <w:style w:type="character" w:customStyle="1" w:styleId="129">
    <w:name w:val="标三级标题 字符"/>
    <w:link w:val="130"/>
    <w:qFormat/>
    <w:locked/>
    <w:uiPriority w:val="0"/>
    <w:rPr>
      <w:b/>
      <w:color w:val="000000"/>
      <w:sz w:val="24"/>
    </w:rPr>
  </w:style>
  <w:style w:type="paragraph" w:customStyle="1" w:styleId="130">
    <w:name w:val="标三级标题"/>
    <w:basedOn w:val="127"/>
    <w:link w:val="129"/>
    <w:qFormat/>
    <w:uiPriority w:val="0"/>
    <w:rPr>
      <w:rFonts w:asciiTheme="minorHAnsi" w:hAnsiTheme="minorHAnsi" w:eastAsiaTheme="minorEastAsia" w:cstheme="minorBidi"/>
      <w:szCs w:val="22"/>
    </w:rPr>
  </w:style>
  <w:style w:type="character" w:customStyle="1" w:styleId="131">
    <w:name w:val="标正文 字符"/>
    <w:link w:val="132"/>
    <w:qFormat/>
    <w:locked/>
    <w:uiPriority w:val="0"/>
    <w:rPr>
      <w:rFonts w:ascii="宋体" w:eastAsia="宋体"/>
      <w:color w:val="000000"/>
      <w:sz w:val="24"/>
    </w:rPr>
  </w:style>
  <w:style w:type="paragraph" w:customStyle="1" w:styleId="132">
    <w:name w:val="标正文"/>
    <w:basedOn w:val="121"/>
    <w:link w:val="131"/>
    <w:qFormat/>
    <w:uiPriority w:val="0"/>
    <w:pPr>
      <w:ind w:firstLine="480"/>
    </w:pPr>
    <w:rPr>
      <w:rFonts w:eastAsia="宋体" w:hAnsiTheme="minorHAnsi"/>
      <w:szCs w:val="22"/>
    </w:rPr>
  </w:style>
  <w:style w:type="paragraph" w:customStyle="1" w:styleId="13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4">
    <w:name w:val="HR正文表格"/>
    <w:basedOn w:val="1"/>
    <w:qFormat/>
    <w:uiPriority w:val="0"/>
    <w:pPr>
      <w:spacing w:beforeLines="25" w:afterLines="25" w:line="300" w:lineRule="auto"/>
    </w:pPr>
    <w:rPr>
      <w:szCs w:val="24"/>
    </w:rPr>
  </w:style>
  <w:style w:type="paragraph" w:styleId="135">
    <w:name w:val="List Paragraph"/>
    <w:basedOn w:val="1"/>
    <w:qFormat/>
    <w:uiPriority w:val="34"/>
    <w:pPr>
      <w:ind w:firstLine="420" w:firstLineChars="200"/>
    </w:pPr>
  </w:style>
  <w:style w:type="paragraph" w:customStyle="1" w:styleId="136">
    <w:name w:val="WPSOffice手动目录 1"/>
    <w:qFormat/>
    <w:uiPriority w:val="0"/>
    <w:rPr>
      <w:rFonts w:ascii="Times New Roman" w:hAnsi="Times New Roman" w:eastAsia="宋体" w:cs="Times New Roman"/>
      <w:lang w:val="en-US" w:eastAsia="zh-CN" w:bidi="ar-SA"/>
    </w:rPr>
  </w:style>
  <w:style w:type="table" w:customStyle="1" w:styleId="137">
    <w:name w:val="Table Normal"/>
    <w:semiHidden/>
    <w:unhideWhenUsed/>
    <w:qFormat/>
    <w:uiPriority w:val="0"/>
    <w:tblPr>
      <w:tblCellMar>
        <w:top w:w="0" w:type="dxa"/>
        <w:left w:w="0" w:type="dxa"/>
        <w:bottom w:w="0" w:type="dxa"/>
        <w:right w:w="0" w:type="dxa"/>
      </w:tblCellMar>
    </w:tblPr>
  </w:style>
  <w:style w:type="character" w:customStyle="1" w:styleId="138">
    <w:name w:val="NormalCharacter"/>
    <w:qFormat/>
    <w:uiPriority w:val="0"/>
  </w:style>
  <w:style w:type="paragraph" w:customStyle="1" w:styleId="139">
    <w:name w:val="Table Paragraph"/>
    <w:basedOn w:val="1"/>
    <w:qFormat/>
    <w:uiPriority w:val="1"/>
    <w:rPr>
      <w:rFonts w:ascii="宋体" w:hAnsi="宋体" w:eastAsia="宋体" w:cs="宋体"/>
    </w:rPr>
  </w:style>
  <w:style w:type="paragraph" w:customStyle="1" w:styleId="140">
    <w:name w:val="标书一级标题"/>
    <w:basedOn w:val="3"/>
    <w:qFormat/>
    <w:uiPriority w:val="0"/>
    <w:rPr>
      <w:rFonts w:eastAsia="黑体"/>
      <w:b w:val="0"/>
      <w:color w:val="000000"/>
      <w:sz w:val="30"/>
      <w:szCs w:val="24"/>
    </w:rPr>
  </w:style>
  <w:style w:type="paragraph" w:customStyle="1" w:styleId="141">
    <w:name w:val="FAW正文"/>
    <w:basedOn w:val="1"/>
    <w:qFormat/>
    <w:uiPriority w:val="99"/>
    <w:pPr>
      <w:spacing w:line="300" w:lineRule="auto"/>
      <w:ind w:firstLine="200" w:firstLineChars="200"/>
    </w:pPr>
    <w:rPr>
      <w:rFonts w:ascii="Calibri" w:hAnsi="Calibri"/>
      <w:sz w:val="24"/>
      <w:szCs w:val="24"/>
    </w:rPr>
  </w:style>
  <w:style w:type="character" w:customStyle="1" w:styleId="142">
    <w:name w:val="font11"/>
    <w:basedOn w:val="41"/>
    <w:qFormat/>
    <w:uiPriority w:val="0"/>
    <w:rPr>
      <w:rFonts w:hint="eastAsia" w:ascii="宋体" w:hAnsi="宋体" w:eastAsia="宋体" w:cs="宋体"/>
      <w:b/>
      <w:bCs/>
      <w:color w:val="000000"/>
      <w:sz w:val="21"/>
      <w:szCs w:val="21"/>
      <w:u w:val="none"/>
    </w:rPr>
  </w:style>
  <w:style w:type="character" w:customStyle="1" w:styleId="143">
    <w:name w:val="font21"/>
    <w:basedOn w:val="41"/>
    <w:qFormat/>
    <w:uiPriority w:val="0"/>
    <w:rPr>
      <w:rFonts w:hint="eastAsia" w:ascii="宋体" w:hAnsi="宋体" w:eastAsia="宋体" w:cs="宋体"/>
      <w:color w:val="000000"/>
      <w:sz w:val="21"/>
      <w:szCs w:val="21"/>
      <w:u w:val="none"/>
    </w:rPr>
  </w:style>
  <w:style w:type="character" w:customStyle="1" w:styleId="144">
    <w:name w:val="font31"/>
    <w:basedOn w:val="41"/>
    <w:qFormat/>
    <w:uiPriority w:val="0"/>
    <w:rPr>
      <w:rFonts w:hint="eastAsia" w:ascii="宋体" w:hAnsi="宋体" w:eastAsia="宋体" w:cs="宋体"/>
      <w:color w:val="000000"/>
      <w:sz w:val="21"/>
      <w:szCs w:val="21"/>
      <w:u w:val="none"/>
    </w:rPr>
  </w:style>
  <w:style w:type="paragraph" w:customStyle="1" w:styleId="145">
    <w:name w:val="二级条标题"/>
    <w:basedOn w:val="112"/>
    <w:next w:val="108"/>
    <w:qFormat/>
    <w:uiPriority w:val="0"/>
    <w:pPr>
      <w:numPr>
        <w:ilvl w:val="0"/>
        <w:numId w:val="0"/>
      </w:numPr>
      <w:ind w:left="3827"/>
      <w:outlineLvl w:val="3"/>
    </w:pPr>
  </w:style>
  <w:style w:type="paragraph" w:customStyle="1" w:styleId="146">
    <w:name w:val="三级条标题"/>
    <w:basedOn w:val="145"/>
    <w:next w:val="108"/>
    <w:qFormat/>
    <w:uiPriority w:val="0"/>
    <w:pPr>
      <w:numPr>
        <w:ilvl w:val="4"/>
      </w:numPr>
      <w:ind w:left="3827"/>
      <w:outlineLvl w:val="4"/>
    </w:pPr>
  </w:style>
  <w:style w:type="paragraph" w:customStyle="1" w:styleId="14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9">
    <w:name w:val="封面正文"/>
    <w:semiHidden/>
    <w:qFormat/>
    <w:uiPriority w:val="0"/>
    <w:pPr>
      <w:jc w:val="both"/>
    </w:pPr>
    <w:rPr>
      <w:rFonts w:ascii="Times New Roman" w:hAnsi="Times New Roman" w:eastAsia="宋体" w:cs="Times New Roman"/>
      <w:lang w:val="en-US" w:eastAsia="zh-CN" w:bidi="ar-SA"/>
    </w:rPr>
  </w:style>
  <w:style w:type="paragraph" w:customStyle="1" w:styleId="150">
    <w:name w:val="3.1"/>
    <w:basedOn w:val="145"/>
    <w:next w:val="109"/>
    <w:qFormat/>
    <w:uiPriority w:val="0"/>
    <w:pPr>
      <w:spacing w:before="25" w:beforeLines="25" w:after="25" w:afterLines="25"/>
    </w:pPr>
  </w:style>
  <w:style w:type="paragraph" w:customStyle="1" w:styleId="151">
    <w:name w:val="_Style 1"/>
    <w:basedOn w:val="1"/>
    <w:semiHidden/>
    <w:qFormat/>
    <w:uiPriority w:val="34"/>
    <w:pPr>
      <w:ind w:firstLine="420" w:firstLineChars="200"/>
    </w:pPr>
  </w:style>
  <w:style w:type="paragraph" w:customStyle="1" w:styleId="152">
    <w:name w:val="3.2"/>
    <w:basedOn w:val="145"/>
    <w:next w:val="109"/>
    <w:qFormat/>
    <w:uiPriority w:val="0"/>
    <w:pPr>
      <w:numPr>
        <w:ilvl w:val="3"/>
        <w:numId w:val="2"/>
      </w:numPr>
      <w:spacing w:before="25" w:beforeLines="25" w:after="25" w:afterLines="25"/>
    </w:pPr>
    <w:rPr>
      <w:rFonts w:ascii="宋体" w:hAnsi="宋体" w:eastAsia="宋体"/>
    </w:rPr>
  </w:style>
  <w:style w:type="paragraph" w:customStyle="1" w:styleId="153">
    <w:name w:val="4"/>
    <w:basedOn w:val="145"/>
    <w:next w:val="109"/>
    <w:qFormat/>
    <w:uiPriority w:val="0"/>
    <w:pPr>
      <w:numPr>
        <w:ilvl w:val="4"/>
        <w:numId w:val="2"/>
      </w:numPr>
      <w:outlineLvl w:val="4"/>
    </w:pPr>
    <w:rPr>
      <w:rFonts w:ascii="宋体" w:hAnsi="宋体" w:eastAsia="宋体"/>
      <w:color w:val="000000"/>
      <w:szCs w:val="21"/>
    </w:rPr>
  </w:style>
  <w:style w:type="paragraph" w:customStyle="1" w:styleId="154">
    <w:name w:val="其他发布部门"/>
    <w:basedOn w:val="155"/>
    <w:semiHidden/>
    <w:qFormat/>
    <w:uiPriority w:val="0"/>
    <w:pPr>
      <w:framePr w:wrap="around"/>
      <w:spacing w:line="0" w:lineRule="atLeast"/>
    </w:pPr>
    <w:rPr>
      <w:rFonts w:ascii="黑体" w:eastAsia="黑体"/>
      <w:b w:val="0"/>
    </w:rPr>
  </w:style>
  <w:style w:type="paragraph" w:customStyle="1" w:styleId="155">
    <w:name w:val="发布部门"/>
    <w:next w:val="108"/>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6">
    <w:name w:val="正文样式"/>
    <w:basedOn w:val="1"/>
    <w:qFormat/>
    <w:uiPriority w:val="0"/>
    <w:pPr>
      <w:ind w:firstLine="200" w:firstLineChars="200"/>
    </w:pPr>
    <w:rPr>
      <w:rFonts w:ascii="Times New Roman" w:hAnsi="Times New Roman" w:eastAsia="仿宋" w:cs="Times New Roman"/>
      <w:sz w:val="30"/>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0" Type="http://schemas.openxmlformats.org/officeDocument/2006/relationships/fontTable" Target="fontTable.xml"/><Relationship Id="rId8" Type="http://schemas.openxmlformats.org/officeDocument/2006/relationships/footer" Target="footer3.xml"/><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29.png"/><Relationship Id="rId75" Type="http://schemas.openxmlformats.org/officeDocument/2006/relationships/image" Target="media/image28.png"/><Relationship Id="rId74" Type="http://schemas.openxmlformats.org/officeDocument/2006/relationships/image" Target="media/image27.png"/><Relationship Id="rId73" Type="http://schemas.openxmlformats.org/officeDocument/2006/relationships/image" Target="media/image26.png"/><Relationship Id="rId72" Type="http://schemas.openxmlformats.org/officeDocument/2006/relationships/image" Target="media/image25.png"/><Relationship Id="rId71" Type="http://schemas.openxmlformats.org/officeDocument/2006/relationships/image" Target="media/image24.png"/><Relationship Id="rId70" Type="http://schemas.openxmlformats.org/officeDocument/2006/relationships/image" Target="media/image23.png"/><Relationship Id="rId7" Type="http://schemas.openxmlformats.org/officeDocument/2006/relationships/header" Target="header3.xml"/><Relationship Id="rId69" Type="http://schemas.openxmlformats.org/officeDocument/2006/relationships/image" Target="media/image22.png"/><Relationship Id="rId68" Type="http://schemas.openxmlformats.org/officeDocument/2006/relationships/image" Target="media/image21.png"/><Relationship Id="rId67" Type="http://schemas.openxmlformats.org/officeDocument/2006/relationships/image" Target="media/image20.png"/><Relationship Id="rId66" Type="http://schemas.openxmlformats.org/officeDocument/2006/relationships/image" Target="media/image19.png"/><Relationship Id="rId65" Type="http://schemas.openxmlformats.org/officeDocument/2006/relationships/image" Target="media/image18.png"/><Relationship Id="rId64" Type="http://schemas.openxmlformats.org/officeDocument/2006/relationships/image" Target="media/image17.jpeg"/><Relationship Id="rId63" Type="http://schemas.openxmlformats.org/officeDocument/2006/relationships/image" Target="media/image16.jpeg"/><Relationship Id="rId62" Type="http://schemas.openxmlformats.org/officeDocument/2006/relationships/image" Target="media/image15.jpeg"/><Relationship Id="rId61" Type="http://schemas.openxmlformats.org/officeDocument/2006/relationships/image" Target="media/image14.jpeg"/><Relationship Id="rId60" Type="http://schemas.openxmlformats.org/officeDocument/2006/relationships/image" Target="media/image13.png"/><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jpeg"/><Relationship Id="rId54" Type="http://schemas.openxmlformats.org/officeDocument/2006/relationships/image" Target="media/image7.jpe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0.xml"/><Relationship Id="rId45" Type="http://schemas.openxmlformats.org/officeDocument/2006/relationships/footer" Target="footer29.xml"/><Relationship Id="rId44" Type="http://schemas.openxmlformats.org/officeDocument/2006/relationships/header" Target="header14.xml"/><Relationship Id="rId43" Type="http://schemas.openxmlformats.org/officeDocument/2006/relationships/header" Target="header13.xml"/><Relationship Id="rId42" Type="http://schemas.openxmlformats.org/officeDocument/2006/relationships/footer" Target="footer28.xml"/><Relationship Id="rId41" Type="http://schemas.openxmlformats.org/officeDocument/2006/relationships/footer" Target="footer27.xml"/><Relationship Id="rId40" Type="http://schemas.openxmlformats.org/officeDocument/2006/relationships/footer" Target="footer26.xml"/><Relationship Id="rId4" Type="http://schemas.openxmlformats.org/officeDocument/2006/relationships/header" Target="header2.xml"/><Relationship Id="rId39" Type="http://schemas.openxmlformats.org/officeDocument/2006/relationships/header" Target="header12.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header" Target="header10.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100</Pages>
  <Words>46945</Words>
  <Characters>50439</Characters>
  <Lines>232</Lines>
  <Paragraphs>65</Paragraphs>
  <TotalTime>0</TotalTime>
  <ScaleCrop>false</ScaleCrop>
  <LinksUpToDate>false</LinksUpToDate>
  <CharactersWithSpaces>56251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张志纯</cp:lastModifiedBy>
  <cp:lastPrinted>2022-07-01T03:19:00Z</cp:lastPrinted>
  <dcterms:modified xsi:type="dcterms:W3CDTF">2025-11-13T02:37:38Z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5035C9CBC4184D29A655D3E07D53D953_13</vt:lpwstr>
  </property>
  <property fmtid="{D5CDD505-2E9C-101B-9397-08002B2CF9AE}" pid="4" name="KSOTemplateDocerSaveRecord">
    <vt:lpwstr>eyJoZGlkIjoiODY0NTcxYjI4Y2NjNTJkNmIwYzM2NDk2ZTI0NWYxZjQiLCJ1c2VySWQiOiIxNjcxODY1NzIwIn0=</vt:lpwstr>
  </property>
</Properties>
</file>