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color w:val="000000"/>
          <w:sz w:val="30"/>
          <w:szCs w:val="30"/>
        </w:rPr>
      </w:pPr>
    </w:p>
    <w:p>
      <w:pPr>
        <w:keepNext/>
        <w:keepLines/>
        <w:jc w:val="center"/>
        <w:rPr>
          <w:rFonts w:ascii="宋体" w:hAnsi="宋体" w:eastAsia="宋体" w:cs="Times New Roman"/>
          <w:b/>
          <w:bCs/>
          <w:color w:val="000000"/>
          <w:spacing w:val="-8"/>
          <w:sz w:val="48"/>
          <w:szCs w:val="44"/>
        </w:rPr>
      </w:pPr>
      <w:r>
        <w:rPr>
          <w:rFonts w:hint="eastAsia" w:ascii="宋体" w:hAnsi="宋体" w:eastAsia="宋体" w:cs="Times New Roman"/>
          <w:b/>
          <w:bCs/>
          <w:color w:val="000000"/>
          <w:spacing w:val="-8"/>
          <w:sz w:val="48"/>
          <w:szCs w:val="44"/>
        </w:rPr>
        <w:t>中国重汽集团济南商用车制造公司</w:t>
      </w:r>
    </w:p>
    <w:p>
      <w:pPr>
        <w:keepNext/>
        <w:keepLines/>
        <w:jc w:val="center"/>
        <w:rPr>
          <w:rFonts w:ascii="宋体" w:hAnsi="宋体" w:eastAsia="宋体" w:cs="Times New Roman"/>
          <w:b/>
          <w:bCs/>
          <w:color w:val="000000"/>
          <w:spacing w:val="-8"/>
          <w:sz w:val="48"/>
          <w:szCs w:val="44"/>
        </w:rPr>
      </w:pPr>
      <w:r>
        <w:rPr>
          <w:rFonts w:hint="eastAsia" w:ascii="宋体" w:hAnsi="宋体" w:eastAsia="宋体" w:cs="Times New Roman"/>
          <w:b/>
          <w:bCs/>
          <w:color w:val="000000"/>
          <w:spacing w:val="-8"/>
          <w:sz w:val="48"/>
          <w:szCs w:val="44"/>
        </w:rPr>
        <w:t>新能源车型产线适应性改造（</w:t>
      </w:r>
      <w:r>
        <w:rPr>
          <w:rFonts w:hint="eastAsia" w:ascii="宋体" w:hAnsi="宋体" w:eastAsia="宋体" w:cs="Times New Roman"/>
          <w:b/>
          <w:bCs/>
          <w:color w:val="000000"/>
          <w:spacing w:val="-8"/>
          <w:sz w:val="48"/>
          <w:szCs w:val="44"/>
          <w:lang w:val="en-US" w:eastAsia="zh-CN"/>
        </w:rPr>
        <w:t>二</w:t>
      </w:r>
      <w:r>
        <w:rPr>
          <w:rFonts w:hint="eastAsia" w:ascii="宋体" w:hAnsi="宋体" w:eastAsia="宋体" w:cs="Times New Roman"/>
          <w:b/>
          <w:bCs/>
          <w:color w:val="000000"/>
          <w:spacing w:val="-8"/>
          <w:sz w:val="48"/>
          <w:szCs w:val="44"/>
        </w:rPr>
        <w:t>期）</w:t>
      </w:r>
    </w:p>
    <w:p>
      <w:pPr>
        <w:spacing w:line="276" w:lineRule="auto"/>
        <w:jc w:val="center"/>
        <w:rPr>
          <w:rFonts w:hint="default" w:ascii="仿宋_GB2312" w:hAnsi="仿宋_GB2312" w:eastAsia="仿宋_GB2312" w:cs="仿宋_GB2312"/>
          <w:b/>
          <w:bCs/>
          <w:color w:val="000000"/>
          <w:spacing w:val="-8"/>
          <w:sz w:val="48"/>
          <w:szCs w:val="48"/>
          <w:lang w:val="en-US"/>
        </w:rPr>
      </w:pPr>
      <w:r>
        <w:rPr>
          <w:rFonts w:hint="eastAsia" w:ascii="宋体" w:hAnsi="宋体" w:eastAsia="宋体" w:cs="Times New Roman"/>
          <w:b/>
          <w:bCs/>
          <w:color w:val="000000"/>
          <w:spacing w:val="-8"/>
          <w:sz w:val="48"/>
          <w:szCs w:val="44"/>
        </w:rPr>
        <w:t>招标项目子项</w:t>
      </w:r>
      <w:r>
        <w:rPr>
          <w:rFonts w:hint="eastAsia" w:ascii="宋体" w:hAnsi="宋体" w:eastAsia="宋体" w:cs="Times New Roman"/>
          <w:b/>
          <w:bCs/>
          <w:color w:val="000000"/>
          <w:spacing w:val="-8"/>
          <w:sz w:val="48"/>
          <w:szCs w:val="44"/>
          <w:lang w:val="en-US" w:eastAsia="zh-CN"/>
        </w:rPr>
        <w:t>8--新增底部电池工装吊具</w:t>
      </w:r>
    </w:p>
    <w:p>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pPr>
        <w:pStyle w:val="22"/>
        <w:rPr>
          <w:rFonts w:hint="eastAsia" w:ascii="仿宋_GB2312" w:hAnsi="仿宋_GB2312" w:eastAsia="仿宋_GB2312" w:cs="仿宋_GB2312"/>
        </w:rPr>
      </w:pPr>
    </w:p>
    <w:p>
      <w:pPr>
        <w:pStyle w:val="22"/>
        <w:rPr>
          <w:rFonts w:hint="eastAsia" w:ascii="仿宋_GB2312" w:hAnsi="仿宋_GB2312" w:eastAsia="仿宋_GB2312" w:cs="仿宋_GB2312"/>
        </w:rPr>
      </w:pPr>
    </w:p>
    <w:p>
      <w:pPr>
        <w:pStyle w:val="22"/>
        <w:rPr>
          <w:rFonts w:hint="eastAsia" w:ascii="仿宋_GB2312" w:hAnsi="仿宋_GB2312" w:eastAsia="仿宋_GB2312" w:cs="仿宋_GB2312"/>
        </w:rPr>
      </w:pPr>
    </w:p>
    <w:p>
      <w:pPr>
        <w:jc w:val="right"/>
        <w:rPr>
          <w:rFonts w:hint="eastAsia" w:ascii="仿宋_GB2312" w:hAnsi="仿宋_GB2312" w:eastAsia="仿宋_GB2312" w:cs="仿宋_GB2312"/>
          <w:color w:val="000000"/>
          <w:sz w:val="28"/>
          <w:szCs w:val="28"/>
        </w:rPr>
      </w:pP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pPr>
        <w:jc w:val="center"/>
        <w:rPr>
          <w:rFonts w:hint="eastAsia" w:ascii="仿宋_GB2312" w:hAnsi="仿宋_GB2312" w:eastAsia="仿宋_GB2312" w:cs="仿宋_GB2312"/>
          <w:color w:val="000000"/>
          <w:sz w:val="72"/>
          <w:szCs w:val="72"/>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pPr>
        <w:pStyle w:val="2"/>
        <w:rPr>
          <w:rFonts w:hint="eastAsia"/>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both"/>
        <w:rPr>
          <w:rFonts w:hint="eastAsia" w:ascii="仿宋_GB2312" w:hAnsi="仿宋_GB2312" w:eastAsia="仿宋_GB2312" w:cs="仿宋_GB2312"/>
          <w:color w:val="000000"/>
          <w:sz w:val="28"/>
          <w:szCs w:val="28"/>
        </w:rPr>
      </w:pPr>
    </w:p>
    <w:p>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：中国重汽集团济南商用车有限公司商用车制造公司</w:t>
      </w:r>
    </w:p>
    <w:p>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11</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pPr>
            <w:pStyle w:val="17"/>
            <w:rPr>
              <w:rFonts w:hint="eastAsia"/>
            </w:rPr>
          </w:pPr>
        </w:p>
        <w:p>
          <w:pPr>
            <w:pStyle w:val="29"/>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pPr>
            <w:pStyle w:val="22"/>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3"/>
        <w:jc w:val="both"/>
        <w:rPr>
          <w:rFonts w:hint="eastAsia" w:ascii="仿宋_GB2312" w:hAnsi="仿宋_GB2312" w:eastAsia="仿宋_GB2312" w:cs="仿宋_GB2312"/>
          <w:sz w:val="44"/>
        </w:rPr>
      </w:pPr>
      <w:bookmarkStart w:id="0" w:name="_Toc22242"/>
      <w:bookmarkStart w:id="1" w:name="_Toc15480"/>
      <w:bookmarkStart w:id="2" w:name="_Toc5202"/>
      <w:bookmarkStart w:id="3" w:name="_Toc23693"/>
      <w:bookmarkStart w:id="4" w:name="_Toc29994"/>
    </w:p>
    <w:p>
      <w:pPr>
        <w:pStyle w:val="3"/>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项目名称：新能源产线改造项目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项目编号：FSCZB2025110192</w:t>
            </w:r>
            <w:bookmarkStart w:id="114" w:name="_GoBack"/>
            <w:bookmarkEnd w:id="114"/>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w:t>
            </w:r>
            <w:r>
              <w:rPr>
                <w:rFonts w:hint="eastAsia" w:ascii="仿宋_GB2312" w:hAnsi="仿宋_GB2312" w:eastAsia="仿宋_GB2312" w:cs="仿宋_GB2312"/>
                <w:b/>
                <w:bCs/>
                <w:sz w:val="24"/>
                <w:szCs w:val="24"/>
                <w:lang w:val="en-US" w:eastAsia="zh-CN"/>
              </w:rPr>
              <w:t>新增1套底部电池装配系统、1套中部挂载横梁装配工装吊具、1套两侧电池支架装配工装吊具、底部电池吊具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lang w:val="en-US"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snapToGrid w:val="0"/>
                <w:kern w:val="0"/>
                <w:sz w:val="24"/>
                <w:szCs w:val="24"/>
                <w:lang w:eastAsia="zh-CN"/>
              </w:rPr>
            </w:pPr>
            <w:r>
              <w:rPr>
                <w:rFonts w:hint="eastAsia" w:ascii="仿宋_GB2312" w:hAnsi="仿宋_GB2312" w:eastAsia="仿宋_GB2312" w:cs="仿宋_GB2312"/>
                <w:b/>
                <w:snapToGrid w:val="0"/>
                <w:kern w:val="0"/>
                <w:sz w:val="24"/>
                <w:szCs w:val="24"/>
              </w:rPr>
              <w:t>招标人名称：</w:t>
            </w:r>
            <w:r>
              <w:rPr>
                <w:rFonts w:hint="eastAsia" w:ascii="仿宋_GB2312" w:hAnsi="仿宋_GB2312" w:eastAsia="仿宋_GB2312" w:cs="仿宋_GB2312"/>
                <w:b/>
                <w:snapToGrid w:val="0"/>
                <w:kern w:val="0"/>
                <w:sz w:val="24"/>
                <w:szCs w:val="24"/>
                <w:lang w:eastAsia="zh-CN"/>
              </w:rPr>
              <w:t>中国重汽集团济南商用车有限公司商用车制造公司</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napToGrid w:val="0"/>
                <w:kern w:val="0"/>
                <w:sz w:val="24"/>
                <w:szCs w:val="24"/>
              </w:rPr>
              <w:t>招标人地址：</w:t>
            </w:r>
            <w:r>
              <w:rPr>
                <w:rFonts w:hint="eastAsia" w:ascii="仿宋_GB2312" w:hAnsi="仿宋_GB2312" w:eastAsia="仿宋_GB2312" w:cs="仿宋_GB2312"/>
                <w:b/>
                <w:snapToGrid w:val="0"/>
                <w:kern w:val="0"/>
                <w:sz w:val="24"/>
                <w:szCs w:val="24"/>
                <w:lang w:eastAsia="zh-CN"/>
              </w:rPr>
              <w:t>山东省济南市章丘区世纪大道北50米济南商用车公司</w:t>
            </w:r>
          </w:p>
          <w:p>
            <w:pPr>
              <w:ind w:firstLine="482" w:firstLineChars="200"/>
              <w:rPr>
                <w:rFonts w:hint="eastAsia" w:ascii="仿宋_GB2312" w:hAnsi="仿宋_GB2312" w:eastAsia="仿宋_GB2312" w:cs="仿宋_GB2312"/>
                <w:b/>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杨淑超</w:t>
            </w:r>
          </w:p>
          <w:p>
            <w:pPr>
              <w:ind w:firstLine="482" w:firstLineChars="20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w:t>
            </w:r>
            <w:r>
              <w:rPr>
                <w:rFonts w:hint="eastAsia" w:ascii="仿宋_GB2312" w:hAnsi="仿宋_GB2312" w:eastAsia="仿宋_GB2312" w:cs="仿宋_GB2312"/>
                <w:b/>
                <w:snapToGrid w:val="0"/>
                <w:kern w:val="0"/>
                <w:sz w:val="24"/>
                <w:szCs w:val="24"/>
                <w:highlight w:val="none"/>
                <w:lang w:val="en-US" w:eastAsia="zh-CN"/>
              </w:rPr>
              <w:t>17860605820</w:t>
            </w:r>
          </w:p>
          <w:p>
            <w:pPr>
              <w:ind w:firstLine="482" w:firstLineChars="200"/>
              <w:rPr>
                <w:rFonts w:hint="default" w:ascii="仿宋_GB2312" w:hAnsi="仿宋_GB2312" w:eastAsia="仿宋_GB2312" w:cs="仿宋_GB2312"/>
                <w:b/>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邮箱：</w:t>
            </w:r>
            <w:r>
              <w:rPr>
                <w:rFonts w:hint="eastAsia" w:ascii="仿宋_GB2312" w:hAnsi="仿宋_GB2312" w:eastAsia="仿宋_GB2312" w:cs="仿宋_GB2312"/>
                <w:b/>
                <w:snapToGrid w:val="0"/>
                <w:kern w:val="0"/>
                <w:sz w:val="24"/>
                <w:szCs w:val="24"/>
                <w:highlight w:val="none"/>
                <w:lang w:val="en-US" w:eastAsia="zh-CN"/>
              </w:rPr>
              <w:t>yangshuchao</w:t>
            </w:r>
            <w:r>
              <w:rPr>
                <w:rFonts w:hint="eastAsia" w:ascii="宋体" w:hAnsi="宋体" w:eastAsia="宋体" w:cs="宋体"/>
                <w:b/>
                <w:snapToGrid w:val="0"/>
                <w:kern w:val="0"/>
                <w:sz w:val="24"/>
                <w:szCs w:val="24"/>
              </w:rPr>
              <w:t>@sinotruk.com</w:t>
            </w:r>
          </w:p>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技术联系人：张德第</w:t>
            </w:r>
          </w:p>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电话：13353435712</w:t>
            </w:r>
          </w:p>
          <w:p>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邮箱：zhangdedi@sinotruk.com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43.5</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13%</w:t>
            </w:r>
            <w:r>
              <w:rPr>
                <w:rFonts w:hint="eastAsia" w:ascii="仿宋_GB2312" w:hAnsi="仿宋_GB2312" w:eastAsia="仿宋_GB2312" w:cs="仿宋_GB2312"/>
                <w:color w:val="000000"/>
                <w:sz w:val="24"/>
                <w:szCs w:val="24"/>
              </w:rPr>
              <w:t>），超过投标限价无法投标。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pPr>
              <w:pStyle w:val="22"/>
              <w:ind w:firstLine="480" w:firstLineChars="200"/>
              <w:rPr>
                <w:rFonts w:hAnsi="宋体" w:eastAsia="宋体" w:cs="宋体"/>
                <w:color w:val="auto"/>
                <w:sz w:val="24"/>
                <w:szCs w:val="24"/>
              </w:rPr>
            </w:pPr>
            <w:r>
              <w:rPr>
                <w:rFonts w:hint="eastAsia" w:hAnsi="宋体" w:eastAsia="宋体" w:cs="宋体"/>
                <w:color w:val="auto"/>
                <w:sz w:val="24"/>
                <w:szCs w:val="24"/>
              </w:rPr>
              <w:t>1.拟标投人必须是在中华人民共和国境内注册的独立法人机构，具有独立承担民事责任能力；注册资金不少于</w:t>
            </w:r>
            <w:r>
              <w:rPr>
                <w:rFonts w:hint="eastAsia" w:hAnsi="宋体" w:eastAsia="宋体" w:cs="宋体"/>
                <w:color w:val="auto"/>
                <w:sz w:val="24"/>
                <w:szCs w:val="24"/>
                <w:highlight w:val="yellow"/>
                <w:u w:val="single"/>
                <w:lang w:val="en-US" w:eastAsia="zh-CN"/>
              </w:rPr>
              <w:t>100</w:t>
            </w:r>
            <w:r>
              <w:rPr>
                <w:rFonts w:hint="eastAsia" w:hAnsi="宋体" w:eastAsia="宋体" w:cs="宋体"/>
                <w:b/>
                <w:color w:val="auto"/>
                <w:sz w:val="24"/>
                <w:szCs w:val="24"/>
                <w:highlight w:val="yellow"/>
                <w:u w:val="single"/>
              </w:rPr>
              <w:t>万</w:t>
            </w:r>
            <w:r>
              <w:rPr>
                <w:rFonts w:hint="eastAsia" w:hAnsi="宋体" w:eastAsia="宋体" w:cs="宋体"/>
                <w:color w:val="auto"/>
                <w:sz w:val="24"/>
                <w:szCs w:val="24"/>
              </w:rPr>
              <w:t>人民币（或等值其他货币）；公司成立</w:t>
            </w:r>
            <w:r>
              <w:rPr>
                <w:rFonts w:hint="eastAsia" w:hAnsi="宋体" w:eastAsia="宋体" w:cs="宋体"/>
                <w:b/>
                <w:color w:val="auto"/>
                <w:sz w:val="24"/>
                <w:szCs w:val="24"/>
                <w:highlight w:val="yellow"/>
                <w:u w:val="single"/>
              </w:rPr>
              <w:t>三年以上</w:t>
            </w:r>
            <w:r>
              <w:rPr>
                <w:rFonts w:hint="eastAsia" w:hAnsi="宋体" w:eastAsia="宋体" w:cs="宋体"/>
                <w:color w:val="auto"/>
                <w:sz w:val="24"/>
                <w:szCs w:val="24"/>
              </w:rPr>
              <w:t>（以营业执照成立日期到开标当日满三年为准），且经营范围满足招标人需求；并在人员、设备、资金等方面具有承担本项目的能力；</w:t>
            </w:r>
          </w:p>
          <w:p>
            <w:pPr>
              <w:pStyle w:val="22"/>
              <w:ind w:firstLine="480" w:firstLineChars="200"/>
              <w:rPr>
                <w:rFonts w:hAnsi="宋体" w:eastAsia="宋体" w:cs="宋体"/>
                <w:color w:val="auto"/>
                <w:sz w:val="24"/>
                <w:szCs w:val="24"/>
              </w:rPr>
            </w:pPr>
            <w:r>
              <w:rPr>
                <w:rFonts w:hint="eastAsia" w:hAnsi="宋体" w:eastAsia="宋体" w:cs="宋体"/>
                <w:color w:val="auto"/>
                <w:sz w:val="24"/>
                <w:szCs w:val="24"/>
              </w:rPr>
              <w:t>2.拟投标人应提供营业执照</w:t>
            </w:r>
            <w:r>
              <w:rPr>
                <w:rFonts w:hint="eastAsia" w:hAnsi="宋体" w:eastAsia="宋体" w:cs="宋体"/>
                <w:b/>
                <w:color w:val="auto"/>
                <w:sz w:val="24"/>
                <w:szCs w:val="24"/>
              </w:rPr>
              <w:t>副本原件扫描件（需盖章）</w:t>
            </w:r>
            <w:r>
              <w:rPr>
                <w:rFonts w:hint="eastAsia" w:hAnsi="宋体" w:eastAsia="宋体" w:cs="宋体"/>
                <w:color w:val="auto"/>
                <w:sz w:val="24"/>
                <w:szCs w:val="24"/>
              </w:rPr>
              <w:t>；</w:t>
            </w:r>
          </w:p>
          <w:p>
            <w:pPr>
              <w:pStyle w:val="22"/>
              <w:ind w:firstLine="480" w:firstLineChars="200"/>
              <w:rPr>
                <w:rFonts w:hAnsi="宋体" w:eastAsia="宋体" w:cs="宋体"/>
                <w:color w:val="auto"/>
                <w:sz w:val="24"/>
                <w:szCs w:val="24"/>
              </w:rPr>
            </w:pPr>
            <w:r>
              <w:rPr>
                <w:rFonts w:hint="eastAsia" w:hAnsi="宋体" w:eastAsia="宋体" w:cs="宋体"/>
                <w:color w:val="auto"/>
                <w:sz w:val="24"/>
                <w:szCs w:val="24"/>
              </w:rPr>
              <w:t>3.拟投标人应提供法定代表人资格证明文件；</w:t>
            </w:r>
          </w:p>
          <w:p>
            <w:pPr>
              <w:pStyle w:val="22"/>
              <w:ind w:firstLine="480" w:firstLineChars="200"/>
              <w:rPr>
                <w:rFonts w:hAnsi="宋体" w:eastAsia="宋体" w:cs="宋体"/>
                <w:color w:val="auto"/>
                <w:sz w:val="24"/>
                <w:szCs w:val="24"/>
              </w:rPr>
            </w:pPr>
            <w:r>
              <w:rPr>
                <w:rFonts w:hint="eastAsia" w:hAnsi="宋体" w:eastAsia="宋体" w:cs="宋体"/>
                <w:color w:val="auto"/>
                <w:sz w:val="24"/>
                <w:szCs w:val="24"/>
              </w:rPr>
              <w:t>4.</w:t>
            </w:r>
            <w:r>
              <w:rPr>
                <w:rFonts w:hAnsi="宋体" w:eastAsia="宋体" w:cs="宋体"/>
                <w:color w:val="auto"/>
                <w:sz w:val="24"/>
                <w:szCs w:val="24"/>
              </w:rPr>
              <w:t>拟投标人在国家市场监督管理总局的《国家企业信用信息公示系统》中查询不存在不良记录</w:t>
            </w:r>
            <w:r>
              <w:rPr>
                <w:rFonts w:hint="eastAsia" w:hAnsi="宋体" w:eastAsia="宋体" w:cs="宋体"/>
                <w:color w:val="auto"/>
                <w:sz w:val="24"/>
                <w:szCs w:val="24"/>
              </w:rPr>
              <w:t>；</w:t>
            </w:r>
          </w:p>
          <w:p>
            <w:pPr>
              <w:pStyle w:val="22"/>
              <w:ind w:firstLine="480" w:firstLineChars="200"/>
              <w:rPr>
                <w:rFonts w:hAnsi="宋体" w:eastAsia="宋体" w:cs="宋体"/>
                <w:color w:val="auto"/>
                <w:sz w:val="24"/>
                <w:szCs w:val="24"/>
              </w:rPr>
            </w:pPr>
            <w:r>
              <w:rPr>
                <w:rFonts w:hint="eastAsia" w:hAnsi="宋体" w:eastAsia="宋体" w:cs="宋体"/>
                <w:color w:val="auto"/>
                <w:sz w:val="24"/>
                <w:szCs w:val="24"/>
              </w:rPr>
              <w:t>5.拟投标人不存在严重违规或被列入招标人“黑名单”的声明；</w:t>
            </w:r>
          </w:p>
          <w:p>
            <w:pPr>
              <w:pStyle w:val="2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6.</w:t>
            </w:r>
            <w:r>
              <w:rPr>
                <w:rFonts w:hint="eastAsia" w:hAnsi="宋体" w:eastAsia="宋体" w:cs="宋体"/>
                <w:color w:val="auto"/>
                <w:sz w:val="24"/>
                <w:szCs w:val="24"/>
                <w:highlight w:val="none"/>
              </w:rPr>
              <w:t>拟投标人202</w:t>
            </w:r>
            <w:r>
              <w:rPr>
                <w:rFonts w:hint="eastAsia" w:hAnsi="宋体" w:eastAsia="宋体" w:cs="宋体"/>
                <w:color w:val="auto"/>
                <w:sz w:val="24"/>
                <w:szCs w:val="24"/>
                <w:highlight w:val="none"/>
                <w:lang w:val="en-US" w:eastAsia="zh-CN"/>
              </w:rPr>
              <w:t>2</w:t>
            </w:r>
            <w:r>
              <w:rPr>
                <w:rFonts w:hint="eastAsia" w:hAnsi="宋体" w:eastAsia="宋体" w:cs="宋体"/>
                <w:color w:val="auto"/>
                <w:sz w:val="24"/>
                <w:szCs w:val="24"/>
                <w:highlight w:val="none"/>
              </w:rPr>
              <w:t>年1月1日</w:t>
            </w:r>
            <w:r>
              <w:rPr>
                <w:rFonts w:hint="eastAsia" w:hAnsi="宋体" w:eastAsia="宋体" w:cs="宋体"/>
                <w:color w:val="auto"/>
                <w:sz w:val="24"/>
                <w:szCs w:val="24"/>
              </w:rPr>
              <w:t>至今经会计师事务所审计且出具无保留意见的财务审计报告，并加盖公章，包括但不限于报告页、经审计的资产负债表、利润表、现金流量表及报表附注；</w:t>
            </w:r>
            <w:r>
              <w:rPr>
                <w:rFonts w:hint="eastAsia" w:hAnsi="宋体" w:eastAsia="宋体" w:cs="宋体"/>
                <w:color w:val="auto"/>
                <w:sz w:val="24"/>
                <w:szCs w:val="24"/>
                <w:lang w:eastAsia="zh-CN"/>
              </w:rPr>
              <w:t>（</w:t>
            </w:r>
            <w:r>
              <w:rPr>
                <w:rFonts w:hint="eastAsia" w:hAnsi="宋体" w:eastAsia="宋体" w:cs="宋体"/>
                <w:color w:val="auto"/>
                <w:sz w:val="24"/>
                <w:szCs w:val="24"/>
                <w:lang w:val="en-US" w:eastAsia="zh-CN"/>
              </w:rPr>
              <w:t>如投标人没有经审计的财务报告，可提供加盖公章的近三年财务报表，包括但不限于</w:t>
            </w:r>
            <w:r>
              <w:rPr>
                <w:rFonts w:hint="eastAsia" w:hAnsi="宋体" w:eastAsia="宋体" w:cs="宋体"/>
                <w:color w:val="auto"/>
                <w:sz w:val="24"/>
                <w:szCs w:val="24"/>
              </w:rPr>
              <w:t>资产负债表、利润表、现金流量表</w:t>
            </w:r>
            <w:r>
              <w:rPr>
                <w:rFonts w:hint="eastAsia" w:hAnsi="宋体" w:eastAsia="宋体" w:cs="宋体"/>
                <w:color w:val="auto"/>
                <w:sz w:val="24"/>
                <w:szCs w:val="24"/>
                <w:lang w:eastAsia="zh-CN"/>
              </w:rPr>
              <w:t>）</w:t>
            </w:r>
            <w:r>
              <w:rPr>
                <w:rFonts w:hint="eastAsia" w:hAnsi="宋体" w:eastAsia="宋体" w:cs="宋体"/>
                <w:color w:val="000000"/>
                <w:sz w:val="24"/>
                <w:szCs w:val="24"/>
                <w:highlight w:val="none"/>
                <w:lang w:eastAsia="zh-CN"/>
              </w:rPr>
              <w:t>，且未显示异常</w:t>
            </w:r>
            <w:r>
              <w:rPr>
                <w:rFonts w:hint="eastAsia" w:ascii="宋体" w:hAnsi="宋体" w:eastAsia="宋体" w:cs="宋体"/>
                <w:color w:val="000000"/>
                <w:sz w:val="24"/>
                <w:szCs w:val="24"/>
                <w:highlight w:val="none"/>
              </w:rPr>
              <w:t>；</w:t>
            </w:r>
          </w:p>
          <w:p>
            <w:pPr>
              <w:pStyle w:val="2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7.</w:t>
            </w:r>
            <w:r>
              <w:rPr>
                <w:rFonts w:hint="default" w:ascii="宋体" w:hAnsi="宋体" w:eastAsia="宋体" w:cs="宋体"/>
                <w:sz w:val="24"/>
                <w:szCs w:val="24"/>
                <w:lang w:val="en-US" w:eastAsia="zh-CN"/>
              </w:rPr>
              <w:t>拟投标人</w:t>
            </w:r>
            <w:r>
              <w:rPr>
                <w:rFonts w:hint="eastAsia" w:hAnsi="宋体" w:eastAsia="宋体" w:cs="宋体"/>
                <w:sz w:val="24"/>
                <w:szCs w:val="24"/>
                <w:lang w:val="en-US" w:eastAsia="zh-CN"/>
              </w:rPr>
              <w:t>近三年内</w:t>
            </w:r>
            <w:r>
              <w:rPr>
                <w:rFonts w:hint="default" w:ascii="宋体" w:hAnsi="宋体" w:eastAsia="宋体" w:cs="宋体"/>
                <w:sz w:val="24"/>
                <w:szCs w:val="24"/>
                <w:lang w:val="en-US" w:eastAsia="zh-CN"/>
              </w:rPr>
              <w:t>有与本次招标内容相同或类似项目业绩；报名及投标时需提供近</w:t>
            </w:r>
            <w:r>
              <w:rPr>
                <w:rFonts w:hint="eastAsia" w:hAnsi="宋体" w:eastAsia="宋体" w:cs="宋体"/>
                <w:b/>
                <w:bCs/>
                <w:sz w:val="24"/>
                <w:szCs w:val="24"/>
                <w:lang w:val="en-US" w:eastAsia="zh-CN"/>
              </w:rPr>
              <w:t>三</w:t>
            </w:r>
            <w:r>
              <w:rPr>
                <w:rFonts w:hint="default" w:ascii="宋体" w:hAnsi="宋体" w:eastAsia="宋体" w:cs="宋体"/>
                <w:b/>
                <w:bCs/>
                <w:sz w:val="24"/>
                <w:szCs w:val="24"/>
                <w:lang w:val="en-US" w:eastAsia="zh-CN"/>
              </w:rPr>
              <w:t>年</w:t>
            </w:r>
            <w:r>
              <w:rPr>
                <w:rFonts w:hint="default" w:ascii="宋体" w:hAnsi="宋体" w:eastAsia="宋体" w:cs="宋体"/>
                <w:sz w:val="24"/>
                <w:szCs w:val="24"/>
                <w:lang w:val="en-US" w:eastAsia="zh-CN"/>
              </w:rPr>
              <w:t>用户清单，同时需提供用户合同复印件</w:t>
            </w:r>
            <w:r>
              <w:rPr>
                <w:rFonts w:hint="eastAsia" w:hAnsi="宋体" w:eastAsia="宋体" w:cs="宋体"/>
                <w:sz w:val="24"/>
                <w:szCs w:val="24"/>
                <w:lang w:val="en-US" w:eastAsia="zh-CN"/>
              </w:rPr>
              <w:t>，</w:t>
            </w:r>
            <w:r>
              <w:rPr>
                <w:rFonts w:hint="eastAsia" w:hAnsi="宋体" w:eastAsia="宋体" w:cs="宋体"/>
                <w:color w:val="000000"/>
                <w:sz w:val="24"/>
                <w:szCs w:val="24"/>
              </w:rPr>
              <w:t>且近3年内无因服务不当而造成重大事故</w:t>
            </w:r>
            <w:r>
              <w:rPr>
                <w:rFonts w:hint="eastAsia" w:hAnsi="宋体" w:eastAsia="宋体" w:cs="宋体"/>
                <w:color w:val="auto"/>
                <w:sz w:val="24"/>
                <w:szCs w:val="24"/>
                <w:lang w:eastAsia="zh-CN"/>
              </w:rPr>
              <w:t>。</w:t>
            </w:r>
          </w:p>
          <w:p>
            <w:pPr>
              <w:pStyle w:val="22"/>
              <w:ind w:firstLine="480" w:firstLineChars="200"/>
              <w:rPr>
                <w:rFonts w:hAnsi="宋体" w:eastAsia="宋体" w:cs="宋体"/>
                <w:color w:val="auto"/>
                <w:sz w:val="24"/>
                <w:szCs w:val="24"/>
              </w:rPr>
            </w:pPr>
            <w:r>
              <w:rPr>
                <w:rFonts w:hint="eastAsia" w:hAnsi="宋体" w:eastAsia="宋体" w:cs="宋体"/>
                <w:color w:val="auto"/>
                <w:sz w:val="24"/>
                <w:szCs w:val="24"/>
              </w:rPr>
              <w:t>8.</w:t>
            </w:r>
            <w:r>
              <w:rPr>
                <w:rFonts w:hAnsi="宋体" w:eastAsia="宋体" w:cs="宋体"/>
                <w:color w:val="auto"/>
                <w:sz w:val="24"/>
                <w:szCs w:val="24"/>
              </w:rPr>
              <w:t>拟投标人近三年内在经营活动中无与本项目有关的违法及重大违规情况</w:t>
            </w:r>
            <w:r>
              <w:rPr>
                <w:rFonts w:hint="eastAsia" w:hAnsi="宋体" w:eastAsia="宋体" w:cs="宋体"/>
                <w:color w:val="auto"/>
                <w:sz w:val="24"/>
                <w:szCs w:val="24"/>
              </w:rPr>
              <w:t>；</w:t>
            </w:r>
          </w:p>
          <w:p>
            <w:pPr>
              <w:pStyle w:val="22"/>
              <w:ind w:firstLine="480" w:firstLineChars="200"/>
              <w:rPr>
                <w:rFonts w:hAnsi="宋体" w:eastAsia="宋体" w:cs="宋体"/>
                <w:color w:val="auto"/>
                <w:sz w:val="24"/>
                <w:szCs w:val="24"/>
              </w:rPr>
            </w:pPr>
            <w:r>
              <w:rPr>
                <w:rFonts w:hint="eastAsia" w:hAnsi="宋体" w:eastAsia="宋体" w:cs="宋体"/>
                <w:color w:val="auto"/>
                <w:sz w:val="24"/>
                <w:szCs w:val="24"/>
              </w:rPr>
              <w:t>9.拟投标人须认可招标人的工作指令，包括节、假日能正常开展工作的要求；</w:t>
            </w:r>
          </w:p>
          <w:p>
            <w:pPr>
              <w:pStyle w:val="22"/>
              <w:ind w:firstLine="480" w:firstLineChars="200"/>
              <w:rPr>
                <w:rFonts w:hAnsi="宋体" w:eastAsia="宋体" w:cs="宋体"/>
                <w:color w:val="auto"/>
                <w:sz w:val="24"/>
                <w:szCs w:val="24"/>
              </w:rPr>
            </w:pPr>
            <w:r>
              <w:rPr>
                <w:rFonts w:hint="eastAsia" w:hAnsi="宋体" w:eastAsia="宋体" w:cs="宋体"/>
                <w:color w:val="auto"/>
                <w:sz w:val="24"/>
                <w:szCs w:val="24"/>
              </w:rPr>
              <w:t>10.拟投标人最近半年纳税正常；</w:t>
            </w:r>
          </w:p>
          <w:p>
            <w:pPr>
              <w:pStyle w:val="22"/>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hAnsi="宋体" w:eastAsia="宋体" w:cs="宋体"/>
                <w:color w:val="000000"/>
                <w:sz w:val="24"/>
                <w:szCs w:val="24"/>
                <w:highlight w:val="none"/>
              </w:rPr>
              <w:t>没有被</w:t>
            </w:r>
            <w:r>
              <w:rPr>
                <w:rFonts w:hint="eastAsia" w:hAnsi="宋体" w:eastAsia="宋体" w:cs="宋体"/>
                <w:color w:val="000000"/>
                <w:sz w:val="24"/>
                <w:szCs w:val="24"/>
                <w:highlight w:val="none"/>
                <w:lang w:val="en-US" w:eastAsia="zh-CN"/>
              </w:rPr>
              <w:t>我</w:t>
            </w:r>
            <w:r>
              <w:rPr>
                <w:rFonts w:hint="eastAsia" w:hAnsi="宋体" w:eastAsia="宋体" w:cs="宋体"/>
                <w:color w:val="000000"/>
                <w:sz w:val="24"/>
                <w:szCs w:val="24"/>
                <w:highlight w:val="none"/>
              </w:rPr>
              <w:t>公司列入黑名单</w:t>
            </w:r>
            <w:r>
              <w:rPr>
                <w:rFonts w:hint="eastAsia" w:hAnsi="宋体" w:eastAsia="宋体" w:cs="宋体"/>
                <w:color w:val="000000"/>
                <w:sz w:val="24"/>
                <w:szCs w:val="24"/>
                <w:highlight w:val="none"/>
                <w:lang w:eastAsia="zh-CN"/>
              </w:rPr>
              <w:t>；</w:t>
            </w:r>
          </w:p>
          <w:p>
            <w:pPr>
              <w:pStyle w:val="22"/>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lang w:val="en-US" w:eastAsia="zh-CN"/>
              </w:rPr>
              <w:t>12.</w:t>
            </w:r>
            <w:r>
              <w:rPr>
                <w:rFonts w:hint="eastAsia" w:hAnsi="宋体" w:eastAsia="宋体" w:cs="宋体"/>
                <w:color w:val="auto"/>
                <w:sz w:val="24"/>
                <w:szCs w:val="24"/>
              </w:rPr>
              <w:t>拟</w:t>
            </w:r>
            <w:r>
              <w:rPr>
                <w:rFonts w:hint="eastAsia" w:ascii="宋体" w:hAnsi="宋体" w:eastAsia="宋体" w:cs="宋体"/>
                <w:color w:val="auto"/>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auto"/>
                <w:sz w:val="24"/>
                <w:szCs w:val="24"/>
                <w:highlight w:val="none"/>
                <w:lang w:val="en-US" w:eastAsia="zh-CN"/>
              </w:rPr>
              <w:t>）未显示异常；</w:t>
            </w:r>
          </w:p>
          <w:p>
            <w:pPr>
              <w:pStyle w:val="22"/>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r>
              <w:rPr>
                <w:rFonts w:hint="eastAsia"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w:t>
            </w:r>
            <w:r>
              <w:rPr>
                <w:rFonts w:hint="eastAsia" w:hAnsi="宋体" w:eastAsia="宋体" w:cs="宋体"/>
                <w:color w:val="auto"/>
                <w:sz w:val="24"/>
                <w:szCs w:val="24"/>
              </w:rPr>
              <w:t>拟</w:t>
            </w:r>
            <w:r>
              <w:rPr>
                <w:rFonts w:hint="eastAsia" w:ascii="宋体" w:hAnsi="宋体" w:eastAsia="宋体" w:cs="宋体"/>
                <w:color w:val="auto"/>
                <w:kern w:val="2"/>
                <w:sz w:val="24"/>
                <w:szCs w:val="24"/>
                <w:highlight w:val="none"/>
                <w:lang w:val="en-US" w:eastAsia="zh-CN" w:bidi="ar-SA"/>
              </w:rPr>
              <w:t>投标人的直接或间接股东、法定代表人、董事、监事、高管非重汽员工及其亲属；</w:t>
            </w:r>
          </w:p>
          <w:p>
            <w:pPr>
              <w:pStyle w:val="2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1</w:t>
            </w:r>
            <w:r>
              <w:rPr>
                <w:rFonts w:hint="eastAsia" w:hAnsi="宋体" w:eastAsia="宋体" w:cs="宋体"/>
                <w:color w:val="auto"/>
                <w:sz w:val="24"/>
                <w:szCs w:val="24"/>
                <w:lang w:val="en-US" w:eastAsia="zh-CN"/>
              </w:rPr>
              <w:t>4.无招标违规、谎报年度报告信息、提供虚假资质资料等行为或其他行政处罚记录</w:t>
            </w:r>
            <w:r>
              <w:rPr>
                <w:rFonts w:hint="eastAsia" w:hAnsi="宋体" w:eastAsia="宋体" w:cs="宋体"/>
                <w:color w:val="auto"/>
                <w:sz w:val="24"/>
                <w:szCs w:val="24"/>
                <w:lang w:eastAsia="zh-CN"/>
              </w:rPr>
              <w:t>；</w:t>
            </w:r>
          </w:p>
          <w:p>
            <w:pPr>
              <w:pStyle w:val="22"/>
              <w:ind w:firstLine="480" w:firstLineChars="200"/>
              <w:rPr>
                <w:rFonts w:hint="eastAsia" w:hAnsi="宋体" w:eastAsia="宋体" w:cs="宋体"/>
                <w:color w:val="auto"/>
                <w:sz w:val="24"/>
                <w:szCs w:val="24"/>
              </w:rPr>
            </w:pPr>
            <w:r>
              <w:rPr>
                <w:rFonts w:hint="eastAsia" w:hAnsi="宋体" w:eastAsia="宋体" w:cs="宋体"/>
                <w:color w:val="auto"/>
                <w:sz w:val="24"/>
                <w:szCs w:val="24"/>
                <w:lang w:val="en-US" w:eastAsia="zh-CN"/>
              </w:rPr>
              <w:t>15.投标方应保证所供货物（或设备）必须符合当前国家或地方最新安全、环保、消防、职业健康最新法律法规及《机械制造企业安全生产标准化规范》各项要求。确保货物在使用管理过程中满足《职业健康安全管理体系》《环境管理体系》等方面的国家标准、规范及地方规章要求</w:t>
            </w:r>
            <w:r>
              <w:rPr>
                <w:rFonts w:hint="eastAsia" w:hAnsi="宋体" w:eastAsia="宋体" w:cs="宋体"/>
                <w:color w:val="auto"/>
                <w:sz w:val="24"/>
                <w:szCs w:val="24"/>
              </w:rPr>
              <w:t>。</w:t>
            </w:r>
          </w:p>
          <w:p>
            <w:pPr>
              <w:pStyle w:val="22"/>
              <w:ind w:firstLine="480" w:firstLineChars="200"/>
              <w:rPr>
                <w:rFonts w:hint="eastAsia" w:ascii="仿宋_GB2312" w:hAnsi="仿宋_GB2312" w:eastAsia="仿宋_GB2312" w:cs="仿宋_GB2312"/>
                <w:color w:val="000000"/>
                <w:sz w:val="24"/>
                <w:szCs w:val="24"/>
              </w:rPr>
            </w:pPr>
            <w:r>
              <w:rPr>
                <w:rFonts w:hint="eastAsia" w:hAnsi="宋体" w:eastAsia="宋体" w:cs="宋体"/>
                <w:color w:val="auto"/>
                <w:sz w:val="24"/>
                <w:szCs w:val="24"/>
                <w:highlight w:val="none"/>
                <w:lang w:val="en-US" w:eastAsia="zh-CN"/>
              </w:rPr>
              <w:t>16.</w:t>
            </w:r>
            <w:r>
              <w:rPr>
                <w:rFonts w:hint="eastAsia" w:hAnsi="宋体" w:eastAsia="宋体" w:cs="宋体"/>
                <w:b/>
                <w:bCs/>
                <w:color w:val="auto"/>
                <w:sz w:val="24"/>
                <w:szCs w:val="24"/>
                <w:highlight w:val="none"/>
                <w:lang w:val="en-US" w:eastAsia="zh-CN"/>
              </w:rPr>
              <w:t>本项目不接受联合体投标，</w:t>
            </w:r>
            <w:r>
              <w:rPr>
                <w:rFonts w:hint="eastAsia" w:hAnsi="宋体" w:eastAsia="宋体" w:cs="宋体"/>
                <w:color w:val="auto"/>
                <w:sz w:val="24"/>
                <w:szCs w:val="24"/>
                <w:highlight w:val="none"/>
                <w:lang w:val="en-US" w:eastAsia="zh-CN"/>
              </w:rPr>
              <w:t>拟投标人必须是最终投标单位和签订合同单位，不得以任何理由将已中标项目以任何形式分包或转包给其他单位</w:t>
            </w:r>
            <w:r>
              <w:rPr>
                <w:rFonts w:hint="eastAsia" w:hAnsi="宋体" w:eastAsia="宋体" w:cs="宋体"/>
                <w:color w:val="auto"/>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2025年11月13日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2025年11月20日前</w:t>
            </w:r>
            <w:r>
              <w:rPr>
                <w:rFonts w:hint="eastAsia" w:ascii="仿宋_GB2312" w:hAnsi="仿宋_GB2312" w:eastAsia="仿宋_GB2312" w:cs="仿宋_GB2312"/>
                <w:b/>
                <w:snapToGrid w:val="0"/>
                <w:kern w:val="0"/>
                <w:sz w:val="24"/>
                <w:szCs w:val="24"/>
                <w:highlight w:val="none"/>
              </w:rPr>
              <w:t>。</w:t>
            </w:r>
          </w:p>
          <w:p>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2025年11月20日前</w:t>
            </w:r>
          </w:p>
          <w:p>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1</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default"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2025年11月18日17：00.</w:t>
            </w:r>
          </w:p>
          <w:p>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2025年11月22日17：00.</w:t>
            </w:r>
          </w:p>
          <w:p>
            <w:pPr>
              <w:pStyle w:val="22"/>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5000</w:t>
            </w:r>
            <w:r>
              <w:rPr>
                <w:rFonts w:hint="eastAsia" w:ascii="仿宋_GB2312" w:hAnsi="仿宋_GB2312" w:eastAsia="仿宋_GB2312" w:cs="仿宋_GB2312"/>
                <w:sz w:val="24"/>
                <w:szCs w:val="24"/>
              </w:rPr>
              <w:t>元</w:t>
            </w:r>
          </w:p>
          <w:p>
            <w:pPr>
              <w:tabs>
                <w:tab w:val="left" w:pos="932"/>
              </w:tabs>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开户名称：</w:t>
            </w:r>
            <w:r>
              <w:rPr>
                <w:rFonts w:ascii="宋体" w:hAnsi="宋体" w:eastAsia="宋体" w:cs="宋体"/>
                <w:sz w:val="24"/>
                <w:szCs w:val="24"/>
              </w:rPr>
              <w:t>中国重汽集团济南商用车有限公司</w:t>
            </w:r>
          </w:p>
          <w:p>
            <w:pPr>
              <w:tabs>
                <w:tab w:val="left" w:pos="932"/>
              </w:tabs>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开户银行：</w:t>
            </w:r>
            <w:r>
              <w:rPr>
                <w:rFonts w:ascii="宋体" w:hAnsi="宋体" w:eastAsia="宋体" w:cs="宋体"/>
                <w:sz w:val="24"/>
                <w:szCs w:val="24"/>
              </w:rPr>
              <w:t>中信银行舜耕支行</w:t>
            </w:r>
          </w:p>
          <w:p>
            <w:pPr>
              <w:tabs>
                <w:tab w:val="left" w:pos="932"/>
              </w:tabs>
              <w:ind w:firstLine="482" w:firstLineChars="200"/>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银行</w:t>
            </w:r>
            <w:r>
              <w:rPr>
                <w:rFonts w:hint="eastAsia" w:ascii="仿宋_GB2312" w:hAnsi="仿宋_GB2312" w:eastAsia="仿宋_GB2312" w:cs="仿宋_GB2312"/>
                <w:b/>
                <w:bCs/>
                <w:color w:val="000000"/>
                <w:kern w:val="0"/>
                <w:sz w:val="24"/>
                <w:szCs w:val="24"/>
                <w:highlight w:val="none"/>
                <w:lang w:val="en-US" w:eastAsia="zh-CN"/>
              </w:rPr>
              <w:t>账</w:t>
            </w:r>
            <w:r>
              <w:rPr>
                <w:rFonts w:hint="eastAsia" w:ascii="仿宋_GB2312" w:hAnsi="仿宋_GB2312" w:eastAsia="仿宋_GB2312" w:cs="仿宋_GB2312"/>
                <w:b/>
                <w:bCs/>
                <w:color w:val="000000"/>
                <w:kern w:val="0"/>
                <w:sz w:val="24"/>
                <w:szCs w:val="24"/>
                <w:highlight w:val="none"/>
              </w:rPr>
              <w:t>号：</w:t>
            </w:r>
            <w:r>
              <w:rPr>
                <w:rFonts w:ascii="宋体" w:hAnsi="宋体" w:eastAsia="宋体" w:cs="宋体"/>
                <w:sz w:val="24"/>
                <w:szCs w:val="24"/>
              </w:rPr>
              <w:t>7372610182600034841</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rPr>
              <w:t>联行号：</w:t>
            </w:r>
            <w:r>
              <w:rPr>
                <w:rFonts w:ascii="宋体" w:hAnsi="宋体" w:eastAsia="宋体" w:cs="宋体"/>
                <w:sz w:val="24"/>
                <w:szCs w:val="24"/>
              </w:rPr>
              <w:t>302451037264</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2025年11月22日17：00.</w:t>
            </w:r>
          </w:p>
          <w:p>
            <w:pPr>
              <w:pStyle w:val="40"/>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2025年11月23日9：00</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b/>
                <w:bCs/>
                <w:sz w:val="24"/>
                <w:szCs w:val="24"/>
                <w:highlight w:val="none"/>
                <w:lang w:val="en-US" w:eastAsia="zh-CN"/>
              </w:rPr>
              <w:t>线上会议室</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w:t>
            </w:r>
            <w:r>
              <w:rPr>
                <w:rFonts w:hint="eastAsia" w:ascii="宋体" w:hAnsi="宋体" w:eastAsia="宋体" w:cs="宋体"/>
                <w:b/>
                <w:bCs/>
                <w:color w:val="FF0000"/>
                <w:sz w:val="24"/>
                <w:szCs w:val="24"/>
                <w:highlight w:val="green"/>
              </w:rPr>
              <w:t>资质标审核→技术标评审→商务标评审。技术标入围后，原则上选取</w:t>
            </w:r>
            <w:r>
              <w:rPr>
                <w:rFonts w:hint="eastAsia" w:ascii="宋体" w:hAnsi="宋体" w:eastAsia="宋体" w:cs="Times New Roman"/>
                <w:b/>
                <w:bCs/>
                <w:color w:val="FF0000"/>
                <w:sz w:val="24"/>
                <w:szCs w:val="24"/>
                <w:highlight w:val="green"/>
              </w:rPr>
              <w:t>合理最低价中标</w:t>
            </w:r>
            <w:r>
              <w:rPr>
                <w:rFonts w:hint="eastAsia" w:ascii="宋体" w:hAnsi="宋体" w:eastAsia="宋体" w:cs="宋体"/>
                <w:color w:val="FF0000"/>
                <w:sz w:val="24"/>
                <w:szCs w:val="24"/>
                <w:highlight w:val="green"/>
              </w:rPr>
              <w:t>。</w:t>
            </w:r>
            <w:r>
              <w:rPr>
                <w:rFonts w:hint="eastAsia" w:ascii="仿宋_GB2312" w:hAnsi="仿宋_GB2312" w:eastAsia="仿宋_GB2312" w:cs="仿宋_GB2312"/>
                <w:color w:val="FF0000"/>
                <w:sz w:val="24"/>
                <w:szCs w:val="24"/>
                <w:highlight w:val="green"/>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1.自合同生效后</w:t>
            </w:r>
            <w:r>
              <w:rPr>
                <w:rFonts w:hint="eastAsia" w:ascii="仿宋_GB2312" w:hAnsi="仿宋_GB2312" w:eastAsia="仿宋_GB2312" w:cs="仿宋_GB2312"/>
                <w:b/>
                <w:bCs/>
                <w:color w:val="000000"/>
                <w:sz w:val="24"/>
                <w:szCs w:val="24"/>
                <w:lang w:val="en-US" w:eastAsia="zh-CN"/>
              </w:rPr>
              <w:t>30</w:t>
            </w:r>
            <w:r>
              <w:rPr>
                <w:rFonts w:hint="eastAsia" w:ascii="仿宋_GB2312" w:hAnsi="仿宋_GB2312" w:eastAsia="仿宋_GB2312" w:cs="仿宋_GB2312"/>
                <w:b/>
                <w:bCs/>
                <w:color w:val="000000"/>
                <w:sz w:val="24"/>
                <w:szCs w:val="24"/>
              </w:rPr>
              <w:t>个日历日内，中标人须交付设备到招标人指定的安装和使用的现场，并保证整套测试系统正常进入试运行状态。</w:t>
            </w:r>
          </w:p>
          <w:p>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2.接续</w:t>
            </w:r>
            <w:r>
              <w:rPr>
                <w:rFonts w:hint="eastAsia" w:ascii="仿宋_GB2312" w:hAnsi="仿宋_GB2312" w:eastAsia="仿宋_GB2312" w:cs="仿宋_GB2312"/>
                <w:b/>
                <w:bCs/>
                <w:color w:val="000000"/>
                <w:sz w:val="24"/>
                <w:szCs w:val="24"/>
                <w:lang w:val="en-US" w:eastAsia="zh-CN"/>
              </w:rPr>
              <w:t>55</w:t>
            </w:r>
            <w:r>
              <w:rPr>
                <w:rFonts w:hint="eastAsia" w:ascii="仿宋_GB2312" w:hAnsi="仿宋_GB2312" w:eastAsia="仿宋_GB2312" w:cs="仿宋_GB2312"/>
                <w:b/>
                <w:bCs/>
                <w:color w:val="000000"/>
                <w:sz w:val="24"/>
                <w:szCs w:val="24"/>
              </w:rPr>
              <w:t>个日历日之内安装调试完毕。</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b/>
                <w:bCs/>
                <w:color w:val="000000"/>
                <w:sz w:val="24"/>
                <w:szCs w:val="24"/>
                <w:lang w:eastAsia="zh-CN"/>
              </w:rPr>
              <w:t>山东省济南市章丘区世纪大道北50米济南商用车公司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2"/>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付款节点:3:6:1 ：</w:t>
            </w:r>
          </w:p>
          <w:p>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A.设备全部到货后，中标人提交金额为合同价款30%的收据并提供合同价款30%的增值税专用发票（含复印件二份），经招标人依照财务制度审核通过后30日支付；</w:t>
            </w:r>
          </w:p>
          <w:p>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B.设备验收合格后，中标人提交金额为合同价款60%的收据并提供合同价款70%的增值税专用发票（含复印件二份），经招标人依照财务制度审核通过后30日支付；</w:t>
            </w:r>
          </w:p>
          <w:p>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C.合同总价款的10%作为本合同约定设备的质量保证金，质量保证金在质量保证期内不计利息。质保期届满后支付。</w:t>
            </w:r>
          </w:p>
          <w:p>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6"/>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7"/>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6"/>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pPr>
        <w:pStyle w:val="22"/>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pPr>
        <w:pStyle w:val="3"/>
        <w:rPr>
          <w:rFonts w:hint="eastAsia" w:ascii="仿宋_GB2312" w:hAnsi="仿宋_GB2312" w:eastAsia="仿宋_GB2312" w:cs="仿宋_GB2312"/>
          <w:sz w:val="44"/>
        </w:rPr>
      </w:pPr>
      <w:bookmarkStart w:id="7" w:name="_Toc11216"/>
      <w:bookmarkStart w:id="8" w:name="_Toc27087"/>
      <w:bookmarkStart w:id="9" w:name="_Toc9448"/>
      <w:bookmarkStart w:id="10" w:name="_Toc6577"/>
      <w:bookmarkStart w:id="11" w:name="_Toc19183"/>
      <w:bookmarkStart w:id="12" w:name="_Toc427"/>
      <w:r>
        <w:rPr>
          <w:rFonts w:hint="eastAsia" w:ascii="仿宋_GB2312" w:hAnsi="仿宋_GB2312" w:eastAsia="仿宋_GB2312" w:cs="仿宋_GB2312"/>
          <w:sz w:val="44"/>
        </w:rPr>
        <w:t>第二部分 投标须知</w:t>
      </w:r>
      <w:bookmarkEnd w:id="7"/>
      <w:bookmarkEnd w:id="8"/>
      <w:bookmarkEnd w:id="9"/>
      <w:bookmarkEnd w:id="10"/>
      <w:bookmarkEnd w:id="11"/>
      <w:bookmarkEnd w:id="12"/>
    </w:p>
    <w:p>
      <w:pPr>
        <w:pStyle w:val="4"/>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pPr>
        <w:pStyle w:val="4"/>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pPr>
        <w:pStyle w:val="4"/>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pPr>
        <w:pStyle w:val="4"/>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pPr>
        <w:pStyle w:val="22"/>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2"/>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pPr>
        <w:pStyle w:val="22"/>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pPr>
        <w:pStyle w:val="4"/>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pPr>
        <w:pStyle w:val="4"/>
        <w:rPr>
          <w:rFonts w:hint="eastAsia" w:ascii="仿宋_GB2312" w:hAnsi="仿宋_GB2312" w:eastAsia="仿宋_GB2312" w:cs="仿宋_GB2312"/>
          <w:sz w:val="36"/>
          <w:szCs w:val="36"/>
        </w:rPr>
      </w:pPr>
      <w:bookmarkStart w:id="19" w:name="_Toc33265653"/>
      <w:bookmarkStart w:id="20" w:name="_Toc30534"/>
      <w:bookmarkStart w:id="21" w:name="_Toc33266914"/>
      <w:bookmarkStart w:id="22" w:name="_Toc33266627"/>
      <w:bookmarkStart w:id="23" w:name="_Toc33266950"/>
      <w:bookmarkStart w:id="24" w:name="_Toc33267001"/>
      <w:bookmarkStart w:id="25" w:name="_Toc33265752"/>
      <w:bookmarkStart w:id="26" w:name="_Toc33285487"/>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pPr>
        <w:adjustRightInd w:val="0"/>
        <w:snapToGrid w:val="0"/>
        <w:spacing w:line="360" w:lineRule="auto"/>
        <w:ind w:firstLine="480" w:firstLineChars="200"/>
        <w:rPr>
          <w:rFonts w:hint="eastAsia" w:ascii="仿宋_GB2312" w:hAnsi="仿宋_GB2312" w:eastAsia="仿宋_GB2312" w:cs="仿宋_GB2312"/>
          <w:b/>
          <w:color w:val="000000"/>
          <w:sz w:val="24"/>
          <w:szCs w:val="24"/>
          <w:highlight w:val="green"/>
        </w:rPr>
      </w:pPr>
      <w:bookmarkStart w:id="28" w:name="_Toc28416"/>
      <w:r>
        <w:rPr>
          <w:rFonts w:hint="eastAsia" w:ascii="仿宋_GB2312" w:hAnsi="仿宋_GB2312" w:eastAsia="仿宋_GB2312" w:cs="仿宋_GB2312"/>
          <w:sz w:val="24"/>
          <w:szCs w:val="24"/>
          <w:highlight w:val="green"/>
        </w:rPr>
        <w:t>本次招标采用</w:t>
      </w:r>
      <w:bookmarkStart w:id="29" w:name="_Toc33285489"/>
      <w:bookmarkStart w:id="30" w:name="_Toc33266915"/>
      <w:bookmarkStart w:id="31" w:name="_Toc33266951"/>
      <w:bookmarkStart w:id="32" w:name="_Toc33265753"/>
      <w:bookmarkStart w:id="33" w:name="_Toc33265654"/>
      <w:bookmarkStart w:id="34" w:name="_Toc395116634"/>
      <w:bookmarkStart w:id="35" w:name="_Toc33267002"/>
      <w:bookmarkStart w:id="36" w:name="_Toc33266628"/>
      <w:r>
        <w:rPr>
          <w:rFonts w:hint="eastAsia" w:ascii="仿宋_GB2312" w:hAnsi="仿宋_GB2312" w:eastAsia="仿宋_GB2312" w:cs="仿宋_GB2312"/>
          <w:b/>
          <w:sz w:val="24"/>
          <w:szCs w:val="24"/>
          <w:highlight w:val="green"/>
        </w:rPr>
        <w:t>技术标入围后，原则上</w:t>
      </w:r>
      <w:r>
        <w:rPr>
          <w:rFonts w:hint="eastAsia" w:ascii="仿宋_GB2312" w:hAnsi="仿宋_GB2312" w:eastAsia="仿宋_GB2312" w:cs="仿宋_GB2312"/>
          <w:b/>
          <w:bCs/>
          <w:sz w:val="24"/>
          <w:szCs w:val="24"/>
          <w:highlight w:val="green"/>
        </w:rPr>
        <w:t>合理最低价</w:t>
      </w:r>
      <w:r>
        <w:rPr>
          <w:rFonts w:hint="eastAsia" w:ascii="仿宋_GB2312" w:hAnsi="仿宋_GB2312" w:eastAsia="仿宋_GB2312" w:cs="仿宋_GB2312"/>
          <w:b/>
          <w:sz w:val="24"/>
          <w:szCs w:val="24"/>
          <w:highlight w:val="green"/>
        </w:rPr>
        <w:t>中标</w:t>
      </w:r>
      <w:r>
        <w:rPr>
          <w:rFonts w:hint="eastAsia" w:ascii="仿宋_GB2312" w:hAnsi="仿宋_GB2312" w:eastAsia="仿宋_GB2312" w:cs="仿宋_GB2312"/>
          <w:sz w:val="24"/>
          <w:szCs w:val="24"/>
          <w:highlight w:val="green"/>
        </w:rPr>
        <w:t>。</w:t>
      </w:r>
      <w:r>
        <w:rPr>
          <w:rFonts w:hint="eastAsia" w:ascii="仿宋_GB2312" w:hAnsi="仿宋_GB2312" w:eastAsia="仿宋_GB2312" w:cs="仿宋_GB2312"/>
          <w:color w:val="000000"/>
          <w:sz w:val="24"/>
          <w:szCs w:val="24"/>
          <w:highlight w:val="green"/>
        </w:rPr>
        <w:t>本着公平、公正、公开的原则，在满足技术要求的前提下，选择合理最低价确定中标人</w:t>
      </w:r>
      <w:r>
        <w:rPr>
          <w:rFonts w:hint="eastAsia" w:ascii="仿宋_GB2312" w:hAnsi="仿宋_GB2312" w:eastAsia="仿宋_GB2312" w:cs="仿宋_GB2312"/>
          <w:b/>
          <w:color w:val="000000"/>
          <w:sz w:val="24"/>
          <w:szCs w:val="24"/>
          <w:highlight w:val="green"/>
        </w:rPr>
        <w:t>，对未中标单位不做任何解释。</w:t>
      </w:r>
    </w:p>
    <w:bookmarkEnd w:id="29"/>
    <w:bookmarkEnd w:id="30"/>
    <w:bookmarkEnd w:id="31"/>
    <w:bookmarkEnd w:id="32"/>
    <w:bookmarkEnd w:id="33"/>
    <w:bookmarkEnd w:id="34"/>
    <w:bookmarkEnd w:id="35"/>
    <w:bookmarkEnd w:id="36"/>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评标流程：</w:t>
      </w:r>
    </w:p>
    <w:p>
      <w:pPr>
        <w:pStyle w:val="22"/>
        <w:spacing w:line="360" w:lineRule="auto"/>
        <w:ind w:firstLine="482" w:firstLineChars="200"/>
        <w:rPr>
          <w:rFonts w:hint="default" w:ascii="仿宋_GB2312" w:hAnsi="仿宋_GB2312" w:eastAsia="仿宋_GB2312" w:cs="仿宋_GB2312"/>
          <w:b/>
          <w:color w:val="000000"/>
          <w:sz w:val="24"/>
          <w:szCs w:val="24"/>
          <w:lang w:val="en-US" w:eastAsia="zh-CN"/>
        </w:rPr>
      </w:pPr>
      <w:r>
        <w:rPr>
          <w:rFonts w:hint="eastAsia" w:ascii="仿宋_GB2312" w:hAnsi="仿宋_GB2312" w:eastAsia="仿宋_GB2312" w:cs="仿宋_GB2312"/>
          <w:b/>
          <w:color w:val="000000"/>
          <w:sz w:val="24"/>
          <w:szCs w:val="24"/>
          <w:lang w:val="en-US" w:eastAsia="zh-CN"/>
        </w:rPr>
        <w:t>1.合理最低价评标：</w:t>
      </w:r>
    </w:p>
    <w:p>
      <w:pPr>
        <w:pStyle w:val="22"/>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green"/>
        </w:rPr>
        <w:t>1.1-1.1</w:t>
      </w:r>
      <w:r>
        <w:rPr>
          <w:rFonts w:hint="eastAsia" w:ascii="仿宋_GB2312" w:hAnsi="仿宋_GB2312" w:eastAsia="仿宋_GB2312" w:cs="仿宋_GB2312"/>
          <w:b/>
          <w:bCs/>
          <w:color w:val="000000"/>
          <w:sz w:val="24"/>
          <w:szCs w:val="24"/>
          <w:highlight w:val="green"/>
          <w:lang w:val="en-US" w:eastAsia="zh-CN"/>
        </w:rPr>
        <w:t>1</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pPr>
        <w:numPr>
          <w:ilvl w:val="0"/>
          <w:numId w:val="7"/>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pPr>
        <w:numPr>
          <w:ilvl w:val="0"/>
          <w:numId w:val="8"/>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pPr>
        <w:adjustRightInd w:val="0"/>
        <w:snapToGrid w:val="0"/>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中标人确定：技术标入围后，</w:t>
      </w:r>
      <w:r>
        <w:rPr>
          <w:rFonts w:hint="eastAsia" w:ascii="仿宋_GB2312" w:hAnsi="仿宋_GB2312" w:eastAsia="仿宋_GB2312" w:cs="仿宋_GB2312"/>
          <w:b/>
          <w:sz w:val="24"/>
          <w:szCs w:val="24"/>
          <w:highlight w:val="green"/>
          <w:lang w:val="en-US" w:eastAsia="zh-CN"/>
        </w:rPr>
        <w:t>原则上合理最低价确定中标</w:t>
      </w:r>
      <w:r>
        <w:rPr>
          <w:rFonts w:hint="eastAsia" w:ascii="仿宋_GB2312" w:hAnsi="仿宋_GB2312" w:eastAsia="仿宋_GB2312" w:cs="仿宋_GB2312"/>
          <w:b/>
          <w:sz w:val="24"/>
          <w:szCs w:val="24"/>
        </w:rPr>
        <w:t>。</w:t>
      </w:r>
    </w:p>
    <w:p>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pPr>
        <w:pStyle w:val="4"/>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28"/>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pPr>
        <w:pStyle w:val="4"/>
        <w:rPr>
          <w:rFonts w:hint="eastAsia" w:ascii="仿宋_GB2312" w:hAnsi="仿宋_GB2312" w:eastAsia="仿宋_GB2312" w:cs="仿宋_GB2312"/>
          <w:sz w:val="36"/>
          <w:szCs w:val="36"/>
        </w:rPr>
      </w:pPr>
      <w:bookmarkStart w:id="37" w:name="_Toc15650"/>
      <w:r>
        <w:rPr>
          <w:rFonts w:hint="eastAsia" w:ascii="仿宋_GB2312" w:hAnsi="仿宋_GB2312" w:eastAsia="仿宋_GB2312" w:cs="仿宋_GB2312"/>
          <w:sz w:val="36"/>
          <w:szCs w:val="36"/>
        </w:rPr>
        <w:t>八、废标及终止招标</w:t>
      </w:r>
      <w:bookmarkEnd w:id="37"/>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pPr>
        <w:pStyle w:val="22"/>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8" w:name="OLE_LINK29"/>
      <w:bookmarkStart w:id="39" w:name="OLE_LINK28"/>
      <w:bookmarkStart w:id="40" w:name="OLE_LINK27"/>
      <w:bookmarkStart w:id="41" w:name="OLE_LINK26"/>
      <w:bookmarkStart w:id="42" w:name="OLE_LINK25"/>
      <w:r>
        <w:rPr>
          <w:rFonts w:hint="eastAsia" w:ascii="仿宋_GB2312" w:hAnsi="仿宋_GB2312" w:eastAsia="仿宋_GB2312" w:cs="仿宋_GB2312"/>
          <w:bCs/>
          <w:sz w:val="24"/>
          <w:szCs w:val="24"/>
        </w:rPr>
        <w:t>；</w:t>
      </w:r>
      <w:bookmarkEnd w:id="38"/>
      <w:bookmarkEnd w:id="39"/>
      <w:bookmarkEnd w:id="40"/>
      <w:bookmarkEnd w:id="41"/>
      <w:bookmarkEnd w:id="42"/>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pPr>
        <w:pStyle w:val="22"/>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4"/>
        <w:rPr>
          <w:rFonts w:hint="eastAsia" w:ascii="仿宋_GB2312" w:hAnsi="仿宋_GB2312" w:eastAsia="仿宋_GB2312" w:cs="仿宋_GB2312"/>
          <w:sz w:val="36"/>
          <w:szCs w:val="36"/>
        </w:rPr>
      </w:pPr>
      <w:bookmarkStart w:id="43" w:name="_Toc14012"/>
      <w:r>
        <w:rPr>
          <w:rFonts w:hint="eastAsia" w:ascii="仿宋_GB2312" w:hAnsi="仿宋_GB2312" w:eastAsia="仿宋_GB2312" w:cs="仿宋_GB2312"/>
          <w:sz w:val="36"/>
          <w:szCs w:val="36"/>
        </w:rPr>
        <w:t>九、本次招标最终解释权归中国重汽集团济南动力有限公司。</w:t>
      </w:r>
      <w:bookmarkEnd w:id="43"/>
    </w:p>
    <w:p>
      <w:pPr>
        <w:pStyle w:val="22"/>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pPr>
        <w:pStyle w:val="3"/>
        <w:rPr>
          <w:rFonts w:hint="eastAsia" w:ascii="仿宋_GB2312" w:hAnsi="仿宋_GB2312" w:eastAsia="仿宋_GB2312" w:cs="仿宋_GB2312"/>
          <w:sz w:val="44"/>
        </w:rPr>
      </w:pPr>
      <w:bookmarkStart w:id="44" w:name="_Toc762"/>
      <w:bookmarkStart w:id="45" w:name="_Toc2363"/>
      <w:bookmarkStart w:id="46" w:name="_Toc13479"/>
      <w:bookmarkStart w:id="47" w:name="_Toc21022"/>
      <w:bookmarkStart w:id="48" w:name="_Toc13002"/>
      <w:bookmarkStart w:id="49" w:name="_Toc31869"/>
      <w:r>
        <w:rPr>
          <w:rFonts w:hint="eastAsia" w:ascii="仿宋_GB2312" w:hAnsi="仿宋_GB2312" w:eastAsia="仿宋_GB2312" w:cs="仿宋_GB2312"/>
          <w:sz w:val="44"/>
        </w:rPr>
        <w:t>第三部分 投标文件编制</w:t>
      </w:r>
      <w:bookmarkEnd w:id="44"/>
      <w:bookmarkEnd w:id="45"/>
      <w:bookmarkEnd w:id="46"/>
      <w:bookmarkEnd w:id="47"/>
      <w:bookmarkEnd w:id="48"/>
      <w:bookmarkEnd w:id="49"/>
    </w:p>
    <w:p>
      <w:pPr>
        <w:pStyle w:val="4"/>
        <w:rPr>
          <w:rFonts w:hint="eastAsia" w:ascii="仿宋_GB2312" w:hAnsi="仿宋_GB2312" w:eastAsia="仿宋_GB2312" w:cs="仿宋_GB2312"/>
          <w:sz w:val="36"/>
          <w:szCs w:val="36"/>
        </w:rPr>
      </w:pPr>
      <w:bookmarkStart w:id="50" w:name="_Toc2771"/>
      <w:r>
        <w:rPr>
          <w:rFonts w:hint="eastAsia" w:ascii="仿宋_GB2312" w:hAnsi="仿宋_GB2312" w:eastAsia="仿宋_GB2312" w:cs="仿宋_GB2312"/>
          <w:sz w:val="36"/>
          <w:szCs w:val="36"/>
        </w:rPr>
        <w:t>一、投标文件的编制</w:t>
      </w:r>
      <w:bookmarkEnd w:id="50"/>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pPr>
        <w:pStyle w:val="4"/>
        <w:rPr>
          <w:rFonts w:hint="eastAsia" w:ascii="仿宋_GB2312" w:hAnsi="仿宋_GB2312" w:eastAsia="仿宋_GB2312" w:cs="仿宋_GB2312"/>
          <w:sz w:val="36"/>
          <w:szCs w:val="36"/>
        </w:rPr>
      </w:pPr>
      <w:bookmarkStart w:id="51" w:name="_Toc5592"/>
      <w:r>
        <w:rPr>
          <w:rFonts w:hint="eastAsia" w:ascii="仿宋_GB2312" w:hAnsi="仿宋_GB2312" w:eastAsia="仿宋_GB2312" w:cs="仿宋_GB2312"/>
          <w:sz w:val="36"/>
          <w:szCs w:val="36"/>
        </w:rPr>
        <w:t>二、投标文件资料</w:t>
      </w:r>
      <w:bookmarkEnd w:id="51"/>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pPr>
        <w:pStyle w:val="4"/>
        <w:rPr>
          <w:rFonts w:hint="eastAsia" w:ascii="仿宋_GB2312" w:hAnsi="仿宋_GB2312" w:eastAsia="仿宋_GB2312" w:cs="仿宋_GB2312"/>
          <w:sz w:val="36"/>
          <w:szCs w:val="36"/>
        </w:rPr>
      </w:pPr>
      <w:bookmarkStart w:id="52" w:name="_Toc5199"/>
      <w:r>
        <w:rPr>
          <w:rFonts w:hint="eastAsia" w:ascii="仿宋_GB2312" w:hAnsi="仿宋_GB2312" w:eastAsia="仿宋_GB2312" w:cs="仿宋_GB2312"/>
          <w:sz w:val="36"/>
          <w:szCs w:val="36"/>
        </w:rPr>
        <w:t>三、投标文件的组成</w:t>
      </w:r>
      <w:bookmarkEnd w:id="52"/>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pPr>
        <w:spacing w:line="360" w:lineRule="auto"/>
        <w:ind w:firstLine="482" w:firstLineChars="200"/>
        <w:rPr>
          <w:rFonts w:hint="eastAsia" w:ascii="仿宋_GB2312" w:hAnsi="仿宋_GB2312" w:eastAsia="仿宋_GB2312" w:cs="仿宋_GB2312"/>
          <w:b/>
          <w:bCs/>
          <w:sz w:val="24"/>
          <w:szCs w:val="24"/>
        </w:rPr>
      </w:pPr>
      <w:bookmarkStart w:id="53"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53"/>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2.1技术规格偏离表（附件5-1），</w:t>
      </w:r>
      <w:r>
        <w:rPr>
          <w:rFonts w:hint="eastAsia" w:ascii="仿宋_GB2312" w:hAnsi="仿宋_GB2312" w:eastAsia="仿宋_GB2312" w:cs="仿宋_GB2312"/>
          <w:b/>
          <w:color w:val="000000"/>
          <w:sz w:val="24"/>
          <w:szCs w:val="24"/>
        </w:rPr>
        <w:t>必须先进行两列要求一一对照，不允许直接写无偏离；</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bCs/>
          <w:color w:val="000000"/>
          <w:sz w:val="24"/>
          <w:szCs w:val="24"/>
        </w:rPr>
        <w:t>2.2</w:t>
      </w:r>
      <w:r>
        <w:rPr>
          <w:rFonts w:hint="eastAsia" w:ascii="仿宋_GB2312" w:hAnsi="仿宋_GB2312" w:eastAsia="仿宋_GB2312" w:cs="仿宋_GB2312"/>
          <w:color w:val="000000"/>
          <w:sz w:val="24"/>
          <w:szCs w:val="24"/>
          <w:highlight w:val="yellow"/>
        </w:rPr>
        <w:t>设备分项配置表（附件5-2），列明项目设备分项配置规格型号、品牌等信息（要求分项明细与附表9-1完全对应），但</w:t>
      </w:r>
      <w:r>
        <w:rPr>
          <w:rFonts w:hint="eastAsia" w:ascii="仿宋_GB2312" w:hAnsi="仿宋_GB2312" w:eastAsia="仿宋_GB2312" w:cs="仿宋_GB2312"/>
          <w:b/>
          <w:color w:val="000000"/>
          <w:sz w:val="24"/>
          <w:szCs w:val="24"/>
          <w:highlight w:val="yellow"/>
        </w:rPr>
        <w:t>注意：此表在技术标书中，禁止出现任何分项价格及项目总价；</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2.3提供202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年1月1日以来同类产品的制造销售业绩（附件6，用户名单、联系方式），并附合同复印件。该同类项目业绩一览表必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一览表最终的所有业绩合同总额汇总必填</w:t>
      </w:r>
      <w:r>
        <w:rPr>
          <w:rFonts w:hint="eastAsia" w:ascii="仿宋_GB2312" w:hAnsi="仿宋_GB2312" w:eastAsia="仿宋_GB2312" w:cs="仿宋_GB2312"/>
          <w:color w:val="000000"/>
          <w:sz w:val="24"/>
          <w:szCs w:val="24"/>
        </w:rPr>
        <w:t>，数据将影响现场评标专家组对投标单位的业绩考评；</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2.4供货期及保证措施；</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2.5产品的技术服务和售后服务内容及措施；</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2.6交货进度及计划；</w:t>
      </w:r>
    </w:p>
    <w:p>
      <w:pPr>
        <w:spacing w:line="360" w:lineRule="auto"/>
        <w:ind w:firstLine="480" w:firstLineChars="200"/>
        <w:rPr>
          <w:rFonts w:hint="eastAsia" w:ascii="仿宋_GB2312" w:hAnsi="仿宋_GB2312" w:eastAsia="仿宋_GB2312" w:cs="仿宋_GB2312"/>
          <w:color w:val="000000"/>
          <w:sz w:val="24"/>
          <w:szCs w:val="24"/>
        </w:rPr>
      </w:pPr>
      <w:bookmarkStart w:id="54" w:name="_Toc536542319"/>
      <w:r>
        <w:rPr>
          <w:rFonts w:hint="eastAsia" w:ascii="仿宋_GB2312" w:hAnsi="仿宋_GB2312" w:eastAsia="仿宋_GB2312" w:cs="仿宋_GB2312"/>
          <w:color w:val="000000"/>
          <w:sz w:val="24"/>
          <w:szCs w:val="24"/>
        </w:rPr>
        <w:t>2.7投标产品技术支持材料</w:t>
      </w:r>
      <w:bookmarkEnd w:id="54"/>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2.8设备质量承诺函（附件7）；</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2.9投标人需提交的其它资料。</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55" w:name="OLE_LINK18"/>
      <w:bookmarkStart w:id="56" w:name="OLE_LINK19"/>
      <w:r>
        <w:rPr>
          <w:rFonts w:hint="eastAsia" w:ascii="仿宋_GB2312" w:hAnsi="仿宋_GB2312" w:eastAsia="仿宋_GB2312" w:cs="仿宋_GB2312"/>
          <w:b/>
          <w:color w:val="000000"/>
          <w:sz w:val="24"/>
          <w:szCs w:val="24"/>
        </w:rPr>
        <w:t>；</w:t>
      </w:r>
      <w:bookmarkEnd w:id="55"/>
      <w:bookmarkEnd w:id="56"/>
      <w:r>
        <w:rPr>
          <w:rFonts w:hint="eastAsia" w:ascii="仿宋_GB2312" w:hAnsi="仿宋_GB2312" w:eastAsia="仿宋_GB2312" w:cs="仿宋_GB2312"/>
          <w:color w:val="000000"/>
          <w:sz w:val="24"/>
          <w:szCs w:val="24"/>
        </w:rPr>
        <w:t xml:space="preserve"> </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pPr>
        <w:pStyle w:val="4"/>
        <w:rPr>
          <w:rFonts w:hint="eastAsia" w:ascii="仿宋_GB2312" w:hAnsi="仿宋_GB2312" w:eastAsia="仿宋_GB2312" w:cs="仿宋_GB2312"/>
          <w:sz w:val="36"/>
          <w:szCs w:val="36"/>
        </w:rPr>
      </w:pPr>
      <w:bookmarkStart w:id="57" w:name="_Toc15748"/>
      <w:r>
        <w:rPr>
          <w:rFonts w:hint="eastAsia" w:ascii="仿宋_GB2312" w:hAnsi="仿宋_GB2312" w:eastAsia="仿宋_GB2312" w:cs="仿宋_GB2312"/>
          <w:sz w:val="36"/>
          <w:szCs w:val="36"/>
        </w:rPr>
        <w:t>四、投标文件格式</w:t>
      </w:r>
      <w:bookmarkEnd w:id="57"/>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pPr>
        <w:spacing w:line="360" w:lineRule="auto"/>
        <w:ind w:firstLine="480" w:firstLineChars="200"/>
        <w:rPr>
          <w:rFonts w:hint="eastAsia" w:ascii="仿宋_GB2312" w:hAnsi="仿宋_GB2312" w:eastAsia="仿宋_GB2312" w:cs="仿宋_GB2312"/>
          <w:color w:val="000000"/>
          <w:sz w:val="24"/>
          <w:szCs w:val="2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bidi w:val="0"/>
        <w:rPr>
          <w:rFonts w:hint="eastAsia"/>
        </w:rPr>
      </w:pPr>
      <w:bookmarkStart w:id="58" w:name="_Toc21497"/>
      <w:bookmarkStart w:id="59" w:name="_Toc3372"/>
      <w:bookmarkStart w:id="60" w:name="_Toc7511"/>
      <w:bookmarkStart w:id="61" w:name="_Toc133783966"/>
      <w:bookmarkStart w:id="62" w:name="_Toc8202"/>
      <w:bookmarkStart w:id="63" w:name="_Toc6346"/>
      <w:bookmarkStart w:id="64" w:name="_Toc4532"/>
      <w:bookmarkStart w:id="65" w:name="_Toc19672"/>
      <w:bookmarkStart w:id="66" w:name="_Toc13562"/>
      <w:bookmarkStart w:id="67" w:name="_Toc18182"/>
      <w:bookmarkStart w:id="68" w:name="_Toc22649"/>
      <w:bookmarkStart w:id="69" w:name="_Toc18805"/>
      <w:bookmarkStart w:id="70" w:name="_Toc8032"/>
      <w:bookmarkStart w:id="71" w:name="_Toc32378"/>
      <w:bookmarkStart w:id="72" w:name="_Toc24964"/>
      <w:bookmarkStart w:id="73" w:name="_Toc7110"/>
      <w:bookmarkStart w:id="74" w:name="_Toc4483"/>
      <w:bookmarkStart w:id="75" w:name="_Toc4194"/>
      <w:bookmarkStart w:id="76" w:name="_Toc13605"/>
      <w:bookmarkStart w:id="77" w:name="_Toc14517"/>
      <w:bookmarkStart w:id="78" w:name="_Toc12714"/>
      <w:bookmarkStart w:id="79" w:name="_Toc4029"/>
      <w:bookmarkStart w:id="80" w:name="_Toc16358"/>
      <w:bookmarkStart w:id="81" w:name="_Toc13555"/>
      <w:bookmarkStart w:id="82" w:name="_Toc6957"/>
      <w:bookmarkStart w:id="83" w:name="_Toc30738"/>
      <w:bookmarkStart w:id="84" w:name="_Toc11355"/>
      <w:bookmarkStart w:id="85" w:name="_Toc20467"/>
      <w:bookmarkStart w:id="86" w:name="_Toc24913"/>
      <w:bookmarkStart w:id="87" w:name="_Toc23870"/>
      <w:bookmarkStart w:id="88" w:name="_Toc18606"/>
      <w:bookmarkStart w:id="89" w:name="_Toc3565"/>
      <w:bookmarkStart w:id="90" w:name="_Toc12563"/>
      <w:bookmarkStart w:id="91" w:name="_Toc12552"/>
      <w:bookmarkStart w:id="92" w:name="_Toc20272"/>
      <w:bookmarkStart w:id="93" w:name="_Toc1884"/>
      <w:bookmarkStart w:id="94" w:name="_Toc28236"/>
      <w:bookmarkStart w:id="95" w:name="_Toc13988"/>
    </w:p>
    <w:p>
      <w:pPr>
        <w:bidi w:val="0"/>
        <w:rPr>
          <w:rFonts w:hint="eastAsia"/>
        </w:rPr>
      </w:pPr>
    </w:p>
    <w:p>
      <w:pPr>
        <w:bidi w:val="0"/>
        <w:rPr>
          <w:rFonts w:hint="eastAsia"/>
        </w:rPr>
      </w:pPr>
    </w:p>
    <w:p>
      <w:pPr>
        <w:bidi w:val="0"/>
        <w:rPr>
          <w:rFonts w:hint="eastAsia"/>
        </w:rPr>
      </w:pPr>
    </w:p>
    <w:p>
      <w:pPr>
        <w:bidi w:val="0"/>
        <w:rPr>
          <w:rFonts w:hint="eastAsia"/>
        </w:rPr>
      </w:pPr>
    </w:p>
    <w:p>
      <w:pPr>
        <w:rPr>
          <w:rFonts w:hint="eastAsia" w:ascii="仿宋_GB2312" w:hAnsi="仿宋_GB2312" w:eastAsia="仿宋_GB2312" w:cs="仿宋_GB2312"/>
          <w:sz w:val="44"/>
          <w:highlight w:val="green"/>
        </w:rPr>
        <w:sectPr>
          <w:headerReference r:id="rId8" w:type="default"/>
          <w:footerReference r:id="rId9" w:type="default"/>
          <w:pgSz w:w="11907" w:h="16840"/>
          <w:pgMar w:top="1304" w:right="1418" w:bottom="1304" w:left="1418" w:header="724" w:footer="851" w:gutter="0"/>
          <w:cols w:space="720" w:num="1"/>
          <w:docGrid w:linePitch="290" w:charSpace="-3931"/>
        </w:sectPr>
      </w:pPr>
    </w:p>
    <w:p>
      <w:pPr>
        <w:keepNext/>
        <w:keepLines/>
        <w:jc w:val="center"/>
        <w:outlineLvl w:val="0"/>
        <w:rPr>
          <w:rFonts w:ascii="宋体" w:hAnsi="宋体" w:eastAsia="宋体" w:cs="Times New Roman"/>
          <w:b/>
          <w:bCs/>
          <w:kern w:val="44"/>
          <w:sz w:val="36"/>
          <w:szCs w:val="44"/>
        </w:rPr>
      </w:pPr>
      <w:bookmarkStart w:id="96" w:name="_Toc9849"/>
      <w:bookmarkStart w:id="97" w:name="OLE_LINK30"/>
      <w:bookmarkStart w:id="98" w:name="OLE_LINK31"/>
      <w:r>
        <w:rPr>
          <w:rFonts w:hint="eastAsia" w:ascii="宋体" w:hAnsi="宋体" w:eastAsia="宋体" w:cs="Times New Roman"/>
          <w:b/>
          <w:bCs/>
          <w:kern w:val="44"/>
          <w:sz w:val="36"/>
          <w:szCs w:val="44"/>
        </w:rPr>
        <w:t>第四部分 技术标书</w:t>
      </w:r>
      <w:bookmarkEnd w:id="96"/>
    </w:p>
    <w:p>
      <w:pPr>
        <w:pStyle w:val="22"/>
        <w:rPr>
          <w:rFonts w:hAnsi="宋体" w:eastAsia="宋体"/>
        </w:rPr>
      </w:pPr>
    </w:p>
    <w:p>
      <w:pPr>
        <w:keepNext/>
        <w:keepLines/>
        <w:jc w:val="center"/>
        <w:rPr>
          <w:rFonts w:ascii="宋体" w:hAnsi="宋体" w:eastAsia="宋体" w:cs="Times New Roman"/>
          <w:b/>
          <w:bCs/>
          <w:color w:val="000000"/>
          <w:spacing w:val="-8"/>
          <w:sz w:val="48"/>
          <w:szCs w:val="44"/>
        </w:rPr>
      </w:pPr>
      <w:r>
        <w:rPr>
          <w:rFonts w:hint="eastAsia" w:ascii="宋体" w:hAnsi="宋体" w:eastAsia="宋体" w:cs="Times New Roman"/>
          <w:b/>
          <w:bCs/>
          <w:color w:val="000000"/>
          <w:spacing w:val="-8"/>
          <w:sz w:val="48"/>
          <w:szCs w:val="44"/>
        </w:rPr>
        <w:t>中国重汽集团济南商用车制造公司</w:t>
      </w:r>
    </w:p>
    <w:p>
      <w:pPr>
        <w:keepNext/>
        <w:keepLines/>
        <w:jc w:val="center"/>
        <w:rPr>
          <w:rFonts w:ascii="宋体" w:hAnsi="宋体" w:eastAsia="宋体" w:cs="Times New Roman"/>
          <w:b/>
          <w:bCs/>
          <w:color w:val="000000"/>
          <w:spacing w:val="-8"/>
          <w:sz w:val="48"/>
          <w:szCs w:val="44"/>
        </w:rPr>
      </w:pPr>
      <w:bookmarkStart w:id="99" w:name="_Hlk208323594"/>
      <w:r>
        <w:rPr>
          <w:rFonts w:hint="eastAsia" w:ascii="宋体" w:hAnsi="宋体" w:eastAsia="宋体" w:cs="Times New Roman"/>
          <w:b/>
          <w:bCs/>
          <w:color w:val="000000"/>
          <w:spacing w:val="-8"/>
          <w:sz w:val="48"/>
          <w:szCs w:val="44"/>
        </w:rPr>
        <w:t>新能源车型产线适应性改造（</w:t>
      </w:r>
      <w:r>
        <w:rPr>
          <w:rFonts w:hint="eastAsia" w:ascii="宋体" w:hAnsi="宋体" w:eastAsia="宋体" w:cs="Times New Roman"/>
          <w:b/>
          <w:bCs/>
          <w:color w:val="000000"/>
          <w:spacing w:val="-8"/>
          <w:sz w:val="48"/>
          <w:szCs w:val="44"/>
          <w:lang w:val="en-US" w:eastAsia="zh-CN"/>
        </w:rPr>
        <w:t>二</w:t>
      </w:r>
      <w:r>
        <w:rPr>
          <w:rFonts w:hint="eastAsia" w:ascii="宋体" w:hAnsi="宋体" w:eastAsia="宋体" w:cs="Times New Roman"/>
          <w:b/>
          <w:bCs/>
          <w:color w:val="000000"/>
          <w:spacing w:val="-8"/>
          <w:sz w:val="48"/>
          <w:szCs w:val="44"/>
        </w:rPr>
        <w:t>期）</w:t>
      </w:r>
    </w:p>
    <w:p>
      <w:pPr>
        <w:spacing w:line="276" w:lineRule="auto"/>
        <w:jc w:val="center"/>
        <w:rPr>
          <w:rFonts w:hint="default" w:ascii="宋体" w:hAnsi="宋体" w:eastAsia="宋体" w:cs="Times New Roman"/>
          <w:b/>
          <w:bCs/>
          <w:color w:val="000000"/>
          <w:spacing w:val="-8"/>
          <w:sz w:val="48"/>
          <w:szCs w:val="44"/>
          <w:lang w:val="en-US" w:eastAsia="zh-CN"/>
        </w:rPr>
      </w:pPr>
      <w:r>
        <w:rPr>
          <w:rFonts w:hint="eastAsia" w:ascii="宋体" w:hAnsi="宋体" w:eastAsia="宋体" w:cs="Times New Roman"/>
          <w:b/>
          <w:bCs/>
          <w:color w:val="000000"/>
          <w:spacing w:val="-8"/>
          <w:sz w:val="48"/>
          <w:szCs w:val="44"/>
        </w:rPr>
        <w:t>招标项目子项</w:t>
      </w:r>
      <w:r>
        <w:rPr>
          <w:rFonts w:hint="eastAsia" w:ascii="宋体" w:hAnsi="宋体" w:eastAsia="宋体" w:cs="Times New Roman"/>
          <w:b/>
          <w:bCs/>
          <w:color w:val="000000"/>
          <w:spacing w:val="-8"/>
          <w:sz w:val="48"/>
          <w:szCs w:val="44"/>
          <w:lang w:val="en-US" w:eastAsia="zh-CN"/>
        </w:rPr>
        <w:t>8--新增底部电池工装吊具</w:t>
      </w:r>
    </w:p>
    <w:bookmarkEnd w:id="99"/>
    <w:p>
      <w:pPr>
        <w:jc w:val="right"/>
        <w:rPr>
          <w:rFonts w:ascii="宋体" w:hAnsi="宋体" w:eastAsia="宋体" w:cs="Times New Roman"/>
          <w:color w:val="000000"/>
          <w:sz w:val="28"/>
          <w:szCs w:val="28"/>
        </w:rPr>
      </w:pPr>
    </w:p>
    <w:p>
      <w:pPr>
        <w:pStyle w:val="22"/>
        <w:rPr>
          <w:rFonts w:hAnsi="宋体" w:eastAsia="宋体"/>
        </w:rPr>
      </w:pPr>
    </w:p>
    <w:p>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技</w:t>
      </w:r>
    </w:p>
    <w:p>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术</w:t>
      </w:r>
    </w:p>
    <w:p>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标</w:t>
      </w:r>
    </w:p>
    <w:p>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书</w:t>
      </w:r>
    </w:p>
    <w:p>
      <w:pPr>
        <w:pStyle w:val="22"/>
        <w:rPr>
          <w:rFonts w:hAnsi="宋体" w:eastAsia="宋体"/>
        </w:rPr>
      </w:pPr>
    </w:p>
    <w:p>
      <w:pPr>
        <w:pStyle w:val="22"/>
        <w:rPr>
          <w:rFonts w:hAnsi="宋体" w:eastAsia="宋体" w:cs="Times New Roman"/>
          <w:color w:val="000000"/>
          <w:sz w:val="72"/>
          <w:szCs w:val="72"/>
        </w:rPr>
      </w:pPr>
    </w:p>
    <w:p>
      <w:pPr>
        <w:pStyle w:val="22"/>
        <w:rPr>
          <w:rFonts w:hAnsi="宋体" w:eastAsia="宋体" w:cs="Times New Roman"/>
          <w:color w:val="000000"/>
          <w:sz w:val="72"/>
          <w:szCs w:val="72"/>
        </w:rPr>
      </w:pPr>
    </w:p>
    <w:p>
      <w:pPr>
        <w:spacing w:line="860" w:lineRule="exact"/>
        <w:ind w:firstLine="2570" w:firstLineChars="800"/>
        <w:rPr>
          <w:rFonts w:ascii="宋体" w:hAnsi="宋体" w:eastAsia="宋体"/>
          <w:b/>
          <w:bCs/>
          <w:sz w:val="32"/>
          <w:szCs w:val="28"/>
        </w:rPr>
      </w:pPr>
      <w:r>
        <w:rPr>
          <w:rFonts w:hint="eastAsia" w:ascii="宋体" w:hAnsi="宋体" w:eastAsia="宋体"/>
          <w:b/>
          <w:bCs/>
          <w:sz w:val="32"/>
          <w:szCs w:val="28"/>
        </w:rPr>
        <w:t xml:space="preserve"> 编制：     </w:t>
      </w:r>
    </w:p>
    <w:p>
      <w:pPr>
        <w:spacing w:line="860" w:lineRule="exact"/>
        <w:rPr>
          <w:rFonts w:ascii="宋体" w:hAnsi="宋体" w:eastAsia="宋体"/>
          <w:b/>
          <w:bCs/>
          <w:sz w:val="32"/>
          <w:szCs w:val="28"/>
        </w:rPr>
      </w:pPr>
      <w:r>
        <w:rPr>
          <w:rFonts w:hint="eastAsia" w:ascii="宋体" w:hAnsi="宋体" w:eastAsia="宋体"/>
          <w:b/>
          <w:bCs/>
          <w:sz w:val="32"/>
          <w:szCs w:val="28"/>
        </w:rPr>
        <w:t xml:space="preserve">                 审核：     </w:t>
      </w:r>
    </w:p>
    <w:p>
      <w:pPr>
        <w:spacing w:line="860" w:lineRule="exact"/>
        <w:rPr>
          <w:rFonts w:ascii="宋体" w:hAnsi="宋体" w:eastAsia="宋体"/>
          <w:b/>
          <w:bCs/>
          <w:sz w:val="32"/>
          <w:szCs w:val="28"/>
        </w:rPr>
      </w:pPr>
      <w:r>
        <w:rPr>
          <w:rFonts w:hint="eastAsia" w:ascii="宋体" w:hAnsi="宋体" w:eastAsia="宋体"/>
          <w:b/>
          <w:bCs/>
          <w:sz w:val="32"/>
          <w:szCs w:val="28"/>
        </w:rPr>
        <w:t xml:space="preserve">                 批准：     </w:t>
      </w:r>
    </w:p>
    <w:p>
      <w:pPr>
        <w:pStyle w:val="22"/>
        <w:rPr>
          <w:rFonts w:hAnsi="宋体" w:eastAsia="宋体"/>
          <w:b/>
          <w:bCs/>
        </w:rPr>
      </w:pPr>
    </w:p>
    <w:p>
      <w:pPr>
        <w:jc w:val="center"/>
        <w:rPr>
          <w:rFonts w:ascii="宋体" w:hAnsi="宋体" w:eastAsia="宋体" w:cs="Times New Roman"/>
          <w:color w:val="000000"/>
          <w:sz w:val="28"/>
          <w:szCs w:val="28"/>
        </w:rPr>
      </w:pPr>
      <w:r>
        <w:rPr>
          <w:rFonts w:hint="eastAsia" w:ascii="宋体" w:hAnsi="宋体" w:eastAsia="宋体" w:cs="Times New Roman"/>
          <w:color w:val="000000"/>
          <w:sz w:val="28"/>
          <w:szCs w:val="28"/>
        </w:rPr>
        <w:t>招标人：中国重汽集团济南商用车制造公司</w:t>
      </w:r>
    </w:p>
    <w:p>
      <w:pPr>
        <w:jc w:val="center"/>
        <w:rPr>
          <w:rFonts w:ascii="宋体" w:hAnsi="宋体" w:eastAsia="宋体" w:cs="Times New Roman"/>
          <w:b/>
          <w:bCs/>
          <w:kern w:val="44"/>
          <w:sz w:val="36"/>
          <w:szCs w:val="44"/>
        </w:rPr>
      </w:pPr>
      <w:r>
        <w:rPr>
          <w:rFonts w:ascii="宋体" w:hAnsi="宋体" w:eastAsia="宋体" w:cs="Times New Roman"/>
          <w:color w:val="000000"/>
          <w:sz w:val="28"/>
          <w:szCs w:val="28"/>
        </w:rPr>
        <w:t>202</w:t>
      </w:r>
      <w:r>
        <w:rPr>
          <w:rFonts w:hint="eastAsia" w:ascii="宋体" w:hAnsi="宋体" w:eastAsia="宋体" w:cs="Times New Roman"/>
          <w:color w:val="000000"/>
          <w:sz w:val="28"/>
          <w:szCs w:val="28"/>
        </w:rPr>
        <w:t>5年1</w:t>
      </w:r>
      <w:r>
        <w:rPr>
          <w:rFonts w:hint="eastAsia" w:ascii="宋体" w:hAnsi="宋体" w:eastAsia="宋体" w:cs="Times New Roman"/>
          <w:color w:val="000000"/>
          <w:sz w:val="28"/>
          <w:szCs w:val="28"/>
          <w:lang w:val="en-US" w:eastAsia="zh-CN"/>
        </w:rPr>
        <w:t>1</w:t>
      </w:r>
      <w:r>
        <w:rPr>
          <w:rFonts w:hint="eastAsia" w:ascii="宋体" w:hAnsi="宋体" w:eastAsia="宋体" w:cs="Times New Roman"/>
          <w:color w:val="000000"/>
          <w:sz w:val="28"/>
          <w:szCs w:val="28"/>
        </w:rPr>
        <w:t>月</w:t>
      </w:r>
    </w:p>
    <w:bookmarkEnd w:id="97"/>
    <w:bookmarkEnd w:id="98"/>
    <w:p>
      <w:pPr>
        <w:spacing w:line="360" w:lineRule="auto"/>
        <w:rPr>
          <w:rFonts w:ascii="宋体" w:hAnsi="宋体" w:eastAsia="宋体" w:cs="Times New Roman"/>
          <w:b/>
          <w:sz w:val="36"/>
          <w:szCs w:val="36"/>
        </w:rPr>
        <w:sectPr>
          <w:headerReference r:id="rId10" w:type="default"/>
          <w:footerReference r:id="rId11" w:type="default"/>
          <w:pgSz w:w="11907" w:h="16840"/>
          <w:pgMar w:top="1304" w:right="1418" w:bottom="1304" w:left="1418" w:header="724" w:footer="851" w:gutter="0"/>
          <w:cols w:space="720" w:num="1"/>
          <w:docGrid w:linePitch="290" w:charSpace="-3931"/>
        </w:sectPr>
      </w:pPr>
    </w:p>
    <w:p>
      <w:pPr>
        <w:keepNext/>
        <w:keepLines/>
        <w:spacing w:before="120" w:after="120" w:line="480" w:lineRule="exact"/>
        <w:jc w:val="center"/>
        <w:outlineLvl w:val="1"/>
        <w:rPr>
          <w:rFonts w:ascii="宋体" w:hAnsi="宋体" w:eastAsia="宋体" w:cs="Times New Roman"/>
          <w:b/>
          <w:bCs/>
          <w:kern w:val="44"/>
          <w:sz w:val="28"/>
          <w:szCs w:val="28"/>
        </w:rPr>
      </w:pPr>
      <w:bookmarkStart w:id="100" w:name="_Toc169605877"/>
      <w:r>
        <w:rPr>
          <w:rFonts w:hint="eastAsia" w:ascii="宋体" w:hAnsi="宋体" w:eastAsia="宋体" w:cs="Times New Roman"/>
          <w:b/>
          <w:bCs/>
          <w:kern w:val="44"/>
          <w:sz w:val="28"/>
          <w:szCs w:val="28"/>
        </w:rPr>
        <w:t>第一章采购货物概况</w:t>
      </w:r>
      <w:bookmarkEnd w:id="100"/>
    </w:p>
    <w:p>
      <w:pPr>
        <w:keepNext/>
        <w:keepLines/>
        <w:spacing w:before="120" w:after="120" w:line="480" w:lineRule="exact"/>
        <w:jc w:val="center"/>
        <w:outlineLvl w:val="2"/>
        <w:rPr>
          <w:rFonts w:ascii="宋体" w:hAnsi="宋体" w:eastAsia="宋体" w:cs="Times New Roman"/>
          <w:b/>
          <w:bCs/>
          <w:sz w:val="24"/>
          <w:szCs w:val="24"/>
        </w:rPr>
      </w:pPr>
      <w:bookmarkStart w:id="101" w:name="_Toc169605878"/>
      <w:r>
        <w:rPr>
          <w:rFonts w:hint="eastAsia" w:ascii="宋体" w:hAnsi="宋体" w:eastAsia="宋体" w:cs="Times New Roman"/>
          <w:b/>
          <w:bCs/>
          <w:sz w:val="24"/>
          <w:szCs w:val="24"/>
        </w:rPr>
        <w:t>第一节使用环境</w:t>
      </w:r>
      <w:bookmarkEnd w:id="101"/>
    </w:p>
    <w:p>
      <w:pPr>
        <w:spacing w:line="360" w:lineRule="auto"/>
        <w:outlineLvl w:val="3"/>
        <w:rPr>
          <w:rFonts w:hint="default" w:ascii="宋体" w:hAnsi="宋体" w:eastAsia="宋体"/>
          <w:sz w:val="24"/>
          <w:szCs w:val="24"/>
          <w:u w:val="single"/>
          <w:lang w:val="en-US" w:eastAsia="zh-CN"/>
        </w:rPr>
      </w:pPr>
      <w:r>
        <w:rPr>
          <w:rFonts w:hint="eastAsia" w:ascii="宋体" w:hAnsi="宋体" w:eastAsia="宋体"/>
          <w:sz w:val="24"/>
          <w:szCs w:val="24"/>
        </w:rPr>
        <w:t>一、项目名称：</w:t>
      </w:r>
      <w:r>
        <w:rPr>
          <w:rFonts w:hint="eastAsia" w:ascii="宋体" w:hAnsi="宋体" w:eastAsia="宋体"/>
          <w:sz w:val="24"/>
          <w:szCs w:val="24"/>
          <w:u w:val="single"/>
        </w:rPr>
        <w:t>新能源车型产线适应性改造（二期）招标项目子项</w:t>
      </w:r>
      <w:r>
        <w:rPr>
          <w:rFonts w:hint="eastAsia" w:ascii="宋体" w:hAnsi="宋体" w:eastAsia="宋体"/>
          <w:sz w:val="24"/>
          <w:szCs w:val="24"/>
          <w:u w:val="single"/>
          <w:lang w:val="en-US" w:eastAsia="zh-CN"/>
        </w:rPr>
        <w:t>8--新增底部电池工装吊具</w:t>
      </w:r>
    </w:p>
    <w:p>
      <w:pPr>
        <w:spacing w:line="360" w:lineRule="auto"/>
        <w:outlineLvl w:val="3"/>
        <w:rPr>
          <w:rFonts w:ascii="宋体" w:hAnsi="宋体" w:eastAsia="宋体" w:cs="宋体"/>
          <w:color w:val="000000"/>
          <w:sz w:val="24"/>
          <w:szCs w:val="24"/>
          <w:u w:val="single"/>
        </w:rPr>
      </w:pPr>
      <w:r>
        <w:rPr>
          <w:rFonts w:hint="eastAsia" w:ascii="宋体" w:hAnsi="宋体" w:eastAsia="宋体"/>
          <w:sz w:val="24"/>
          <w:szCs w:val="24"/>
        </w:rPr>
        <w:t>二、建设地点：</w:t>
      </w:r>
      <w:r>
        <w:rPr>
          <w:rFonts w:hint="eastAsia" w:ascii="宋体" w:hAnsi="宋体" w:eastAsia="宋体" w:cs="宋体"/>
          <w:color w:val="000000"/>
          <w:sz w:val="24"/>
          <w:szCs w:val="24"/>
          <w:u w:val="single"/>
        </w:rPr>
        <w:t>中国重汽集团济南商用车制造公司</w:t>
      </w:r>
    </w:p>
    <w:p>
      <w:pPr>
        <w:spacing w:line="360" w:lineRule="auto"/>
        <w:outlineLvl w:val="3"/>
        <w:rPr>
          <w:rFonts w:ascii="宋体" w:hAnsi="宋体" w:eastAsia="宋体"/>
          <w:sz w:val="24"/>
          <w:szCs w:val="24"/>
        </w:rPr>
      </w:pPr>
      <w:r>
        <w:rPr>
          <w:rFonts w:hint="eastAsia" w:ascii="宋体" w:hAnsi="宋体" w:eastAsia="宋体"/>
          <w:sz w:val="24"/>
          <w:szCs w:val="24"/>
        </w:rPr>
        <w:t>三、使用地点：</w:t>
      </w:r>
      <w:r>
        <w:rPr>
          <w:rFonts w:hint="eastAsia" w:ascii="宋体" w:hAnsi="宋体" w:eastAsia="宋体" w:cs="宋体"/>
          <w:color w:val="000000"/>
          <w:sz w:val="24"/>
          <w:szCs w:val="24"/>
          <w:u w:val="single"/>
        </w:rPr>
        <w:t>中国重汽集团济南商用车制造公司</w:t>
      </w:r>
    </w:p>
    <w:p>
      <w:pPr>
        <w:pStyle w:val="131"/>
        <w:spacing w:line="360" w:lineRule="auto"/>
        <w:ind w:left="480" w:hanging="480" w:firstLineChars="0"/>
        <w:outlineLvl w:val="3"/>
        <w:rPr>
          <w:rFonts w:ascii="宋体" w:hAnsi="宋体" w:eastAsia="宋体"/>
          <w:sz w:val="24"/>
          <w:szCs w:val="24"/>
        </w:rPr>
      </w:pPr>
      <w:r>
        <w:rPr>
          <w:rFonts w:ascii="宋体" w:hAnsi="宋体" w:eastAsia="宋体"/>
          <w:sz w:val="24"/>
          <w:szCs w:val="24"/>
        </w:rPr>
        <w:t>四、</w:t>
      </w:r>
      <w:r>
        <w:rPr>
          <w:rFonts w:hint="eastAsia" w:ascii="宋体" w:hAnsi="宋体" w:eastAsia="宋体"/>
          <w:sz w:val="24"/>
          <w:szCs w:val="24"/>
        </w:rPr>
        <w:t>使用环境及能源供给：</w:t>
      </w:r>
    </w:p>
    <w:p>
      <w:pPr>
        <w:pStyle w:val="12"/>
        <w:tabs>
          <w:tab w:val="left" w:pos="1134"/>
        </w:tabs>
        <w:spacing w:line="360" w:lineRule="auto"/>
        <w:ind w:left="480" w:firstLine="0"/>
        <w:rPr>
          <w:rFonts w:ascii="宋体" w:hAnsi="宋体" w:eastAsia="宋体"/>
          <w:sz w:val="24"/>
          <w:szCs w:val="24"/>
        </w:rPr>
      </w:pPr>
      <w:r>
        <w:rPr>
          <w:rFonts w:hint="eastAsia" w:ascii="宋体" w:hAnsi="宋体" w:eastAsia="宋体"/>
          <w:bCs/>
          <w:sz w:val="24"/>
          <w:szCs w:val="24"/>
        </w:rPr>
        <w:t>1.海拔高度：</w:t>
      </w:r>
      <w:r>
        <w:rPr>
          <w:rFonts w:ascii="宋体" w:hAnsi="宋体" w:eastAsia="宋体"/>
          <w:sz w:val="24"/>
          <w:szCs w:val="24"/>
        </w:rPr>
        <w:t>≤</w:t>
      </w:r>
      <w:r>
        <w:rPr>
          <w:rFonts w:hint="eastAsia" w:ascii="宋体" w:hAnsi="宋体" w:eastAsia="宋体"/>
          <w:sz w:val="24"/>
          <w:szCs w:val="24"/>
        </w:rPr>
        <w:t>4000m；</w:t>
      </w:r>
    </w:p>
    <w:p>
      <w:pPr>
        <w:pStyle w:val="12"/>
        <w:tabs>
          <w:tab w:val="left" w:pos="1134"/>
        </w:tabs>
        <w:spacing w:line="360" w:lineRule="auto"/>
        <w:ind w:left="480" w:firstLine="0"/>
        <w:rPr>
          <w:rFonts w:ascii="宋体" w:hAnsi="宋体" w:eastAsia="宋体"/>
          <w:sz w:val="24"/>
          <w:szCs w:val="24"/>
        </w:rPr>
      </w:pPr>
      <w:r>
        <w:rPr>
          <w:rFonts w:hint="eastAsia" w:ascii="宋体" w:hAnsi="宋体" w:eastAsia="宋体"/>
          <w:bCs/>
          <w:sz w:val="24"/>
          <w:szCs w:val="24"/>
        </w:rPr>
        <w:t>2.环境温度：</w:t>
      </w:r>
      <w:r>
        <w:rPr>
          <w:rFonts w:ascii="宋体" w:hAnsi="宋体" w:eastAsia="宋体"/>
          <w:sz w:val="24"/>
          <w:szCs w:val="24"/>
        </w:rPr>
        <w:t>-25</w:t>
      </w:r>
      <w:r>
        <w:rPr>
          <w:rFonts w:hint="eastAsia" w:ascii="宋体" w:hAnsi="宋体" w:eastAsia="宋体"/>
          <w:sz w:val="24"/>
          <w:szCs w:val="24"/>
        </w:rPr>
        <w:t>℃</w:t>
      </w:r>
      <w:r>
        <w:rPr>
          <w:rFonts w:ascii="宋体" w:hAnsi="宋体" w:eastAsia="宋体"/>
          <w:sz w:val="24"/>
          <w:szCs w:val="24"/>
        </w:rPr>
        <w:t>～45</w:t>
      </w:r>
      <w:r>
        <w:rPr>
          <w:rFonts w:hint="eastAsia" w:ascii="宋体" w:hAnsi="宋体" w:eastAsia="宋体"/>
          <w:sz w:val="24"/>
          <w:szCs w:val="24"/>
        </w:rPr>
        <w:t>℃</w:t>
      </w:r>
      <w:r>
        <w:rPr>
          <w:rFonts w:ascii="宋体" w:hAnsi="宋体" w:eastAsia="宋体"/>
          <w:sz w:val="24"/>
          <w:szCs w:val="24"/>
        </w:rPr>
        <w:t>；</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3.相对湿度：年平均59%，最大95%、最小15%</w:t>
      </w:r>
      <w:r>
        <w:rPr>
          <w:rFonts w:ascii="宋体" w:hAnsi="宋体" w:eastAsia="宋体"/>
          <w:bCs/>
          <w:sz w:val="24"/>
          <w:szCs w:val="24"/>
        </w:rPr>
        <w:t>；</w:t>
      </w:r>
    </w:p>
    <w:p>
      <w:pPr>
        <w:spacing w:line="360" w:lineRule="auto"/>
        <w:ind w:firstLine="480" w:firstLineChars="200"/>
        <w:outlineLvl w:val="3"/>
        <w:rPr>
          <w:rFonts w:ascii="宋体" w:hAnsi="宋体" w:eastAsia="宋体" w:cs="宋体"/>
          <w:sz w:val="24"/>
          <w:szCs w:val="24"/>
        </w:rPr>
      </w:pPr>
      <w:r>
        <w:rPr>
          <w:rFonts w:ascii="宋体" w:hAnsi="宋体" w:eastAsia="宋体"/>
          <w:bCs/>
          <w:sz w:val="24"/>
          <w:szCs w:val="24"/>
        </w:rPr>
        <w:t>4</w:t>
      </w:r>
      <w:r>
        <w:rPr>
          <w:rFonts w:hint="eastAsia" w:ascii="宋体" w:hAnsi="宋体" w:eastAsia="宋体"/>
          <w:bCs/>
          <w:sz w:val="24"/>
          <w:szCs w:val="24"/>
        </w:rPr>
        <w:t>.</w:t>
      </w:r>
      <w:r>
        <w:rPr>
          <w:rFonts w:hint="eastAsia" w:ascii="宋体" w:hAnsi="宋体" w:eastAsia="宋体" w:cs="宋体"/>
          <w:sz w:val="24"/>
          <w:szCs w:val="24"/>
        </w:rPr>
        <w:t>大气压强：80kPa～110kPa；</w:t>
      </w:r>
    </w:p>
    <w:p>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5.电力</w:t>
      </w:r>
      <w:r>
        <w:rPr>
          <w:rFonts w:ascii="宋体" w:hAnsi="宋体" w:eastAsia="宋体" w:cs="宋体"/>
          <w:sz w:val="24"/>
          <w:szCs w:val="24"/>
        </w:rPr>
        <w:t>:中国制式，三相五线制供电，供电电压 380V士10%/220V士10%，供电频率50Hz士0.5Hz</w:t>
      </w:r>
      <w:r>
        <w:rPr>
          <w:rFonts w:hint="eastAsia" w:ascii="宋体" w:hAnsi="宋体" w:eastAsia="宋体" w:cs="宋体"/>
          <w:sz w:val="24"/>
          <w:szCs w:val="24"/>
        </w:rPr>
        <w:t>；</w:t>
      </w:r>
    </w:p>
    <w:p>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 xml:space="preserve">6.水：市政自来水0.25MPa(0.15-0.35MPa); </w:t>
      </w:r>
    </w:p>
    <w:p>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 xml:space="preserve">7.非采暖季：动力站房供高温热水，供回水温度80℃/60℃; </w:t>
      </w:r>
    </w:p>
    <w:p>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8.压缩空气：厂区空压机自产压缩空气，0.55～0.7 Mpa。</w:t>
      </w:r>
    </w:p>
    <w:p>
      <w:pPr>
        <w:spacing w:line="360" w:lineRule="auto"/>
        <w:rPr>
          <w:rFonts w:ascii="宋体" w:hAnsi="宋体" w:eastAsia="宋体"/>
          <w:bCs/>
          <w:sz w:val="24"/>
          <w:szCs w:val="24"/>
        </w:rPr>
      </w:pPr>
      <w:r>
        <w:rPr>
          <w:rFonts w:hint="eastAsia" w:ascii="宋体" w:hAnsi="宋体" w:eastAsia="宋体"/>
          <w:bCs/>
          <w:sz w:val="24"/>
          <w:szCs w:val="24"/>
        </w:rPr>
        <w:t>五、工作制度：全年工作300天、双班制、设备年时基数5000小时以上。</w:t>
      </w:r>
    </w:p>
    <w:p>
      <w:pPr>
        <w:spacing w:line="360" w:lineRule="auto"/>
        <w:rPr>
          <w:rFonts w:ascii="宋体" w:hAnsi="宋体" w:eastAsia="宋体"/>
          <w:bCs/>
          <w:sz w:val="24"/>
          <w:szCs w:val="24"/>
        </w:rPr>
      </w:pPr>
      <w:r>
        <w:rPr>
          <w:rFonts w:hint="eastAsia" w:ascii="宋体" w:hAnsi="宋体" w:eastAsia="宋体"/>
          <w:bCs/>
          <w:sz w:val="24"/>
          <w:szCs w:val="24"/>
        </w:rPr>
        <w:t>六、生产纲领：72000辆/年，</w:t>
      </w:r>
      <w:r>
        <w:rPr>
          <w:rFonts w:hint="eastAsia" w:ascii="宋体" w:hAnsi="宋体" w:eastAsia="宋体"/>
          <w:bCs/>
          <w:color w:val="EE0000"/>
          <w:sz w:val="24"/>
          <w:szCs w:val="24"/>
        </w:rPr>
        <w:t>节拍4min</w:t>
      </w:r>
    </w:p>
    <w:p>
      <w:pPr>
        <w:keepNext/>
        <w:keepLines/>
        <w:spacing w:before="120" w:after="120" w:line="480" w:lineRule="exact"/>
        <w:jc w:val="center"/>
        <w:outlineLvl w:val="2"/>
        <w:rPr>
          <w:rFonts w:ascii="宋体" w:hAnsi="宋体" w:eastAsia="宋体" w:cs="Times New Roman"/>
          <w:b/>
          <w:bCs/>
          <w:sz w:val="24"/>
          <w:szCs w:val="24"/>
        </w:rPr>
      </w:pPr>
      <w:r>
        <w:rPr>
          <w:rFonts w:hint="eastAsia" w:ascii="宋体" w:hAnsi="宋体" w:eastAsia="宋体" w:cs="Times New Roman"/>
          <w:b/>
          <w:bCs/>
          <w:sz w:val="24"/>
          <w:szCs w:val="24"/>
        </w:rPr>
        <w:t>第二节采购货物概况</w:t>
      </w:r>
    </w:p>
    <w:p>
      <w:pPr>
        <w:spacing w:line="420" w:lineRule="exact"/>
        <w:outlineLvl w:val="3"/>
        <w:rPr>
          <w:rFonts w:ascii="宋体" w:hAnsi="宋体" w:eastAsia="宋体"/>
          <w:sz w:val="24"/>
          <w:szCs w:val="24"/>
        </w:rPr>
      </w:pPr>
      <w:r>
        <w:rPr>
          <w:rFonts w:hint="eastAsia" w:ascii="宋体" w:hAnsi="宋体" w:eastAsia="宋体"/>
          <w:b/>
          <w:sz w:val="24"/>
          <w:szCs w:val="24"/>
        </w:rPr>
        <w:t>一、货物名称：</w:t>
      </w:r>
      <w:r>
        <w:rPr>
          <w:rFonts w:hint="eastAsia" w:ascii="宋体" w:hAnsi="宋体" w:eastAsia="宋体"/>
          <w:bCs/>
          <w:sz w:val="24"/>
          <w:szCs w:val="24"/>
          <w:lang w:val="en-US" w:eastAsia="zh-CN"/>
        </w:rPr>
        <w:t>新增底部电池工装吊具</w:t>
      </w:r>
    </w:p>
    <w:p>
      <w:pPr>
        <w:spacing w:line="420" w:lineRule="exact"/>
        <w:outlineLvl w:val="3"/>
        <w:rPr>
          <w:rFonts w:ascii="宋体" w:hAnsi="宋体" w:eastAsia="宋体"/>
          <w:sz w:val="24"/>
          <w:szCs w:val="24"/>
        </w:rPr>
      </w:pPr>
      <w:r>
        <w:rPr>
          <w:rFonts w:hint="eastAsia" w:ascii="宋体" w:hAnsi="宋体" w:eastAsia="宋体"/>
          <w:b/>
          <w:sz w:val="24"/>
          <w:szCs w:val="24"/>
        </w:rPr>
        <w:t>二、货物数量：</w:t>
      </w:r>
      <w:r>
        <w:rPr>
          <w:rFonts w:hint="eastAsia" w:ascii="宋体" w:hAnsi="宋体" w:eastAsia="宋体"/>
          <w:b/>
          <w:sz w:val="24"/>
          <w:szCs w:val="24"/>
          <w:lang w:val="en-US" w:eastAsia="zh-CN"/>
        </w:rPr>
        <w:t>4</w:t>
      </w:r>
      <w:r>
        <w:rPr>
          <w:rFonts w:hint="eastAsia" w:ascii="宋体" w:hAnsi="宋体" w:eastAsia="宋体"/>
          <w:sz w:val="24"/>
          <w:szCs w:val="24"/>
        </w:rPr>
        <w:t>（详见</w:t>
      </w:r>
      <w:r>
        <w:rPr>
          <w:rFonts w:hint="eastAsia" w:ascii="宋体" w:hAnsi="宋体" w:eastAsia="宋体" w:cs="宋体"/>
          <w:color w:val="000000"/>
          <w:sz w:val="24"/>
          <w:szCs w:val="24"/>
        </w:rPr>
        <w:t>采购货物主要构成一览表</w:t>
      </w:r>
      <w:r>
        <w:rPr>
          <w:rFonts w:hint="eastAsia" w:ascii="宋体" w:hAnsi="宋体" w:eastAsia="宋体"/>
          <w:sz w:val="24"/>
          <w:szCs w:val="24"/>
        </w:rPr>
        <w:t>）</w:t>
      </w:r>
    </w:p>
    <w:p>
      <w:pPr>
        <w:spacing w:line="420" w:lineRule="exact"/>
        <w:outlineLvl w:val="3"/>
        <w:rPr>
          <w:rFonts w:ascii="宋体" w:hAnsi="宋体" w:eastAsia="宋体"/>
          <w:b/>
          <w:sz w:val="24"/>
          <w:szCs w:val="24"/>
        </w:rPr>
      </w:pPr>
      <w:r>
        <w:rPr>
          <w:rFonts w:hint="eastAsia" w:ascii="宋体" w:hAnsi="宋体" w:eastAsia="宋体"/>
          <w:b/>
          <w:sz w:val="24"/>
          <w:szCs w:val="24"/>
        </w:rPr>
        <w:t>三、分投分中：</w:t>
      </w:r>
      <w:r>
        <w:rPr>
          <w:rFonts w:hint="eastAsia" w:ascii="宋体" w:hAnsi="宋体" w:eastAsia="宋体"/>
          <w:b/>
          <w:color w:val="000000" w:themeColor="text1"/>
          <w:sz w:val="24"/>
          <w:szCs w:val="24"/>
          <w14:textFill>
            <w14:solidFill>
              <w14:schemeClr w14:val="tx1"/>
            </w14:solidFill>
          </w14:textFill>
        </w:rPr>
        <w:t>不允许</w:t>
      </w:r>
    </w:p>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采购货物主要构成一览表</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694"/>
        <w:gridCol w:w="1275"/>
        <w:gridCol w:w="709"/>
        <w:gridCol w:w="851"/>
        <w:gridCol w:w="1559"/>
        <w:gridCol w:w="1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675" w:type="dxa"/>
            <w:vAlign w:val="center"/>
          </w:tcPr>
          <w:p>
            <w:pPr>
              <w:spacing w:line="360" w:lineRule="exact"/>
              <w:jc w:val="center"/>
              <w:rPr>
                <w:rFonts w:ascii="宋体" w:hAnsi="宋体" w:eastAsia="宋体"/>
                <w:b/>
              </w:rPr>
            </w:pPr>
            <w:r>
              <w:rPr>
                <w:rFonts w:hint="eastAsia" w:ascii="宋体" w:hAnsi="宋体" w:eastAsia="宋体"/>
                <w:b/>
              </w:rPr>
              <w:t>序号</w:t>
            </w:r>
          </w:p>
        </w:tc>
        <w:tc>
          <w:tcPr>
            <w:tcW w:w="2694" w:type="dxa"/>
            <w:vAlign w:val="center"/>
          </w:tcPr>
          <w:p>
            <w:pPr>
              <w:spacing w:line="360" w:lineRule="exact"/>
              <w:jc w:val="center"/>
              <w:rPr>
                <w:rFonts w:ascii="宋体" w:hAnsi="宋体" w:eastAsia="宋体"/>
                <w:b/>
              </w:rPr>
            </w:pPr>
            <w:r>
              <w:rPr>
                <w:rFonts w:hint="eastAsia" w:ascii="宋体" w:hAnsi="宋体" w:eastAsia="宋体"/>
                <w:b/>
              </w:rPr>
              <w:t>名称</w:t>
            </w:r>
          </w:p>
        </w:tc>
        <w:tc>
          <w:tcPr>
            <w:tcW w:w="1275" w:type="dxa"/>
            <w:vAlign w:val="center"/>
          </w:tcPr>
          <w:p>
            <w:pPr>
              <w:spacing w:line="360" w:lineRule="exact"/>
              <w:jc w:val="center"/>
              <w:rPr>
                <w:rFonts w:ascii="宋体" w:hAnsi="宋体" w:eastAsia="宋体"/>
                <w:b/>
              </w:rPr>
            </w:pPr>
            <w:r>
              <w:rPr>
                <w:rFonts w:hint="eastAsia" w:ascii="宋体" w:hAnsi="宋体" w:eastAsia="宋体"/>
                <w:b/>
              </w:rPr>
              <w:t>规格</w:t>
            </w:r>
          </w:p>
        </w:tc>
        <w:tc>
          <w:tcPr>
            <w:tcW w:w="709" w:type="dxa"/>
            <w:vAlign w:val="center"/>
          </w:tcPr>
          <w:p>
            <w:pPr>
              <w:spacing w:line="360" w:lineRule="exact"/>
              <w:jc w:val="center"/>
              <w:rPr>
                <w:rFonts w:ascii="宋体" w:hAnsi="宋体" w:eastAsia="宋体"/>
                <w:b/>
              </w:rPr>
            </w:pPr>
            <w:r>
              <w:rPr>
                <w:rFonts w:hint="eastAsia" w:ascii="宋体" w:hAnsi="宋体" w:eastAsia="宋体"/>
                <w:b/>
              </w:rPr>
              <w:t>单位</w:t>
            </w:r>
          </w:p>
        </w:tc>
        <w:tc>
          <w:tcPr>
            <w:tcW w:w="851" w:type="dxa"/>
            <w:vAlign w:val="center"/>
          </w:tcPr>
          <w:p>
            <w:pPr>
              <w:spacing w:line="360" w:lineRule="exact"/>
              <w:jc w:val="center"/>
              <w:rPr>
                <w:rFonts w:ascii="宋体" w:hAnsi="宋体" w:eastAsia="宋体"/>
                <w:b/>
              </w:rPr>
            </w:pPr>
            <w:r>
              <w:rPr>
                <w:rFonts w:hint="eastAsia" w:ascii="宋体" w:hAnsi="宋体" w:eastAsia="宋体"/>
                <w:b/>
              </w:rPr>
              <w:t>数量</w:t>
            </w:r>
          </w:p>
        </w:tc>
        <w:tc>
          <w:tcPr>
            <w:tcW w:w="1559" w:type="dxa"/>
            <w:vAlign w:val="center"/>
          </w:tcPr>
          <w:p>
            <w:pPr>
              <w:spacing w:line="360" w:lineRule="exact"/>
              <w:jc w:val="center"/>
              <w:rPr>
                <w:rFonts w:ascii="宋体" w:hAnsi="宋体" w:eastAsia="宋体"/>
                <w:b/>
              </w:rPr>
            </w:pPr>
            <w:r>
              <w:rPr>
                <w:rFonts w:hint="eastAsia" w:ascii="宋体" w:hAnsi="宋体" w:eastAsia="宋体"/>
                <w:b/>
              </w:rPr>
              <w:t>交货方式</w:t>
            </w:r>
          </w:p>
        </w:tc>
        <w:tc>
          <w:tcPr>
            <w:tcW w:w="1137" w:type="dxa"/>
            <w:vAlign w:val="center"/>
          </w:tcPr>
          <w:p>
            <w:pPr>
              <w:spacing w:line="360" w:lineRule="exact"/>
              <w:jc w:val="center"/>
              <w:rPr>
                <w:rFonts w:ascii="宋体" w:hAnsi="宋体" w:eastAsia="宋体"/>
                <w:b/>
              </w:rPr>
            </w:pPr>
            <w:r>
              <w:rPr>
                <w:rFonts w:hint="eastAsia" w:ascii="宋体" w:hAnsi="宋体" w:eastAsia="宋体"/>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75" w:type="dxa"/>
            <w:vAlign w:val="center"/>
          </w:tcPr>
          <w:p>
            <w:pPr>
              <w:spacing w:line="360" w:lineRule="exact"/>
              <w:jc w:val="center"/>
              <w:rPr>
                <w:rFonts w:ascii="宋体" w:hAnsi="宋体" w:eastAsia="宋体"/>
                <w:b/>
              </w:rPr>
            </w:pPr>
            <w:r>
              <w:rPr>
                <w:rFonts w:hint="eastAsia" w:ascii="宋体" w:hAnsi="宋体" w:eastAsia="宋体"/>
                <w:b/>
              </w:rPr>
              <w:t>1</w:t>
            </w:r>
          </w:p>
        </w:tc>
        <w:tc>
          <w:tcPr>
            <w:tcW w:w="2694" w:type="dxa"/>
            <w:vAlign w:val="center"/>
          </w:tcPr>
          <w:p>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底部电池装配系统</w:t>
            </w:r>
          </w:p>
        </w:tc>
        <w:tc>
          <w:tcPr>
            <w:tcW w:w="1275" w:type="dxa"/>
            <w:vAlign w:val="center"/>
          </w:tcPr>
          <w:p>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非标定制</w:t>
            </w:r>
          </w:p>
        </w:tc>
        <w:tc>
          <w:tcPr>
            <w:tcW w:w="709" w:type="dxa"/>
            <w:vAlign w:val="center"/>
          </w:tcPr>
          <w:p>
            <w:pPr>
              <w:spacing w:line="360" w:lineRule="auto"/>
              <w:jc w:val="center"/>
              <w:rPr>
                <w:rFonts w:hint="eastAsia" w:ascii="宋体" w:hAnsi="宋体" w:eastAsia="宋体"/>
                <w:bCs/>
                <w:sz w:val="24"/>
                <w:szCs w:val="24"/>
                <w:lang w:eastAsia="zh-CN"/>
              </w:rPr>
            </w:pPr>
            <w:r>
              <w:rPr>
                <w:rFonts w:hint="eastAsia" w:ascii="宋体" w:hAnsi="宋体" w:eastAsia="宋体"/>
                <w:bCs/>
                <w:sz w:val="24"/>
                <w:szCs w:val="24"/>
                <w:lang w:val="en-US" w:eastAsia="zh-CN"/>
              </w:rPr>
              <w:t>套</w:t>
            </w:r>
          </w:p>
        </w:tc>
        <w:tc>
          <w:tcPr>
            <w:tcW w:w="851" w:type="dxa"/>
            <w:vAlign w:val="center"/>
          </w:tcPr>
          <w:p>
            <w:pPr>
              <w:spacing w:line="360" w:lineRule="auto"/>
              <w:jc w:val="center"/>
              <w:rPr>
                <w:rFonts w:hint="eastAsia" w:ascii="宋体" w:hAnsi="宋体" w:eastAsia="宋体"/>
                <w:bCs/>
                <w:sz w:val="24"/>
                <w:szCs w:val="24"/>
                <w:lang w:eastAsia="zh-CN"/>
              </w:rPr>
            </w:pPr>
            <w:r>
              <w:rPr>
                <w:rFonts w:hint="eastAsia" w:ascii="宋体" w:hAnsi="宋体" w:eastAsia="宋体"/>
                <w:bCs/>
                <w:sz w:val="24"/>
                <w:szCs w:val="24"/>
                <w:lang w:val="en-US" w:eastAsia="zh-CN"/>
              </w:rPr>
              <w:t>1</w:t>
            </w:r>
          </w:p>
        </w:tc>
        <w:tc>
          <w:tcPr>
            <w:tcW w:w="1559" w:type="dxa"/>
            <w:vAlign w:val="center"/>
          </w:tcPr>
          <w:p>
            <w:pPr>
              <w:spacing w:line="360" w:lineRule="auto"/>
              <w:jc w:val="center"/>
              <w:rPr>
                <w:rFonts w:ascii="宋体" w:hAnsi="宋体" w:eastAsia="宋体"/>
                <w:bCs/>
                <w:sz w:val="24"/>
                <w:szCs w:val="24"/>
              </w:rPr>
            </w:pPr>
            <w:r>
              <w:rPr>
                <w:rFonts w:hint="eastAsia" w:ascii="宋体" w:hAnsi="宋体" w:eastAsia="宋体"/>
                <w:bCs/>
                <w:sz w:val="24"/>
                <w:szCs w:val="24"/>
              </w:rPr>
              <w:t>交钥匙方式</w:t>
            </w:r>
          </w:p>
        </w:tc>
        <w:tc>
          <w:tcPr>
            <w:tcW w:w="1137" w:type="dxa"/>
            <w:vAlign w:val="center"/>
          </w:tcPr>
          <w:p>
            <w:pPr>
              <w:spacing w:line="360" w:lineRule="auto"/>
              <w:jc w:val="center"/>
              <w:rPr>
                <w:rFonts w:ascii="宋体" w:hAnsi="宋体" w:eastAsia="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75" w:type="dxa"/>
            <w:vAlign w:val="center"/>
          </w:tcPr>
          <w:p>
            <w:pPr>
              <w:spacing w:line="360" w:lineRule="exact"/>
              <w:jc w:val="center"/>
              <w:rPr>
                <w:rFonts w:hint="eastAsia" w:ascii="宋体" w:hAnsi="宋体" w:eastAsia="宋体"/>
                <w:b/>
                <w:lang w:val="en-US" w:eastAsia="zh-CN"/>
              </w:rPr>
            </w:pPr>
            <w:r>
              <w:rPr>
                <w:rFonts w:hint="eastAsia" w:ascii="宋体" w:hAnsi="宋体" w:eastAsia="宋体"/>
                <w:b/>
                <w:lang w:val="en-US" w:eastAsia="zh-CN"/>
              </w:rPr>
              <w:t>2</w:t>
            </w:r>
          </w:p>
        </w:tc>
        <w:tc>
          <w:tcPr>
            <w:tcW w:w="2694" w:type="dxa"/>
            <w:vAlign w:val="center"/>
          </w:tcPr>
          <w:p>
            <w:pPr>
              <w:spacing w:line="360" w:lineRule="auto"/>
              <w:jc w:val="center"/>
              <w:rPr>
                <w:rFonts w:hint="default" w:ascii="宋体" w:hAnsi="宋体" w:eastAsia="宋体"/>
                <w:bCs/>
                <w:sz w:val="24"/>
                <w:szCs w:val="24"/>
                <w:lang w:val="en-US" w:eastAsia="zh-CN"/>
              </w:rPr>
            </w:pPr>
            <w:r>
              <w:rPr>
                <w:rFonts w:hint="eastAsia" w:ascii="宋体" w:hAnsi="宋体" w:eastAsia="宋体" w:cs="宋体"/>
                <w:kern w:val="0"/>
                <w:sz w:val="24"/>
                <w:szCs w:val="24"/>
                <w:lang w:val="en-US" w:eastAsia="zh-CN"/>
              </w:rPr>
              <w:t>中部挂载横梁装配工装吊具</w:t>
            </w:r>
          </w:p>
        </w:tc>
        <w:tc>
          <w:tcPr>
            <w:tcW w:w="1275"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非标定制</w:t>
            </w:r>
          </w:p>
        </w:tc>
        <w:tc>
          <w:tcPr>
            <w:tcW w:w="709" w:type="dxa"/>
            <w:vAlign w:val="center"/>
          </w:tcPr>
          <w:p>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套</w:t>
            </w:r>
          </w:p>
        </w:tc>
        <w:tc>
          <w:tcPr>
            <w:tcW w:w="851" w:type="dxa"/>
            <w:vAlign w:val="center"/>
          </w:tcPr>
          <w:p>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1</w:t>
            </w:r>
          </w:p>
        </w:tc>
        <w:tc>
          <w:tcPr>
            <w:tcW w:w="1559" w:type="dxa"/>
            <w:shd w:val="clear" w:color="auto" w:fill="auto"/>
            <w:vAlign w:val="center"/>
          </w:tcPr>
          <w:p>
            <w:pPr>
              <w:spacing w:line="360" w:lineRule="auto"/>
              <w:jc w:val="center"/>
              <w:rPr>
                <w:rFonts w:hint="eastAsia" w:ascii="宋体" w:hAnsi="宋体" w:eastAsia="宋体" w:cstheme="minorBidi"/>
                <w:bCs/>
                <w:kern w:val="2"/>
                <w:sz w:val="24"/>
                <w:szCs w:val="24"/>
                <w:lang w:val="en-US" w:eastAsia="zh-CN" w:bidi="ar-SA"/>
              </w:rPr>
            </w:pPr>
            <w:r>
              <w:rPr>
                <w:rFonts w:hint="eastAsia" w:ascii="宋体" w:hAnsi="宋体" w:eastAsia="宋体"/>
                <w:bCs/>
                <w:sz w:val="24"/>
                <w:szCs w:val="24"/>
              </w:rPr>
              <w:t>交钥匙方式</w:t>
            </w:r>
          </w:p>
        </w:tc>
        <w:tc>
          <w:tcPr>
            <w:tcW w:w="1137" w:type="dxa"/>
            <w:vAlign w:val="center"/>
          </w:tcPr>
          <w:p>
            <w:pPr>
              <w:spacing w:line="360" w:lineRule="auto"/>
              <w:jc w:val="center"/>
              <w:rPr>
                <w:rFonts w:ascii="宋体" w:hAnsi="宋体" w:eastAsia="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75" w:type="dxa"/>
            <w:vAlign w:val="center"/>
          </w:tcPr>
          <w:p>
            <w:pPr>
              <w:spacing w:line="360" w:lineRule="exact"/>
              <w:jc w:val="center"/>
              <w:rPr>
                <w:rFonts w:hint="eastAsia" w:ascii="宋体" w:hAnsi="宋体" w:eastAsia="宋体"/>
                <w:b/>
                <w:lang w:val="en-US" w:eastAsia="zh-CN"/>
              </w:rPr>
            </w:pPr>
            <w:r>
              <w:rPr>
                <w:rFonts w:hint="eastAsia" w:ascii="宋体" w:hAnsi="宋体" w:eastAsia="宋体"/>
                <w:b/>
                <w:lang w:val="en-US" w:eastAsia="zh-CN"/>
              </w:rPr>
              <w:t>3</w:t>
            </w:r>
          </w:p>
        </w:tc>
        <w:tc>
          <w:tcPr>
            <w:tcW w:w="2694" w:type="dxa"/>
            <w:vAlign w:val="center"/>
          </w:tcPr>
          <w:p>
            <w:pPr>
              <w:spacing w:line="360" w:lineRule="auto"/>
              <w:jc w:val="center"/>
              <w:rPr>
                <w:rFonts w:hint="default" w:ascii="宋体" w:hAnsi="宋体" w:eastAsia="宋体"/>
                <w:bCs/>
                <w:sz w:val="24"/>
                <w:szCs w:val="24"/>
                <w:lang w:val="en-US" w:eastAsia="zh-CN"/>
              </w:rPr>
            </w:pPr>
            <w:r>
              <w:rPr>
                <w:rFonts w:hint="eastAsia" w:ascii="宋体" w:hAnsi="宋体" w:eastAsia="宋体" w:cs="宋体"/>
                <w:kern w:val="0"/>
                <w:sz w:val="24"/>
                <w:szCs w:val="24"/>
                <w:lang w:val="en-US" w:eastAsia="zh-CN"/>
              </w:rPr>
              <w:t>两侧电池支架装配工装吊具</w:t>
            </w:r>
          </w:p>
        </w:tc>
        <w:tc>
          <w:tcPr>
            <w:tcW w:w="1275"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非标定制</w:t>
            </w:r>
          </w:p>
        </w:tc>
        <w:tc>
          <w:tcPr>
            <w:tcW w:w="709" w:type="dxa"/>
            <w:vAlign w:val="center"/>
          </w:tcPr>
          <w:p>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套</w:t>
            </w:r>
          </w:p>
        </w:tc>
        <w:tc>
          <w:tcPr>
            <w:tcW w:w="851" w:type="dxa"/>
            <w:vAlign w:val="center"/>
          </w:tcPr>
          <w:p>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1</w:t>
            </w:r>
          </w:p>
        </w:tc>
        <w:tc>
          <w:tcPr>
            <w:tcW w:w="1559" w:type="dxa"/>
            <w:vAlign w:val="center"/>
          </w:tcPr>
          <w:p>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1137" w:type="dxa"/>
            <w:vAlign w:val="center"/>
          </w:tcPr>
          <w:p>
            <w:pPr>
              <w:spacing w:line="360" w:lineRule="auto"/>
              <w:jc w:val="center"/>
              <w:rPr>
                <w:rFonts w:ascii="宋体" w:hAnsi="宋体" w:eastAsia="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75" w:type="dxa"/>
            <w:vAlign w:val="center"/>
          </w:tcPr>
          <w:p>
            <w:pPr>
              <w:spacing w:line="360" w:lineRule="exact"/>
              <w:jc w:val="center"/>
              <w:rPr>
                <w:rFonts w:hint="default" w:ascii="宋体" w:hAnsi="宋体" w:eastAsia="宋体"/>
                <w:b/>
                <w:lang w:val="en-US" w:eastAsia="zh-CN"/>
              </w:rPr>
            </w:pPr>
            <w:r>
              <w:rPr>
                <w:rFonts w:hint="eastAsia" w:ascii="宋体" w:hAnsi="宋体" w:eastAsia="宋体"/>
                <w:b/>
                <w:lang w:val="en-US" w:eastAsia="zh-CN"/>
              </w:rPr>
              <w:t>4</w:t>
            </w:r>
          </w:p>
        </w:tc>
        <w:tc>
          <w:tcPr>
            <w:tcW w:w="2694" w:type="dxa"/>
            <w:vAlign w:val="center"/>
          </w:tcPr>
          <w:p>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底部电池吊具</w:t>
            </w:r>
          </w:p>
        </w:tc>
        <w:tc>
          <w:tcPr>
            <w:tcW w:w="1275"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非标定制</w:t>
            </w:r>
          </w:p>
        </w:tc>
        <w:tc>
          <w:tcPr>
            <w:tcW w:w="709"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套</w:t>
            </w:r>
          </w:p>
        </w:tc>
        <w:tc>
          <w:tcPr>
            <w:tcW w:w="851" w:type="dxa"/>
            <w:vAlign w:val="center"/>
          </w:tcPr>
          <w:p>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1</w:t>
            </w:r>
          </w:p>
        </w:tc>
        <w:tc>
          <w:tcPr>
            <w:tcW w:w="1559" w:type="dxa"/>
            <w:vAlign w:val="center"/>
          </w:tcPr>
          <w:p>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1137" w:type="dxa"/>
            <w:vAlign w:val="center"/>
          </w:tcPr>
          <w:p>
            <w:pPr>
              <w:spacing w:line="360" w:lineRule="auto"/>
              <w:jc w:val="center"/>
              <w:rPr>
                <w:rFonts w:ascii="宋体" w:hAnsi="宋体" w:eastAsia="宋体"/>
                <w:bCs/>
                <w:sz w:val="24"/>
                <w:szCs w:val="24"/>
              </w:rPr>
            </w:pPr>
          </w:p>
        </w:tc>
      </w:tr>
    </w:tbl>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本表所列采购设备仅为主要设备明细，应配套供货以及招标人所列其它货物（或设备）和服务，请投标人认真阅读“供货范围”。若有异议，不管是多么微小，都应在投标文件“商务偏离”章节中予以详细说明。</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pPr>
        <w:pStyle w:val="22"/>
        <w:spacing w:line="360" w:lineRule="auto"/>
        <w:jc w:val="center"/>
        <w:rPr>
          <w:rFonts w:hAnsi="宋体" w:eastAsia="宋体" w:cs="宋体"/>
          <w:bCs/>
          <w:sz w:val="24"/>
          <w:szCs w:val="24"/>
        </w:rPr>
      </w:pPr>
      <w:r>
        <w:rPr>
          <w:rFonts w:hint="eastAsia" w:hAnsi="宋体" w:eastAsia="宋体" w:cs="宋体"/>
          <w:bCs/>
          <w:sz w:val="24"/>
          <w:szCs w:val="24"/>
        </w:rPr>
        <w:t>主要器件品牌表（可选同等或更优质量品牌）</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1"/>
        <w:gridCol w:w="2907"/>
        <w:gridCol w:w="3046"/>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序号</w:t>
            </w:r>
          </w:p>
        </w:tc>
        <w:tc>
          <w:tcPr>
            <w:tcW w:w="1565" w:type="pct"/>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器件名称</w:t>
            </w:r>
          </w:p>
        </w:tc>
        <w:tc>
          <w:tcPr>
            <w:tcW w:w="1640" w:type="pct"/>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品牌</w:t>
            </w:r>
          </w:p>
        </w:tc>
        <w:tc>
          <w:tcPr>
            <w:tcW w:w="1250" w:type="pct"/>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1</w:t>
            </w:r>
          </w:p>
        </w:tc>
        <w:tc>
          <w:tcPr>
            <w:tcW w:w="2907" w:type="dxa"/>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变频器</w:t>
            </w:r>
          </w:p>
        </w:tc>
        <w:tc>
          <w:tcPr>
            <w:tcW w:w="3046" w:type="dxa"/>
            <w:vAlign w:val="center"/>
          </w:tcPr>
          <w:p>
            <w:pPr>
              <w:spacing w:line="360" w:lineRule="auto"/>
              <w:jc w:val="center"/>
              <w:rPr>
                <w:rFonts w:ascii="宋体" w:hAnsi="宋体" w:eastAsia="宋体" w:cs="宋体"/>
                <w:color w:val="000000"/>
                <w:sz w:val="24"/>
                <w:szCs w:val="24"/>
              </w:rPr>
            </w:pPr>
            <w:r>
              <w:rPr>
                <w:rFonts w:ascii="宋体" w:hAnsi="宋体" w:eastAsia="宋体" w:cs="宋体"/>
                <w:color w:val="auto"/>
                <w:sz w:val="24"/>
                <w:szCs w:val="24"/>
              </w:rPr>
              <w:t>SIEMENS</w:t>
            </w:r>
          </w:p>
        </w:tc>
        <w:tc>
          <w:tcPr>
            <w:tcW w:w="1250" w:type="pct"/>
            <w:vAlign w:val="center"/>
          </w:tcPr>
          <w:p>
            <w:pPr>
              <w:spacing w:line="360" w:lineRule="auto"/>
              <w:jc w:val="center"/>
              <w:rPr>
                <w:rFonts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2</w:t>
            </w:r>
          </w:p>
        </w:tc>
        <w:tc>
          <w:tcPr>
            <w:tcW w:w="2907" w:type="dxa"/>
            <w:vAlign w:val="center"/>
          </w:tcPr>
          <w:p>
            <w:pPr>
              <w:spacing w:line="360" w:lineRule="auto"/>
              <w:jc w:val="center"/>
              <w:rPr>
                <w:rFonts w:ascii="宋体" w:hAnsi="宋体" w:eastAsia="宋体" w:cs="宋体"/>
                <w:color w:val="000000"/>
                <w:sz w:val="24"/>
                <w:szCs w:val="24"/>
                <w:highlight w:val="yellow"/>
              </w:rPr>
            </w:pPr>
            <w:r>
              <w:rPr>
                <w:rFonts w:hint="eastAsia" w:ascii="宋体" w:hAnsi="宋体" w:eastAsia="宋体" w:cs="宋体"/>
                <w:color w:val="000000"/>
                <w:sz w:val="24"/>
                <w:szCs w:val="24"/>
                <w:lang w:val="en-US" w:eastAsia="zh-CN"/>
              </w:rPr>
              <w:t>电机</w:t>
            </w:r>
          </w:p>
        </w:tc>
        <w:tc>
          <w:tcPr>
            <w:tcW w:w="3046" w:type="dxa"/>
            <w:vAlign w:val="center"/>
          </w:tcPr>
          <w:p>
            <w:pPr>
              <w:spacing w:line="360" w:lineRule="auto"/>
              <w:jc w:val="center"/>
              <w:rPr>
                <w:rFonts w:hint="default" w:ascii="宋体" w:hAnsi="宋体" w:eastAsia="宋体" w:cs="宋体"/>
                <w:color w:val="000000"/>
                <w:sz w:val="24"/>
                <w:szCs w:val="24"/>
                <w:highlight w:val="yellow"/>
                <w:lang w:val="en-US"/>
              </w:rPr>
            </w:pPr>
            <w:r>
              <w:rPr>
                <w:rFonts w:hint="eastAsia" w:ascii="宋体" w:hAnsi="宋体" w:eastAsia="宋体" w:cs="宋体"/>
                <w:color w:val="000000"/>
                <w:sz w:val="24"/>
                <w:szCs w:val="24"/>
                <w:lang w:val="en-US" w:eastAsia="zh-CN"/>
              </w:rPr>
              <w:t>SEW</w:t>
            </w:r>
          </w:p>
        </w:tc>
        <w:tc>
          <w:tcPr>
            <w:tcW w:w="1250" w:type="pct"/>
            <w:vAlign w:val="center"/>
          </w:tcPr>
          <w:p>
            <w:pPr>
              <w:snapToGrid w:val="0"/>
              <w:jc w:val="center"/>
              <w:rPr>
                <w:rFonts w:ascii="宋体" w:hAnsi="宋体" w:eastAsia="宋体" w:cs="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3</w:t>
            </w:r>
          </w:p>
        </w:tc>
        <w:tc>
          <w:tcPr>
            <w:tcW w:w="2907" w:type="dxa"/>
            <w:vAlign w:val="center"/>
          </w:tcPr>
          <w:p>
            <w:pPr>
              <w:snapToGrid w:val="0"/>
              <w:jc w:val="center"/>
              <w:rPr>
                <w:rFonts w:ascii="宋体" w:hAnsi="宋体" w:eastAsia="宋体" w:cs="宋体"/>
                <w:b/>
                <w:bCs/>
                <w:color w:val="000000"/>
                <w:sz w:val="24"/>
                <w:szCs w:val="24"/>
              </w:rPr>
            </w:pPr>
            <w:r>
              <w:rPr>
                <w:rFonts w:ascii="宋体" w:hAnsi="宋体" w:eastAsia="宋体" w:cs="宋体"/>
                <w:color w:val="auto"/>
                <w:sz w:val="24"/>
                <w:szCs w:val="24"/>
              </w:rPr>
              <w:t>数字量输入模块</w:t>
            </w:r>
          </w:p>
        </w:tc>
        <w:tc>
          <w:tcPr>
            <w:tcW w:w="3046" w:type="dxa"/>
            <w:vAlign w:val="center"/>
          </w:tcPr>
          <w:p>
            <w:pPr>
              <w:snapToGrid w:val="0"/>
              <w:jc w:val="center"/>
              <w:rPr>
                <w:rFonts w:ascii="宋体" w:hAnsi="宋体" w:eastAsia="宋体" w:cs="宋体"/>
                <w:color w:val="000000"/>
                <w:sz w:val="24"/>
                <w:szCs w:val="24"/>
              </w:rPr>
            </w:pPr>
            <w:r>
              <w:rPr>
                <w:rFonts w:ascii="宋体" w:hAnsi="宋体" w:eastAsia="宋体" w:cs="宋体"/>
                <w:color w:val="auto"/>
                <w:sz w:val="24"/>
                <w:szCs w:val="24"/>
              </w:rPr>
              <w:t>SIEMENS</w:t>
            </w:r>
          </w:p>
        </w:tc>
        <w:tc>
          <w:tcPr>
            <w:tcW w:w="1250" w:type="pct"/>
            <w:vAlign w:val="center"/>
          </w:tcPr>
          <w:p>
            <w:pPr>
              <w:snapToGrid w:val="0"/>
              <w:jc w:val="center"/>
              <w:rPr>
                <w:rFonts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4</w:t>
            </w:r>
          </w:p>
        </w:tc>
        <w:tc>
          <w:tcPr>
            <w:tcW w:w="1565" w:type="pct"/>
            <w:vAlign w:val="center"/>
          </w:tcPr>
          <w:p>
            <w:pPr>
              <w:snapToGrid w:val="0"/>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PLC</w:t>
            </w:r>
          </w:p>
        </w:tc>
        <w:tc>
          <w:tcPr>
            <w:tcW w:w="1640" w:type="pct"/>
            <w:vAlign w:val="center"/>
          </w:tcPr>
          <w:p>
            <w:pPr>
              <w:snapToGrid w:val="0"/>
              <w:jc w:val="center"/>
              <w:rPr>
                <w:rFonts w:ascii="宋体" w:hAnsi="宋体" w:eastAsia="宋体" w:cs="宋体"/>
                <w:color w:val="000000"/>
                <w:sz w:val="24"/>
                <w:szCs w:val="24"/>
              </w:rPr>
            </w:pPr>
            <w:r>
              <w:rPr>
                <w:rFonts w:ascii="宋体" w:hAnsi="宋体" w:eastAsia="宋体" w:cs="宋体"/>
                <w:color w:val="auto"/>
                <w:sz w:val="24"/>
                <w:szCs w:val="24"/>
              </w:rPr>
              <w:t>SIEMENS</w:t>
            </w:r>
          </w:p>
        </w:tc>
        <w:tc>
          <w:tcPr>
            <w:tcW w:w="1250" w:type="pct"/>
            <w:vAlign w:val="center"/>
          </w:tcPr>
          <w:p>
            <w:pPr>
              <w:snapToGrid w:val="0"/>
              <w:jc w:val="center"/>
              <w:rPr>
                <w:rFonts w:ascii="宋体" w:hAnsi="宋体" w:eastAsia="宋体" w:cs="宋体"/>
                <w:color w:val="000000"/>
                <w:sz w:val="24"/>
                <w:szCs w:val="24"/>
              </w:rPr>
            </w:pPr>
          </w:p>
        </w:tc>
      </w:tr>
    </w:tbl>
    <w:p>
      <w:pPr>
        <w:spacing w:line="360" w:lineRule="auto"/>
        <w:outlineLvl w:val="3"/>
        <w:rPr>
          <w:rFonts w:ascii="宋体" w:hAnsi="宋体" w:eastAsia="宋体"/>
          <w:b/>
          <w:sz w:val="24"/>
          <w:szCs w:val="24"/>
        </w:rPr>
      </w:pPr>
      <w:r>
        <w:rPr>
          <w:rFonts w:hint="eastAsia" w:ascii="宋体" w:hAnsi="宋体" w:eastAsia="宋体"/>
          <w:b/>
          <w:sz w:val="24"/>
          <w:szCs w:val="24"/>
        </w:rPr>
        <w:t>四</w:t>
      </w:r>
      <w:r>
        <w:rPr>
          <w:rFonts w:hint="eastAsia" w:ascii="宋体" w:hAnsi="宋体" w:eastAsia="宋体" w:cs="Times New Roman"/>
          <w:b/>
          <w:color w:val="000000"/>
          <w:sz w:val="24"/>
          <w:szCs w:val="24"/>
        </w:rPr>
        <w:t>、采购货物特别说明</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招标方所列货物的名称和规格型号，如为某一供应商所特有，则该名称和规格型号可作参考；但要求投标方所提供的货物必须满足本技术标书实质性要求。</w:t>
      </w:r>
    </w:p>
    <w:p>
      <w:pPr>
        <w:spacing w:line="360" w:lineRule="auto"/>
        <w:rPr>
          <w:rFonts w:ascii="宋体" w:hAnsi="宋体" w:eastAsia="宋体"/>
          <w:sz w:val="24"/>
          <w:szCs w:val="24"/>
        </w:rPr>
      </w:pPr>
      <w:r>
        <w:rPr>
          <w:rFonts w:hint="eastAsia" w:ascii="宋体" w:hAnsi="宋体" w:eastAsia="宋体"/>
          <w:b/>
          <w:sz w:val="24"/>
          <w:szCs w:val="24"/>
        </w:rPr>
        <w:t>五、投标要求</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1、投标方须对</w:t>
      </w:r>
      <w:r>
        <w:rPr>
          <w:rFonts w:hint="eastAsia" w:ascii="宋体" w:hAnsi="宋体" w:eastAsia="宋体"/>
          <w:sz w:val="24"/>
          <w:szCs w:val="24"/>
          <w:u w:val="none"/>
        </w:rPr>
        <w:t>新能源车型产线适应性改造（二期）招标项目子项</w:t>
      </w:r>
      <w:r>
        <w:rPr>
          <w:rFonts w:hint="eastAsia" w:ascii="宋体" w:hAnsi="宋体" w:eastAsia="宋体"/>
          <w:sz w:val="24"/>
          <w:szCs w:val="24"/>
          <w:u w:val="none"/>
          <w:lang w:val="en-US" w:eastAsia="zh-CN"/>
        </w:rPr>
        <w:t>8--新增底部电池工装吊具项目</w:t>
      </w:r>
      <w:r>
        <w:rPr>
          <w:rFonts w:hint="eastAsia" w:ascii="宋体" w:hAnsi="宋体" w:eastAsia="宋体"/>
          <w:bCs/>
          <w:sz w:val="24"/>
          <w:szCs w:val="24"/>
          <w:u w:val="none"/>
        </w:rPr>
        <w:t>施</w:t>
      </w:r>
      <w:r>
        <w:rPr>
          <w:rFonts w:hint="eastAsia" w:ascii="宋体" w:hAnsi="宋体" w:eastAsia="宋体"/>
          <w:bCs/>
          <w:sz w:val="24"/>
          <w:szCs w:val="24"/>
        </w:rPr>
        <w:t>工详细内容充分分析，</w:t>
      </w:r>
      <w:r>
        <w:rPr>
          <w:rFonts w:hint="eastAsia" w:ascii="宋体" w:hAnsi="宋体" w:eastAsia="宋体"/>
          <w:bCs/>
          <w:sz w:val="24"/>
          <w:szCs w:val="24"/>
          <w:lang w:val="en-US" w:eastAsia="zh-CN"/>
        </w:rPr>
        <w:t>根据需求</w:t>
      </w:r>
      <w:r>
        <w:rPr>
          <w:rFonts w:hint="eastAsia" w:ascii="宋体" w:hAnsi="宋体" w:eastAsia="宋体"/>
          <w:bCs/>
          <w:sz w:val="24"/>
          <w:szCs w:val="24"/>
        </w:rPr>
        <w:t>并提供详细的工艺方案，同时以此为报价基础。</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2、中标人对设备质量和可靠性负责。</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3、中标人应审查施工图纸，在工艺流程、布置及上下件位置不变的情况下，如发现问题，可对结构形式、各室相对位置、用电量等工艺参数提出修改意见和改进措施。对设备的运转质量负最终责任。对设计修改部分提供完整技术资料。</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4、中标人对中标设备的制造、安装、调试提供系列服务，具体如下：</w:t>
      </w:r>
    </w:p>
    <w:p>
      <w:pPr>
        <w:pStyle w:val="131"/>
        <w:numPr>
          <w:ilvl w:val="0"/>
          <w:numId w:val="9"/>
        </w:numPr>
        <w:spacing w:line="360" w:lineRule="auto"/>
        <w:ind w:firstLineChars="0"/>
        <w:rPr>
          <w:rFonts w:ascii="宋体" w:hAnsi="宋体" w:eastAsia="宋体"/>
          <w:bCs/>
          <w:sz w:val="24"/>
          <w:szCs w:val="24"/>
        </w:rPr>
      </w:pPr>
      <w:r>
        <w:rPr>
          <w:rFonts w:hint="eastAsia" w:ascii="宋体" w:hAnsi="宋体" w:eastAsia="宋体"/>
          <w:bCs/>
          <w:sz w:val="24"/>
          <w:szCs w:val="24"/>
        </w:rPr>
        <w:t>原则上，本项目中电机功率＞7.5kW,必须选用一级能效。电机功率&lt;7.5kW，优先选用一级能效；其中对于能源供应类设备及年运行时间≥2000h工艺设备的电机必须选用一级能效。杜绝选用三级及以下能效。空调必须选用一级能效，变压器最低选用二级能效，对于特殊场景、特殊用途其他设备合性价比综合考虑、充分论证；</w:t>
      </w:r>
    </w:p>
    <w:p>
      <w:pPr>
        <w:spacing w:line="360" w:lineRule="auto"/>
        <w:ind w:left="420" w:leftChars="200"/>
        <w:rPr>
          <w:rFonts w:ascii="宋体" w:hAnsi="宋体" w:eastAsia="宋体"/>
          <w:bCs/>
          <w:sz w:val="24"/>
          <w:szCs w:val="24"/>
        </w:rPr>
      </w:pPr>
      <w:r>
        <w:rPr>
          <w:rFonts w:hint="eastAsia" w:ascii="宋体" w:hAnsi="宋体" w:eastAsia="宋体"/>
          <w:bCs/>
          <w:sz w:val="24"/>
          <w:szCs w:val="24"/>
        </w:rPr>
        <w:t>设备颜色符合《Q-ZZ30070设备设施颜色标识》规定，外观无明显缺陷，重新焊接完成后，对焊接位置进行重新刷漆。</w:t>
      </w:r>
    </w:p>
    <w:p>
      <w:pPr>
        <w:numPr>
          <w:ilvl w:val="0"/>
          <w:numId w:val="10"/>
        </w:numPr>
        <w:spacing w:line="360" w:lineRule="auto"/>
        <w:rPr>
          <w:rFonts w:ascii="宋体" w:hAnsi="宋体" w:eastAsia="宋体"/>
          <w:bCs/>
          <w:sz w:val="24"/>
          <w:szCs w:val="24"/>
        </w:rPr>
      </w:pPr>
      <w:r>
        <w:rPr>
          <w:rFonts w:hint="eastAsia" w:ascii="宋体" w:hAnsi="宋体" w:eastAsia="宋体"/>
          <w:bCs/>
          <w:sz w:val="24"/>
          <w:szCs w:val="24"/>
        </w:rPr>
        <w:t>主、辅材的采购、供应；</w:t>
      </w:r>
    </w:p>
    <w:p>
      <w:pPr>
        <w:numPr>
          <w:ilvl w:val="0"/>
          <w:numId w:val="10"/>
        </w:numPr>
        <w:spacing w:line="360" w:lineRule="auto"/>
        <w:rPr>
          <w:rFonts w:ascii="宋体" w:hAnsi="宋体" w:eastAsia="宋体"/>
          <w:bCs/>
          <w:sz w:val="24"/>
          <w:szCs w:val="24"/>
        </w:rPr>
      </w:pPr>
      <w:r>
        <w:rPr>
          <w:rFonts w:hint="eastAsia" w:ascii="宋体" w:hAnsi="宋体" w:eastAsia="宋体"/>
          <w:bCs/>
          <w:sz w:val="24"/>
          <w:szCs w:val="24"/>
        </w:rPr>
        <w:t>非标设备的加工、制作、安装；</w:t>
      </w:r>
    </w:p>
    <w:p>
      <w:pPr>
        <w:numPr>
          <w:ilvl w:val="0"/>
          <w:numId w:val="10"/>
        </w:numPr>
        <w:spacing w:line="360" w:lineRule="auto"/>
        <w:rPr>
          <w:rFonts w:ascii="宋体" w:hAnsi="宋体" w:eastAsia="宋体"/>
          <w:bCs/>
          <w:sz w:val="24"/>
          <w:szCs w:val="24"/>
        </w:rPr>
      </w:pPr>
      <w:r>
        <w:rPr>
          <w:rFonts w:hint="eastAsia" w:ascii="宋体" w:hAnsi="宋体" w:eastAsia="宋体"/>
          <w:bCs/>
          <w:sz w:val="24"/>
          <w:szCs w:val="24"/>
        </w:rPr>
        <w:t>除业主方提供外的机械及电气外购件、标准件的采购、供应，根据性能价格较优的原则选定供货厂商，并对外购件的质量负责；</w:t>
      </w:r>
    </w:p>
    <w:p>
      <w:pPr>
        <w:numPr>
          <w:ilvl w:val="0"/>
          <w:numId w:val="10"/>
        </w:numPr>
        <w:spacing w:line="360" w:lineRule="auto"/>
        <w:rPr>
          <w:rFonts w:ascii="宋体" w:hAnsi="宋体" w:eastAsia="宋体"/>
          <w:bCs/>
          <w:sz w:val="24"/>
          <w:szCs w:val="24"/>
        </w:rPr>
      </w:pPr>
      <w:r>
        <w:rPr>
          <w:rFonts w:hint="eastAsia" w:ascii="宋体" w:hAnsi="宋体" w:eastAsia="宋体"/>
          <w:bCs/>
          <w:sz w:val="24"/>
          <w:szCs w:val="24"/>
        </w:rPr>
        <w:t>配合土建施工，负责检查各种预留孔洞、沟槽和预埋件的位置、尺寸；</w:t>
      </w:r>
    </w:p>
    <w:p>
      <w:pPr>
        <w:numPr>
          <w:ilvl w:val="0"/>
          <w:numId w:val="10"/>
        </w:numPr>
        <w:spacing w:line="360" w:lineRule="auto"/>
        <w:rPr>
          <w:rFonts w:ascii="宋体" w:hAnsi="宋体" w:eastAsia="宋体"/>
          <w:bCs/>
          <w:sz w:val="24"/>
          <w:szCs w:val="24"/>
        </w:rPr>
      </w:pPr>
      <w:r>
        <w:rPr>
          <w:rFonts w:hint="eastAsia" w:ascii="宋体" w:hAnsi="宋体" w:eastAsia="宋体"/>
          <w:bCs/>
          <w:sz w:val="24"/>
          <w:szCs w:val="24"/>
        </w:rPr>
        <w:t>建立健全安全、保卫、卫生、消防制度，保证工程顺利进行；</w:t>
      </w:r>
    </w:p>
    <w:p>
      <w:pPr>
        <w:numPr>
          <w:ilvl w:val="0"/>
          <w:numId w:val="10"/>
        </w:numPr>
        <w:spacing w:line="360" w:lineRule="auto"/>
        <w:rPr>
          <w:rFonts w:ascii="宋体" w:hAnsi="宋体" w:eastAsia="宋体"/>
          <w:bCs/>
          <w:sz w:val="24"/>
          <w:szCs w:val="24"/>
        </w:rPr>
      </w:pPr>
      <w:r>
        <w:rPr>
          <w:rFonts w:hint="eastAsia" w:ascii="宋体" w:hAnsi="宋体" w:eastAsia="宋体"/>
          <w:bCs/>
          <w:sz w:val="24"/>
          <w:szCs w:val="24"/>
        </w:rPr>
        <w:t>施工人员的食宿及费用；</w:t>
      </w:r>
    </w:p>
    <w:p>
      <w:pPr>
        <w:numPr>
          <w:ilvl w:val="0"/>
          <w:numId w:val="10"/>
        </w:numPr>
        <w:spacing w:line="360" w:lineRule="auto"/>
        <w:rPr>
          <w:rFonts w:ascii="宋体" w:hAnsi="宋体" w:eastAsia="宋体"/>
          <w:bCs/>
          <w:sz w:val="24"/>
          <w:szCs w:val="24"/>
        </w:rPr>
      </w:pPr>
      <w:r>
        <w:rPr>
          <w:rFonts w:hint="eastAsia" w:ascii="宋体" w:hAnsi="宋体" w:eastAsia="宋体"/>
          <w:bCs/>
          <w:sz w:val="24"/>
          <w:szCs w:val="24"/>
        </w:rPr>
        <w:t>安装现场制作所需的设备、工具；</w:t>
      </w:r>
    </w:p>
    <w:p>
      <w:pPr>
        <w:numPr>
          <w:ilvl w:val="0"/>
          <w:numId w:val="10"/>
        </w:numPr>
        <w:spacing w:line="360" w:lineRule="auto"/>
        <w:rPr>
          <w:rFonts w:ascii="宋体" w:hAnsi="宋体" w:eastAsia="宋体"/>
          <w:bCs/>
          <w:sz w:val="24"/>
          <w:szCs w:val="24"/>
        </w:rPr>
      </w:pPr>
      <w:r>
        <w:rPr>
          <w:rFonts w:hint="eastAsia" w:ascii="宋体" w:hAnsi="宋体" w:eastAsia="宋体"/>
          <w:bCs/>
          <w:sz w:val="24"/>
          <w:szCs w:val="24"/>
        </w:rPr>
        <w:t>配合业主方、设计院进行工艺调试；</w:t>
      </w:r>
    </w:p>
    <w:p>
      <w:pPr>
        <w:numPr>
          <w:ilvl w:val="0"/>
          <w:numId w:val="10"/>
        </w:numPr>
        <w:spacing w:line="360" w:lineRule="auto"/>
        <w:rPr>
          <w:rFonts w:ascii="宋体" w:hAnsi="宋体" w:eastAsia="宋体"/>
          <w:bCs/>
          <w:sz w:val="24"/>
          <w:szCs w:val="24"/>
        </w:rPr>
      </w:pPr>
      <w:r>
        <w:rPr>
          <w:rFonts w:hint="eastAsia" w:ascii="宋体" w:hAnsi="宋体" w:eastAsia="宋体"/>
          <w:bCs/>
          <w:sz w:val="24"/>
          <w:szCs w:val="24"/>
        </w:rPr>
        <w:t>负责人员培训及售后服务；</w:t>
      </w:r>
    </w:p>
    <w:p>
      <w:pPr>
        <w:numPr>
          <w:ilvl w:val="0"/>
          <w:numId w:val="10"/>
        </w:numPr>
        <w:spacing w:line="360" w:lineRule="auto"/>
        <w:rPr>
          <w:rFonts w:ascii="宋体" w:hAnsi="宋体" w:eastAsia="宋体"/>
          <w:bCs/>
          <w:sz w:val="24"/>
          <w:szCs w:val="24"/>
        </w:rPr>
      </w:pPr>
      <w:r>
        <w:rPr>
          <w:rFonts w:hint="eastAsia" w:ascii="宋体" w:hAnsi="宋体" w:eastAsia="宋体"/>
          <w:bCs/>
          <w:sz w:val="24"/>
          <w:szCs w:val="24"/>
        </w:rPr>
        <w:t>从生产厂到交货地点的包装、运输；</w:t>
      </w:r>
    </w:p>
    <w:p>
      <w:pPr>
        <w:numPr>
          <w:ilvl w:val="0"/>
          <w:numId w:val="10"/>
        </w:numPr>
        <w:spacing w:line="360" w:lineRule="auto"/>
        <w:rPr>
          <w:rFonts w:ascii="宋体" w:hAnsi="宋体" w:eastAsia="宋体"/>
          <w:bCs/>
          <w:sz w:val="24"/>
          <w:szCs w:val="24"/>
        </w:rPr>
      </w:pPr>
      <w:r>
        <w:rPr>
          <w:rFonts w:hint="eastAsia" w:ascii="宋体" w:hAnsi="宋体" w:eastAsia="宋体"/>
          <w:bCs/>
          <w:sz w:val="24"/>
          <w:szCs w:val="24"/>
        </w:rPr>
        <w:t>参与设备验收，提供竣工图与竣工报告等技术文件，及时办理移交手续。</w:t>
      </w:r>
    </w:p>
    <w:p>
      <w:pPr>
        <w:numPr>
          <w:ilvl w:val="0"/>
          <w:numId w:val="10"/>
        </w:numPr>
        <w:spacing w:line="360" w:lineRule="auto"/>
        <w:rPr>
          <w:rFonts w:ascii="宋体" w:hAnsi="宋体" w:eastAsia="宋体"/>
          <w:bCs/>
          <w:sz w:val="24"/>
          <w:szCs w:val="24"/>
        </w:rPr>
      </w:pPr>
      <w:r>
        <w:rPr>
          <w:rFonts w:hint="eastAsia" w:ascii="宋体" w:hAnsi="宋体" w:eastAsia="宋体"/>
          <w:bCs/>
          <w:sz w:val="24"/>
          <w:szCs w:val="24"/>
        </w:rPr>
        <w:t>其他甲方的施工要求。</w:t>
      </w:r>
    </w:p>
    <w:p>
      <w:pPr>
        <w:numPr>
          <w:ilvl w:val="0"/>
          <w:numId w:val="10"/>
        </w:numPr>
        <w:spacing w:line="360" w:lineRule="auto"/>
        <w:rPr>
          <w:rFonts w:ascii="宋体" w:hAnsi="宋体" w:eastAsia="宋体"/>
          <w:bCs/>
          <w:sz w:val="24"/>
          <w:szCs w:val="24"/>
        </w:rPr>
      </w:pPr>
      <w:r>
        <w:rPr>
          <w:rFonts w:hint="eastAsia" w:ascii="宋体" w:hAnsi="宋体" w:eastAsia="宋体"/>
          <w:bCs/>
          <w:sz w:val="24"/>
          <w:szCs w:val="24"/>
        </w:rPr>
        <w:t>响应甲方要求，配合制定出合理可行的总装不停线施工方案及计划。</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6、在现场制作的关键部件，必须经委托方检验合格后，方可进行涂漆、组装。合格品才能运抵施工现场。</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7、中标方服从招标方对现场、安全的管理。</w:t>
      </w:r>
    </w:p>
    <w:p>
      <w:pPr>
        <w:widowControl/>
        <w:spacing w:line="360" w:lineRule="auto"/>
        <w:jc w:val="left"/>
        <w:rPr>
          <w:rFonts w:ascii="宋体" w:hAnsi="宋体" w:eastAsia="宋体"/>
          <w:sz w:val="24"/>
          <w:szCs w:val="24"/>
        </w:rPr>
      </w:pPr>
    </w:p>
    <w:p>
      <w:pPr>
        <w:keepNext/>
        <w:keepLines/>
        <w:spacing w:before="120" w:after="120" w:line="480" w:lineRule="exact"/>
        <w:jc w:val="center"/>
        <w:outlineLvl w:val="1"/>
        <w:rPr>
          <w:rFonts w:ascii="宋体" w:hAnsi="宋体" w:eastAsia="宋体" w:cs="Times New Roman"/>
          <w:bCs/>
          <w:kern w:val="44"/>
          <w:sz w:val="28"/>
          <w:szCs w:val="28"/>
        </w:rPr>
      </w:pPr>
      <w:bookmarkStart w:id="102" w:name="_Toc169605880"/>
      <w:bookmarkStart w:id="103" w:name="_Toc169605881"/>
      <w:r>
        <w:rPr>
          <w:rFonts w:hint="eastAsia" w:ascii="宋体" w:hAnsi="宋体" w:eastAsia="宋体" w:cs="Times New Roman"/>
          <w:b/>
          <w:bCs/>
          <w:kern w:val="44"/>
          <w:sz w:val="28"/>
          <w:szCs w:val="28"/>
        </w:rPr>
        <w:t>第二章技术要求</w:t>
      </w:r>
      <w:bookmarkEnd w:id="102"/>
    </w:p>
    <w:p>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宋体"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.投标人应对招标人采购的货物所涉及的技术、产能等信息负有保密义务，招标人拥有追究投标人泄密责任的权利；招标人如有需要，投标人应无条件签署保密协议。</w:t>
      </w:r>
    </w:p>
    <w:p>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8.投标人预验收时需提供进口设备、部件的报关清关资料。</w:t>
      </w:r>
    </w:p>
    <w:p>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9.</w:t>
      </w:r>
      <w:r>
        <w:rPr>
          <w:rFonts w:hint="eastAsia" w:ascii="Times New Roman" w:hAnsi="Times New Roman" w:eastAsia="宋体" w:cs="Times New Roman"/>
          <w:bCs/>
          <w:sz w:val="24"/>
          <w:szCs w:val="24"/>
        </w:rPr>
        <w:t>要求投标方必须在近三年内为国内外厂家提供过同类型项目案例。投标文件中必须附有与本招标设备相同或相似技术规格、型号的设备的市场销售业绩清单。</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10.投标方应在确保改造后的产线可以安全稳定运行，并且具备生产现有及项目内要求的新增车型的能力。</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11.投标方积极协助和提供招标方和招标方所委托的工程设计单位有关人员与标的物有关的工程设计资料。</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12.投标方所供的设备，必须符合中国最新版的法律、法规和相关标准、规范的要求。</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13.投标方所供设备涉及的专利权技术以及知识产权保护其它技术等，应保证招标方不因此受到第三方侵权指控以及实际损失。</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14.投标方应满足招标方提出的各项技术要求。</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15.投标方应对招标方采购的设备所涉及的产品、技术、产能等信息负有保密义务。</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16.本技术要求，仅对功能、设计、结构、性能、安装和试验等方面，提出了最低和一般性的技术要求；并未对一切技术细节做出规定，未充分引述有关标准和规范的条文。投标方应保证提供的货物是符合本技术标书和国家最新的有关标准、规范的优质产品。若有异议，应在投标文件“技术偏离”中予以详细说明。</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17.本技术要求所使用的标准、规范等，如与投标方所执行的标准、规范不一致时，应按高于本技术要求所列的标准、规范执行，并在投标文件“技术偏离”中予以说明。</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18.投标方认为所供货物必需由招标方配备、解决或提供的其它要求，如设备基础隔振和减振设施、洁净气源等，均应在投标文件中予以充分说明。</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19.投标方可以根据自身经验以及对招标文件的理解，写明买方招标设备（或材料）应进行的优于招标文件要求的其它方案或建议意见；投标方的这些努力，买方表示感谢，并将有助于投标方优先胜出；即使有建议意见或建议方案，仍应依据招标文件要求，编写符合要求的投标文件。建议方案或建议意见，应以单独篇章或文件，予以说明。</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20.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*21.在本标书中没有提及到的部分，所有供应商必须保证设备各部分功能齐全并便于使用，这部分价格应该包含在报价中，而不得另行加价。</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*22. 本项目中所有改造均不可影响商用车总装线及分装线正常生产。</w:t>
      </w:r>
    </w:p>
    <w:p>
      <w:pPr>
        <w:spacing w:line="360" w:lineRule="auto"/>
        <w:ind w:firstLine="480" w:firstLineChars="200"/>
        <w:rPr>
          <w:rFonts w:ascii="宋体" w:hAnsi="宋体" w:eastAsia="宋体" w:cs="Times New Roman"/>
          <w:sz w:val="24"/>
          <w:szCs w:val="24"/>
        </w:rPr>
      </w:pPr>
      <w:r>
        <w:rPr>
          <w:rFonts w:hint="eastAsia" w:ascii="Times New Roman" w:hAnsi="Times New Roman" w:eastAsia="宋体" w:cs="Times New Roman"/>
          <w:bCs/>
          <w:sz w:val="24"/>
          <w:szCs w:val="24"/>
        </w:rPr>
        <w:t>23.本招标文件中所有加注“*”的条款为否决项，不允许出现偏离。</w:t>
      </w:r>
    </w:p>
    <w:p>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三、技术要求</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3.1法律、法规、技术标准要求</w:t>
      </w:r>
    </w:p>
    <w:p>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双方签订的技术协议</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双方会签的</w:t>
      </w:r>
      <w:r>
        <w:rPr>
          <w:rFonts w:hint="eastAsia" w:ascii="Times New Roman" w:hAnsi="Times New Roman" w:eastAsia="宋体" w:cs="Times New Roman"/>
          <w:bCs/>
          <w:sz w:val="24"/>
          <w:szCs w:val="24"/>
        </w:rPr>
        <w:t>图纸、</w:t>
      </w:r>
      <w:r>
        <w:rPr>
          <w:rFonts w:ascii="Times New Roman" w:hAnsi="Times New Roman" w:eastAsia="宋体" w:cs="Times New Roman"/>
          <w:bCs/>
          <w:sz w:val="24"/>
          <w:szCs w:val="24"/>
        </w:rPr>
        <w:t>双方签订的会议纪要</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安全规范和标准</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防火规范和标准</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环保规范和标准</w:t>
      </w:r>
    </w:p>
    <w:p>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设备采用材质合格证明及分析报告</w:t>
      </w:r>
    </w:p>
    <w:p>
      <w:pPr>
        <w:spacing w:line="360" w:lineRule="auto"/>
        <w:ind w:firstLine="480" w:firstLineChars="200"/>
        <w:rPr>
          <w:rFonts w:ascii="宋体" w:hAnsi="宋体" w:eastAsia="宋体" w:cs="宋体"/>
          <w:b/>
          <w:sz w:val="24"/>
          <w:szCs w:val="24"/>
        </w:rPr>
      </w:pPr>
      <w:r>
        <w:rPr>
          <w:rFonts w:ascii="Times New Roman" w:hAnsi="Times New Roman" w:eastAsia="宋体" w:cs="Times New Roman"/>
          <w:bCs/>
          <w:sz w:val="24"/>
          <w:szCs w:val="24"/>
        </w:rPr>
        <w:t>消防设备由招标方负责通过公安、消防部门验收</w:t>
      </w:r>
      <w:r>
        <w:rPr>
          <w:rFonts w:hint="eastAsia" w:ascii="Times New Roman" w:hAnsi="Times New Roman" w:eastAsia="宋体" w:cs="Times New Roman"/>
          <w:bCs/>
          <w:sz w:val="24"/>
          <w:szCs w:val="24"/>
        </w:rPr>
        <w:t>。</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●《劳动安全和劳动卫生管理》。</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●《电气装置安装工程电缆线路装置施工及验收通用规范》。</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●《电气装置安装工程低压电器施工及验收通用规范》。</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●《电气装置安装工程接地装置施工及验收通用规范》。</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其它国家和行业相关的技术标准规范等。</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乙方企标高于上述标准时优先采用乙方企标。</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w:t>
      </w:r>
      <w:r>
        <w:rPr>
          <w:rFonts w:ascii="宋体" w:hAnsi="宋体" w:eastAsia="宋体" w:cs="宋体"/>
          <w:b/>
          <w:sz w:val="24"/>
          <w:szCs w:val="24"/>
        </w:rPr>
        <w:t>.2</w:t>
      </w:r>
      <w:r>
        <w:rPr>
          <w:rFonts w:hint="eastAsia" w:ascii="宋体" w:hAnsi="宋体" w:eastAsia="宋体" w:cs="宋体"/>
          <w:b/>
          <w:sz w:val="24"/>
          <w:szCs w:val="24"/>
        </w:rPr>
        <w:t>技术参数</w:t>
      </w:r>
    </w:p>
    <w:p>
      <w:pPr>
        <w:pStyle w:val="12"/>
        <w:tabs>
          <w:tab w:val="left" w:pos="525"/>
        </w:tabs>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2</w:t>
      </w:r>
      <w:r>
        <w:rPr>
          <w:rFonts w:hint="eastAsia" w:ascii="宋体" w:hAnsi="宋体" w:eastAsia="宋体" w:cs="宋体"/>
          <w:sz w:val="24"/>
          <w:szCs w:val="24"/>
        </w:rPr>
        <w:t>.1环境条件</w:t>
      </w:r>
    </w:p>
    <w:p>
      <w:pPr>
        <w:pStyle w:val="12"/>
        <w:numPr>
          <w:ilvl w:val="0"/>
          <w:numId w:val="11"/>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环境温度：-</w:t>
      </w:r>
      <w:r>
        <w:rPr>
          <w:rFonts w:ascii="宋体" w:hAnsi="宋体" w:eastAsia="宋体" w:cs="宋体"/>
          <w:sz w:val="24"/>
          <w:szCs w:val="24"/>
        </w:rPr>
        <w:t>25</w:t>
      </w:r>
      <w:r>
        <w:rPr>
          <w:rFonts w:hint="eastAsia" w:ascii="宋体" w:hAnsi="宋体" w:eastAsia="宋体" w:cs="宋体"/>
          <w:sz w:val="24"/>
          <w:szCs w:val="24"/>
        </w:rPr>
        <w:t>℃～45℃；</w:t>
      </w:r>
    </w:p>
    <w:p>
      <w:pPr>
        <w:pStyle w:val="12"/>
        <w:numPr>
          <w:ilvl w:val="0"/>
          <w:numId w:val="11"/>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相对湿度：≤90%；</w:t>
      </w:r>
    </w:p>
    <w:p>
      <w:pPr>
        <w:pStyle w:val="12"/>
        <w:numPr>
          <w:ilvl w:val="0"/>
          <w:numId w:val="11"/>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海拔高度：≤4000m；</w:t>
      </w:r>
    </w:p>
    <w:p>
      <w:pPr>
        <w:pStyle w:val="12"/>
        <w:numPr>
          <w:ilvl w:val="0"/>
          <w:numId w:val="11"/>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大气压强：80kPa～110kPa；</w:t>
      </w:r>
    </w:p>
    <w:p>
      <w:pPr>
        <w:pStyle w:val="12"/>
        <w:numPr>
          <w:ilvl w:val="0"/>
          <w:numId w:val="11"/>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电力</w:t>
      </w:r>
      <w:r>
        <w:rPr>
          <w:rFonts w:ascii="宋体" w:hAnsi="宋体" w:eastAsia="宋体" w:cs="宋体"/>
          <w:sz w:val="24"/>
          <w:szCs w:val="24"/>
        </w:rPr>
        <w:t>:中国制式，三相五线制供电，供电电压 380V士10%/220V士10%，供电频率50Hz士0.5Hz。</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3.3项目内容</w:t>
      </w:r>
    </w:p>
    <w:p>
      <w:pPr>
        <w:widowControl/>
        <w:spacing w:line="360" w:lineRule="auto"/>
        <w:ind w:firstLine="480" w:firstLineChars="200"/>
        <w:jc w:val="left"/>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3.3.1底部电池框架落装吊具及底部电池吊具</w:t>
      </w:r>
    </w:p>
    <w:p>
      <w:pPr>
        <w:widowControl/>
        <w:spacing w:line="360" w:lineRule="auto"/>
        <w:ind w:firstLine="480" w:firstLineChars="20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3.3.1.1中部挂载横梁装配工装示意</w:t>
      </w:r>
    </w:p>
    <w:p>
      <w:pPr>
        <w:widowControl/>
        <w:spacing w:line="360" w:lineRule="auto"/>
        <w:ind w:firstLine="480" w:firstLineChars="200"/>
        <w:jc w:val="left"/>
        <w:rPr>
          <w:rFonts w:hint="default"/>
          <w:lang w:val="en-US" w:eastAsia="zh-CN"/>
        </w:rPr>
      </w:pPr>
      <w:r>
        <w:rPr>
          <w:rFonts w:hint="eastAsia" w:ascii="宋体" w:hAnsi="宋体" w:eastAsia="宋体" w:cs="宋体"/>
          <w:kern w:val="0"/>
          <w:sz w:val="24"/>
          <w:szCs w:val="24"/>
          <w:lang w:val="en-US" w:eastAsia="zh-CN"/>
        </w:rPr>
        <w:t>4个横梁吊挂在在吊具上时，整体平面度要求为2</w:t>
      </w:r>
    </w:p>
    <w:p>
      <w:pPr>
        <w:widowControl/>
        <w:spacing w:line="360" w:lineRule="auto"/>
        <w:ind w:firstLine="480" w:firstLineChars="20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drawing>
          <wp:inline distT="0" distB="0" distL="114300" distR="114300">
            <wp:extent cx="5751195" cy="3217545"/>
            <wp:effectExtent l="0" t="0" r="1905" b="8255"/>
            <wp:docPr id="4" name="图片 4" descr="b85f0524eaed8afc041d424ff7a3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85f0524eaed8afc041d424ff7a36157"/>
                    <pic:cNvPicPr>
                      <a:picLocks noChangeAspect="1"/>
                    </pic:cNvPicPr>
                  </pic:nvPicPr>
                  <pic:blipFill>
                    <a:blip r:embed="rId43"/>
                    <a:stretch>
                      <a:fillRect/>
                    </a:stretch>
                  </pic:blipFill>
                  <pic:spPr>
                    <a:xfrm>
                      <a:off x="0" y="0"/>
                      <a:ext cx="5751195" cy="3217545"/>
                    </a:xfrm>
                    <a:prstGeom prst="rect">
                      <a:avLst/>
                    </a:prstGeom>
                  </pic:spPr>
                </pic:pic>
              </a:graphicData>
            </a:graphic>
          </wp:inline>
        </w:drawing>
      </w:r>
    </w:p>
    <w:p>
      <w:pPr>
        <w:pStyle w:val="22"/>
        <w:jc w:val="center"/>
        <w:rPr>
          <w:rFonts w:hint="default"/>
          <w:lang w:val="en-US" w:eastAsia="zh-CN"/>
        </w:rPr>
      </w:pPr>
      <w:r>
        <w:rPr>
          <w:rFonts w:hint="eastAsia"/>
          <w:lang w:val="en-US" w:eastAsia="zh-CN"/>
        </w:rPr>
        <w:t>图3-1中部挂载横梁装配工装吊具示意</w:t>
      </w:r>
    </w:p>
    <w:p>
      <w:pPr>
        <w:pStyle w:val="22"/>
        <w:spacing w:line="360" w:lineRule="auto"/>
        <w:ind w:firstLine="480" w:firstLineChars="200"/>
        <w:rPr>
          <w:rFonts w:hint="default"/>
          <w:lang w:val="en-US" w:eastAsia="zh-CN"/>
        </w:rPr>
      </w:pPr>
      <w:r>
        <w:rPr>
          <w:rFonts w:hint="eastAsia" w:hAnsi="宋体" w:eastAsia="宋体" w:cs="宋体"/>
          <w:kern w:val="0"/>
          <w:sz w:val="24"/>
          <w:szCs w:val="24"/>
          <w:lang w:val="en-US" w:eastAsia="zh-CN"/>
        </w:rPr>
        <w:t>每个横梁需要增加两个辅助定位销</w:t>
      </w:r>
    </w:p>
    <w:p>
      <w:pPr>
        <w:widowControl/>
        <w:spacing w:line="360" w:lineRule="auto"/>
        <w:ind w:firstLine="480" w:firstLineChars="20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3.3.1.2两侧电池支架装配工装吊具示意</w:t>
      </w:r>
    </w:p>
    <w:p>
      <w:pPr>
        <w:pStyle w:val="22"/>
        <w:ind w:firstLine="480" w:firstLineChars="200"/>
        <w:rPr>
          <w:rFonts w:hint="default"/>
          <w:lang w:val="en-US" w:eastAsia="zh-CN"/>
        </w:rPr>
      </w:pPr>
      <w:r>
        <w:rPr>
          <w:rFonts w:hint="eastAsia" w:hAnsi="宋体" w:eastAsia="宋体" w:cs="宋体"/>
          <w:kern w:val="0"/>
          <w:sz w:val="24"/>
          <w:szCs w:val="24"/>
          <w:lang w:val="en-US" w:eastAsia="zh-CN"/>
        </w:rPr>
        <w:t>4个与横梁、电池支架贴合面的平面度为4</w:t>
      </w:r>
    </w:p>
    <w:p>
      <w:pPr>
        <w:widowControl/>
        <w:spacing w:line="360" w:lineRule="auto"/>
        <w:ind w:firstLine="420" w:firstLineChars="200"/>
        <w:jc w:val="center"/>
      </w:pPr>
      <w:r>
        <w:drawing>
          <wp:inline distT="0" distB="0" distL="114300" distR="114300">
            <wp:extent cx="3599815" cy="2633345"/>
            <wp:effectExtent l="9525" t="9525" r="10160" b="1143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4"/>
                    <a:stretch>
                      <a:fillRect/>
                    </a:stretch>
                  </pic:blipFill>
                  <pic:spPr>
                    <a:xfrm>
                      <a:off x="0" y="0"/>
                      <a:ext cx="3599815" cy="2633345"/>
                    </a:xfrm>
                    <a:prstGeom prst="rect">
                      <a:avLst/>
                    </a:prstGeom>
                    <a:noFill/>
                    <a:ln>
                      <a:solidFill>
                        <a:schemeClr val="bg2"/>
                      </a:solidFill>
                    </a:ln>
                  </pic:spPr>
                </pic:pic>
              </a:graphicData>
            </a:graphic>
          </wp:inline>
        </w:drawing>
      </w:r>
    </w:p>
    <w:p>
      <w:pPr>
        <w:pStyle w:val="22"/>
        <w:jc w:val="center"/>
        <w:rPr>
          <w:rFonts w:hint="eastAsia"/>
          <w:lang w:val="en-US" w:eastAsia="zh-CN"/>
        </w:rPr>
      </w:pPr>
      <w:r>
        <w:rPr>
          <w:rFonts w:hint="eastAsia"/>
          <w:lang w:val="en-US" w:eastAsia="zh-CN"/>
        </w:rPr>
        <w:t>图3-2 两侧电池支架装配工装吊具示意</w:t>
      </w:r>
    </w:p>
    <w:p>
      <w:pPr>
        <w:pStyle w:val="22"/>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3.3.1.</w:t>
      </w:r>
      <w:r>
        <w:rPr>
          <w:rFonts w:hint="eastAsia" w:hAnsi="宋体" w:eastAsia="宋体" w:cs="宋体"/>
          <w:kern w:val="0"/>
          <w:sz w:val="24"/>
          <w:szCs w:val="24"/>
          <w:lang w:val="en-US" w:eastAsia="zh-CN"/>
        </w:rPr>
        <w:t>3底部电池吊具</w:t>
      </w:r>
      <w:r>
        <w:rPr>
          <w:rFonts w:hint="eastAsia" w:ascii="宋体" w:hAnsi="宋体" w:eastAsia="宋体" w:cs="宋体"/>
          <w:kern w:val="0"/>
          <w:sz w:val="24"/>
          <w:szCs w:val="24"/>
          <w:lang w:val="en-US" w:eastAsia="zh-CN"/>
        </w:rPr>
        <w:t>：</w:t>
      </w:r>
    </w:p>
    <w:p>
      <w:pPr>
        <w:pStyle w:val="22"/>
        <w:spacing w:line="360" w:lineRule="auto"/>
        <w:ind w:firstLine="480" w:firstLineChars="200"/>
        <w:rPr>
          <w:rFonts w:hint="default" w:ascii="宋体" w:hAnsi="宋体" w:eastAsia="宋体" w:cs="宋体"/>
          <w:kern w:val="0"/>
          <w:sz w:val="24"/>
          <w:szCs w:val="24"/>
          <w:lang w:val="en-US" w:eastAsia="zh-CN"/>
        </w:rPr>
      </w:pPr>
      <w:r>
        <w:rPr>
          <w:rFonts w:hint="eastAsia" w:hAnsi="宋体" w:eastAsia="宋体" w:cs="宋体"/>
          <w:kern w:val="0"/>
          <w:sz w:val="24"/>
          <w:szCs w:val="24"/>
          <w:lang w:val="en-US" w:eastAsia="zh-CN"/>
        </w:rPr>
        <w:t>需根据产品尺寸及重量（单块电池≥1.5t）定制，保证吊具可满足底部电池的吊运，且便于工人操作。</w:t>
      </w:r>
    </w:p>
    <w:p>
      <w:pPr>
        <w:widowControl/>
        <w:spacing w:line="360" w:lineRule="auto"/>
        <w:ind w:firstLine="480" w:firstLineChars="20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3.3.2底部电池装配</w:t>
      </w:r>
    </w:p>
    <w:p>
      <w:pPr>
        <w:pStyle w:val="22"/>
        <w:rPr>
          <w:rFonts w:hint="default"/>
          <w:highlight w:val="none"/>
          <w:lang w:val="en-US" w:eastAsia="zh-CN"/>
        </w:rPr>
      </w:pPr>
      <w:r>
        <w:rPr>
          <w:rFonts w:hint="eastAsia" w:hAnsi="宋体" w:eastAsia="宋体" w:cs="宋体"/>
          <w:kern w:val="0"/>
          <w:sz w:val="24"/>
          <w:szCs w:val="24"/>
          <w:lang w:val="en-US" w:eastAsia="zh-CN"/>
        </w:rPr>
        <w:t xml:space="preserve">    基本逻辑：底部电池吊运至工装上后，</w:t>
      </w:r>
      <w:r>
        <w:rPr>
          <w:rFonts w:hint="eastAsia" w:hAnsi="宋体" w:eastAsia="宋体" w:cs="宋体"/>
          <w:kern w:val="0"/>
          <w:sz w:val="24"/>
          <w:szCs w:val="24"/>
          <w:highlight w:val="none"/>
          <w:lang w:val="en-US" w:eastAsia="zh-CN"/>
        </w:rPr>
        <w:t>电动小车驮运对应不同型号电池的工装，运行到指定位置进行装配。整体工作节拍需满足生产需求，单车承载重量＜20t，非自动运行部分需配备遥控器控制。</w:t>
      </w:r>
    </w:p>
    <w:p>
      <w:pPr>
        <w:pStyle w:val="22"/>
        <w:ind w:firstLine="480" w:firstLineChars="200"/>
        <w:rPr>
          <w:rFonts w:hint="default"/>
          <w:lang w:val="en-US" w:eastAsia="zh-CN"/>
        </w:rPr>
      </w:pPr>
      <w:r>
        <w:rPr>
          <w:rFonts w:hint="eastAsia" w:hAnsi="宋体" w:eastAsia="宋体" w:cs="宋体"/>
          <w:kern w:val="0"/>
          <w:sz w:val="24"/>
          <w:szCs w:val="24"/>
          <w:lang w:val="en-US" w:eastAsia="zh-CN"/>
        </w:rPr>
        <w:t>3.3.2.1车架支撑方式</w:t>
      </w:r>
    </w:p>
    <w:p>
      <w:pPr>
        <w:widowControl/>
        <w:spacing w:line="360" w:lineRule="auto"/>
        <w:ind w:firstLine="480" w:firstLineChars="200"/>
        <w:jc w:val="left"/>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支撑前横梁</w:t>
      </w:r>
      <w:r>
        <w:rPr>
          <w:rFonts w:hint="eastAsia" w:ascii="宋体" w:hAnsi="宋体" w:eastAsia="宋体" w:cs="宋体"/>
          <w:kern w:val="0"/>
          <w:sz w:val="24"/>
          <w:szCs w:val="24"/>
          <w:lang w:val="en-US" w:eastAsia="zh-CN"/>
        </w:rPr>
        <w:t>及</w:t>
      </w:r>
      <w:r>
        <w:rPr>
          <w:rFonts w:hint="default" w:ascii="宋体" w:hAnsi="宋体" w:eastAsia="宋体" w:cs="宋体"/>
          <w:kern w:val="0"/>
          <w:sz w:val="24"/>
          <w:szCs w:val="24"/>
          <w:lang w:val="en-US" w:eastAsia="zh-CN"/>
        </w:rPr>
        <w:t>2个后桥。</w:t>
      </w:r>
      <w:r>
        <w:rPr>
          <w:rFonts w:hint="eastAsia" w:ascii="宋体" w:hAnsi="宋体" w:eastAsia="宋体" w:cs="宋体"/>
          <w:kern w:val="0"/>
          <w:sz w:val="24"/>
          <w:szCs w:val="24"/>
          <w:lang w:val="en-US" w:eastAsia="zh-CN"/>
        </w:rPr>
        <w:t>车架落装过程中有定位导向，前后桥支撑升起，支撑整个车架。</w:t>
      </w:r>
    </w:p>
    <w:p>
      <w:pPr>
        <w:widowControl/>
        <w:spacing w:line="360" w:lineRule="exact"/>
        <w:ind w:firstLine="480" w:firstLineChars="200"/>
        <w:jc w:val="left"/>
        <w:rPr>
          <w:rFonts w:hint="eastAsia" w:ascii="宋体" w:hAnsi="宋体" w:eastAsia="宋体" w:cs="宋体"/>
          <w:kern w:val="0"/>
          <w:sz w:val="24"/>
          <w:szCs w:val="24"/>
        </w:rPr>
      </w:pPr>
    </w:p>
    <w:p>
      <w:pPr>
        <w:pStyle w:val="22"/>
        <w:jc w:val="center"/>
      </w:pPr>
      <w:r>
        <w:drawing>
          <wp:inline distT="0" distB="0" distL="114300" distR="114300">
            <wp:extent cx="2093595" cy="1440180"/>
            <wp:effectExtent l="0" t="0" r="1905" b="7620"/>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pic:cNvPicPr>
                  </pic:nvPicPr>
                  <pic:blipFill>
                    <a:blip r:embed="rId45"/>
                    <a:stretch>
                      <a:fillRect/>
                    </a:stretch>
                  </pic:blipFill>
                  <pic:spPr>
                    <a:xfrm>
                      <a:off x="0" y="0"/>
                      <a:ext cx="2093595" cy="1440180"/>
                    </a:xfrm>
                    <a:prstGeom prst="rect">
                      <a:avLst/>
                    </a:prstGeom>
                  </pic:spPr>
                </pic:pic>
              </a:graphicData>
            </a:graphic>
          </wp:inline>
        </w:drawing>
      </w:r>
      <w:r>
        <w:drawing>
          <wp:inline distT="0" distB="0" distL="114300" distR="114300">
            <wp:extent cx="1342390" cy="1440180"/>
            <wp:effectExtent l="0" t="0" r="3810" b="7620"/>
            <wp:docPr id="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pic:cNvPicPr>
                      <a:picLocks noChangeAspect="1"/>
                    </pic:cNvPicPr>
                  </pic:nvPicPr>
                  <pic:blipFill>
                    <a:blip r:embed="rId46"/>
                    <a:stretch>
                      <a:fillRect/>
                    </a:stretch>
                  </pic:blipFill>
                  <pic:spPr>
                    <a:xfrm>
                      <a:off x="0" y="0"/>
                      <a:ext cx="1342390" cy="1440180"/>
                    </a:xfrm>
                    <a:prstGeom prst="rect">
                      <a:avLst/>
                    </a:prstGeom>
                  </pic:spPr>
                </pic:pic>
              </a:graphicData>
            </a:graphic>
          </wp:inline>
        </w:drawing>
      </w:r>
      <w:r>
        <w:drawing>
          <wp:inline distT="0" distB="0" distL="114300" distR="114300">
            <wp:extent cx="1747520" cy="1440180"/>
            <wp:effectExtent l="0" t="0" r="5080" b="762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47"/>
                    <a:stretch>
                      <a:fillRect/>
                    </a:stretch>
                  </pic:blipFill>
                  <pic:spPr>
                    <a:xfrm>
                      <a:off x="0" y="0"/>
                      <a:ext cx="1747520" cy="1440180"/>
                    </a:xfrm>
                    <a:prstGeom prst="rect">
                      <a:avLst/>
                    </a:prstGeom>
                  </pic:spPr>
                </pic:pic>
              </a:graphicData>
            </a:graphic>
          </wp:inline>
        </w:drawing>
      </w:r>
    </w:p>
    <w:p>
      <w:pPr>
        <w:pStyle w:val="22"/>
        <w:jc w:val="center"/>
        <w:rPr>
          <w:rFonts w:hint="default" w:eastAsiaTheme="minorEastAsia"/>
          <w:lang w:val="en-US" w:eastAsia="zh-CN"/>
        </w:rPr>
      </w:pPr>
      <w:r>
        <w:rPr>
          <w:rFonts w:hint="eastAsia"/>
          <w:lang w:val="en-US" w:eastAsia="zh-CN"/>
        </w:rPr>
        <w:t>图3-3 车架支撑点示意</w:t>
      </w:r>
    </w:p>
    <w:p>
      <w:pPr>
        <w:widowControl/>
        <w:spacing w:line="360" w:lineRule="auto"/>
        <w:ind w:firstLine="480" w:firstLineChars="20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3.3.2.2电池与电池框架支撑方式</w:t>
      </w:r>
    </w:p>
    <w:p>
      <w:pPr>
        <w:pStyle w:val="22"/>
        <w:spacing w:line="360" w:lineRule="auto"/>
        <w:ind w:firstLine="480" w:firstLineChars="200"/>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粗定位： 电池的四个角增加树脂块导向；精定位：每块电池2个定位销精定位。</w:t>
      </w:r>
    </w:p>
    <w:p>
      <w:pPr>
        <w:pStyle w:val="22"/>
        <w:jc w:val="center"/>
        <w:rPr>
          <w:rFonts w:hint="eastAsia" w:eastAsiaTheme="minorEastAsia"/>
          <w:lang w:eastAsia="zh-CN"/>
        </w:rPr>
      </w:pPr>
      <w:r>
        <w:rPr>
          <w:rFonts w:hint="eastAsia" w:eastAsiaTheme="minorEastAsia"/>
          <w:lang w:eastAsia="zh-CN"/>
        </w:rPr>
        <w:drawing>
          <wp:inline distT="0" distB="0" distL="114300" distR="114300">
            <wp:extent cx="3844925" cy="2692400"/>
            <wp:effectExtent l="0" t="0" r="3175" b="0"/>
            <wp:docPr id="9" name="图片 9" descr="9550be2d363c5d56489f9bd8fcf22c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550be2d363c5d56489f9bd8fcf22cfd"/>
                    <pic:cNvPicPr>
                      <a:picLocks noChangeAspect="1"/>
                    </pic:cNvPicPr>
                  </pic:nvPicPr>
                  <pic:blipFill>
                    <a:blip r:embed="rId48"/>
                    <a:stretch>
                      <a:fillRect/>
                    </a:stretch>
                  </pic:blipFill>
                  <pic:spPr>
                    <a:xfrm>
                      <a:off x="0" y="0"/>
                      <a:ext cx="3844925" cy="2692400"/>
                    </a:xfrm>
                    <a:prstGeom prst="rect">
                      <a:avLst/>
                    </a:prstGeom>
                  </pic:spPr>
                </pic:pic>
              </a:graphicData>
            </a:graphic>
          </wp:inline>
        </w:drawing>
      </w:r>
    </w:p>
    <w:p>
      <w:pPr>
        <w:pStyle w:val="22"/>
        <w:jc w:val="center"/>
        <w:rPr>
          <w:rFonts w:hint="default" w:eastAsiaTheme="minorEastAsia"/>
          <w:highlight w:val="none"/>
          <w:lang w:val="en-US" w:eastAsia="zh-CN"/>
        </w:rPr>
      </w:pPr>
      <w:r>
        <w:rPr>
          <w:rFonts w:hint="eastAsia"/>
          <w:highlight w:val="none"/>
          <w:lang w:val="en-US" w:eastAsia="zh-CN"/>
        </w:rPr>
        <w:t>图3-4 粗定位示意</w:t>
      </w:r>
    </w:p>
    <w:p>
      <w:pPr>
        <w:pStyle w:val="22"/>
        <w:jc w:val="center"/>
      </w:pPr>
      <w:r>
        <w:drawing>
          <wp:inline distT="0" distB="0" distL="114300" distR="114300">
            <wp:extent cx="3844290" cy="1526540"/>
            <wp:effectExtent l="0" t="0" r="3810" b="10160"/>
            <wp:docPr id="1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0"/>
                    <pic:cNvPicPr>
                      <a:picLocks noChangeAspect="1"/>
                    </pic:cNvPicPr>
                  </pic:nvPicPr>
                  <pic:blipFill>
                    <a:blip r:embed="rId49"/>
                    <a:srcRect l="2246" t="2995" r="6905" b="16886"/>
                    <a:stretch>
                      <a:fillRect/>
                    </a:stretch>
                  </pic:blipFill>
                  <pic:spPr>
                    <a:xfrm>
                      <a:off x="0" y="0"/>
                      <a:ext cx="3844290" cy="1526540"/>
                    </a:xfrm>
                    <a:prstGeom prst="rect">
                      <a:avLst/>
                    </a:prstGeom>
                  </pic:spPr>
                </pic:pic>
              </a:graphicData>
            </a:graphic>
          </wp:inline>
        </w:drawing>
      </w:r>
    </w:p>
    <w:p>
      <w:pPr>
        <w:pStyle w:val="22"/>
        <w:jc w:val="center"/>
        <w:rPr>
          <w:rFonts w:hint="default" w:eastAsiaTheme="minorEastAsia"/>
          <w:lang w:val="en-US" w:eastAsia="zh-CN"/>
        </w:rPr>
      </w:pPr>
      <w:r>
        <w:rPr>
          <w:rFonts w:hint="eastAsia"/>
          <w:lang w:val="en-US" w:eastAsia="zh-CN"/>
        </w:rPr>
        <w:t>图3-5 精定位示意</w:t>
      </w:r>
    </w:p>
    <w:p>
      <w:pPr>
        <w:widowControl/>
        <w:spacing w:line="360" w:lineRule="auto"/>
        <w:ind w:firstLine="480" w:firstLineChars="200"/>
        <w:jc w:val="left"/>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3.3.2.3电池框架组合方式及定位</w:t>
      </w:r>
    </w:p>
    <w:p>
      <w:pPr>
        <w:pStyle w:val="22"/>
        <w:spacing w:line="360" w:lineRule="auto"/>
        <w:ind w:firstLine="480" w:firstLineChars="200"/>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因电池模块的组数不确定，不同厂家电池尺寸不同，避免电池框架与车架干涉，安装尺寸相近电池共用一个工装台，定位工装块设计可</w:t>
      </w:r>
      <w:r>
        <w:rPr>
          <w:rFonts w:hint="eastAsia" w:hAnsi="宋体" w:eastAsia="宋体" w:cs="宋体"/>
          <w:kern w:val="0"/>
          <w:sz w:val="24"/>
          <w:szCs w:val="24"/>
          <w:lang w:val="en-US" w:eastAsia="zh-CN" w:bidi="ar-SA"/>
        </w:rPr>
        <w:t>调，</w:t>
      </w:r>
      <w:r>
        <w:rPr>
          <w:rFonts w:hint="eastAsia" w:ascii="宋体" w:hAnsi="宋体" w:eastAsia="宋体" w:cs="宋体"/>
          <w:kern w:val="0"/>
          <w:sz w:val="24"/>
          <w:szCs w:val="24"/>
          <w:lang w:val="en-US" w:eastAsia="zh-CN" w:bidi="ar-SA"/>
        </w:rPr>
        <w:t>2块与3块电池安装差异大，需分别设计工装台。</w:t>
      </w:r>
    </w:p>
    <w:p>
      <w:pPr>
        <w:pStyle w:val="22"/>
        <w:ind w:firstLine="420" w:firstLineChars="200"/>
      </w:pPr>
    </w:p>
    <w:p>
      <w:pPr>
        <w:pStyle w:val="22"/>
        <w:ind w:firstLine="420" w:firstLineChars="200"/>
      </w:pPr>
    </w:p>
    <w:p>
      <w:pPr>
        <w:pStyle w:val="22"/>
        <w:ind w:firstLine="420" w:firstLineChars="200"/>
      </w:pPr>
      <w:r>
        <w:drawing>
          <wp:inline distT="0" distB="0" distL="114300" distR="114300">
            <wp:extent cx="5197475" cy="2255520"/>
            <wp:effectExtent l="0" t="0" r="9525" b="508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50"/>
                    <a:stretch>
                      <a:fillRect/>
                    </a:stretch>
                  </pic:blipFill>
                  <pic:spPr>
                    <a:xfrm>
                      <a:off x="0" y="0"/>
                      <a:ext cx="5197475" cy="2255520"/>
                    </a:xfrm>
                    <a:prstGeom prst="rect">
                      <a:avLst/>
                    </a:prstGeom>
                  </pic:spPr>
                </pic:pic>
              </a:graphicData>
            </a:graphic>
          </wp:inline>
        </w:drawing>
      </w:r>
    </w:p>
    <w:p>
      <w:pPr>
        <w:pStyle w:val="22"/>
        <w:ind w:firstLine="420" w:firstLineChars="200"/>
        <w:jc w:val="center"/>
        <w:rPr>
          <w:rFonts w:hint="eastAsia"/>
          <w:lang w:val="en-US" w:eastAsia="zh-CN"/>
        </w:rPr>
      </w:pPr>
      <w:r>
        <w:rPr>
          <w:rFonts w:hint="eastAsia"/>
          <w:lang w:val="en-US" w:eastAsia="zh-CN"/>
        </w:rPr>
        <w:t>图3-6拖盘尺寸需根据产品定制</w:t>
      </w:r>
    </w:p>
    <w:p>
      <w:pPr>
        <w:widowControl/>
        <w:spacing w:line="360" w:lineRule="auto"/>
        <w:ind w:firstLine="480" w:firstLineChars="20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3.3.2.4 电池位置调整方案</w:t>
      </w:r>
    </w:p>
    <w:p>
      <w:pPr>
        <w:pStyle w:val="22"/>
        <w:numPr>
          <w:ilvl w:val="0"/>
          <w:numId w:val="0"/>
        </w:numPr>
        <w:spacing w:line="360" w:lineRule="auto"/>
        <w:ind w:left="420" w:leftChars="0" w:hanging="420" w:firstLineChars="0"/>
        <w:rPr>
          <w:rFonts w:hint="default" w:ascii="宋体" w:hAnsi="宋体" w:eastAsia="宋体" w:cs="宋体"/>
          <w:kern w:val="0"/>
          <w:sz w:val="24"/>
          <w:szCs w:val="24"/>
          <w:lang w:val="en-US" w:eastAsia="zh-CN" w:bidi="ar-SA"/>
        </w:rPr>
      </w:pPr>
      <w:r>
        <w:rPr>
          <w:rFonts w:hint="default" w:ascii="Wingdings" w:hAnsi="Wingdings" w:eastAsia="宋体" w:cs="宋体"/>
          <w:kern w:val="0"/>
          <w:sz w:val="24"/>
          <w:szCs w:val="24"/>
          <w:lang w:val="en-US" w:eastAsia="zh-CN" w:bidi="ar-SA"/>
        </w:rPr>
        <w:t></w:t>
      </w:r>
      <w:r>
        <w:rPr>
          <w:rFonts w:hint="eastAsia" w:ascii="Wingdings" w:hAnsi="Wingdings" w:eastAsia="宋体" w:cs="宋体"/>
          <w:kern w:val="0"/>
          <w:sz w:val="24"/>
          <w:szCs w:val="24"/>
          <w:lang w:val="en-US" w:eastAsia="zh-CN" w:bidi="ar-SA"/>
        </w:rPr>
        <w:t xml:space="preserve"> </w:t>
      </w:r>
      <w:r>
        <w:rPr>
          <w:rFonts w:hint="default" w:ascii="宋体" w:hAnsi="宋体" w:eastAsia="宋体" w:cs="宋体"/>
          <w:kern w:val="0"/>
          <w:sz w:val="24"/>
          <w:szCs w:val="24"/>
          <w:lang w:val="en-US" w:eastAsia="zh-CN" w:bidi="ar-SA"/>
        </w:rPr>
        <w:t>高度调整: 升降机推杆结构，精度＞0.1mm；</w:t>
      </w:r>
    </w:p>
    <w:p>
      <w:pPr>
        <w:pStyle w:val="22"/>
        <w:spacing w:line="360" w:lineRule="auto"/>
        <w:rPr>
          <w:rFonts w:hint="default" w:ascii="宋体" w:hAnsi="宋体" w:eastAsia="宋体" w:cs="宋体"/>
          <w:kern w:val="0"/>
          <w:sz w:val="24"/>
          <w:szCs w:val="24"/>
          <w:lang w:val="en-US" w:eastAsia="zh-CN" w:bidi="ar-SA"/>
        </w:rPr>
      </w:pPr>
      <w:r>
        <w:rPr>
          <w:rFonts w:hint="default" w:ascii="Wingdings" w:hAnsi="Wingdings" w:eastAsia="宋体" w:cs="宋体"/>
          <w:kern w:val="0"/>
          <w:sz w:val="24"/>
          <w:szCs w:val="24"/>
          <w:lang w:val="en-US" w:eastAsia="zh-CN" w:bidi="ar-SA"/>
        </w:rPr>
        <w:t></w:t>
      </w:r>
      <w:r>
        <w:rPr>
          <w:rFonts w:hint="eastAsia" w:ascii="Wingdings" w:hAnsi="Wingdings" w:eastAsia="宋体" w:cs="宋体"/>
          <w:kern w:val="0"/>
          <w:sz w:val="24"/>
          <w:szCs w:val="24"/>
          <w:lang w:val="en-US" w:eastAsia="zh-CN" w:bidi="ar-SA"/>
        </w:rPr>
        <w:t xml:space="preserve"> </w:t>
      </w:r>
      <w:r>
        <w:rPr>
          <w:rFonts w:hint="default" w:ascii="宋体" w:hAnsi="宋体" w:eastAsia="宋体" w:cs="宋体"/>
          <w:kern w:val="0"/>
          <w:sz w:val="24"/>
          <w:szCs w:val="24"/>
          <w:lang w:val="en-US" w:eastAsia="zh-CN" w:bidi="ar-SA"/>
        </w:rPr>
        <w:t>XY方向与车架对齐调整</w:t>
      </w:r>
      <w:r>
        <w:rPr>
          <w:rFonts w:hint="eastAsia" w:hAnsi="宋体" w:eastAsia="宋体" w:cs="宋体"/>
          <w:kern w:val="0"/>
          <w:sz w:val="24"/>
          <w:szCs w:val="24"/>
          <w:lang w:val="en-US" w:eastAsia="zh-CN" w:bidi="ar-SA"/>
        </w:rPr>
        <w:t>。</w:t>
      </w:r>
    </w:p>
    <w:p>
      <w:pPr>
        <w:pStyle w:val="22"/>
        <w:spacing w:line="360" w:lineRule="auto"/>
        <w:rPr>
          <w:rFonts w:hint="default" w:ascii="宋体" w:hAnsi="宋体" w:eastAsia="宋体" w:cs="宋体"/>
          <w:kern w:val="0"/>
          <w:sz w:val="24"/>
          <w:szCs w:val="24"/>
          <w:lang w:val="en-US" w:eastAsia="zh-CN" w:bidi="ar-SA"/>
        </w:rPr>
      </w:pPr>
      <w:r>
        <w:rPr>
          <w:rFonts w:hint="default" w:ascii="Wingdings" w:hAnsi="Wingdings" w:eastAsia="宋体" w:cs="宋体"/>
          <w:kern w:val="0"/>
          <w:sz w:val="24"/>
          <w:szCs w:val="24"/>
          <w:lang w:val="en-US" w:eastAsia="zh-CN" w:bidi="ar-SA"/>
        </w:rPr>
        <w:t></w:t>
      </w:r>
      <w:r>
        <w:rPr>
          <w:rFonts w:hint="eastAsia" w:ascii="Wingdings" w:hAnsi="Wingdings" w:eastAsia="宋体" w:cs="宋体"/>
          <w:kern w:val="0"/>
          <w:sz w:val="24"/>
          <w:szCs w:val="24"/>
          <w:lang w:val="en-US" w:eastAsia="zh-CN" w:bidi="ar-SA"/>
        </w:rPr>
        <w:t xml:space="preserve"> </w:t>
      </w:r>
      <w:r>
        <w:rPr>
          <w:rFonts w:hint="default" w:ascii="宋体" w:hAnsi="宋体" w:eastAsia="宋体" w:cs="宋体"/>
          <w:kern w:val="0"/>
          <w:sz w:val="24"/>
          <w:szCs w:val="24"/>
          <w:lang w:val="en-US" w:eastAsia="zh-CN" w:bidi="ar-SA"/>
        </w:rPr>
        <w:t>XY平面 与支架安装面平面度调整方式：调整角度＞2°。</w:t>
      </w:r>
    </w:p>
    <w:p>
      <w:pPr>
        <w:pStyle w:val="22"/>
        <w:spacing w:line="360" w:lineRule="auto"/>
        <w:rPr>
          <w:rFonts w:hint="default" w:ascii="宋体" w:hAnsi="宋体" w:eastAsia="宋体" w:cs="宋体"/>
          <w:kern w:val="0"/>
          <w:sz w:val="24"/>
          <w:szCs w:val="24"/>
          <w:lang w:val="en-US" w:eastAsia="zh-CN" w:bidi="ar-SA"/>
        </w:rPr>
      </w:pPr>
      <w:r>
        <w:rPr>
          <w:rFonts w:hint="default" w:ascii="Wingdings" w:hAnsi="Wingdings" w:eastAsia="宋体" w:cs="宋体"/>
          <w:kern w:val="0"/>
          <w:sz w:val="24"/>
          <w:szCs w:val="24"/>
          <w:lang w:val="en-US" w:eastAsia="zh-CN" w:bidi="ar-SA"/>
        </w:rPr>
        <w:t></w:t>
      </w:r>
      <w:r>
        <w:rPr>
          <w:rFonts w:hint="eastAsia" w:ascii="Wingdings" w:hAnsi="Wingdings" w:eastAsia="宋体" w:cs="宋体"/>
          <w:kern w:val="0"/>
          <w:sz w:val="24"/>
          <w:szCs w:val="24"/>
          <w:lang w:val="en-US" w:eastAsia="zh-CN" w:bidi="ar-SA"/>
        </w:rPr>
        <w:t xml:space="preserve"> </w:t>
      </w:r>
      <w:r>
        <w:rPr>
          <w:rFonts w:hint="default" w:ascii="宋体" w:hAnsi="宋体" w:eastAsia="宋体" w:cs="宋体"/>
          <w:kern w:val="0"/>
          <w:sz w:val="24"/>
          <w:szCs w:val="24"/>
          <w:lang w:val="en-US" w:eastAsia="zh-CN" w:bidi="ar-SA"/>
        </w:rPr>
        <w:t>弹簧+楔形块+吊链调整；装配过程中位置调整后，</w:t>
      </w:r>
      <w:r>
        <w:rPr>
          <w:rFonts w:hint="default" w:ascii="宋体" w:hAnsi="宋体" w:eastAsia="宋体" w:cs="宋体"/>
          <w:kern w:val="0"/>
          <w:sz w:val="24"/>
          <w:szCs w:val="24"/>
          <w:highlight w:val="none"/>
          <w:lang w:val="en-US" w:eastAsia="zh-CN" w:bidi="ar-SA"/>
        </w:rPr>
        <w:t>磁铁吸附固定电池托盘</w:t>
      </w:r>
      <w:r>
        <w:rPr>
          <w:rFonts w:hint="default" w:ascii="宋体" w:hAnsi="宋体" w:eastAsia="宋体" w:cs="宋体"/>
          <w:kern w:val="0"/>
          <w:sz w:val="24"/>
          <w:szCs w:val="24"/>
          <w:lang w:val="en-US" w:eastAsia="zh-CN" w:bidi="ar-SA"/>
        </w:rPr>
        <w:t>。</w:t>
      </w:r>
    </w:p>
    <w:p>
      <w:pPr>
        <w:pStyle w:val="22"/>
        <w:spacing w:line="360" w:lineRule="auto"/>
        <w:rPr>
          <w:rFonts w:hint="default" w:ascii="宋体" w:hAnsi="宋体" w:eastAsia="宋体" w:cs="宋体"/>
          <w:kern w:val="0"/>
          <w:sz w:val="24"/>
          <w:szCs w:val="24"/>
          <w:lang w:val="en-US" w:eastAsia="zh-CN" w:bidi="ar-SA"/>
        </w:rPr>
      </w:pPr>
      <w:r>
        <w:rPr>
          <w:rFonts w:hint="default" w:ascii="Wingdings" w:hAnsi="Wingdings" w:eastAsia="宋体" w:cs="宋体"/>
          <w:kern w:val="0"/>
          <w:sz w:val="24"/>
          <w:szCs w:val="24"/>
          <w:lang w:val="en-US" w:eastAsia="zh-CN" w:bidi="ar-SA"/>
        </w:rPr>
        <w:t></w:t>
      </w:r>
      <w:r>
        <w:rPr>
          <w:rFonts w:hint="eastAsia" w:ascii="Wingdings" w:hAnsi="Wingdings" w:eastAsia="宋体" w:cs="宋体"/>
          <w:kern w:val="0"/>
          <w:sz w:val="24"/>
          <w:szCs w:val="24"/>
          <w:lang w:val="en-US" w:eastAsia="zh-CN" w:bidi="ar-SA"/>
        </w:rPr>
        <w:t xml:space="preserve"> </w:t>
      </w:r>
      <w:r>
        <w:rPr>
          <w:rFonts w:hint="default" w:ascii="宋体" w:hAnsi="宋体" w:eastAsia="宋体" w:cs="宋体"/>
          <w:kern w:val="0"/>
          <w:sz w:val="24"/>
          <w:szCs w:val="24"/>
          <w:lang w:val="en-US" w:eastAsia="zh-CN" w:bidi="ar-SA"/>
        </w:rPr>
        <w:t>上、中、下三层板，在边缘安装点位置均需避空。</w:t>
      </w:r>
    </w:p>
    <w:p>
      <w:pPr>
        <w:pStyle w:val="22"/>
        <w:spacing w:line="360" w:lineRule="auto"/>
        <w:rPr>
          <w:rFonts w:hint="default" w:ascii="宋体" w:hAnsi="宋体" w:eastAsia="宋体" w:cs="宋体"/>
          <w:kern w:val="0"/>
          <w:sz w:val="24"/>
          <w:szCs w:val="24"/>
          <w:lang w:val="en-US" w:eastAsia="zh-CN" w:bidi="ar-SA"/>
        </w:rPr>
      </w:pPr>
      <w:r>
        <w:rPr>
          <w:rFonts w:hint="default" w:ascii="Wingdings" w:hAnsi="Wingdings" w:eastAsia="宋体" w:cs="宋体"/>
          <w:kern w:val="0"/>
          <w:sz w:val="24"/>
          <w:szCs w:val="24"/>
          <w:lang w:val="en-US" w:eastAsia="zh-CN" w:bidi="ar-SA"/>
        </w:rPr>
        <w:t></w:t>
      </w:r>
      <w:r>
        <w:rPr>
          <w:rFonts w:hint="eastAsia" w:ascii="Wingdings" w:hAnsi="Wingdings" w:eastAsia="宋体" w:cs="宋体"/>
          <w:kern w:val="0"/>
          <w:sz w:val="24"/>
          <w:szCs w:val="24"/>
          <w:lang w:val="en-US" w:eastAsia="zh-CN" w:bidi="ar-SA"/>
        </w:rPr>
        <w:t xml:space="preserve"> </w:t>
      </w:r>
      <w:r>
        <w:rPr>
          <w:rFonts w:hint="default" w:ascii="宋体" w:hAnsi="宋体" w:eastAsia="宋体" w:cs="宋体"/>
          <w:kern w:val="0"/>
          <w:sz w:val="24"/>
          <w:szCs w:val="24"/>
          <w:lang w:val="en-US" w:eastAsia="zh-CN" w:bidi="ar-SA"/>
        </w:rPr>
        <w:t xml:space="preserve">车架落在固定支撑后，下翼面距离地面高度约1.2m </w:t>
      </w:r>
      <w:r>
        <w:rPr>
          <w:rFonts w:hint="eastAsia" w:hAnsi="宋体" w:eastAsia="宋体" w:cs="宋体"/>
          <w:kern w:val="0"/>
          <w:sz w:val="24"/>
          <w:szCs w:val="24"/>
          <w:lang w:val="en-US" w:eastAsia="zh-CN" w:bidi="ar-SA"/>
        </w:rPr>
        <w:t>~1.5m</w:t>
      </w:r>
      <w:r>
        <w:rPr>
          <w:rFonts w:hint="default" w:ascii="宋体" w:hAnsi="宋体" w:eastAsia="宋体" w:cs="宋体"/>
          <w:kern w:val="0"/>
          <w:sz w:val="24"/>
          <w:szCs w:val="24"/>
          <w:lang w:val="en-US" w:eastAsia="zh-CN" w:bidi="ar-SA"/>
        </w:rPr>
        <w:t>左右。升降前整体高度需低于 1.1m</w:t>
      </w:r>
      <w:r>
        <w:rPr>
          <w:rFonts w:hint="eastAsia" w:hAnsi="宋体" w:eastAsia="宋体" w:cs="宋体"/>
          <w:kern w:val="0"/>
          <w:sz w:val="24"/>
          <w:szCs w:val="24"/>
          <w:lang w:val="en-US" w:eastAsia="zh-CN" w:bidi="ar-SA"/>
        </w:rPr>
        <w:t>。</w:t>
      </w:r>
    </w:p>
    <w:p>
      <w:pPr>
        <w:pStyle w:val="22"/>
        <w:ind w:firstLine="420" w:firstLineChars="200"/>
        <w:rPr>
          <w:rFonts w:hint="eastAsia" w:eastAsiaTheme="minorEastAsia"/>
          <w:lang w:eastAsia="zh-CN"/>
        </w:rPr>
      </w:pPr>
      <w:r>
        <w:rPr>
          <w:rFonts w:hint="eastAsia" w:eastAsiaTheme="minorEastAsia"/>
          <w:lang w:eastAsia="zh-CN"/>
        </w:rPr>
        <w:drawing>
          <wp:inline distT="0" distB="0" distL="114300" distR="114300">
            <wp:extent cx="5758815" cy="3069590"/>
            <wp:effectExtent l="0" t="0" r="6985" b="3810"/>
            <wp:docPr id="3" name="图片 3" descr="c0742756-1535-430b-be35-68a557637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0742756-1535-430b-be35-68a557637c12"/>
                    <pic:cNvPicPr>
                      <a:picLocks noChangeAspect="1"/>
                    </pic:cNvPicPr>
                  </pic:nvPicPr>
                  <pic:blipFill>
                    <a:blip r:embed="rId51"/>
                    <a:stretch>
                      <a:fillRect/>
                    </a:stretch>
                  </pic:blipFill>
                  <pic:spPr>
                    <a:xfrm>
                      <a:off x="0" y="0"/>
                      <a:ext cx="5758815" cy="3069590"/>
                    </a:xfrm>
                    <a:prstGeom prst="rect">
                      <a:avLst/>
                    </a:prstGeom>
                  </pic:spPr>
                </pic:pic>
              </a:graphicData>
            </a:graphic>
          </wp:inline>
        </w:drawing>
      </w:r>
    </w:p>
    <w:p>
      <w:pPr>
        <w:pStyle w:val="22"/>
        <w:ind w:firstLine="420" w:firstLineChars="200"/>
        <w:jc w:val="center"/>
      </w:pPr>
      <w:r>
        <w:rPr>
          <w:rFonts w:hint="eastAsia"/>
          <w:lang w:val="en-US" w:eastAsia="zh-CN"/>
        </w:rPr>
        <w:t>图3-7 调整工装示意</w:t>
      </w:r>
    </w:p>
    <w:p>
      <w:pPr>
        <w:pStyle w:val="22"/>
        <w:ind w:firstLine="420" w:firstLineChars="200"/>
        <w:jc w:val="both"/>
        <w:rPr>
          <w:rFonts w:hint="default"/>
          <w:lang w:val="en-US" w:eastAsia="zh-CN"/>
        </w:rPr>
      </w:pPr>
    </w:p>
    <w:p>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四、执行标准</w:t>
      </w:r>
    </w:p>
    <w:p>
      <w:pPr>
        <w:spacing w:line="360" w:lineRule="auto"/>
        <w:ind w:left="480"/>
        <w:rPr>
          <w:rFonts w:ascii="宋体" w:hAnsi="宋体" w:eastAsia="宋体" w:cs="宋体"/>
          <w:sz w:val="24"/>
          <w:szCs w:val="24"/>
        </w:rPr>
      </w:pPr>
      <w:r>
        <w:rPr>
          <w:rFonts w:hint="eastAsia" w:ascii="宋体" w:hAnsi="宋体" w:eastAsia="宋体" w:cs="宋体"/>
          <w:sz w:val="24"/>
          <w:szCs w:val="24"/>
        </w:rPr>
        <w:t>1、招标方此处所列标准仅为涉及的主要标准，而且不保证其为最新版执行标准；投标方应当在投标文件中认真予以填写、补充和修改完善。</w:t>
      </w:r>
    </w:p>
    <w:p>
      <w:pPr>
        <w:spacing w:line="360" w:lineRule="auto"/>
        <w:ind w:left="480"/>
        <w:rPr>
          <w:rFonts w:ascii="宋体" w:hAnsi="宋体" w:eastAsia="宋体" w:cs="宋体"/>
          <w:sz w:val="24"/>
          <w:szCs w:val="24"/>
        </w:rPr>
      </w:pPr>
      <w:r>
        <w:rPr>
          <w:rFonts w:hint="eastAsia" w:ascii="宋体" w:hAnsi="宋体" w:eastAsia="宋体" w:cs="宋体"/>
          <w:sz w:val="24"/>
          <w:szCs w:val="24"/>
        </w:rPr>
        <w:t>2、投标方需要执行的标准，应当采用所供货物通过买方组织的最终验收之日已经开始执行的最新标准。</w:t>
      </w:r>
    </w:p>
    <w:p>
      <w:pPr>
        <w:spacing w:line="360" w:lineRule="auto"/>
        <w:ind w:left="48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pPr>
        <w:spacing w:line="360" w:lineRule="auto"/>
        <w:ind w:left="48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pPr>
        <w:spacing w:line="360" w:lineRule="auto"/>
        <w:ind w:left="480"/>
        <w:rPr>
          <w:rFonts w:ascii="宋体" w:hAnsi="宋体" w:eastAsia="宋体" w:cs="宋体"/>
          <w:sz w:val="24"/>
          <w:szCs w:val="24"/>
        </w:rPr>
      </w:pPr>
      <w:r>
        <w:rPr>
          <w:rFonts w:hint="eastAsia" w:ascii="宋体" w:hAnsi="宋体" w:eastAsia="宋体" w:cs="宋体"/>
          <w:sz w:val="24"/>
          <w:szCs w:val="24"/>
        </w:rPr>
        <w:t>5、采购货物如果采用国际标准，其执行标准由投标方提供、招标方确认。</w:t>
      </w:r>
    </w:p>
    <w:p>
      <w:pPr>
        <w:spacing w:line="360" w:lineRule="auto"/>
        <w:ind w:left="48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pPr>
        <w:spacing w:line="360" w:lineRule="auto"/>
        <w:ind w:left="480"/>
        <w:rPr>
          <w:rFonts w:ascii="宋体" w:hAnsi="宋体" w:eastAsia="宋体" w:cs="宋体"/>
          <w:sz w:val="24"/>
          <w:szCs w:val="24"/>
        </w:rPr>
      </w:pPr>
      <w:r>
        <w:rPr>
          <w:rFonts w:hint="eastAsia" w:ascii="宋体" w:hAnsi="宋体" w:eastAsia="宋体" w:cs="宋体"/>
          <w:sz w:val="24"/>
          <w:szCs w:val="24"/>
        </w:rPr>
        <w:t xml:space="preserve">7、涉及的主要标准表  </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4110"/>
        <w:gridCol w:w="1843"/>
        <w:gridCol w:w="2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411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标准名称</w:t>
            </w:r>
          </w:p>
        </w:tc>
        <w:tc>
          <w:tcPr>
            <w:tcW w:w="1843"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标准编号</w:t>
            </w:r>
          </w:p>
        </w:tc>
        <w:tc>
          <w:tcPr>
            <w:tcW w:w="2062"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411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买方提供企业标准</w:t>
            </w:r>
          </w:p>
        </w:tc>
        <w:tc>
          <w:tcPr>
            <w:tcW w:w="1843" w:type="dxa"/>
            <w:vAlign w:val="center"/>
          </w:tcPr>
          <w:p>
            <w:pPr>
              <w:spacing w:line="360" w:lineRule="auto"/>
              <w:ind w:left="480"/>
              <w:jc w:val="center"/>
              <w:rPr>
                <w:rFonts w:ascii="宋体" w:hAnsi="宋体" w:eastAsia="宋体" w:cs="宋体"/>
                <w:sz w:val="24"/>
                <w:szCs w:val="24"/>
              </w:rPr>
            </w:pPr>
          </w:p>
        </w:tc>
        <w:tc>
          <w:tcPr>
            <w:tcW w:w="2062"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卖方确认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2</w:t>
            </w:r>
          </w:p>
        </w:tc>
        <w:tc>
          <w:tcPr>
            <w:tcW w:w="411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买方提供与设备安全和环保相关的中国、国际通用和制造国的标准</w:t>
            </w:r>
          </w:p>
        </w:tc>
        <w:tc>
          <w:tcPr>
            <w:tcW w:w="1843" w:type="dxa"/>
            <w:vAlign w:val="center"/>
          </w:tcPr>
          <w:p>
            <w:pPr>
              <w:spacing w:line="360" w:lineRule="auto"/>
              <w:ind w:left="480"/>
              <w:jc w:val="center"/>
              <w:rPr>
                <w:rFonts w:ascii="宋体" w:hAnsi="宋体" w:eastAsia="宋体" w:cs="宋体"/>
                <w:sz w:val="24"/>
                <w:szCs w:val="24"/>
              </w:rPr>
            </w:pPr>
          </w:p>
        </w:tc>
        <w:tc>
          <w:tcPr>
            <w:tcW w:w="2062"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卖方确认</w:t>
            </w:r>
          </w:p>
        </w:tc>
      </w:tr>
    </w:tbl>
    <w:p>
      <w:pPr>
        <w:pStyle w:val="22"/>
        <w:rPr>
          <w:rFonts w:hAnsi="宋体" w:eastAsia="宋体"/>
        </w:rPr>
      </w:pPr>
    </w:p>
    <w:p>
      <w:pPr>
        <w:keepNext/>
        <w:keepLines/>
        <w:jc w:val="center"/>
        <w:outlineLvl w:val="1"/>
        <w:rPr>
          <w:rFonts w:ascii="宋体" w:hAnsi="宋体" w:eastAsia="宋体" w:cs="Times New Roman"/>
          <w:b/>
          <w:bCs/>
          <w:kern w:val="44"/>
          <w:sz w:val="28"/>
          <w:szCs w:val="28"/>
        </w:rPr>
      </w:pPr>
      <w:r>
        <w:rPr>
          <w:rFonts w:hint="eastAsia" w:ascii="宋体" w:hAnsi="宋体" w:eastAsia="宋体" w:cs="Times New Roman"/>
          <w:b/>
          <w:bCs/>
          <w:kern w:val="44"/>
          <w:sz w:val="28"/>
          <w:szCs w:val="28"/>
        </w:rPr>
        <w:t>第三章供货范围及供货方式</w:t>
      </w:r>
      <w:bookmarkEnd w:id="103"/>
    </w:p>
    <w:p>
      <w:pPr>
        <w:rPr>
          <w:rFonts w:ascii="宋体" w:hAnsi="宋体" w:eastAsia="宋体"/>
        </w:rPr>
      </w:pPr>
    </w:p>
    <w:p>
      <w:pPr>
        <w:keepNext/>
        <w:keepLines/>
        <w:spacing w:line="360" w:lineRule="auto"/>
        <w:jc w:val="center"/>
        <w:outlineLvl w:val="2"/>
        <w:rPr>
          <w:rFonts w:ascii="宋体" w:hAnsi="宋体" w:eastAsia="宋体" w:cs="宋体"/>
          <w:b/>
          <w:bCs/>
          <w:sz w:val="24"/>
          <w:szCs w:val="32"/>
        </w:rPr>
      </w:pPr>
      <w:bookmarkStart w:id="104" w:name="_Toc169605882"/>
      <w:r>
        <w:rPr>
          <w:rFonts w:hint="eastAsia" w:ascii="宋体" w:hAnsi="宋体" w:eastAsia="宋体" w:cs="宋体"/>
          <w:b/>
          <w:bCs/>
          <w:sz w:val="24"/>
          <w:szCs w:val="32"/>
        </w:rPr>
        <w:t>第一节  供货范围</w:t>
      </w:r>
      <w:bookmarkEnd w:id="104"/>
    </w:p>
    <w:p>
      <w:pPr>
        <w:pStyle w:val="131"/>
        <w:spacing w:line="360" w:lineRule="auto"/>
        <w:ind w:firstLine="0" w:firstLineChars="0"/>
        <w:outlineLvl w:val="3"/>
        <w:rPr>
          <w:rFonts w:ascii="宋体" w:hAnsi="宋体" w:eastAsia="宋体" w:cs="宋体"/>
          <w:b/>
          <w:bCs/>
          <w:sz w:val="24"/>
          <w:szCs w:val="24"/>
        </w:rPr>
      </w:pPr>
      <w:r>
        <w:rPr>
          <w:rFonts w:ascii="宋体" w:hAnsi="宋体" w:eastAsia="宋体" w:cs="宋体"/>
          <w:b/>
          <w:bCs/>
          <w:sz w:val="24"/>
          <w:szCs w:val="24"/>
        </w:rPr>
        <w:t>一、</w:t>
      </w:r>
      <w:r>
        <w:rPr>
          <w:rFonts w:hint="eastAsia" w:ascii="宋体" w:hAnsi="宋体" w:eastAsia="宋体" w:cs="宋体"/>
          <w:b/>
          <w:bCs/>
          <w:sz w:val="24"/>
          <w:szCs w:val="24"/>
        </w:rPr>
        <w:t>供货范围</w:t>
      </w:r>
    </w:p>
    <w:tbl>
      <w:tblPr>
        <w:tblStyle w:val="41"/>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520"/>
        <w:gridCol w:w="1215"/>
        <w:gridCol w:w="793"/>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exact"/>
              <w:jc w:val="center"/>
              <w:rPr>
                <w:rFonts w:ascii="宋体" w:hAnsi="宋体" w:eastAsia="宋体" w:cs="宋体"/>
                <w:color w:val="FF0000"/>
                <w:sz w:val="24"/>
                <w:szCs w:val="24"/>
              </w:rPr>
            </w:pPr>
            <w:r>
              <w:rPr>
                <w:rFonts w:hint="eastAsia" w:ascii="宋体" w:hAnsi="宋体" w:eastAsia="宋体"/>
                <w:b/>
              </w:rPr>
              <w:t>序号</w:t>
            </w:r>
          </w:p>
        </w:tc>
        <w:tc>
          <w:tcPr>
            <w:tcW w:w="3520" w:type="dxa"/>
            <w:vAlign w:val="center"/>
          </w:tcPr>
          <w:p>
            <w:pPr>
              <w:spacing w:line="360" w:lineRule="exact"/>
              <w:jc w:val="center"/>
              <w:rPr>
                <w:rFonts w:ascii="宋体" w:hAnsi="宋体" w:eastAsia="宋体" w:cs="宋体"/>
                <w:color w:val="FF0000"/>
                <w:sz w:val="24"/>
                <w:szCs w:val="24"/>
              </w:rPr>
            </w:pPr>
            <w:r>
              <w:rPr>
                <w:rFonts w:hint="eastAsia" w:ascii="宋体" w:hAnsi="宋体" w:eastAsia="宋体"/>
                <w:b/>
              </w:rPr>
              <w:t>名称</w:t>
            </w:r>
          </w:p>
        </w:tc>
        <w:tc>
          <w:tcPr>
            <w:tcW w:w="1215" w:type="dxa"/>
            <w:vAlign w:val="center"/>
          </w:tcPr>
          <w:p>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单位</w:t>
            </w:r>
          </w:p>
        </w:tc>
        <w:tc>
          <w:tcPr>
            <w:tcW w:w="793" w:type="dxa"/>
            <w:vAlign w:val="center"/>
          </w:tcPr>
          <w:p>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数量</w:t>
            </w:r>
          </w:p>
        </w:tc>
        <w:tc>
          <w:tcPr>
            <w:tcW w:w="2693" w:type="dxa"/>
            <w:vAlign w:val="center"/>
          </w:tcPr>
          <w:p>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exact"/>
              <w:jc w:val="center"/>
              <w:rPr>
                <w:rFonts w:ascii="宋体" w:hAnsi="宋体" w:eastAsia="宋体" w:cs="宋体"/>
                <w:sz w:val="24"/>
                <w:szCs w:val="24"/>
              </w:rPr>
            </w:pPr>
            <w:r>
              <w:rPr>
                <w:rFonts w:hint="eastAsia" w:ascii="宋体" w:hAnsi="宋体" w:eastAsia="宋体"/>
                <w:b/>
              </w:rPr>
              <w:t>1</w:t>
            </w:r>
          </w:p>
        </w:tc>
        <w:tc>
          <w:tcPr>
            <w:tcW w:w="3520" w:type="dxa"/>
            <w:vAlign w:val="center"/>
          </w:tcPr>
          <w:p>
            <w:pPr>
              <w:spacing w:line="360" w:lineRule="auto"/>
              <w:jc w:val="center"/>
              <w:rPr>
                <w:rFonts w:hint="default" w:ascii="宋体" w:hAnsi="宋体" w:eastAsia="宋体" w:cs="宋体"/>
                <w:sz w:val="24"/>
                <w:lang w:val="en-US" w:eastAsia="zh-CN"/>
              </w:rPr>
            </w:pPr>
            <w:r>
              <w:rPr>
                <w:rFonts w:hint="eastAsia" w:ascii="宋体" w:hAnsi="宋体" w:eastAsia="宋体"/>
                <w:bCs/>
                <w:sz w:val="24"/>
                <w:szCs w:val="24"/>
                <w:lang w:val="en-US" w:eastAsia="zh-CN"/>
              </w:rPr>
              <w:t>底部电池装配系统</w:t>
            </w:r>
          </w:p>
        </w:tc>
        <w:tc>
          <w:tcPr>
            <w:tcW w:w="1215" w:type="dxa"/>
            <w:vAlign w:val="center"/>
          </w:tcPr>
          <w:p>
            <w:pPr>
              <w:spacing w:line="360" w:lineRule="auto"/>
              <w:jc w:val="center"/>
              <w:rPr>
                <w:rFonts w:hint="eastAsia" w:ascii="宋体" w:hAnsi="宋体" w:eastAsia="宋体" w:cs="宋体"/>
                <w:sz w:val="24"/>
                <w:szCs w:val="24"/>
                <w:lang w:eastAsia="zh-CN"/>
              </w:rPr>
            </w:pPr>
            <w:r>
              <w:rPr>
                <w:rFonts w:hint="eastAsia" w:ascii="宋体" w:hAnsi="宋体" w:eastAsia="宋体"/>
                <w:bCs/>
                <w:sz w:val="24"/>
                <w:szCs w:val="24"/>
                <w:lang w:val="en-US" w:eastAsia="zh-CN"/>
              </w:rPr>
              <w:t>套</w:t>
            </w:r>
          </w:p>
        </w:tc>
        <w:tc>
          <w:tcPr>
            <w:tcW w:w="793" w:type="dxa"/>
            <w:vAlign w:val="center"/>
          </w:tcPr>
          <w:p>
            <w:pPr>
              <w:spacing w:line="360" w:lineRule="auto"/>
              <w:jc w:val="center"/>
              <w:rPr>
                <w:rFonts w:hint="eastAsia" w:ascii="宋体" w:hAnsi="宋体" w:eastAsia="宋体" w:cs="宋体"/>
                <w:sz w:val="24"/>
                <w:szCs w:val="24"/>
                <w:lang w:eastAsia="zh-CN"/>
              </w:rPr>
            </w:pPr>
            <w:r>
              <w:rPr>
                <w:rFonts w:hint="eastAsia" w:ascii="宋体" w:hAnsi="宋体" w:eastAsia="宋体"/>
                <w:bCs/>
                <w:sz w:val="24"/>
                <w:szCs w:val="24"/>
                <w:lang w:val="en-US" w:eastAsia="zh-CN"/>
              </w:rPr>
              <w:t>1</w:t>
            </w:r>
          </w:p>
        </w:tc>
        <w:tc>
          <w:tcPr>
            <w:tcW w:w="2693" w:type="dxa"/>
            <w:vAlign w:val="center"/>
          </w:tcPr>
          <w:p>
            <w:pPr>
              <w:pStyle w:val="130"/>
              <w:spacing w:beforeLines="0" w:afterLines="0"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exact"/>
              <w:jc w:val="center"/>
              <w:rPr>
                <w:rFonts w:hint="eastAsia" w:ascii="宋体" w:hAnsi="宋体" w:eastAsia="宋体"/>
                <w:b/>
              </w:rPr>
            </w:pPr>
            <w:r>
              <w:rPr>
                <w:rFonts w:hint="eastAsia" w:ascii="宋体" w:hAnsi="宋体" w:eastAsia="宋体"/>
                <w:b/>
                <w:lang w:val="en-US" w:eastAsia="zh-CN"/>
              </w:rPr>
              <w:t>2</w:t>
            </w:r>
          </w:p>
        </w:tc>
        <w:tc>
          <w:tcPr>
            <w:tcW w:w="3520" w:type="dxa"/>
            <w:vAlign w:val="center"/>
          </w:tcPr>
          <w:p>
            <w:pPr>
              <w:spacing w:line="360" w:lineRule="auto"/>
              <w:jc w:val="center"/>
              <w:rPr>
                <w:rFonts w:hint="default" w:ascii="宋体" w:hAnsi="宋体" w:eastAsia="宋体"/>
                <w:bCs/>
                <w:sz w:val="24"/>
                <w:szCs w:val="24"/>
                <w:lang w:val="en-US" w:eastAsia="zh-CN"/>
              </w:rPr>
            </w:pPr>
            <w:r>
              <w:rPr>
                <w:rFonts w:hint="eastAsia" w:ascii="宋体" w:hAnsi="宋体" w:eastAsia="宋体" w:cs="宋体"/>
                <w:kern w:val="0"/>
                <w:sz w:val="24"/>
                <w:szCs w:val="24"/>
                <w:lang w:val="en-US" w:eastAsia="zh-CN"/>
              </w:rPr>
              <w:t>中部挂载横梁装配工装吊具</w:t>
            </w:r>
          </w:p>
        </w:tc>
        <w:tc>
          <w:tcPr>
            <w:tcW w:w="1215"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bCs/>
                <w:sz w:val="24"/>
                <w:szCs w:val="24"/>
                <w:lang w:val="en-US" w:eastAsia="zh-CN"/>
              </w:rPr>
              <w:t>套</w:t>
            </w:r>
          </w:p>
        </w:tc>
        <w:tc>
          <w:tcPr>
            <w:tcW w:w="793"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2693" w:type="dxa"/>
            <w:vAlign w:val="center"/>
          </w:tcPr>
          <w:p>
            <w:pPr>
              <w:pStyle w:val="130"/>
              <w:spacing w:beforeLines="0" w:afterLines="0"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exact"/>
              <w:jc w:val="center"/>
              <w:rPr>
                <w:rFonts w:hint="eastAsia" w:ascii="宋体" w:hAnsi="宋体" w:eastAsia="宋体"/>
                <w:b/>
              </w:rPr>
            </w:pPr>
            <w:r>
              <w:rPr>
                <w:rFonts w:hint="eastAsia" w:ascii="宋体" w:hAnsi="宋体" w:eastAsia="宋体"/>
                <w:b/>
                <w:lang w:val="en-US" w:eastAsia="zh-CN"/>
              </w:rPr>
              <w:t>3</w:t>
            </w:r>
          </w:p>
        </w:tc>
        <w:tc>
          <w:tcPr>
            <w:tcW w:w="3520" w:type="dxa"/>
            <w:vAlign w:val="center"/>
          </w:tcPr>
          <w:p>
            <w:pPr>
              <w:spacing w:line="360" w:lineRule="auto"/>
              <w:jc w:val="center"/>
              <w:rPr>
                <w:rFonts w:hint="default" w:ascii="宋体" w:hAnsi="宋体" w:eastAsia="宋体"/>
                <w:bCs/>
                <w:sz w:val="24"/>
                <w:szCs w:val="24"/>
                <w:lang w:val="en-US" w:eastAsia="zh-CN"/>
              </w:rPr>
            </w:pPr>
            <w:r>
              <w:rPr>
                <w:rFonts w:hint="eastAsia" w:ascii="宋体" w:hAnsi="宋体" w:eastAsia="宋体" w:cs="宋体"/>
                <w:kern w:val="0"/>
                <w:sz w:val="24"/>
                <w:szCs w:val="24"/>
                <w:lang w:val="en-US" w:eastAsia="zh-CN"/>
              </w:rPr>
              <w:t>两侧电池支架装配工装吊具</w:t>
            </w:r>
          </w:p>
        </w:tc>
        <w:tc>
          <w:tcPr>
            <w:tcW w:w="1215"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bCs/>
                <w:sz w:val="24"/>
                <w:szCs w:val="24"/>
                <w:lang w:val="en-US" w:eastAsia="zh-CN"/>
              </w:rPr>
              <w:t>套</w:t>
            </w:r>
          </w:p>
        </w:tc>
        <w:tc>
          <w:tcPr>
            <w:tcW w:w="793"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2693" w:type="dxa"/>
            <w:vAlign w:val="center"/>
          </w:tcPr>
          <w:p>
            <w:pPr>
              <w:pStyle w:val="130"/>
              <w:spacing w:beforeLines="0" w:afterLines="0"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exact"/>
              <w:jc w:val="center"/>
              <w:rPr>
                <w:rFonts w:hint="eastAsia" w:ascii="宋体" w:hAnsi="宋体" w:eastAsia="宋体"/>
                <w:b/>
              </w:rPr>
            </w:pPr>
            <w:r>
              <w:rPr>
                <w:rFonts w:hint="eastAsia" w:ascii="宋体" w:hAnsi="宋体" w:eastAsia="宋体"/>
                <w:b/>
                <w:lang w:val="en-US" w:eastAsia="zh-CN"/>
              </w:rPr>
              <w:t>4</w:t>
            </w:r>
          </w:p>
        </w:tc>
        <w:tc>
          <w:tcPr>
            <w:tcW w:w="3520"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底部电池吊具</w:t>
            </w:r>
          </w:p>
        </w:tc>
        <w:tc>
          <w:tcPr>
            <w:tcW w:w="1215"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bCs/>
                <w:sz w:val="24"/>
                <w:szCs w:val="24"/>
                <w:lang w:val="en-US" w:eastAsia="zh-CN"/>
              </w:rPr>
              <w:t>套</w:t>
            </w:r>
          </w:p>
        </w:tc>
        <w:tc>
          <w:tcPr>
            <w:tcW w:w="793" w:type="dxa"/>
            <w:vAlign w:val="center"/>
          </w:tcPr>
          <w:p>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1</w:t>
            </w:r>
          </w:p>
        </w:tc>
        <w:tc>
          <w:tcPr>
            <w:tcW w:w="2693" w:type="dxa"/>
            <w:vAlign w:val="center"/>
          </w:tcPr>
          <w:p>
            <w:pPr>
              <w:pStyle w:val="130"/>
              <w:spacing w:beforeLines="0" w:afterLines="0" w:line="360" w:lineRule="auto"/>
              <w:rPr>
                <w:rFonts w:ascii="宋体" w:hAnsi="宋体" w:eastAsia="宋体" w:cs="宋体"/>
                <w:sz w:val="24"/>
              </w:rPr>
            </w:pPr>
          </w:p>
        </w:tc>
      </w:tr>
    </w:tbl>
    <w:p>
      <w:pPr>
        <w:spacing w:before="120" w:beforeLines="50" w:after="120" w:afterLines="50"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1.对于招标文件中无明确具体要求而投标方认为必须具备的其它货物，投标方必须将该部分货物单独报价（该报价含运杂费及税费等其它费用，而且不再作为其它报价涉及的其它费用的计算基数）。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1.招标人招标文件所指备品备件、易损件和专用耗材，是招标人为保证设备质保期之后正常运行一年所自备自用的备品备件、易损件和专用耗材；</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3投标方需提供必须的备品备件清单（备品备件明确规格、厂家、产地、价格，单独报价）；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4易损件和专用耗材，其费用应分类单列，并计入投标总报价之内；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5投标方应提供设备维修所必需的专用工具，并附详细清单（包括名称、型号、规格、单位、数量、生产厂家、单价、总价等条目，单独报价）。</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收到中标通知书后</w:t>
      </w:r>
      <w:r>
        <w:rPr>
          <w:rFonts w:hint="eastAsia" w:ascii="宋体" w:hAnsi="宋体" w:eastAsia="宋体" w:cs="宋体"/>
          <w:bCs/>
          <w:sz w:val="24"/>
          <w:szCs w:val="24"/>
          <w:u w:val="single"/>
        </w:rPr>
        <w:t>5</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3.在终验收前，提供为保证货物后续正常运行所需的具体技术要求等资料（如果供货范围包含该部分实物）。</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.本“技术资料范围”所列的技术资料、图等，投标方应各提供4套纸质资料及3套电子版资料（光盘或U盘等），每份技术文件应装有目录清单。</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8</w:t>
      </w:r>
      <w:r>
        <w:rPr>
          <w:rFonts w:hint="eastAsia" w:ascii="宋体" w:hAnsi="宋体" w:eastAsia="宋体" w:cs="宋体"/>
          <w:sz w:val="24"/>
          <w:szCs w:val="24"/>
        </w:rPr>
        <w:t>.本条款所列要求，如招标人认为投标人提供的资料不能满足要求时，有权要求投标人免费补充或增加。</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9.供方必须提供设备模型（文件格式STP），模型文件应包含设备的全部信息；对设备结构及功能详细说明，包括设备工作流程描述、运行说明、工位节拍等信息。</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10.</w:t>
      </w:r>
      <w:r>
        <w:rPr>
          <w:rFonts w:ascii="Times New Roman" w:hAnsi="Times New Roman" w:eastAsia="宋体" w:cs="Times New Roman"/>
          <w:sz w:val="24"/>
          <w:szCs w:val="24"/>
        </w:rPr>
        <w:t>维修和使用手册</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在调试以前必须提供维修和使用手册四套和一套电子文件。这些手册应包括，但不限于下述内容：</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设备描述和主要设备的分项；</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润滑计划和润滑频次；</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供应商的文献和详细的元件部件；</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操作程序；</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设备布置图；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详细的元件和总装图，包括分解部件总成图；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故障分析和解决方法；</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维修功能——维护和维修细节，包括频次；</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图纸</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.1提供机械AutoCAD（.dwg）格式，电气EPLANP8可编辑格式的文件和电子数据。</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.2提供所有设施和设备的图纸，包括总图、原理图、制造图、分解视图。</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.3在签订合同后立即进行设计图纸，并提供图纸，在整个阶段连续地进行。这些图纸包括，但不限于：</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详细的零件图；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零件和总成图；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总的平面布置图和分图；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钢结构布置图和分图；</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.4在制作开始前必须将所有平面图和分图交给本公司会签。提供二份图纸加一套电子文件。这种图纸的会签并不构成供货厂商可以不承担设计责任保证或者对设备顺利运用的责任。</w:t>
      </w:r>
    </w:p>
    <w:p>
      <w:pPr>
        <w:spacing w:line="360" w:lineRule="auto"/>
        <w:ind w:firstLine="480" w:firstLineChars="200"/>
        <w:rPr>
          <w:rFonts w:ascii="宋体" w:hAnsi="宋体" w:eastAsia="宋体" w:cs="宋体"/>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.5在完工时要提供四套图纸和机械AutoCAD（.dwg）格式，电气EPLANP8电子版本图纸。</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105" w:name="_Toc169605883"/>
    </w:p>
    <w:p>
      <w:pPr>
        <w:pStyle w:val="22"/>
        <w:spacing w:line="360" w:lineRule="auto"/>
        <w:rPr>
          <w:rFonts w:hAnsi="宋体" w:eastAsia="宋体"/>
        </w:rPr>
      </w:pP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105"/>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二、供货地点：</w:t>
      </w:r>
      <w:r>
        <w:rPr>
          <w:rFonts w:ascii="Times New Roman" w:hAnsi="Times New Roman" w:eastAsia="宋体" w:cs="Times New Roman"/>
          <w:sz w:val="24"/>
          <w:szCs w:val="24"/>
          <w:u w:val="single"/>
        </w:rPr>
        <w:t>济南商用车制造公司（章丘重汽工业园）</w:t>
      </w:r>
    </w:p>
    <w:p>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1.自合同签定生效之日起，</w:t>
      </w:r>
      <w:r>
        <w:rPr>
          <w:rFonts w:hint="eastAsia" w:ascii="宋体" w:hAnsi="宋体" w:eastAsia="宋体"/>
          <w:sz w:val="24"/>
          <w:szCs w:val="24"/>
          <w:u w:val="single"/>
          <w:lang w:val="en-US" w:eastAsia="zh-CN"/>
        </w:rPr>
        <w:t>40</w:t>
      </w:r>
      <w:r>
        <w:rPr>
          <w:rFonts w:hint="eastAsia" w:ascii="宋体" w:hAnsi="宋体" w:eastAsia="宋体"/>
          <w:sz w:val="24"/>
          <w:szCs w:val="24"/>
        </w:rPr>
        <w:t>个日历日之内交货至供货地点。</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2.接续</w:t>
      </w:r>
      <w:r>
        <w:rPr>
          <w:rFonts w:hint="eastAsia" w:ascii="宋体" w:hAnsi="宋体" w:eastAsia="宋体"/>
          <w:sz w:val="24"/>
          <w:szCs w:val="24"/>
          <w:highlight w:val="none"/>
          <w:u w:val="single"/>
          <w:lang w:val="en-US" w:eastAsia="zh-CN"/>
        </w:rPr>
        <w:t>15</w:t>
      </w:r>
      <w:r>
        <w:rPr>
          <w:rFonts w:hint="eastAsia" w:ascii="宋体" w:hAnsi="宋体" w:eastAsia="宋体"/>
          <w:sz w:val="24"/>
          <w:szCs w:val="24"/>
          <w:highlight w:val="none"/>
        </w:rPr>
        <w:t>个日历日之</w:t>
      </w:r>
      <w:r>
        <w:rPr>
          <w:rFonts w:hint="eastAsia" w:ascii="宋体" w:hAnsi="宋体" w:eastAsia="宋体"/>
          <w:sz w:val="24"/>
          <w:szCs w:val="24"/>
        </w:rPr>
        <w:t>内安装调试完毕。</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安装调试时间或终验收时间超过规定时间的，投标人应当随标书提供详细的工期计划。</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adjustRightInd w:val="0"/>
        <w:snapToGrid w:val="0"/>
        <w:spacing w:line="360" w:lineRule="auto"/>
        <w:rPr>
          <w:rFonts w:ascii="宋体" w:hAnsi="宋体" w:eastAsia="宋体" w:cs="Times New Roman"/>
          <w:szCs w:val="20"/>
        </w:rPr>
      </w:pPr>
    </w:p>
    <w:p>
      <w:pPr>
        <w:widowControl/>
        <w:spacing w:line="360" w:lineRule="auto"/>
        <w:jc w:val="left"/>
        <w:rPr>
          <w:rFonts w:ascii="宋体" w:hAnsi="宋体" w:eastAsia="宋体" w:cs="Times New Roman"/>
          <w:szCs w:val="20"/>
        </w:rPr>
      </w:pPr>
      <w:r>
        <w:rPr>
          <w:rFonts w:ascii="宋体" w:hAnsi="宋体" w:eastAsia="宋体" w:cs="Times New Roman"/>
          <w:szCs w:val="20"/>
        </w:rPr>
        <w:br w:type="page"/>
      </w:r>
    </w:p>
    <w:p>
      <w:pPr>
        <w:keepNext/>
        <w:keepLines/>
        <w:spacing w:line="360" w:lineRule="auto"/>
        <w:jc w:val="center"/>
        <w:outlineLvl w:val="1"/>
        <w:rPr>
          <w:rFonts w:ascii="宋体" w:hAnsi="宋体" w:eastAsia="宋体" w:cs="Times New Roman"/>
          <w:b/>
          <w:bCs/>
          <w:kern w:val="44"/>
          <w:sz w:val="28"/>
          <w:szCs w:val="28"/>
        </w:rPr>
      </w:pPr>
      <w:bookmarkStart w:id="106" w:name="_Toc169605884"/>
      <w:r>
        <w:rPr>
          <w:rFonts w:hint="eastAsia" w:ascii="宋体" w:hAnsi="宋体" w:eastAsia="宋体" w:cs="Times New Roman"/>
          <w:b/>
          <w:bCs/>
          <w:kern w:val="44"/>
          <w:sz w:val="28"/>
          <w:szCs w:val="28"/>
        </w:rPr>
        <w:t>第四章质保期及售后服务</w:t>
      </w:r>
      <w:bookmarkEnd w:id="106"/>
    </w:p>
    <w:p>
      <w:pPr>
        <w:pStyle w:val="123"/>
        <w:spacing w:line="360" w:lineRule="auto"/>
        <w:rPr>
          <w:rFonts w:ascii="宋体" w:hAnsi="宋体"/>
        </w:rPr>
      </w:pPr>
      <w:r>
        <w:rPr>
          <w:rFonts w:hint="eastAsia" w:ascii="宋体" w:hAnsi="宋体"/>
        </w:rPr>
        <w:t>一、质保期及质保要求</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u w:val="single"/>
        </w:rPr>
        <w:t>12</w:t>
      </w:r>
      <w:r>
        <w:rPr>
          <w:rFonts w:hint="eastAsia" w:ascii="宋体" w:hAnsi="宋体" w:eastAsia="宋体" w:cs="宋体"/>
          <w:sz w:val="24"/>
          <w:szCs w:val="24"/>
        </w:rPr>
        <w:t>个月。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u w:val="single"/>
        </w:rPr>
        <w:t>一年内</w:t>
      </w:r>
      <w:r>
        <w:rPr>
          <w:rFonts w:hint="eastAsia" w:ascii="宋体" w:hAnsi="宋体" w:eastAsia="宋体" w:cs="宋体"/>
          <w:sz w:val="24"/>
          <w:szCs w:val="24"/>
        </w:rPr>
        <w:t>重复出现的质保期之内出现的故障，仍属质保范围而且应当免费。</w:t>
      </w:r>
    </w:p>
    <w:p>
      <w:pPr>
        <w:adjustRightInd w:val="0"/>
        <w:snapToGrid w:val="0"/>
        <w:spacing w:line="360" w:lineRule="auto"/>
        <w:ind w:firstLine="480" w:firstLineChars="200"/>
      </w:pPr>
      <w:r>
        <w:rPr>
          <w:rFonts w:hint="eastAsia" w:ascii="Times New Roman" w:hAnsi="Times New Roman" w:eastAsia="宋体" w:cs="Times New Roman"/>
          <w:sz w:val="24"/>
          <w:szCs w:val="24"/>
        </w:rPr>
        <w:t>5.软件要具备升级功能，在投产后五年内中标方负责为业主方免费升级。</w:t>
      </w:r>
    </w:p>
    <w:p>
      <w:pPr>
        <w:pStyle w:val="123"/>
        <w:spacing w:line="360" w:lineRule="auto"/>
        <w:rPr>
          <w:rFonts w:ascii="宋体" w:hAnsi="宋体" w:cs="宋体"/>
        </w:rPr>
      </w:pPr>
      <w:r>
        <w:rPr>
          <w:rFonts w:hint="eastAsia" w:ascii="宋体" w:hAnsi="宋体" w:cs="宋体"/>
        </w:rPr>
        <w:t>二、技术</w:t>
      </w:r>
      <w:r>
        <w:rPr>
          <w:rFonts w:hint="eastAsia" w:ascii="宋体" w:hAnsi="宋体"/>
        </w:rPr>
        <w:t>指导</w:t>
      </w:r>
      <w:r>
        <w:rPr>
          <w:rFonts w:hint="eastAsia" w:ascii="宋体" w:hAnsi="宋体" w:cs="宋体"/>
        </w:rPr>
        <w:t>及培训服务</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olor w:val="000000"/>
          <w:sz w:val="24"/>
          <w:szCs w:val="24"/>
          <w:u w:val="single"/>
          <w:shd w:val="pct10" w:color="auto" w:fill="FFFFFF"/>
        </w:rPr>
        <w:t>2</w:t>
      </w:r>
      <w:r>
        <w:rPr>
          <w:rFonts w:hint="eastAsia" w:ascii="宋体" w:hAnsi="宋体" w:eastAsia="宋体"/>
          <w:color w:val="000000"/>
          <w:sz w:val="24"/>
          <w:szCs w:val="24"/>
        </w:rPr>
        <w:t>个日历日。</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2.应免费提供一定数量的培训资料。</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3.投标方应按要求，免费积极协助和提供招标人和招标人所委托的工程设计单位有关人员所需要的、和设备（或材料）有关的工程设计资料、技术咨询等；</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若投标方提供设备（或材料）的技术质量等，与投标方外购的设备（或材料）技术质量等有较大或直接关联时，投标方应能得到其外购设备（或材料）制造厂商（或供应商）的技术支持，并免费为招标人提供技术服务（包括设计文件的审查和审定）；</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投标方负责制定对招标人人员在运行、维修和试验等方面的培训计划，并有专人负责实施培训计划，应进行相关安全环保注意事项的培训，并提供相关人员、设备安全作业资质的要求，负责指导招标人受培训人员正确理解设计和制造意图，认识设备的特点和特性，掌握在运行、维修和使用管理中应遵守的规则等方面的综合知识；</w:t>
      </w:r>
    </w:p>
    <w:p>
      <w:pPr>
        <w:pStyle w:val="12"/>
        <w:rPr>
          <w:rFonts w:ascii="宋体" w:hAnsi="宋体" w:eastAsia="宋体"/>
          <w:color w:val="000000"/>
          <w:sz w:val="24"/>
          <w:szCs w:val="24"/>
        </w:rPr>
      </w:pPr>
      <w:r>
        <w:rPr>
          <w:rFonts w:hint="eastAsia" w:ascii="宋体" w:hAnsi="宋体" w:eastAsia="宋体"/>
          <w:sz w:val="24"/>
          <w:szCs w:val="24"/>
        </w:rPr>
        <w:t>6.投标方提供的改造方式、新增设备内容，建议在试用确认无误之后，再批量生产，否则因此造成的损失，由投标方承担。</w:t>
      </w:r>
    </w:p>
    <w:p>
      <w:pPr>
        <w:pStyle w:val="123"/>
        <w:spacing w:line="360" w:lineRule="auto"/>
        <w:rPr>
          <w:rFonts w:ascii="宋体" w:hAnsi="宋体" w:cs="宋体"/>
        </w:rPr>
      </w:pPr>
      <w:r>
        <w:rPr>
          <w:rFonts w:hint="eastAsia" w:ascii="宋体" w:hAnsi="宋体" w:cs="宋体"/>
        </w:rPr>
        <w:t>三、安装调试及验收服务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安装调试与验收期间，若投标方提供设备的技术质量等，与投标方外购的设备技术质量等有较大或直接关联时，投标方应能得到其外购设备制造厂商（或供应商）的技术支持，并免费为招标人提供安装使用现场的指导与协调；</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2投标方免费负责设备的安装、调试，并接受用户的技术咨询；</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3投标方是否提供有偿的还是免费的、指导安装调试还是负责安装调试，至少应在投标文件的服务章节中，予以明确说明；</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4卖方进入买方现场进行安装调试过程中，应进行相关安全环保注意事项的培训，并提供相关人员、设备安全作业资质的要求。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5设备供方配合甲方完成设备数据采集的调试工作，包括但不限于提供设备PLC程序（无密码），接口调试等工作。</w:t>
      </w:r>
    </w:p>
    <w:p>
      <w:pPr>
        <w:spacing w:line="360" w:lineRule="auto"/>
        <w:ind w:firstLine="480" w:firstLineChars="200"/>
        <w:rPr>
          <w:rFonts w:ascii="宋体" w:hAnsi="宋体" w:eastAsia="宋体"/>
          <w:sz w:val="24"/>
          <w:szCs w:val="24"/>
        </w:rPr>
      </w:pPr>
      <w:r>
        <w:rPr>
          <w:rFonts w:hint="eastAsia" w:ascii="宋体" w:hAnsi="宋体" w:eastAsia="宋体"/>
          <w:sz w:val="24"/>
          <w:szCs w:val="24"/>
        </w:rPr>
        <w:t>6投标人在招标人现场进行的、指导或负责的、设备（或材料）的预验收和终验收，应当是免费的，陪同生产时间不少于</w:t>
      </w:r>
      <w:r>
        <w:rPr>
          <w:rFonts w:hint="eastAsia" w:ascii="宋体" w:hAnsi="宋体" w:eastAsia="宋体"/>
          <w:sz w:val="24"/>
          <w:szCs w:val="24"/>
          <w:u w:val="single"/>
        </w:rPr>
        <w:t>45</w:t>
      </w:r>
      <w:r>
        <w:rPr>
          <w:rFonts w:hint="eastAsia" w:ascii="宋体" w:hAnsi="宋体" w:eastAsia="宋体"/>
          <w:sz w:val="24"/>
          <w:szCs w:val="24"/>
        </w:rPr>
        <w:t>天；</w:t>
      </w:r>
    </w:p>
    <w:p>
      <w:pPr>
        <w:spacing w:line="360" w:lineRule="auto"/>
        <w:ind w:firstLine="480" w:firstLineChars="200"/>
        <w:rPr>
          <w:rFonts w:ascii="宋体" w:hAnsi="宋体" w:eastAsia="宋体"/>
          <w:sz w:val="24"/>
          <w:szCs w:val="24"/>
        </w:rPr>
      </w:pPr>
      <w:r>
        <w:rPr>
          <w:rFonts w:hint="eastAsia" w:ascii="宋体" w:hAnsi="宋体" w:eastAsia="宋体"/>
          <w:sz w:val="24"/>
          <w:szCs w:val="24"/>
        </w:rPr>
        <w:t>7设备（或材料）验收时，若投标人提供设备（或材料）的技术质量等，与投标人外购的设备（或材料）技术质量等有较大或直接关联时，投标人应能得到其外购设备（或材料）制造厂商（或供应商）的技术支持，并免费提供其必要的现场指导与协调；</w:t>
      </w:r>
    </w:p>
    <w:p>
      <w:pPr>
        <w:spacing w:line="360" w:lineRule="auto"/>
        <w:ind w:firstLine="480" w:firstLineChars="200"/>
        <w:rPr>
          <w:rFonts w:ascii="宋体" w:hAnsi="宋体" w:eastAsia="宋体"/>
          <w:sz w:val="24"/>
          <w:szCs w:val="24"/>
        </w:rPr>
      </w:pPr>
      <w:r>
        <w:rPr>
          <w:rFonts w:hint="eastAsia" w:ascii="宋体" w:hAnsi="宋体" w:eastAsia="宋体"/>
          <w:sz w:val="24"/>
          <w:szCs w:val="24"/>
        </w:rPr>
        <w:t>8在投标人所提供设备需要得到招标人建设项目所在地政府或行业主管部门的查验、试验、验收时，投标人应当免费协助招标人完成所需要的工作、材料和服务等。</w:t>
      </w:r>
    </w:p>
    <w:p>
      <w:pPr>
        <w:pStyle w:val="123"/>
        <w:spacing w:line="360" w:lineRule="auto"/>
        <w:rPr>
          <w:rFonts w:ascii="宋体" w:hAnsi="宋体" w:cs="宋体"/>
        </w:rPr>
      </w:pPr>
      <w:r>
        <w:rPr>
          <w:rFonts w:hint="eastAsia" w:ascii="宋体" w:hAnsi="宋体" w:cs="宋体"/>
        </w:rPr>
        <w:t>四、售后服务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1在质保期之内，如发现投标人所提供的设备（或材料）存在问题，需要投标人配合解决时，投标人须在接到通知后市内2小时、省内8小时、省外24小时内派有关人员到达现场，解决问题；</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2在质保期之后，如发现投标人所提供的设备（或材料）存在问题，需要投标人配合解决时，投标人须在接到通知后市内2小时、省内8小时、省外24小时内派有关人员到达现场，协助招标人解决问题；</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3所有的售后服务均由投标人受理。如果发生问题并且收到报告，应当在2小时内予以答复；</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4投标人应为招标人提供最佳的服务。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 在工具设备使用寿命内，投标人应向招标人提供充足的备品备件、易损件和专用耗材，自招标人提出采购需求至交货，周期不得长于15天，也可提供备用工具设备，提供周期不得长于3天。</w:t>
      </w:r>
    </w:p>
    <w:p>
      <w:pPr>
        <w:spacing w:line="360" w:lineRule="auto"/>
        <w:ind w:firstLine="480" w:firstLineChars="200"/>
        <w:rPr>
          <w:rFonts w:ascii="宋体" w:hAnsi="宋体" w:eastAsia="宋体"/>
          <w:sz w:val="24"/>
          <w:szCs w:val="24"/>
        </w:rPr>
      </w:pPr>
      <w:r>
        <w:rPr>
          <w:rFonts w:hint="eastAsia" w:ascii="宋体" w:hAnsi="宋体" w:eastAsia="宋体"/>
          <w:sz w:val="24"/>
          <w:szCs w:val="24"/>
        </w:rPr>
        <w:t>6 在工具设备使用寿命周期内，投标人每年至少开展1次工具及软件使用、工具设备维修保养等方面的培训工作。</w:t>
      </w:r>
    </w:p>
    <w:p>
      <w:pPr>
        <w:spacing w:line="360" w:lineRule="auto"/>
        <w:ind w:firstLine="480" w:firstLineChars="200"/>
        <w:rPr>
          <w:rFonts w:ascii="宋体" w:hAnsi="宋体" w:eastAsia="宋体"/>
          <w:sz w:val="24"/>
          <w:szCs w:val="24"/>
        </w:rPr>
      </w:pPr>
      <w:r>
        <w:rPr>
          <w:rFonts w:hint="eastAsia" w:ascii="宋体" w:hAnsi="宋体" w:eastAsia="宋体"/>
          <w:sz w:val="24"/>
          <w:szCs w:val="24"/>
        </w:rPr>
        <w:t>7</w:t>
      </w:r>
      <w:r>
        <w:rPr>
          <w:rFonts w:ascii="宋体" w:hAnsi="宋体" w:eastAsia="宋体"/>
          <w:sz w:val="24"/>
          <w:szCs w:val="24"/>
        </w:rPr>
        <w:t>.卖方派往买方使用现场的人员，应具有较高的业务素质；现场解决问题时，不得无故拖延或推迟，应为买方提供最佳的服务。</w:t>
      </w:r>
    </w:p>
    <w:p>
      <w:pPr>
        <w:pStyle w:val="123"/>
        <w:spacing w:line="360" w:lineRule="auto"/>
        <w:rPr>
          <w:rFonts w:ascii="宋体" w:hAnsi="宋体" w:cs="宋体"/>
        </w:rPr>
      </w:pPr>
      <w:r>
        <w:rPr>
          <w:rFonts w:hint="eastAsia" w:ascii="宋体" w:hAnsi="宋体" w:cs="宋体"/>
        </w:rPr>
        <w:t>五、其它服务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3.运输服务，投标方负责将设备按要求运至</w:t>
      </w:r>
      <w:r>
        <w:rPr>
          <w:rFonts w:ascii="Times New Roman" w:hAnsi="Times New Roman" w:eastAsia="宋体" w:cs="Times New Roman"/>
          <w:sz w:val="24"/>
          <w:szCs w:val="24"/>
        </w:rPr>
        <w:t>济南商用车制造公司（章丘重汽工业园）</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4.本章节条款所列“免费”，并非指定不可收费，而是指招标文件、投标文件、答疑文件、技术交流文件、技术标书和合同等范围之外，投标人不可另行收取的费用。</w:t>
      </w:r>
    </w:p>
    <w:p>
      <w:pPr>
        <w:spacing w:line="360" w:lineRule="auto"/>
        <w:ind w:firstLine="480" w:firstLineChars="200"/>
        <w:rPr>
          <w:rFonts w:ascii="宋体" w:hAnsi="宋体" w:eastAsia="宋体" w:cs="宋体"/>
          <w:color w:val="000000"/>
          <w:sz w:val="24"/>
          <w:szCs w:val="24"/>
        </w:rPr>
      </w:pPr>
    </w:p>
    <w:p>
      <w:pPr>
        <w:pStyle w:val="22"/>
        <w:spacing w:line="360" w:lineRule="auto"/>
        <w:rPr>
          <w:rFonts w:hAnsi="宋体" w:eastAsia="宋体"/>
        </w:rPr>
      </w:pPr>
      <w:r>
        <w:rPr>
          <w:rFonts w:hAnsi="宋体" w:eastAsia="宋体"/>
        </w:rPr>
        <w:br w:type="page"/>
      </w:r>
    </w:p>
    <w:p>
      <w:pPr>
        <w:keepNext/>
        <w:keepLines/>
        <w:spacing w:line="360" w:lineRule="auto"/>
        <w:jc w:val="center"/>
        <w:outlineLvl w:val="1"/>
        <w:rPr>
          <w:rFonts w:ascii="宋体" w:hAnsi="宋体" w:eastAsia="宋体" w:cs="Times New Roman"/>
          <w:b/>
          <w:bCs/>
          <w:kern w:val="44"/>
          <w:sz w:val="28"/>
          <w:szCs w:val="28"/>
        </w:rPr>
      </w:pPr>
      <w:bookmarkStart w:id="107" w:name="_Toc465187646"/>
      <w:r>
        <w:rPr>
          <w:rFonts w:hint="eastAsia" w:ascii="宋体" w:hAnsi="宋体" w:eastAsia="宋体" w:cs="Times New Roman"/>
          <w:b/>
          <w:bCs/>
          <w:kern w:val="44"/>
          <w:sz w:val="28"/>
          <w:szCs w:val="28"/>
        </w:rPr>
        <w:t>第五章  终验收</w:t>
      </w:r>
      <w:bookmarkEnd w:id="107"/>
    </w:p>
    <w:p>
      <w:pPr>
        <w:spacing w:line="360" w:lineRule="auto"/>
        <w:ind w:firstLine="480" w:firstLineChars="200"/>
        <w:rPr>
          <w:rFonts w:ascii="宋体" w:hAnsi="宋体" w:eastAsia="宋体"/>
          <w:sz w:val="24"/>
          <w:szCs w:val="24"/>
        </w:rPr>
      </w:pPr>
      <w:bookmarkStart w:id="108" w:name="_Toc465187647"/>
      <w:r>
        <w:rPr>
          <w:rFonts w:hint="eastAsia" w:ascii="宋体" w:hAnsi="宋体" w:eastAsia="宋体"/>
          <w:sz w:val="24"/>
          <w:szCs w:val="24"/>
        </w:rPr>
        <w:t>按照参考招标文件、投标文件、答疑文件、技术交流文件等形成并达成一致的技术协议书和合同规定验收。</w:t>
      </w:r>
    </w:p>
    <w:p>
      <w:pPr>
        <w:pStyle w:val="123"/>
        <w:spacing w:line="360" w:lineRule="auto"/>
        <w:rPr>
          <w:rFonts w:ascii="宋体" w:hAnsi="宋体"/>
          <w:color w:val="auto"/>
        </w:rPr>
      </w:pPr>
      <w:r>
        <w:rPr>
          <w:rFonts w:hint="eastAsia" w:ascii="宋体" w:hAnsi="宋体"/>
          <w:color w:val="auto"/>
        </w:rPr>
        <w:t>一.检验</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国产部分的货物的检验由卖买双方按照合同要求或在制造现场进行。进口部分的货物的检验按照下述要求进行：</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1进口部分的货物发货前，投标人应对设备（或材料）的质量、型号、规格、性能和数量/重量作精密、全面的检验，并出具证明书，证明所供设备（或材料）符合合同规定。</w:t>
      </w:r>
    </w:p>
    <w:p>
      <w:pPr>
        <w:spacing w:line="360" w:lineRule="auto"/>
        <w:ind w:firstLine="480" w:firstLineChars="200"/>
      </w:pPr>
      <w:r>
        <w:rPr>
          <w:rFonts w:hint="eastAsia" w:ascii="宋体" w:hAnsi="宋体" w:eastAsia="宋体"/>
          <w:sz w:val="24"/>
          <w:szCs w:val="24"/>
        </w:rPr>
        <w:t>2投标人应依据合同规定的要求，提供设备（或材料）的验收标准和装箱单，作为招标人检验的依据。</w:t>
      </w:r>
    </w:p>
    <w:p>
      <w:pPr>
        <w:pStyle w:val="123"/>
        <w:spacing w:line="360" w:lineRule="auto"/>
        <w:rPr>
          <w:rFonts w:ascii="宋体" w:hAnsi="宋体"/>
          <w:color w:val="auto"/>
        </w:rPr>
      </w:pPr>
      <w:r>
        <w:rPr>
          <w:rFonts w:hint="eastAsia" w:ascii="宋体" w:hAnsi="宋体"/>
          <w:color w:val="auto"/>
        </w:rPr>
        <w:t>二.验收标准</w:t>
      </w:r>
    </w:p>
    <w:p>
      <w:pPr>
        <w:spacing w:line="360" w:lineRule="auto"/>
        <w:ind w:firstLine="480" w:firstLineChars="200"/>
        <w:rPr>
          <w:rFonts w:ascii="宋体" w:hAnsi="宋体" w:eastAsia="宋体"/>
          <w:sz w:val="24"/>
          <w:szCs w:val="24"/>
        </w:rPr>
      </w:pPr>
      <w:r>
        <w:rPr>
          <w:rFonts w:hint="eastAsia" w:ascii="宋体" w:hAnsi="宋体" w:eastAsia="宋体"/>
          <w:sz w:val="24"/>
          <w:szCs w:val="24"/>
        </w:rPr>
        <w:t>验收一般分预验收和终验收两部分。预验收在安装调试完成后现场进行。但是所有的项目，包括不能预验收的项目和预验收通过的项目都在终验收时重新检验，最终只以终验收为准。</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1终验收规程：</w:t>
      </w:r>
    </w:p>
    <w:p>
      <w:pPr>
        <w:spacing w:line="360" w:lineRule="auto"/>
        <w:ind w:firstLine="480" w:firstLineChars="200"/>
        <w:rPr>
          <w:rFonts w:ascii="宋体" w:hAnsi="宋体" w:eastAsia="宋体"/>
          <w:sz w:val="24"/>
          <w:szCs w:val="24"/>
        </w:rPr>
      </w:pPr>
      <w:r>
        <w:rPr>
          <w:rFonts w:hint="eastAsia" w:ascii="宋体" w:hAnsi="宋体" w:eastAsia="宋体"/>
          <w:sz w:val="24"/>
          <w:szCs w:val="24"/>
        </w:rPr>
        <w:t>设备（或材料）允许情况下，一般连续运行 30 天，每天连续 10 小时，除用户方面因素外，必须达到以下要求：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a)在整个验收过程中没有维修、更换零部件或元件行为；</w:t>
      </w:r>
    </w:p>
    <w:p>
      <w:pPr>
        <w:spacing w:line="360" w:lineRule="auto"/>
        <w:ind w:firstLine="480" w:firstLineChars="200"/>
        <w:rPr>
          <w:rFonts w:ascii="宋体" w:hAnsi="宋体" w:eastAsia="宋体"/>
          <w:sz w:val="24"/>
          <w:szCs w:val="24"/>
        </w:rPr>
      </w:pPr>
      <w:r>
        <w:rPr>
          <w:rFonts w:hint="eastAsia" w:ascii="宋体" w:hAnsi="宋体" w:eastAsia="宋体"/>
          <w:sz w:val="24"/>
          <w:szCs w:val="24"/>
        </w:rPr>
        <w:t>b)终验收原则上要求一次完成，若一次验收不成功，最多允许两次；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c）终验收通过后买卖双方共同签署终验收报告。</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2设备（或材料）验收的一般标准与要求：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① 预验收的一般标准与要求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a.资料齐全性、完整性和有效性。按照“配套供货范围及要求”中“技术资料范围”的规定验收；</w:t>
      </w:r>
    </w:p>
    <w:p>
      <w:pPr>
        <w:spacing w:line="360" w:lineRule="auto"/>
        <w:ind w:firstLine="480" w:firstLineChars="200"/>
        <w:rPr>
          <w:rFonts w:ascii="宋体" w:hAnsi="宋体" w:eastAsia="宋体"/>
          <w:sz w:val="24"/>
          <w:szCs w:val="24"/>
        </w:rPr>
      </w:pPr>
      <w:r>
        <w:rPr>
          <w:rFonts w:hint="eastAsia" w:ascii="宋体" w:hAnsi="宋体" w:eastAsia="宋体"/>
          <w:sz w:val="24"/>
          <w:szCs w:val="24"/>
        </w:rPr>
        <w:t>b.设备（或材料）应运行灵活、稳定、可靠、安全，无异常声音和非正常振动。设备不允许出现漏水、漏液、漏气（汽）、漏电。</w:t>
      </w:r>
    </w:p>
    <w:p>
      <w:pPr>
        <w:spacing w:line="360" w:lineRule="auto"/>
        <w:ind w:firstLine="480" w:firstLineChars="200"/>
        <w:rPr>
          <w:rFonts w:ascii="宋体" w:hAnsi="宋体" w:eastAsia="宋体"/>
          <w:sz w:val="24"/>
          <w:szCs w:val="24"/>
        </w:rPr>
      </w:pPr>
      <w:r>
        <w:rPr>
          <w:rFonts w:hint="eastAsia" w:ascii="宋体" w:hAnsi="宋体" w:eastAsia="宋体"/>
          <w:sz w:val="24"/>
          <w:szCs w:val="24"/>
        </w:rPr>
        <w:t>c.设备（或材料）外观应无损伤，应该涂满同种明亮清晰的油漆（特殊标志除外）。设备应该完整且所有的零部件应该安装牢固，所有的焊缝饱满、无残渣等缺陷；</w:t>
      </w:r>
    </w:p>
    <w:p>
      <w:pPr>
        <w:spacing w:line="360" w:lineRule="auto"/>
        <w:ind w:firstLine="480" w:firstLineChars="200"/>
        <w:rPr>
          <w:rFonts w:ascii="宋体" w:hAnsi="宋体" w:eastAsia="宋体"/>
          <w:sz w:val="24"/>
          <w:szCs w:val="24"/>
        </w:rPr>
      </w:pPr>
      <w:r>
        <w:rPr>
          <w:rFonts w:hint="eastAsia" w:ascii="宋体" w:hAnsi="宋体" w:eastAsia="宋体"/>
          <w:sz w:val="24"/>
          <w:szCs w:val="24"/>
        </w:rPr>
        <w:t>d.设备（或材料）应有完整的标牌，且清晰易见；</w:t>
      </w:r>
    </w:p>
    <w:p>
      <w:pPr>
        <w:spacing w:line="360" w:lineRule="auto"/>
        <w:ind w:firstLine="480" w:firstLineChars="200"/>
        <w:rPr>
          <w:rFonts w:ascii="宋体" w:hAnsi="宋体" w:eastAsia="宋体"/>
          <w:sz w:val="24"/>
          <w:szCs w:val="24"/>
        </w:rPr>
      </w:pPr>
      <w:r>
        <w:rPr>
          <w:rFonts w:hint="eastAsia" w:ascii="宋体" w:hAnsi="宋体" w:eastAsia="宋体"/>
          <w:sz w:val="24"/>
          <w:szCs w:val="24"/>
        </w:rPr>
        <w:t>e.设备（或材料）的安全要求符合中国最新的相关法律、法规、标准和规范以及合同要求；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②终验收时的一般验收标准与要求：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a.资料齐全性、完整性和有效性。</w:t>
      </w:r>
    </w:p>
    <w:p>
      <w:pPr>
        <w:spacing w:line="360" w:lineRule="auto"/>
        <w:ind w:firstLine="480" w:firstLineChars="200"/>
        <w:rPr>
          <w:rFonts w:ascii="宋体" w:hAnsi="宋体" w:eastAsia="宋体"/>
          <w:sz w:val="24"/>
          <w:szCs w:val="24"/>
        </w:rPr>
      </w:pPr>
      <w:r>
        <w:rPr>
          <w:rFonts w:hint="eastAsia" w:ascii="宋体" w:hAnsi="宋体" w:eastAsia="宋体"/>
          <w:sz w:val="24"/>
          <w:szCs w:val="24"/>
        </w:rPr>
        <w:t>b.设备（或材料）应运行稳定、可靠、安全，无异常声音和非正常振动。设备不允许出现漏水、漏液、漏气（汽）、漏电。</w:t>
      </w:r>
    </w:p>
    <w:p>
      <w:pPr>
        <w:spacing w:line="360" w:lineRule="auto"/>
        <w:ind w:firstLine="480" w:firstLineChars="200"/>
        <w:rPr>
          <w:rFonts w:ascii="宋体" w:hAnsi="宋体" w:eastAsia="宋体"/>
          <w:sz w:val="24"/>
          <w:szCs w:val="24"/>
        </w:rPr>
      </w:pPr>
      <w:r>
        <w:rPr>
          <w:rFonts w:hint="eastAsia" w:ascii="宋体" w:hAnsi="宋体" w:eastAsia="宋体"/>
          <w:sz w:val="24"/>
          <w:szCs w:val="24"/>
        </w:rPr>
        <w:t>c.设备（或材料）应有完整的标牌，且清晰易见；</w:t>
      </w:r>
    </w:p>
    <w:p>
      <w:pPr>
        <w:spacing w:line="360" w:lineRule="auto"/>
        <w:ind w:firstLine="480" w:firstLineChars="200"/>
        <w:rPr>
          <w:rFonts w:ascii="宋体" w:hAnsi="宋体" w:eastAsia="宋体"/>
          <w:sz w:val="24"/>
          <w:szCs w:val="24"/>
        </w:rPr>
      </w:pPr>
      <w:r>
        <w:rPr>
          <w:rFonts w:hint="eastAsia" w:ascii="宋体" w:hAnsi="宋体" w:eastAsia="宋体"/>
          <w:sz w:val="24"/>
          <w:szCs w:val="24"/>
        </w:rPr>
        <w:t>③ 终验收条件</w:t>
      </w:r>
    </w:p>
    <w:p>
      <w:pPr>
        <w:spacing w:line="360" w:lineRule="auto"/>
        <w:ind w:firstLine="480" w:firstLineChars="200"/>
        <w:rPr>
          <w:rFonts w:ascii="宋体" w:hAnsi="宋体" w:eastAsia="宋体"/>
          <w:sz w:val="24"/>
          <w:szCs w:val="24"/>
        </w:rPr>
      </w:pPr>
      <w:r>
        <w:rPr>
          <w:rFonts w:hint="eastAsia" w:ascii="宋体" w:hAnsi="宋体" w:eastAsia="宋体"/>
          <w:sz w:val="24"/>
          <w:szCs w:val="24"/>
        </w:rPr>
        <w:t>依据招标文件、投标文件、答疑文件、技术交流文件等形成并达成一致的技术协议书和合同规定的终验收条件验收。</w:t>
      </w:r>
    </w:p>
    <w:p>
      <w:pPr>
        <w:pStyle w:val="136"/>
        <w:spacing w:line="360" w:lineRule="auto"/>
        <w:outlineLvl w:val="1"/>
        <w:rPr>
          <w:rFonts w:ascii="宋体" w:hAnsi="宋体" w:eastAsia="宋体"/>
          <w:b/>
          <w:bCs w:val="0"/>
          <w:iCs/>
          <w:color w:val="auto"/>
          <w:sz w:val="28"/>
        </w:rPr>
      </w:pPr>
      <w:r>
        <w:rPr>
          <w:rFonts w:ascii="宋体" w:hAnsi="宋体" w:eastAsia="宋体"/>
          <w:b/>
          <w:bCs w:val="0"/>
          <w:iCs/>
          <w:color w:val="auto"/>
          <w:sz w:val="28"/>
        </w:rPr>
        <w:t>第六章  投标技术文件一般要求</w:t>
      </w:r>
      <w:bookmarkEnd w:id="108"/>
    </w:p>
    <w:p>
      <w:pPr>
        <w:pStyle w:val="123"/>
        <w:spacing w:line="360" w:lineRule="auto"/>
        <w:rPr>
          <w:rFonts w:ascii="宋体" w:hAnsi="宋体"/>
          <w:color w:val="auto"/>
        </w:rPr>
      </w:pPr>
      <w:r>
        <w:rPr>
          <w:rFonts w:ascii="宋体" w:hAnsi="宋体"/>
          <w:color w:val="auto"/>
        </w:rPr>
        <w:t>一、技术文件一般内容要求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360" w:lineRule="auto"/>
        <w:ind w:firstLine="2160" w:firstLineChars="900"/>
        <w:rPr>
          <w:rFonts w:ascii="宋体" w:hAnsi="宋体" w:eastAsia="宋体" w:cs="宋体"/>
          <w:sz w:val="24"/>
          <w:szCs w:val="24"/>
        </w:rPr>
      </w:pPr>
      <w:r>
        <w:rPr>
          <w:rFonts w:hint="eastAsia" w:ascii="宋体" w:hAnsi="宋体" w:eastAsia="宋体" w:cs="宋体"/>
          <w:sz w:val="24"/>
          <w:szCs w:val="24"/>
        </w:rPr>
        <w:t>备品备件、易损件和专用耗材明细表             单位：元</w:t>
      </w:r>
    </w:p>
    <w:tbl>
      <w:tblPr>
        <w:tblStyle w:val="41"/>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1924"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名称</w:t>
            </w:r>
          </w:p>
        </w:tc>
        <w:tc>
          <w:tcPr>
            <w:tcW w:w="1236"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型号规格</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单位</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数量</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单价</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总价</w:t>
            </w:r>
          </w:p>
        </w:tc>
        <w:tc>
          <w:tcPr>
            <w:tcW w:w="2235"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bl>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123"/>
        <w:spacing w:line="360" w:lineRule="auto"/>
        <w:rPr>
          <w:rFonts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pPr>
        <w:pStyle w:val="3"/>
        <w:spacing w:before="120" w:after="120" w:line="480" w:lineRule="exact"/>
        <w:rPr>
          <w:rFonts w:ascii="宋体" w:hAnsi="宋体" w:eastAsia="宋体" w:cs="宋体"/>
          <w:b w:val="0"/>
          <w:sz w:val="24"/>
          <w:szCs w:val="24"/>
        </w:rPr>
        <w:sectPr>
          <w:footerReference r:id="rId13" w:type="first"/>
          <w:footerReference r:id="rId12" w:type="default"/>
          <w:pgSz w:w="11906" w:h="16838"/>
          <w:pgMar w:top="1588" w:right="1418" w:bottom="1134" w:left="1418" w:header="851" w:footer="992" w:gutter="0"/>
          <w:pgNumType w:fmt="numberInDash"/>
          <w:cols w:space="720" w:num="1"/>
          <w:titlePg/>
          <w:docGrid w:linePitch="312" w:charSpace="0"/>
        </w:sectPr>
      </w:pPr>
      <w:bookmarkStart w:id="109" w:name="_Toc465187648"/>
    </w:p>
    <w:bookmarkEnd w:id="109"/>
    <w:p>
      <w:pPr>
        <w:pStyle w:val="22"/>
      </w:pPr>
    </w:p>
    <w:p>
      <w:pPr>
        <w:spacing w:line="360" w:lineRule="auto"/>
        <w:jc w:val="center"/>
        <w:outlineLvl w:val="0"/>
        <w:rPr>
          <w:rFonts w:ascii="宋体" w:hAnsi="Calibri" w:eastAsia="宋体" w:cs="Times New Roman"/>
          <w:b/>
          <w:sz w:val="36"/>
          <w:szCs w:val="36"/>
        </w:rPr>
      </w:pPr>
      <w:bookmarkStart w:id="110"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10"/>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906" w:firstLineChars="678"/>
        <w:jc w:val="left"/>
        <w:rPr>
          <w:rFonts w:hint="eastAsia" w:ascii="宋体" w:hAnsi="宋体" w:eastAsia="宋体" w:cs="Times New Roman"/>
          <w:b/>
          <w:sz w:val="28"/>
          <w:szCs w:val="36"/>
        </w:rPr>
      </w:pPr>
    </w:p>
    <w:p>
      <w:pPr>
        <w:rPr>
          <w:rFonts w:ascii="Calibri" w:hAnsi="Calibri" w:eastAsia="宋体" w:cs="Times New Roman"/>
          <w:szCs w:val="21"/>
        </w:rPr>
      </w:pPr>
    </w:p>
    <w:p>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pPr>
        <w:spacing w:line="360" w:lineRule="auto"/>
        <w:rPr>
          <w:rFonts w:hint="eastAsia" w:ascii="宋体" w:hAnsi="宋体" w:cs="宋体"/>
          <w:bCs/>
          <w:sz w:val="22"/>
        </w:rPr>
        <w:sectPr>
          <w:headerReference r:id="rId14" w:type="default"/>
          <w:footerReference r:id="rId15" w:type="default"/>
          <w:pgSz w:w="11907" w:h="16840"/>
          <w:pgMar w:top="1304" w:right="1418" w:bottom="1304" w:left="1418" w:header="724" w:footer="851" w:gutter="0"/>
          <w:cols w:space="720" w:num="1"/>
          <w:docGrid w:linePitch="290" w:charSpace="-3931"/>
        </w:sectPr>
      </w:pPr>
    </w:p>
    <w:p>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hint="eastAsia" w:ascii="仿宋_GB2312" w:hAnsi="宋体" w:eastAsia="仿宋_GB2312" w:cs="宋体"/>
          <w:b/>
          <w:bCs/>
          <w:sz w:val="24"/>
          <w:szCs w:val="24"/>
          <w:u w:val="single"/>
        </w:rPr>
      </w:pPr>
    </w:p>
    <w:p>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20" w:firstLineChars="0"/>
        <w:rPr>
          <w:rFonts w:hint="eastAsia" w:ascii="仿宋_GB2312" w:hAnsi="宋体" w:eastAsia="仿宋_GB2312" w:cs="宋体"/>
          <w:b/>
          <w:sz w:val="24"/>
          <w:szCs w:val="24"/>
          <w:lang w:eastAsia="zh-CN"/>
        </w:rPr>
      </w:pPr>
      <w:r>
        <w:rPr>
          <w:rFonts w:hint="eastAsia" w:ascii="仿宋_GB2312" w:hAnsi="宋体" w:eastAsia="仿宋_GB2312" w:cs="宋体"/>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宋体" w:eastAsia="仿宋_GB2312" w:cs="宋体"/>
          <w:b/>
          <w:sz w:val="24"/>
          <w:szCs w:val="24"/>
          <w:lang w:eastAsia="zh-CN"/>
        </w:rPr>
        <w:t>。</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pPr>
        <w:rPr>
          <w:rFonts w:ascii="Calibri" w:hAnsi="Calibri" w:eastAsia="宋体" w:cs="Times New Roman"/>
          <w:sz w:val="24"/>
          <w:szCs w:val="24"/>
        </w:rPr>
      </w:pPr>
      <w:r>
        <w:rPr>
          <w:rFonts w:hint="eastAsia" w:ascii="Calibri" w:hAnsi="Calibri" w:eastAsia="宋体" w:cs="Times New Roman"/>
          <w:sz w:val="24"/>
          <w:szCs w:val="24"/>
        </w:rPr>
        <w:br w:type="page"/>
      </w:r>
    </w:p>
    <w:p>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pPr>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31"/>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r>
    </w:tbl>
    <w:p>
      <w:pPr>
        <w:tabs>
          <w:tab w:val="right" w:leader="dot" w:pos="9061"/>
        </w:tabs>
        <w:rPr>
          <w:rFonts w:hint="eastAsia" w:asciiTheme="minorEastAsia" w:hAnsiTheme="minorEastAsia" w:cstheme="minorEastAsia"/>
          <w:sz w:val="20"/>
        </w:rPr>
      </w:pPr>
    </w:p>
    <w:p>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pPr>
        <w:rPr>
          <w:rFonts w:hint="eastAsia" w:asciiTheme="minorEastAsia" w:hAnsiTheme="minorEastAsia" w:cstheme="minorEastAsia"/>
          <w:sz w:val="20"/>
          <w:szCs w:val="20"/>
        </w:rPr>
      </w:pPr>
    </w:p>
    <w:p>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pPr>
        <w:ind w:right="360"/>
        <w:rPr>
          <w:rFonts w:hint="eastAsia" w:asciiTheme="minorEastAsia" w:hAnsiTheme="minorEastAsia" w:cstheme="minorEastAsia"/>
          <w:sz w:val="20"/>
          <w:szCs w:val="20"/>
        </w:rPr>
        <w:sectPr>
          <w:headerReference r:id="rId16" w:type="default"/>
          <w:footerReference r:id="rId17"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11" w:name="_Toc15851"/>
      <w:bookmarkStart w:id="112" w:name="_Toc20872"/>
      <w:bookmarkStart w:id="113" w:name="_Toc8509"/>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11"/>
      <w:bookmarkEnd w:id="112"/>
      <w:bookmarkEnd w:id="113"/>
    </w:p>
    <w:p>
      <w:pPr>
        <w:keepNext/>
        <w:keepLines/>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2"/>
        <w:rPr>
          <w:rFonts w:ascii="Times New Roman" w:hAnsi="Times New Roman" w:eastAsia="宋体" w:cs="Times New Roman"/>
          <w:b/>
          <w:bCs/>
          <w:color w:val="000000"/>
          <w:sz w:val="24"/>
          <w:szCs w:val="24"/>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5"/>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5"/>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5"/>
              <w:spacing w:before="111"/>
              <w:ind w:left="509"/>
              <w:rPr>
                <w:rFonts w:hint="eastAsia"/>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2" w:hRule="atLeast"/>
        </w:trPr>
        <w:tc>
          <w:tcPr>
            <w:tcW w:w="1956" w:type="dxa"/>
          </w:tcPr>
          <w:p>
            <w:pPr>
              <w:pStyle w:val="135"/>
              <w:spacing w:before="114"/>
              <w:ind w:left="720"/>
              <w:rPr>
                <w:rFonts w:hint="eastAsia"/>
              </w:rPr>
            </w:pPr>
            <w:r>
              <w:t xml:space="preserve">品牌区分 </w:t>
            </w:r>
          </w:p>
        </w:tc>
        <w:tc>
          <w:tcPr>
            <w:tcW w:w="7500" w:type="dxa"/>
            <w:gridSpan w:val="6"/>
          </w:tcPr>
          <w:p>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5"/>
              <w:spacing w:before="15"/>
              <w:ind w:left="279"/>
              <w:rPr>
                <w:rFonts w:hint="eastAsia"/>
              </w:rPr>
            </w:pPr>
            <w:r>
              <w:rPr>
                <w:spacing w:val="-2"/>
              </w:rPr>
              <w:t>质量</w:t>
            </w:r>
            <w:r>
              <w:t xml:space="preserve"> </w:t>
            </w:r>
          </w:p>
          <w:p>
            <w:pPr>
              <w:pStyle w:val="135"/>
              <w:spacing w:before="30" w:line="277" w:lineRule="exact"/>
              <w:ind w:left="279"/>
              <w:rPr>
                <w:rFonts w:hint="eastAsia"/>
              </w:rPr>
            </w:pPr>
            <w:r>
              <w:rPr>
                <w:rFonts w:hint="eastAsia"/>
              </w:rPr>
              <w:t>体系</w:t>
            </w:r>
          </w:p>
        </w:tc>
        <w:tc>
          <w:tcPr>
            <w:tcW w:w="2820" w:type="dxa"/>
            <w:gridSpan w:val="2"/>
          </w:tcPr>
          <w:p>
            <w:pPr>
              <w:pStyle w:val="135"/>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5"/>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3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bl>
    <w:p>
      <w:pPr>
        <w:spacing w:line="660" w:lineRule="exact"/>
        <w:ind w:firstLine="480" w:firstLineChars="200"/>
        <w:rPr>
          <w:rFonts w:hint="eastAsia" w:ascii="宋体" w:hAnsi="宋体" w:eastAsia="宋体" w:cs="Times New Roman"/>
          <w:sz w:val="24"/>
          <w:szCs w:val="20"/>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480" w:firstLineChars="200"/>
        <w:rPr>
          <w:rFonts w:hint="eastAsia" w:ascii="宋体" w:hAnsi="宋体" w:eastAsia="宋体" w:cs="宋体"/>
          <w:spacing w:val="-6"/>
          <w:szCs w:val="21"/>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2222"/>
        <w:gridCol w:w="2428"/>
        <w:gridCol w:w="630"/>
        <w:gridCol w:w="645"/>
        <w:gridCol w:w="1320"/>
        <w:gridCol w:w="9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22"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28" w:type="dxa"/>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2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pPr>
              <w:spacing w:line="360" w:lineRule="exact"/>
              <w:jc w:val="center"/>
              <w:rPr>
                <w:rFonts w:hint="eastAsia" w:ascii="宋体" w:hAnsi="宋体" w:cs="宋体"/>
                <w:szCs w:val="21"/>
              </w:rPr>
            </w:pPr>
            <w:r>
              <w:rPr>
                <w:rFonts w:hint="eastAsia" w:ascii="宋体" w:hAnsi="宋体" w:eastAsia="宋体"/>
                <w:b/>
              </w:rPr>
              <w:t>1</w:t>
            </w:r>
          </w:p>
        </w:tc>
        <w:tc>
          <w:tcPr>
            <w:tcW w:w="2222" w:type="dxa"/>
            <w:vAlign w:val="center"/>
          </w:tcPr>
          <w:p>
            <w:pPr>
              <w:spacing w:line="360" w:lineRule="auto"/>
              <w:jc w:val="center"/>
              <w:rPr>
                <w:rFonts w:hint="eastAsia" w:ascii="宋体" w:hAnsi="宋体" w:eastAsia="宋体" w:cs="宋体"/>
                <w:color w:val="000000"/>
                <w:kern w:val="0"/>
                <w:sz w:val="24"/>
                <w:szCs w:val="24"/>
                <w:lang w:eastAsia="zh-CN" w:bidi="ar"/>
              </w:rPr>
            </w:pPr>
            <w:r>
              <w:rPr>
                <w:rFonts w:hint="eastAsia" w:ascii="宋体" w:hAnsi="宋体" w:eastAsia="宋体"/>
                <w:bCs/>
                <w:sz w:val="24"/>
                <w:szCs w:val="24"/>
                <w:lang w:val="en-US" w:eastAsia="zh-CN"/>
              </w:rPr>
              <w:t>底部电池装配系统</w:t>
            </w:r>
          </w:p>
        </w:tc>
        <w:tc>
          <w:tcPr>
            <w:tcW w:w="2428" w:type="dxa"/>
            <w:vAlign w:val="center"/>
          </w:tcPr>
          <w:p>
            <w:pPr>
              <w:spacing w:line="360" w:lineRule="auto"/>
              <w:jc w:val="center"/>
              <w:rPr>
                <w:rFonts w:hint="default" w:ascii="宋体" w:hAnsi="宋体" w:eastAsia="宋体" w:cs="宋体"/>
                <w:sz w:val="24"/>
                <w:szCs w:val="24"/>
                <w:lang w:val="en-US" w:eastAsia="zh-CN"/>
              </w:rPr>
            </w:pPr>
            <w:r>
              <w:rPr>
                <w:rFonts w:hint="eastAsia" w:ascii="宋体" w:hAnsi="宋体" w:eastAsia="宋体"/>
                <w:bCs/>
                <w:sz w:val="24"/>
                <w:szCs w:val="24"/>
                <w:lang w:val="en-US" w:eastAsia="zh-CN"/>
              </w:rPr>
              <w:t>非标定制</w:t>
            </w:r>
          </w:p>
        </w:tc>
        <w:tc>
          <w:tcPr>
            <w:tcW w:w="630" w:type="dxa"/>
            <w:vAlign w:val="center"/>
          </w:tcPr>
          <w:p>
            <w:pPr>
              <w:spacing w:line="360" w:lineRule="auto"/>
              <w:jc w:val="center"/>
              <w:rPr>
                <w:rFonts w:hint="eastAsia" w:ascii="宋体" w:hAnsi="宋体" w:eastAsia="宋体" w:cs="宋体"/>
                <w:sz w:val="24"/>
                <w:szCs w:val="24"/>
                <w:lang w:eastAsia="zh-CN"/>
              </w:rPr>
            </w:pPr>
            <w:r>
              <w:rPr>
                <w:rFonts w:hint="eastAsia" w:ascii="宋体" w:hAnsi="宋体" w:eastAsia="宋体"/>
                <w:bCs/>
                <w:sz w:val="24"/>
                <w:szCs w:val="24"/>
                <w:lang w:val="en-US" w:eastAsia="zh-CN"/>
              </w:rPr>
              <w:t>套</w:t>
            </w:r>
          </w:p>
        </w:tc>
        <w:tc>
          <w:tcPr>
            <w:tcW w:w="645" w:type="dxa"/>
            <w:vAlign w:val="center"/>
          </w:tcPr>
          <w:p>
            <w:pPr>
              <w:spacing w:line="360" w:lineRule="auto"/>
              <w:jc w:val="center"/>
              <w:rPr>
                <w:rFonts w:hint="eastAsia" w:ascii="宋体" w:hAnsi="宋体" w:eastAsia="宋体" w:cs="宋体"/>
                <w:sz w:val="24"/>
                <w:szCs w:val="24"/>
                <w:lang w:eastAsia="zh-CN"/>
              </w:rPr>
            </w:pPr>
            <w:r>
              <w:rPr>
                <w:rFonts w:hint="eastAsia" w:ascii="宋体" w:hAnsi="宋体" w:eastAsia="宋体"/>
                <w:bCs/>
                <w:sz w:val="24"/>
                <w:szCs w:val="24"/>
                <w:lang w:val="en-US" w:eastAsia="zh-CN"/>
              </w:rPr>
              <w:t>1</w:t>
            </w: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pPr>
              <w:spacing w:line="360" w:lineRule="exact"/>
              <w:jc w:val="center"/>
              <w:rPr>
                <w:rFonts w:hint="eastAsia" w:ascii="宋体" w:hAnsi="宋体" w:eastAsia="宋体"/>
                <w:b/>
                <w:lang w:val="en-US" w:eastAsia="zh-CN"/>
              </w:rPr>
            </w:pPr>
            <w:r>
              <w:rPr>
                <w:rFonts w:hint="eastAsia" w:ascii="宋体" w:hAnsi="宋体" w:eastAsia="宋体"/>
                <w:b/>
                <w:lang w:val="en-US" w:eastAsia="zh-CN"/>
              </w:rPr>
              <w:t>2</w:t>
            </w:r>
          </w:p>
        </w:tc>
        <w:tc>
          <w:tcPr>
            <w:tcW w:w="2222"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cs="宋体"/>
                <w:kern w:val="0"/>
                <w:sz w:val="24"/>
                <w:szCs w:val="24"/>
                <w:lang w:val="en-US" w:eastAsia="zh-CN"/>
              </w:rPr>
              <w:t>中部挂载横梁装配工装吊具</w:t>
            </w:r>
          </w:p>
        </w:tc>
        <w:tc>
          <w:tcPr>
            <w:tcW w:w="2428"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bCs/>
                <w:sz w:val="24"/>
                <w:szCs w:val="24"/>
                <w:lang w:val="en-US" w:eastAsia="zh-CN"/>
              </w:rPr>
              <w:t>非标定制</w:t>
            </w:r>
          </w:p>
        </w:tc>
        <w:tc>
          <w:tcPr>
            <w:tcW w:w="630"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bCs/>
                <w:sz w:val="24"/>
                <w:szCs w:val="24"/>
                <w:lang w:val="en-US" w:eastAsia="zh-CN"/>
              </w:rPr>
              <w:t>套</w:t>
            </w:r>
          </w:p>
        </w:tc>
        <w:tc>
          <w:tcPr>
            <w:tcW w:w="645"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pPr>
              <w:spacing w:line="360" w:lineRule="exact"/>
              <w:jc w:val="center"/>
              <w:rPr>
                <w:rFonts w:hint="eastAsia" w:ascii="宋体" w:hAnsi="宋体" w:eastAsia="宋体"/>
                <w:b/>
                <w:lang w:val="en-US" w:eastAsia="zh-CN"/>
              </w:rPr>
            </w:pPr>
            <w:r>
              <w:rPr>
                <w:rFonts w:hint="eastAsia" w:ascii="宋体" w:hAnsi="宋体" w:eastAsia="宋体"/>
                <w:b/>
                <w:lang w:val="en-US" w:eastAsia="zh-CN"/>
              </w:rPr>
              <w:t>3</w:t>
            </w:r>
          </w:p>
        </w:tc>
        <w:tc>
          <w:tcPr>
            <w:tcW w:w="2222"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cs="宋体"/>
                <w:kern w:val="0"/>
                <w:sz w:val="24"/>
                <w:szCs w:val="24"/>
                <w:lang w:val="en-US" w:eastAsia="zh-CN"/>
              </w:rPr>
              <w:t>两侧电池支架装配工装吊具</w:t>
            </w:r>
          </w:p>
        </w:tc>
        <w:tc>
          <w:tcPr>
            <w:tcW w:w="2428"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bCs/>
                <w:sz w:val="24"/>
                <w:szCs w:val="24"/>
                <w:lang w:val="en-US" w:eastAsia="zh-CN"/>
              </w:rPr>
              <w:t>非标定制</w:t>
            </w:r>
          </w:p>
        </w:tc>
        <w:tc>
          <w:tcPr>
            <w:tcW w:w="630"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bCs/>
                <w:sz w:val="24"/>
                <w:szCs w:val="24"/>
                <w:lang w:val="en-US" w:eastAsia="zh-CN"/>
              </w:rPr>
              <w:t>套</w:t>
            </w:r>
          </w:p>
        </w:tc>
        <w:tc>
          <w:tcPr>
            <w:tcW w:w="645"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pPr>
              <w:spacing w:line="360" w:lineRule="exact"/>
              <w:jc w:val="center"/>
              <w:rPr>
                <w:rFonts w:hint="eastAsia" w:ascii="宋体" w:hAnsi="宋体" w:eastAsia="宋体"/>
                <w:b/>
                <w:lang w:val="en-US" w:eastAsia="zh-CN"/>
              </w:rPr>
            </w:pPr>
            <w:r>
              <w:rPr>
                <w:rFonts w:hint="eastAsia" w:ascii="宋体" w:hAnsi="宋体" w:eastAsia="宋体"/>
                <w:b/>
                <w:lang w:val="en-US" w:eastAsia="zh-CN"/>
              </w:rPr>
              <w:t>4</w:t>
            </w:r>
          </w:p>
        </w:tc>
        <w:tc>
          <w:tcPr>
            <w:tcW w:w="2222"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底部电池吊具</w:t>
            </w:r>
          </w:p>
        </w:tc>
        <w:tc>
          <w:tcPr>
            <w:tcW w:w="2428"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bCs/>
                <w:sz w:val="24"/>
                <w:szCs w:val="24"/>
                <w:lang w:val="en-US" w:eastAsia="zh-CN"/>
              </w:rPr>
              <w:t>非标定制</w:t>
            </w:r>
          </w:p>
        </w:tc>
        <w:tc>
          <w:tcPr>
            <w:tcW w:w="630"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bCs/>
                <w:sz w:val="24"/>
                <w:szCs w:val="24"/>
                <w:lang w:val="en-US" w:eastAsia="zh-CN"/>
              </w:rPr>
              <w:t>套</w:t>
            </w:r>
          </w:p>
        </w:tc>
        <w:tc>
          <w:tcPr>
            <w:tcW w:w="645"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pPr>
              <w:spacing w:before="79"/>
              <w:ind w:left="249"/>
              <w:rPr>
                <w:rFonts w:hint="eastAsia" w:ascii="宋体" w:hAnsi="宋体" w:eastAsia="宋体" w:cs="宋体"/>
                <w:szCs w:val="21"/>
              </w:rPr>
            </w:pPr>
            <w:r>
              <w:rPr>
                <w:rFonts w:ascii="宋体" w:hAnsi="宋体" w:eastAsia="宋体" w:cs="宋体"/>
                <w:position w:val="1"/>
                <w:szCs w:val="21"/>
              </w:rPr>
              <w:t>…</w:t>
            </w:r>
          </w:p>
        </w:tc>
        <w:tc>
          <w:tcPr>
            <w:tcW w:w="2222" w:type="dxa"/>
          </w:tcPr>
          <w:p>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2428" w:type="dxa"/>
          </w:tcPr>
          <w:p>
            <w:pPr>
              <w:rPr>
                <w:rFonts w:hint="eastAsia" w:ascii="Arial"/>
              </w:rPr>
            </w:pPr>
          </w:p>
        </w:tc>
        <w:tc>
          <w:tcPr>
            <w:tcW w:w="630" w:type="dxa"/>
          </w:tcPr>
          <w:p>
            <w:pPr>
              <w:adjustRightInd w:val="0"/>
              <w:snapToGrid w:val="0"/>
              <w:spacing w:before="156" w:beforeLines="50" w:after="156" w:afterLines="50"/>
              <w:jc w:val="center"/>
              <w:rPr>
                <w:rFonts w:hint="eastAsia" w:ascii="宋体" w:hAnsi="宋体" w:cs="宋体"/>
                <w:szCs w:val="21"/>
              </w:rPr>
            </w:pPr>
          </w:p>
        </w:tc>
        <w:tc>
          <w:tcPr>
            <w:tcW w:w="645" w:type="dxa"/>
          </w:tcPr>
          <w:p>
            <w:pPr>
              <w:rPr>
                <w:rFonts w:hint="eastAsia" w:ascii="Arial"/>
              </w:rPr>
            </w:pPr>
          </w:p>
        </w:tc>
        <w:tc>
          <w:tcPr>
            <w:tcW w:w="1320" w:type="dxa"/>
            <w:tcBorders>
              <w:right w:val="single" w:color="000000" w:sz="4" w:space="0"/>
            </w:tcBorders>
          </w:tcPr>
          <w:p>
            <w:pPr>
              <w:rPr>
                <w:rFonts w:hint="eastAsia" w:ascii="Arial"/>
              </w:rPr>
            </w:pPr>
          </w:p>
        </w:tc>
        <w:tc>
          <w:tcPr>
            <w:tcW w:w="915"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2"/>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2"/>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5"/>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0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1"/>
        <w:gridCol w:w="1656"/>
        <w:gridCol w:w="2420"/>
        <w:gridCol w:w="891"/>
        <w:gridCol w:w="793"/>
        <w:gridCol w:w="2028"/>
        <w:gridCol w:w="1630"/>
        <w:gridCol w:w="2969"/>
        <w:gridCol w:w="6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6" w:type="pct"/>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1"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80" w:type="pct"/>
            <w:tcBorders>
              <w:righ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1" w:type="pct"/>
          </w:tcPr>
          <w:p>
            <w:pPr>
              <w:spacing w:before="99" w:line="183" w:lineRule="auto"/>
              <w:ind w:firstLine="420" w:firstLineChars="200"/>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6"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91"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r>
              <w:rPr>
                <w:rFonts w:hint="eastAsia" w:ascii="宋体" w:hAnsi="宋体" w:eastAsia="宋体" w:cs="宋体"/>
                <w:b/>
                <w:bCs/>
                <w:color w:val="000000"/>
                <w:kern w:val="0"/>
                <w:sz w:val="18"/>
                <w:szCs w:val="18"/>
                <w:lang w:bidi="ar"/>
              </w:rPr>
              <w:t>（吨位-跨度-高度）</w:t>
            </w:r>
          </w:p>
        </w:tc>
        <w:tc>
          <w:tcPr>
            <w:tcW w:w="318"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3"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80" w:type="pct"/>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1"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6"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1656" w:type="dxa"/>
            <w:vAlign w:val="center"/>
          </w:tcPr>
          <w:p>
            <w:pPr>
              <w:spacing w:line="360" w:lineRule="auto"/>
              <w:jc w:val="center"/>
              <w:rPr>
                <w:rFonts w:hint="eastAsia" w:ascii="宋体" w:hAnsi="宋体" w:eastAsia="宋体" w:cs="宋体"/>
                <w:color w:val="000000"/>
                <w:kern w:val="0"/>
                <w:sz w:val="20"/>
                <w:szCs w:val="20"/>
                <w:lang w:eastAsia="zh-CN" w:bidi="ar"/>
              </w:rPr>
            </w:pPr>
            <w:r>
              <w:rPr>
                <w:rFonts w:hint="eastAsia" w:ascii="宋体" w:hAnsi="宋体" w:eastAsia="宋体"/>
                <w:bCs/>
                <w:sz w:val="24"/>
                <w:szCs w:val="24"/>
                <w:lang w:val="en-US" w:eastAsia="zh-CN"/>
              </w:rPr>
              <w:t>底部电池装配系统</w:t>
            </w:r>
          </w:p>
        </w:tc>
        <w:tc>
          <w:tcPr>
            <w:tcW w:w="2420" w:type="dxa"/>
            <w:vAlign w:val="center"/>
          </w:tcPr>
          <w:p>
            <w:pPr>
              <w:spacing w:line="360" w:lineRule="auto"/>
              <w:jc w:val="center"/>
              <w:rPr>
                <w:rFonts w:hint="default" w:ascii="宋体" w:hAnsi="宋体" w:eastAsia="宋体" w:cs="宋体"/>
                <w:sz w:val="18"/>
                <w:szCs w:val="18"/>
                <w:lang w:val="en-US" w:eastAsia="zh-CN"/>
              </w:rPr>
            </w:pPr>
            <w:r>
              <w:rPr>
                <w:rFonts w:hint="eastAsia" w:ascii="宋体" w:hAnsi="宋体" w:eastAsia="宋体"/>
                <w:bCs/>
                <w:sz w:val="24"/>
                <w:szCs w:val="24"/>
                <w:lang w:val="en-US" w:eastAsia="zh-CN"/>
              </w:rPr>
              <w:t>非标定制</w:t>
            </w:r>
          </w:p>
        </w:tc>
        <w:tc>
          <w:tcPr>
            <w:tcW w:w="891" w:type="dxa"/>
            <w:vAlign w:val="center"/>
          </w:tcPr>
          <w:p>
            <w:pPr>
              <w:spacing w:line="360" w:lineRule="auto"/>
              <w:jc w:val="center"/>
              <w:rPr>
                <w:rFonts w:hint="eastAsia" w:ascii="宋体" w:hAnsi="宋体" w:eastAsia="宋体" w:cs="宋体"/>
                <w:sz w:val="24"/>
                <w:szCs w:val="24"/>
                <w:lang w:eastAsia="zh-CN"/>
              </w:rPr>
            </w:pPr>
            <w:r>
              <w:rPr>
                <w:rFonts w:hint="eastAsia" w:ascii="宋体" w:hAnsi="宋体" w:eastAsia="宋体"/>
                <w:bCs/>
                <w:sz w:val="24"/>
                <w:szCs w:val="24"/>
                <w:lang w:val="en-US" w:eastAsia="zh-CN"/>
              </w:rPr>
              <w:t>套</w:t>
            </w:r>
          </w:p>
        </w:tc>
        <w:tc>
          <w:tcPr>
            <w:tcW w:w="793" w:type="dxa"/>
            <w:vAlign w:val="center"/>
          </w:tcPr>
          <w:p>
            <w:pPr>
              <w:spacing w:line="360" w:lineRule="auto"/>
              <w:jc w:val="center"/>
              <w:rPr>
                <w:rFonts w:hint="eastAsia" w:ascii="宋体" w:hAnsi="宋体" w:eastAsia="宋体" w:cs="宋体"/>
                <w:sz w:val="24"/>
                <w:szCs w:val="24"/>
                <w:lang w:eastAsia="zh-CN"/>
              </w:rPr>
            </w:pPr>
            <w:r>
              <w:rPr>
                <w:rFonts w:hint="eastAsia" w:ascii="宋体" w:hAnsi="宋体" w:eastAsia="宋体"/>
                <w:bCs/>
                <w:sz w:val="24"/>
                <w:szCs w:val="24"/>
                <w:lang w:val="en-US" w:eastAsia="zh-CN"/>
              </w:rPr>
              <w:t>1</w:t>
            </w: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6" w:type="pct"/>
            <w:vAlign w:val="center"/>
          </w:tcPr>
          <w:p>
            <w:pPr>
              <w:pStyle w:val="130"/>
              <w:spacing w:before="60" w:after="60" w:line="240" w:lineRule="auto"/>
              <w:jc w:val="cente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2</w:t>
            </w:r>
          </w:p>
        </w:tc>
        <w:tc>
          <w:tcPr>
            <w:tcW w:w="1656"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cs="宋体"/>
                <w:kern w:val="0"/>
                <w:sz w:val="24"/>
                <w:szCs w:val="24"/>
                <w:lang w:val="en-US" w:eastAsia="zh-CN"/>
              </w:rPr>
              <w:t>中部挂载横梁装配工装吊具</w:t>
            </w:r>
          </w:p>
        </w:tc>
        <w:tc>
          <w:tcPr>
            <w:tcW w:w="2420" w:type="dxa"/>
            <w:vAlign w:val="center"/>
          </w:tcPr>
          <w:p>
            <w:pPr>
              <w:spacing w:line="360" w:lineRule="auto"/>
              <w:jc w:val="center"/>
              <w:rPr>
                <w:rFonts w:hint="eastAsia" w:ascii="宋体" w:hAnsi="宋体" w:eastAsia="宋体" w:cs="宋体"/>
                <w:sz w:val="18"/>
                <w:szCs w:val="18"/>
                <w:lang w:val="en-US" w:eastAsia="zh-CN"/>
              </w:rPr>
            </w:pPr>
            <w:r>
              <w:rPr>
                <w:rFonts w:hint="eastAsia" w:ascii="宋体" w:hAnsi="宋体" w:eastAsia="宋体"/>
                <w:bCs/>
                <w:sz w:val="24"/>
                <w:szCs w:val="24"/>
                <w:lang w:val="en-US" w:eastAsia="zh-CN"/>
              </w:rPr>
              <w:t>非标定制</w:t>
            </w:r>
          </w:p>
        </w:tc>
        <w:tc>
          <w:tcPr>
            <w:tcW w:w="891"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bCs/>
                <w:sz w:val="24"/>
                <w:szCs w:val="24"/>
                <w:lang w:val="en-US" w:eastAsia="zh-CN"/>
              </w:rPr>
              <w:t>套</w:t>
            </w:r>
          </w:p>
        </w:tc>
        <w:tc>
          <w:tcPr>
            <w:tcW w:w="793"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6" w:type="pct"/>
            <w:vAlign w:val="center"/>
          </w:tcPr>
          <w:p>
            <w:pPr>
              <w:pStyle w:val="130"/>
              <w:spacing w:before="60" w:after="60" w:line="240" w:lineRule="auto"/>
              <w:jc w:val="cente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3</w:t>
            </w:r>
          </w:p>
        </w:tc>
        <w:tc>
          <w:tcPr>
            <w:tcW w:w="1656"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cs="宋体"/>
                <w:kern w:val="0"/>
                <w:sz w:val="24"/>
                <w:szCs w:val="24"/>
                <w:lang w:val="en-US" w:eastAsia="zh-CN"/>
              </w:rPr>
              <w:t>两侧电池支架装配工装吊具</w:t>
            </w:r>
          </w:p>
        </w:tc>
        <w:tc>
          <w:tcPr>
            <w:tcW w:w="2420" w:type="dxa"/>
            <w:vAlign w:val="center"/>
          </w:tcPr>
          <w:p>
            <w:pPr>
              <w:spacing w:line="360" w:lineRule="auto"/>
              <w:jc w:val="center"/>
              <w:rPr>
                <w:rFonts w:hint="eastAsia" w:ascii="宋体" w:hAnsi="宋体" w:eastAsia="宋体" w:cs="宋体"/>
                <w:sz w:val="18"/>
                <w:szCs w:val="18"/>
                <w:lang w:val="en-US" w:eastAsia="zh-CN"/>
              </w:rPr>
            </w:pPr>
            <w:r>
              <w:rPr>
                <w:rFonts w:hint="eastAsia" w:ascii="宋体" w:hAnsi="宋体" w:eastAsia="宋体"/>
                <w:bCs/>
                <w:sz w:val="24"/>
                <w:szCs w:val="24"/>
                <w:lang w:val="en-US" w:eastAsia="zh-CN"/>
              </w:rPr>
              <w:t>非标定制</w:t>
            </w:r>
          </w:p>
        </w:tc>
        <w:tc>
          <w:tcPr>
            <w:tcW w:w="891"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bCs/>
                <w:sz w:val="24"/>
                <w:szCs w:val="24"/>
                <w:lang w:val="en-US" w:eastAsia="zh-CN"/>
              </w:rPr>
              <w:t>套</w:t>
            </w:r>
          </w:p>
        </w:tc>
        <w:tc>
          <w:tcPr>
            <w:tcW w:w="793"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6" w:type="pct"/>
            <w:vAlign w:val="center"/>
          </w:tcPr>
          <w:p>
            <w:pPr>
              <w:pStyle w:val="130"/>
              <w:spacing w:before="60" w:after="60" w:line="240" w:lineRule="auto"/>
              <w:jc w:val="cente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4</w:t>
            </w:r>
          </w:p>
        </w:tc>
        <w:tc>
          <w:tcPr>
            <w:tcW w:w="1656"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底部电池吊具</w:t>
            </w:r>
          </w:p>
        </w:tc>
        <w:tc>
          <w:tcPr>
            <w:tcW w:w="2420" w:type="dxa"/>
            <w:vAlign w:val="center"/>
          </w:tcPr>
          <w:p>
            <w:pPr>
              <w:spacing w:line="360" w:lineRule="auto"/>
              <w:jc w:val="center"/>
              <w:rPr>
                <w:rFonts w:hint="eastAsia" w:ascii="宋体" w:hAnsi="宋体" w:eastAsia="宋体" w:cs="宋体"/>
                <w:sz w:val="18"/>
                <w:szCs w:val="18"/>
                <w:lang w:val="en-US" w:eastAsia="zh-CN"/>
              </w:rPr>
            </w:pPr>
            <w:r>
              <w:rPr>
                <w:rFonts w:hint="eastAsia" w:ascii="宋体" w:hAnsi="宋体" w:eastAsia="宋体"/>
                <w:bCs/>
                <w:sz w:val="24"/>
                <w:szCs w:val="24"/>
                <w:lang w:val="en-US" w:eastAsia="zh-CN"/>
              </w:rPr>
              <w:t>非标定制</w:t>
            </w:r>
          </w:p>
        </w:tc>
        <w:tc>
          <w:tcPr>
            <w:tcW w:w="891"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bCs/>
                <w:sz w:val="24"/>
                <w:szCs w:val="24"/>
                <w:lang w:val="en-US" w:eastAsia="zh-CN"/>
              </w:rPr>
              <w:t>套</w:t>
            </w:r>
          </w:p>
        </w:tc>
        <w:tc>
          <w:tcPr>
            <w:tcW w:w="793"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6" w:type="pct"/>
          </w:tcPr>
          <w:p>
            <w:pPr>
              <w:pStyle w:val="130"/>
              <w:spacing w:before="60" w:after="60" w:line="240" w:lineRule="auto"/>
              <w:jc w:val="center"/>
              <w:rPr>
                <w:rFonts w:hint="eastAsia" w:ascii="宋体" w:hAnsi="宋体" w:eastAsia="宋体" w:cs="宋体"/>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5</w:t>
            </w:r>
          </w:p>
        </w:tc>
        <w:tc>
          <w:tcPr>
            <w:tcW w:w="591"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698" w:type="pct"/>
            <w:gridSpan w:val="7"/>
            <w:vAlign w:val="center"/>
          </w:tcPr>
          <w:p>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1" w:type="pct"/>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pPr>
        <w:pStyle w:val="29"/>
        <w:rPr>
          <w:rFonts w:hint="eastAsia"/>
        </w:rPr>
        <w:sectPr>
          <w:footerReference r:id="rId28" w:type="default"/>
          <w:pgSz w:w="16841" w:h="11907" w:orient="landscape"/>
          <w:pgMar w:top="400" w:right="1387" w:bottom="1168" w:left="1473" w:header="0" w:footer="990" w:gutter="0"/>
          <w:cols w:equalWidth="0" w:num="1">
            <w:col w:w="13980"/>
          </w:cols>
        </w:sectPr>
      </w:pPr>
      <w:r>
        <w:rPr>
          <w:rFonts w:hint="eastAsia"/>
        </w:rPr>
        <w:t xml:space="preserve"> </w:t>
      </w: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9" w:type="default"/>
          <w:pgSz w:w="16841" w:h="11907"/>
          <w:pgMar w:top="400" w:right="1699" w:bottom="1184" w:left="1481"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2"/>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30" w:type="default"/>
          <w:pgSz w:w="16841" w:h="11907"/>
          <w:pgMar w:top="400" w:right="1699" w:bottom="1184" w:left="1481" w:header="0" w:footer="1022" w:gutter="0"/>
          <w:cols w:space="720" w:num="1"/>
        </w:sectPr>
      </w:pPr>
    </w:p>
    <w:p>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pPr>
              <w:spacing w:before="102" w:line="183" w:lineRule="auto"/>
              <w:ind w:left="515"/>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pPr>
              <w:spacing w:before="207" w:line="219" w:lineRule="auto"/>
              <w:ind w:left="3416"/>
              <w:rPr>
                <w:rFonts w:hint="eastAsia" w:ascii="宋体" w:hAnsi="宋体" w:eastAsia="宋体" w:cs="宋体"/>
                <w:spacing w:val="-6"/>
                <w:szCs w:val="21"/>
              </w:rPr>
            </w:pPr>
          </w:p>
        </w:tc>
        <w:tc>
          <w:tcPr>
            <w:tcW w:w="4867"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31" w:type="default"/>
          <w:pgSz w:w="16841" w:h="11907"/>
          <w:pgMar w:top="400" w:right="1500" w:bottom="1184" w:left="1480"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2"/>
      </w:pPr>
    </w:p>
    <w:p>
      <w:pPr>
        <w:pStyle w:val="22"/>
      </w:pPr>
    </w:p>
    <w:p>
      <w:pPr>
        <w:spacing w:before="140" w:line="220" w:lineRule="auto"/>
        <w:ind w:left="2" w:firstLine="464" w:firstLineChars="200"/>
        <w:rPr>
          <w:rFonts w:hint="eastAsia" w:ascii="宋体" w:hAnsi="宋体" w:eastAsia="宋体" w:cs="宋体"/>
          <w:spacing w:val="-2"/>
          <w:szCs w:val="21"/>
        </w:rPr>
        <w:sectPr>
          <w:footerReference r:id="rId32"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eastAsia="宋体"/>
          <w:sz w:val="24"/>
          <w:szCs w:val="24"/>
        </w:rPr>
        <w:sectPr>
          <w:footerReference r:id="rId33"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2"/>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2"/>
      </w:pPr>
    </w:p>
    <w:p>
      <w:pPr>
        <w:jc w:val="right"/>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rPr>
      </w:pPr>
      <w:r>
        <w:br w:type="page"/>
      </w:r>
    </w:p>
    <w:p>
      <w:pPr>
        <w:pStyle w:val="29"/>
        <w:rPr>
          <w:rFonts w:hint="eastAsia"/>
        </w:rPr>
        <w:sectPr>
          <w:headerReference r:id="rId35" w:type="first"/>
          <w:footerReference r:id="rId37" w:type="first"/>
          <w:headerReference r:id="rId34" w:type="default"/>
          <w:footerReference r:id="rId36" w:type="default"/>
          <w:pgSz w:w="11906" w:h="16838"/>
          <w:pgMar w:top="1588" w:right="1418" w:bottom="1134" w:left="1418" w:header="851" w:footer="992" w:gutter="0"/>
          <w:cols w:space="720" w:num="1"/>
          <w:titlePg/>
          <w:docGrid w:type="lines" w:linePitch="312" w:charSpace="0"/>
        </w:sectPr>
      </w:pPr>
    </w:p>
    <w:p>
      <w:pPr>
        <w:outlineLvl w:val="2"/>
        <w:rPr>
          <w:rFonts w:hint="eastAsia"/>
          <w:highlight w:val="yellow"/>
        </w:rPr>
      </w:pPr>
      <w:r>
        <w:rPr>
          <w:rFonts w:hint="eastAsia" w:ascii="Times New Roman" w:hAnsi="Times New Roman" w:eastAsia="宋体" w:cs="Times New Roman"/>
          <w:b/>
          <w:bCs/>
          <w:color w:val="000000"/>
          <w:sz w:val="24"/>
          <w:szCs w:val="24"/>
          <w:highlight w:val="yellow"/>
        </w:rPr>
        <w:t>附件14技术标评分标准</w:t>
      </w:r>
    </w:p>
    <w:p>
      <w:pPr>
        <w:adjustRightInd w:val="0"/>
        <w:snapToGrid w:val="0"/>
        <w:spacing w:line="360" w:lineRule="auto"/>
        <w:ind w:firstLine="570"/>
        <w:jc w:val="left"/>
        <w:rPr>
          <w:rFonts w:hint="eastAsia" w:ascii="宋体" w:hAnsi="宋体" w:eastAsia="宋体" w:cs="宋体"/>
          <w:bCs/>
          <w:szCs w:val="28"/>
        </w:rPr>
      </w:pPr>
      <w:r>
        <w:rPr>
          <w:rFonts w:hint="eastAsia" w:ascii="宋体" w:hAnsi="宋体" w:eastAsia="宋体" w:cs="宋体"/>
          <w:b/>
          <w:color w:val="EE0000"/>
          <w:szCs w:val="28"/>
        </w:rPr>
        <w:t>综合评标,</w:t>
      </w:r>
      <w:r>
        <w:rPr>
          <w:rFonts w:hint="eastAsia"/>
          <w:b/>
          <w:color w:val="EE0000"/>
        </w:rPr>
        <w:t xml:space="preserve"> </w:t>
      </w:r>
      <w:r>
        <w:rPr>
          <w:rFonts w:hint="eastAsia" w:ascii="宋体" w:hAnsi="宋体" w:eastAsia="宋体" w:cs="宋体"/>
          <w:b/>
          <w:color w:val="EE0000"/>
          <w:szCs w:val="28"/>
        </w:rPr>
        <w:t>综合得分=技术标得分*0.3+商务标得分*0.7</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427"/>
        <w:gridCol w:w="1260"/>
        <w:gridCol w:w="748"/>
        <w:gridCol w:w="6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805"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评审</w:t>
            </w:r>
          </w:p>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内容</w:t>
            </w:r>
          </w:p>
        </w:tc>
        <w:tc>
          <w:tcPr>
            <w:tcW w:w="427"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1260"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   容</w:t>
            </w:r>
          </w:p>
        </w:tc>
        <w:tc>
          <w:tcPr>
            <w:tcW w:w="748"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标准分</w:t>
            </w:r>
          </w:p>
        </w:tc>
        <w:tc>
          <w:tcPr>
            <w:tcW w:w="6023"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805" w:type="dxa"/>
            <w:vMerge w:val="restart"/>
            <w:vAlign w:val="center"/>
          </w:tcPr>
          <w:p>
            <w:pPr>
              <w:tabs>
                <w:tab w:val="left" w:pos="13965"/>
              </w:tabs>
              <w:spacing w:line="420" w:lineRule="exact"/>
              <w:jc w:val="center"/>
              <w:rPr>
                <w:rFonts w:hint="eastAsia" w:ascii="宋体" w:hAnsi="宋体" w:eastAsia="宋体" w:cs="宋体"/>
                <w:sz w:val="24"/>
                <w:szCs w:val="24"/>
              </w:rPr>
            </w:pPr>
          </w:p>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产品技术</w:t>
            </w:r>
          </w:p>
        </w:tc>
        <w:tc>
          <w:tcPr>
            <w:tcW w:w="427"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sz w:val="24"/>
                <w:szCs w:val="24"/>
              </w:rPr>
              <w:t>技术参数</w:t>
            </w:r>
          </w:p>
        </w:tc>
        <w:tc>
          <w:tcPr>
            <w:tcW w:w="748" w:type="dxa"/>
            <w:vAlign w:val="center"/>
          </w:tcPr>
          <w:p>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投标文件中技术参数符合招标文件的要求赋20分，再详细考察其功能与项目需求的吻合性,有一处负偏离，扣4分，以此类推；有正偏离，且对项目存在实际改进作用，则加2分，最高可以加到4分，得分上限30分。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805" w:type="dxa"/>
            <w:vMerge w:val="continue"/>
            <w:vAlign w:val="center"/>
          </w:tcPr>
          <w:p>
            <w:pPr>
              <w:spacing w:line="420" w:lineRule="exact"/>
              <w:jc w:val="center"/>
              <w:rPr>
                <w:rFonts w:hint="eastAsia" w:ascii="宋体" w:hAnsi="宋体" w:eastAsia="宋体" w:cs="宋体"/>
                <w:sz w:val="24"/>
                <w:szCs w:val="24"/>
              </w:rPr>
            </w:pPr>
          </w:p>
        </w:tc>
        <w:tc>
          <w:tcPr>
            <w:tcW w:w="427"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1260" w:type="dxa"/>
            <w:vAlign w:val="center"/>
          </w:tcPr>
          <w:p>
            <w:pPr>
              <w:spacing w:line="420" w:lineRule="exact"/>
              <w:rPr>
                <w:rFonts w:hint="eastAsia" w:ascii="宋体" w:hAnsi="宋体" w:eastAsia="宋体" w:cs="宋体"/>
                <w:bCs/>
                <w:sz w:val="24"/>
                <w:szCs w:val="24"/>
              </w:rPr>
            </w:pPr>
            <w:r>
              <w:rPr>
                <w:rFonts w:hint="eastAsia" w:ascii="宋体" w:hAnsi="宋体" w:eastAsia="宋体" w:cs="宋体"/>
                <w:bCs/>
                <w:sz w:val="24"/>
                <w:szCs w:val="24"/>
              </w:rPr>
              <w:t>核心产品</w:t>
            </w:r>
          </w:p>
        </w:tc>
        <w:tc>
          <w:tcPr>
            <w:tcW w:w="748" w:type="dxa"/>
            <w:vAlign w:val="center"/>
          </w:tcPr>
          <w:p>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对核心产品在项目中所起的作用和描述，每一项各2分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805"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答疑</w:t>
            </w:r>
          </w:p>
        </w:tc>
        <w:tc>
          <w:tcPr>
            <w:tcW w:w="427"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3</w:t>
            </w:r>
          </w:p>
        </w:tc>
        <w:tc>
          <w:tcPr>
            <w:tcW w:w="1260" w:type="dxa"/>
            <w:vAlign w:val="center"/>
          </w:tcPr>
          <w:p>
            <w:pPr>
              <w:spacing w:line="420" w:lineRule="exact"/>
              <w:rPr>
                <w:rFonts w:hint="eastAsia" w:ascii="宋体" w:hAnsi="宋体" w:eastAsia="宋体" w:cs="宋体"/>
                <w:bCs/>
                <w:sz w:val="24"/>
                <w:szCs w:val="24"/>
              </w:rPr>
            </w:pPr>
            <w:r>
              <w:rPr>
                <w:rFonts w:hint="eastAsia" w:ascii="宋体" w:hAnsi="宋体" w:eastAsia="宋体" w:cs="宋体"/>
                <w:bCs/>
                <w:sz w:val="24"/>
                <w:szCs w:val="24"/>
              </w:rPr>
              <w:t>现场答疑</w:t>
            </w:r>
          </w:p>
        </w:tc>
        <w:tc>
          <w:tcPr>
            <w:tcW w:w="748" w:type="dxa"/>
            <w:vAlign w:val="center"/>
          </w:tcPr>
          <w:p>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是否了解项目实际作用，谈一谈自己对项目的理解；（3分）</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是否在招标前至项目实际所在地勘察；（3分）</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是否了解客户现有的设备配置；（4分）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技术偏离</w:t>
            </w:r>
          </w:p>
        </w:tc>
        <w:tc>
          <w:tcPr>
            <w:tcW w:w="427"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4</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bCs/>
                <w:sz w:val="24"/>
                <w:szCs w:val="24"/>
              </w:rPr>
              <w:t>技术偏离</w:t>
            </w:r>
          </w:p>
        </w:tc>
        <w:tc>
          <w:tcPr>
            <w:tcW w:w="748"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12</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实施计划</w:t>
            </w:r>
          </w:p>
        </w:tc>
        <w:tc>
          <w:tcPr>
            <w:tcW w:w="427"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5</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sz w:val="24"/>
                <w:szCs w:val="24"/>
              </w:rPr>
              <w:t>实施计划</w:t>
            </w:r>
          </w:p>
        </w:tc>
        <w:tc>
          <w:tcPr>
            <w:tcW w:w="748"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项目实施计划安排科学、合理、可行（每家单位制定详细的实施计划，满足需方的要求）。</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由评标委员会成员独立进行客观、公正的评价，按照优、良、一般进行赋分，优得10分，良得6分，一般得3分。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业绩</w:t>
            </w:r>
          </w:p>
        </w:tc>
        <w:tc>
          <w:tcPr>
            <w:tcW w:w="427"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6</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sz w:val="24"/>
                <w:szCs w:val="24"/>
              </w:rPr>
              <w:t>业绩</w:t>
            </w:r>
          </w:p>
        </w:tc>
        <w:tc>
          <w:tcPr>
            <w:tcW w:w="748"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同类型项目业绩：</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2020年1月以来到现在以来已交付使用的与本次招标项目类似产品的业绩，业绩最多者满分，第二名得8分，第三名得6分，第四名得4分，其余得2分。（时间以签订日期为准）。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售后服务</w:t>
            </w:r>
          </w:p>
        </w:tc>
        <w:tc>
          <w:tcPr>
            <w:tcW w:w="427"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7</w:t>
            </w:r>
          </w:p>
        </w:tc>
        <w:tc>
          <w:tcPr>
            <w:tcW w:w="1260"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技术培训方案</w:t>
            </w:r>
          </w:p>
        </w:tc>
        <w:tc>
          <w:tcPr>
            <w:tcW w:w="74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对采购方人员的技术培训方案安排科学、合理、可行。</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pPr>
              <w:spacing w:line="360" w:lineRule="auto"/>
              <w:jc w:val="center"/>
              <w:rPr>
                <w:rFonts w:hint="eastAsia" w:ascii="宋体" w:hAnsi="宋体" w:eastAsia="宋体" w:cs="宋体"/>
                <w:sz w:val="24"/>
                <w:szCs w:val="24"/>
              </w:rPr>
            </w:pPr>
          </w:p>
        </w:tc>
        <w:tc>
          <w:tcPr>
            <w:tcW w:w="427"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8</w:t>
            </w:r>
          </w:p>
        </w:tc>
        <w:tc>
          <w:tcPr>
            <w:tcW w:w="1260" w:type="dxa"/>
            <w:vAlign w:val="center"/>
          </w:tcPr>
          <w:p>
            <w:pPr>
              <w:spacing w:line="360" w:lineRule="auto"/>
              <w:rPr>
                <w:rFonts w:hint="eastAsia" w:ascii="宋体" w:hAnsi="宋体" w:eastAsia="宋体" w:cs="宋体"/>
                <w:sz w:val="24"/>
                <w:szCs w:val="24"/>
              </w:rPr>
            </w:pPr>
            <w:r>
              <w:rPr>
                <w:rFonts w:hint="eastAsia" w:ascii="宋体" w:hAnsi="宋体" w:eastAsia="宋体" w:cs="宋体"/>
                <w:bCs/>
                <w:sz w:val="24"/>
                <w:szCs w:val="24"/>
              </w:rPr>
              <w:t>专业技术力量</w:t>
            </w:r>
          </w:p>
        </w:tc>
        <w:tc>
          <w:tcPr>
            <w:tcW w:w="74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bCs/>
                <w:sz w:val="24"/>
                <w:szCs w:val="24"/>
              </w:rPr>
              <w:t>6</w:t>
            </w:r>
          </w:p>
        </w:tc>
        <w:tc>
          <w:tcPr>
            <w:tcW w:w="6023" w:type="dxa"/>
            <w:vAlign w:val="center"/>
          </w:tcPr>
          <w:p>
            <w:pPr>
              <w:spacing w:line="360" w:lineRule="auto"/>
              <w:rPr>
                <w:rFonts w:hint="eastAsia" w:ascii="宋体" w:hAnsi="宋体" w:eastAsia="宋体" w:cs="宋体"/>
                <w:bCs/>
                <w:sz w:val="24"/>
                <w:szCs w:val="24"/>
              </w:rPr>
            </w:pPr>
            <w:r>
              <w:rPr>
                <w:rFonts w:hint="eastAsia" w:ascii="宋体" w:hAnsi="宋体" w:eastAsia="宋体" w:cs="宋体"/>
                <w:bCs/>
                <w:sz w:val="24"/>
                <w:szCs w:val="24"/>
              </w:rPr>
              <w:t>投标人在中国有常驻的专业技术力量的维保机构并具有实施本项目维保的专业技术人员。</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pPr>
              <w:spacing w:line="360" w:lineRule="auto"/>
              <w:jc w:val="center"/>
              <w:rPr>
                <w:rFonts w:hint="eastAsia" w:ascii="宋体" w:hAnsi="宋体" w:eastAsia="宋体" w:cs="宋体"/>
                <w:sz w:val="24"/>
                <w:szCs w:val="24"/>
              </w:rPr>
            </w:pPr>
          </w:p>
        </w:tc>
        <w:tc>
          <w:tcPr>
            <w:tcW w:w="427"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9</w:t>
            </w:r>
          </w:p>
        </w:tc>
        <w:tc>
          <w:tcPr>
            <w:tcW w:w="1260"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售后服务</w:t>
            </w:r>
          </w:p>
        </w:tc>
        <w:tc>
          <w:tcPr>
            <w:tcW w:w="74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售后服务及时周到，有相应的服务承诺和具体的保证措施。</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bl>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pPr>
        <w:ind w:firstLine="480" w:firstLineChars="200"/>
        <w:rPr>
          <w:rFonts w:ascii="宋体" w:hAnsi="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w:t>
      </w:r>
      <w:r>
        <w:rPr>
          <w:rFonts w:hint="eastAsia" w:ascii="宋体" w:hAnsi="宋体" w:cs="宋体"/>
          <w:color w:val="000000"/>
          <w:sz w:val="24"/>
          <w:szCs w:val="24"/>
        </w:rPr>
        <w:t>定。</w:t>
      </w:r>
    </w:p>
    <w:tbl>
      <w:tblPr>
        <w:tblStyle w:val="41"/>
        <w:tblpPr w:leftFromText="180" w:rightFromText="180" w:vertAnchor="text" w:horzAnchor="page" w:tblpX="1200" w:tblpY="345"/>
        <w:tblOverlap w:val="never"/>
        <w:tblW w:w="9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rPr>
            </w:pPr>
            <w:r>
              <w:rPr>
                <w:rFonts w:hint="eastAsia" w:ascii="宋体" w:hAnsi="宋体" w:eastAsia="宋体" w:cs="宋体"/>
                <w:b/>
                <w:sz w:val="28"/>
                <w:szCs w:val="28"/>
              </w:rPr>
              <w:t>二</w:t>
            </w:r>
          </w:p>
        </w:tc>
        <w:tc>
          <w:tcPr>
            <w:tcW w:w="900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宋体" w:hAnsi="宋体"/>
                <w:bCs/>
              </w:rPr>
            </w:pPr>
            <w:r>
              <w:rPr>
                <w:rFonts w:hint="eastAsia" w:ascii="宋体" w:hAnsi="宋体" w:eastAsia="宋体" w:cs="宋体"/>
                <w:b/>
                <w:sz w:val="28"/>
                <w:szCs w:val="28"/>
              </w:rPr>
              <w:t>商务标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1、评标基准价为本轮次所有合理有效的最终投标报价的最低价。</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2、有效的评标基准价得100分；其他投标人的价格得分按下列公式计算：投标价格得分=100×（评标基准价/投标报价）。</w:t>
            </w:r>
          </w:p>
          <w:p>
            <w:pPr>
              <w:spacing w:line="420" w:lineRule="exact"/>
              <w:rPr>
                <w:rFonts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rPr>
            </w:pPr>
            <w:r>
              <w:rPr>
                <w:rFonts w:hint="eastAsia" w:ascii="宋体" w:hAnsi="宋体" w:eastAsia="宋体" w:cs="宋体"/>
                <w:b/>
                <w:sz w:val="28"/>
                <w:szCs w:val="28"/>
              </w:rPr>
              <w:t>三</w:t>
            </w:r>
          </w:p>
        </w:tc>
        <w:tc>
          <w:tcPr>
            <w:tcW w:w="900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宋体" w:hAnsi="宋体"/>
                <w:bCs/>
              </w:rPr>
            </w:pPr>
            <w:r>
              <w:rPr>
                <w:rFonts w:hint="eastAsia" w:ascii="宋体" w:hAnsi="宋体" w:eastAsia="宋体" w:cs="宋体"/>
                <w:b/>
                <w:sz w:val="28"/>
                <w:szCs w:val="28"/>
              </w:rPr>
              <w:t>综合得分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宋体" w:hAnsi="宋体"/>
                <w:bCs/>
              </w:rPr>
            </w:pPr>
            <w:r>
              <w:rPr>
                <w:rFonts w:hint="eastAsia" w:ascii="宋体" w:hAnsi="Times New Roman" w:eastAsia="宋体" w:cs="Times New Roman"/>
                <w:b/>
                <w:sz w:val="24"/>
                <w:szCs w:val="24"/>
              </w:rPr>
              <w:t>综合得分=技术分×30%＋商务标得分×70%</w:t>
            </w:r>
          </w:p>
        </w:tc>
      </w:tr>
    </w:tbl>
    <w:p>
      <w:pPr>
        <w:tabs>
          <w:tab w:val="left" w:pos="1196"/>
          <w:tab w:val="right" w:pos="15518"/>
        </w:tabs>
        <w:jc w:val="left"/>
        <w:rPr>
          <w:rFonts w:hint="eastAsia" w:asciiTheme="minorEastAsia" w:hAnsiTheme="minorEastAsia" w:eastAsiaTheme="minorEastAsia" w:cstheme="minorEastAsia"/>
          <w:sz w:val="20"/>
          <w:szCs w:val="20"/>
          <w:lang w:eastAsia="zh-CN"/>
        </w:rPr>
      </w:pPr>
      <w:r>
        <w:rPr>
          <w:rFonts w:hint="eastAsia" w:asciiTheme="minorEastAsia" w:hAnsiTheme="minorEastAsia" w:cstheme="minorEastAsia"/>
          <w:sz w:val="20"/>
          <w:szCs w:val="20"/>
          <w:lang w:eastAsia="zh-CN"/>
        </w:rPr>
        <w:tab/>
      </w:r>
    </w:p>
    <w:p>
      <w:pPr>
        <w:rPr>
          <w:rFonts w:hint="eastAsia"/>
        </w:rPr>
        <w:sectPr>
          <w:pgSz w:w="16838" w:h="11906" w:orient="landscape"/>
          <w:pgMar w:top="720" w:right="720" w:bottom="720" w:left="720" w:header="851" w:footer="992" w:gutter="0"/>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pPr>
        <w:pStyle w:val="22"/>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52"/>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53"/>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54"/>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55"/>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pStyle w:val="22"/>
      </w:pPr>
    </w:p>
    <w:p>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56"/>
                    <a:stretch>
                      <a:fillRect/>
                    </a:stretch>
                  </pic:blipFill>
                  <pic:spPr>
                    <a:xfrm>
                      <a:off x="0" y="0"/>
                      <a:ext cx="5760085" cy="2810122"/>
                    </a:xfrm>
                    <a:prstGeom prst="rect">
                      <a:avLst/>
                    </a:prstGeom>
                  </pic:spPr>
                </pic:pic>
              </a:graphicData>
            </a:graphic>
          </wp:inline>
        </w:drawing>
      </w:r>
    </w:p>
    <w:p>
      <w:pPr>
        <w:pStyle w:val="22"/>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57"/>
                    <a:stretch>
                      <a:fillRect/>
                    </a:stretch>
                  </pic:blipFill>
                  <pic:spPr>
                    <a:xfrm>
                      <a:off x="0" y="0"/>
                      <a:ext cx="5760085" cy="2820042"/>
                    </a:xfrm>
                    <a:prstGeom prst="rect">
                      <a:avLst/>
                    </a:prstGeom>
                  </pic:spPr>
                </pic:pic>
              </a:graphicData>
            </a:graphic>
          </wp:inline>
        </w:drawing>
      </w:r>
    </w:p>
    <w:p>
      <w:pPr>
        <w:pStyle w:val="22"/>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2"/>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pPr>
        <w:pStyle w:val="2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4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http://ecaitong.sinotruk.com:8012/</w:t>
      </w:r>
      <w:r>
        <w:rPr>
          <w:rStyle w:val="49"/>
          <w:rFonts w:hint="eastAsia" w:ascii="宋体" w:hAnsi="宋体" w:eastAsia="宋体" w:cs="宋体"/>
          <w:sz w:val="24"/>
          <w:szCs w:val="24"/>
        </w:rPr>
        <w:fldChar w:fldCharType="end"/>
      </w:r>
      <w:r>
        <w:rPr>
          <w:rStyle w:val="49"/>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58"/>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59"/>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60"/>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22"/>
      </w:pPr>
    </w:p>
    <w:p>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61"/>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62"/>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63"/>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64"/>
                    <a:stretch>
                      <a:fillRect/>
                    </a:stretch>
                  </pic:blipFill>
                  <pic:spPr>
                    <a:xfrm>
                      <a:off x="0" y="0"/>
                      <a:ext cx="5760085" cy="1956600"/>
                    </a:xfrm>
                    <a:prstGeom prst="rect">
                      <a:avLst/>
                    </a:prstGeom>
                  </pic:spPr>
                </pic:pic>
              </a:graphicData>
            </a:graphic>
          </wp:inline>
        </w:drawing>
      </w:r>
    </w:p>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Pr>
        <w:rPr>
          <w:rFonts w:hint="eastAsia" w:ascii="仿宋_GB2312" w:hAnsi="仿宋_GB2312" w:eastAsia="仿宋_GB2312" w:cs="仿宋_GB2312"/>
        </w:rPr>
      </w:pPr>
    </w:p>
    <w:p>
      <w:pPr>
        <w:rPr>
          <w:rFonts w:hint="eastAsia" w:ascii="仿宋_GB2312" w:hAnsi="仿宋_GB2312" w:eastAsia="仿宋_GB2312" w:cs="仿宋_GB2312"/>
        </w:rPr>
      </w:pPr>
    </w:p>
    <w:p>
      <w:pPr>
        <w:pStyle w:val="22"/>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pPr>
        <w:pStyle w:val="22"/>
        <w:outlineLvl w:val="2"/>
      </w:pPr>
      <w:r>
        <w:drawing>
          <wp:inline distT="0" distB="0" distL="114300" distR="114300">
            <wp:extent cx="5749290" cy="2501265"/>
            <wp:effectExtent l="0" t="0" r="3810" b="63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65"/>
                    <a:stretch>
                      <a:fillRect/>
                    </a:stretch>
                  </pic:blipFill>
                  <pic:spPr>
                    <a:xfrm>
                      <a:off x="0" y="0"/>
                      <a:ext cx="5749290" cy="2501265"/>
                    </a:xfrm>
                    <a:prstGeom prst="rect">
                      <a:avLst/>
                    </a:prstGeom>
                    <a:noFill/>
                    <a:ln>
                      <a:noFill/>
                    </a:ln>
                  </pic:spPr>
                </pic:pic>
              </a:graphicData>
            </a:graphic>
          </wp:inline>
        </w:drawing>
      </w:r>
    </w:p>
    <w:p>
      <w:pPr>
        <w:pStyle w:val="22"/>
        <w:outlineLvl w:val="2"/>
      </w:pPr>
      <w:r>
        <w:drawing>
          <wp:inline distT="0" distB="0" distL="114300" distR="114300">
            <wp:extent cx="5746750" cy="3303270"/>
            <wp:effectExtent l="0" t="0" r="6350" b="1143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66"/>
                    <a:stretch>
                      <a:fillRect/>
                    </a:stretch>
                  </pic:blipFill>
                  <pic:spPr>
                    <a:xfrm>
                      <a:off x="0" y="0"/>
                      <a:ext cx="5746750" cy="3303270"/>
                    </a:xfrm>
                    <a:prstGeom prst="rect">
                      <a:avLst/>
                    </a:prstGeom>
                    <a:noFill/>
                    <a:ln>
                      <a:noFill/>
                    </a:ln>
                  </pic:spPr>
                </pic:pic>
              </a:graphicData>
            </a:graphic>
          </wp:inline>
        </w:drawing>
      </w:r>
    </w:p>
    <w:p>
      <w:pPr>
        <w:pStyle w:val="22"/>
        <w:outlineLvl w:val="2"/>
        <w:rPr>
          <w:rFonts w:hint="default"/>
          <w:lang w:val="en-US" w:eastAsia="zh-CN"/>
        </w:rPr>
      </w:pPr>
      <w:r>
        <w:drawing>
          <wp:inline distT="0" distB="0" distL="114300" distR="114300">
            <wp:extent cx="5742940" cy="2099310"/>
            <wp:effectExtent l="0" t="0" r="10160" b="889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67"/>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68"/>
                    <a:stretch>
                      <a:fillRect/>
                    </a:stretch>
                  </pic:blipFill>
                  <pic:spPr>
                    <a:xfrm>
                      <a:off x="0" y="0"/>
                      <a:ext cx="5742940" cy="2925445"/>
                    </a:xfrm>
                    <a:prstGeom prst="rect">
                      <a:avLst/>
                    </a:prstGeom>
                    <a:noFill/>
                    <a:ln>
                      <a:noFill/>
                    </a:ln>
                  </pic:spPr>
                </pic:pic>
              </a:graphicData>
            </a:graphic>
          </wp:inline>
        </w:drawing>
      </w:r>
    </w:p>
    <w:p/>
    <w:p>
      <w:pPr>
        <w:rPr>
          <w:rFonts w:hint="eastAsia"/>
        </w:rPr>
      </w:pPr>
    </w:p>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sectPr>
      <w:headerReference r:id="rId39" w:type="first"/>
      <w:footerReference r:id="rId41" w:type="first"/>
      <w:headerReference r:id="rId38" w:type="default"/>
      <w:footerReference r:id="rId40"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auto"/>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方正小标宋简体">
    <w:altName w:val="黑体"/>
    <w:panose1 w:val="02000000000000000000"/>
    <w:charset w:val="86"/>
    <w:family w:val="auto"/>
    <w:pitch w:val="default"/>
    <w:sig w:usb0="00000000" w:usb1="00000000"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Microsoft Sans Serif">
    <w:panose1 w:val="020B0604020202020204"/>
    <w:charset w:val="00"/>
    <w:family w:val="auto"/>
    <w:pitch w:val="default"/>
    <w:sig w:usb0="E5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hint="eastAsia"/>
      </w:rPr>
    </w:pPr>
  </w:p>
  <w:p>
    <w:pPr>
      <w:pStyle w:val="27"/>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pPr>
      <w:pStyle w:val="27"/>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rFonts w:hint="eastAsia"/>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60325" cy="154940"/>
              <wp:effectExtent l="0" t="0" r="0" b="0"/>
              <wp:wrapNone/>
              <wp:docPr id="2" name="文本框 8"/>
              <wp:cNvGraphicFramePr/>
              <a:graphic xmlns:a="http://schemas.openxmlformats.org/drawingml/2006/main">
                <a:graphicData uri="http://schemas.microsoft.com/office/word/2010/wordprocessingShape">
                  <wps:wsp>
                    <wps:cNvSpPr txBox="1"/>
                    <wps:spPr>
                      <a:xfrm>
                        <a:off x="0" y="0"/>
                        <a:ext cx="60325" cy="154940"/>
                      </a:xfrm>
                      <a:prstGeom prst="rect">
                        <a:avLst/>
                      </a:prstGeom>
                      <a:noFill/>
                      <a:ln w="6350">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8" o:spid="_x0000_s1026" o:spt="202" type="#_x0000_t202" style="position:absolute;left:0pt;margin-top:0pt;height:12.2pt;width:4.75pt;mso-position-horizontal:center;mso-position-horizontal-relative:margin;mso-wrap-style:none;z-index:251675648;mso-width-relative:page;mso-height-relative:page;" filled="f" stroked="f" coordsize="21600,21600" o:gfxdata="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euvrU0QAAAAIBAAAPAAAAAAAAAAEAIAAAACIAAABkcnMvZG93bnJldi54bWxQSwECFAAUAAAA&#10;CACHTuJAySxJmC4CAABSBAAADgAAAAAAAAABACAAAAAgAQAAZHJzL2Uyb0RvYy54bWxQSwUGAAAA&#10;AAYABgBZAQAAwA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rFonts w:hint="eastAsia"/>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237490" cy="154940"/>
              <wp:effectExtent l="0" t="0" r="0" b="0"/>
              <wp:wrapNone/>
              <wp:docPr id="18" name="文本框 6"/>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pPr>
                            <w:pStyle w:val="27"/>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2.2pt;width:18.7pt;mso-position-horizontal:center;mso-position-horizontal-relative:margin;mso-wrap-style:none;z-index:251673600;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JovljSAAAAAwEAAA8AAAAAAAAAAQAgAAAAIgAAAGRycy9kb3ducmV2LnhtbFBLAQIUABQA&#10;AAAIAIdO4kA7Bt0pLwIAAFQEAAAOAAAAAAAAAAEAIAAAACEBAABkcnMvZTJvRG9jLnhtbFBLBQYA&#10;AAAABgAGAFkBAADCBQAAA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rFonts w:hint="eastAsia"/>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237490" cy="154940"/>
              <wp:effectExtent l="0" t="0" r="0" b="0"/>
              <wp:wrapNone/>
              <wp:docPr id="14" name="文本框 4"/>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pPr>
                            <w:pStyle w:val="27"/>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2.2pt;width:18.7pt;mso-position-horizontal:center;mso-position-horizontal-relative:margin;mso-wrap-style:none;z-index:251674624;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JovljSAAAAAwEAAA8AAAAAAAAAAQAgAAAAIgAAAGRycy9kb3ducmV2LnhtbFBLAQIUABQA&#10;AAAIAIdO4kCVkqeLLwIAAFQEAAAOAAAAAAAAAAEAIAAAACEBAABkcnMvZTJvRG9jLnhtbFBLBQYA&#10;AAAABgAGAFkBAADCBQAAA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rFonts w:hint="eastAsia"/>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237490" cy="154940"/>
              <wp:effectExtent l="0" t="0" r="0" b="0"/>
              <wp:wrapNone/>
              <wp:docPr id="88" name="文本框 6"/>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pPr>
                            <w:pStyle w:val="27"/>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2.2pt;width:18.7pt;mso-position-horizontal:center;mso-position-horizontal-relative:margin;mso-wrap-style:none;z-index:251683840;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mi+WNIAAAADAQAADwAAAAAAAAABACAAAAAiAAAAZHJzL2Rvd25yZXYueG1sUEsBAhQA&#10;FAAAAAgAh07iQDXoEAYxAgAAVAQAAA4AAAAAAAAAAQAgAAAAIQEAAGRycy9lMm9Eb2MueG1sUEsF&#10;BgAAAAAGAAYAWQEAAMQFAAAA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rPr>
        <w:rFonts w:hint="eastAsi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38681AE8"/>
    <w:multiLevelType w:val="multilevel"/>
    <w:tmpl w:val="38681AE8"/>
    <w:lvl w:ilvl="0" w:tentative="0">
      <w:start w:val="1"/>
      <w:numFmt w:val="lowerLetter"/>
      <w:lvlText w:val="%1)"/>
      <w:lvlJc w:val="left"/>
      <w:pPr>
        <w:tabs>
          <w:tab w:val="left" w:pos="6"/>
        </w:tabs>
        <w:ind w:left="403" w:firstLine="23"/>
      </w:pPr>
      <w:rPr>
        <w:rFonts w:hint="default"/>
      </w:rPr>
    </w:lvl>
    <w:lvl w:ilvl="1" w:tentative="0">
      <w:start w:val="1"/>
      <w:numFmt w:val="lowerLetter"/>
      <w:lvlText w:val="%2)"/>
      <w:lvlJc w:val="left"/>
      <w:pPr>
        <w:tabs>
          <w:tab w:val="left" w:pos="1575"/>
        </w:tabs>
        <w:ind w:left="1575" w:hanging="420"/>
      </w:pPr>
    </w:lvl>
    <w:lvl w:ilvl="2" w:tentative="0">
      <w:start w:val="1"/>
      <w:numFmt w:val="lowerRoman"/>
      <w:lvlText w:val="%3."/>
      <w:lvlJc w:val="right"/>
      <w:pPr>
        <w:tabs>
          <w:tab w:val="left" w:pos="1995"/>
        </w:tabs>
        <w:ind w:left="1995" w:hanging="420"/>
      </w:pPr>
    </w:lvl>
    <w:lvl w:ilvl="3" w:tentative="0">
      <w:start w:val="1"/>
      <w:numFmt w:val="decimal"/>
      <w:lvlText w:val="%4."/>
      <w:lvlJc w:val="left"/>
      <w:pPr>
        <w:tabs>
          <w:tab w:val="left" w:pos="2415"/>
        </w:tabs>
        <w:ind w:left="2415" w:hanging="420"/>
      </w:pPr>
    </w:lvl>
    <w:lvl w:ilvl="4" w:tentative="0">
      <w:start w:val="1"/>
      <w:numFmt w:val="lowerLetter"/>
      <w:lvlText w:val="%5)"/>
      <w:lvlJc w:val="left"/>
      <w:pPr>
        <w:tabs>
          <w:tab w:val="left" w:pos="2835"/>
        </w:tabs>
        <w:ind w:left="2835" w:hanging="420"/>
      </w:pPr>
    </w:lvl>
    <w:lvl w:ilvl="5" w:tentative="0">
      <w:start w:val="1"/>
      <w:numFmt w:val="lowerRoman"/>
      <w:lvlText w:val="%6."/>
      <w:lvlJc w:val="right"/>
      <w:pPr>
        <w:tabs>
          <w:tab w:val="left" w:pos="3255"/>
        </w:tabs>
        <w:ind w:left="3255" w:hanging="420"/>
      </w:pPr>
    </w:lvl>
    <w:lvl w:ilvl="6" w:tentative="0">
      <w:start w:val="1"/>
      <w:numFmt w:val="decimal"/>
      <w:lvlText w:val="%7."/>
      <w:lvlJc w:val="left"/>
      <w:pPr>
        <w:tabs>
          <w:tab w:val="left" w:pos="3675"/>
        </w:tabs>
        <w:ind w:left="3675" w:hanging="420"/>
      </w:pPr>
    </w:lvl>
    <w:lvl w:ilvl="7" w:tentative="0">
      <w:start w:val="1"/>
      <w:numFmt w:val="lowerLetter"/>
      <w:lvlText w:val="%8)"/>
      <w:lvlJc w:val="left"/>
      <w:pPr>
        <w:tabs>
          <w:tab w:val="left" w:pos="4095"/>
        </w:tabs>
        <w:ind w:left="4095" w:hanging="420"/>
      </w:pPr>
    </w:lvl>
    <w:lvl w:ilvl="8" w:tentative="0">
      <w:start w:val="1"/>
      <w:numFmt w:val="lowerRoman"/>
      <w:lvlText w:val="%9."/>
      <w:lvlJc w:val="right"/>
      <w:pPr>
        <w:tabs>
          <w:tab w:val="left" w:pos="4515"/>
        </w:tabs>
        <w:ind w:left="4515" w:hanging="420"/>
      </w:pPr>
    </w:lvl>
  </w:abstractNum>
  <w:abstractNum w:abstractNumId="5">
    <w:nsid w:val="39A4E181"/>
    <w:multiLevelType w:val="singleLevel"/>
    <w:tmpl w:val="39A4E181"/>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52FB3F17"/>
    <w:multiLevelType w:val="multilevel"/>
    <w:tmpl w:val="52FB3F17"/>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8">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9">
    <w:nsid w:val="6E8C6948"/>
    <w:multiLevelType w:val="singleLevel"/>
    <w:tmpl w:val="6E8C6948"/>
    <w:lvl w:ilvl="0" w:tentative="0">
      <w:start w:val="1"/>
      <w:numFmt w:val="chineseCounting"/>
      <w:suff w:val="space"/>
      <w:lvlText w:val="第%1部分"/>
      <w:lvlJc w:val="left"/>
      <w:rPr>
        <w:rFonts w:hint="eastAsia"/>
      </w:rPr>
    </w:lvl>
  </w:abstractNum>
  <w:abstractNum w:abstractNumId="10">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9"/>
  </w:num>
  <w:num w:numId="3">
    <w:abstractNumId w:val="10"/>
  </w:num>
  <w:num w:numId="4">
    <w:abstractNumId w:val="2"/>
  </w:num>
  <w:num w:numId="5">
    <w:abstractNumId w:val="1"/>
  </w:num>
  <w:num w:numId="6">
    <w:abstractNumId w:val="6"/>
  </w:num>
  <w:num w:numId="7">
    <w:abstractNumId w:val="0"/>
  </w:num>
  <w:num w:numId="8">
    <w:abstractNumId w:val="3"/>
  </w:num>
  <w:num w:numId="9">
    <w:abstractNumId w:val="7"/>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4302"/>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AD02B8"/>
    <w:rsid w:val="04B75DD4"/>
    <w:rsid w:val="04BE2E08"/>
    <w:rsid w:val="04D44ECD"/>
    <w:rsid w:val="04DF17D4"/>
    <w:rsid w:val="04E80A94"/>
    <w:rsid w:val="053B565E"/>
    <w:rsid w:val="05412745"/>
    <w:rsid w:val="05491761"/>
    <w:rsid w:val="05575651"/>
    <w:rsid w:val="05A351AD"/>
    <w:rsid w:val="05C234EE"/>
    <w:rsid w:val="05D95918"/>
    <w:rsid w:val="05DD4F2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8638AF"/>
    <w:rsid w:val="0C91607A"/>
    <w:rsid w:val="0CAC3BFF"/>
    <w:rsid w:val="0CC05B7D"/>
    <w:rsid w:val="0CD10F40"/>
    <w:rsid w:val="0D0C2B7B"/>
    <w:rsid w:val="0D49693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7E2587"/>
    <w:rsid w:val="0F9500FF"/>
    <w:rsid w:val="0FA75561"/>
    <w:rsid w:val="0FB83603"/>
    <w:rsid w:val="0FCA77F1"/>
    <w:rsid w:val="0FCD5DCC"/>
    <w:rsid w:val="0FEF02B3"/>
    <w:rsid w:val="10270545"/>
    <w:rsid w:val="103819AC"/>
    <w:rsid w:val="104B7348"/>
    <w:rsid w:val="106E6B14"/>
    <w:rsid w:val="10815624"/>
    <w:rsid w:val="108A1D4B"/>
    <w:rsid w:val="10A10111"/>
    <w:rsid w:val="10AA31D3"/>
    <w:rsid w:val="10BE093E"/>
    <w:rsid w:val="10EC27C5"/>
    <w:rsid w:val="110F6D60"/>
    <w:rsid w:val="111B0FE9"/>
    <w:rsid w:val="115F67A8"/>
    <w:rsid w:val="1168209E"/>
    <w:rsid w:val="119A7465"/>
    <w:rsid w:val="11C07DA5"/>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C3B21"/>
    <w:rsid w:val="14092DB2"/>
    <w:rsid w:val="143E3DC5"/>
    <w:rsid w:val="145A6A37"/>
    <w:rsid w:val="1467440F"/>
    <w:rsid w:val="14D7277E"/>
    <w:rsid w:val="14E21050"/>
    <w:rsid w:val="14F5646A"/>
    <w:rsid w:val="14F73019"/>
    <w:rsid w:val="15044722"/>
    <w:rsid w:val="15080C95"/>
    <w:rsid w:val="152B7F51"/>
    <w:rsid w:val="15433A9B"/>
    <w:rsid w:val="15AD1F11"/>
    <w:rsid w:val="15BB0D33"/>
    <w:rsid w:val="15C9673C"/>
    <w:rsid w:val="15D13671"/>
    <w:rsid w:val="15F81DA1"/>
    <w:rsid w:val="15FC2F04"/>
    <w:rsid w:val="16181FAC"/>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4165F"/>
    <w:rsid w:val="17770BC2"/>
    <w:rsid w:val="17860E2F"/>
    <w:rsid w:val="17A119AA"/>
    <w:rsid w:val="17AF1095"/>
    <w:rsid w:val="1813218C"/>
    <w:rsid w:val="181E57CF"/>
    <w:rsid w:val="18454A08"/>
    <w:rsid w:val="18586F2B"/>
    <w:rsid w:val="18656713"/>
    <w:rsid w:val="188C65D3"/>
    <w:rsid w:val="18A70482"/>
    <w:rsid w:val="18CA3EB9"/>
    <w:rsid w:val="18E815ED"/>
    <w:rsid w:val="19063790"/>
    <w:rsid w:val="192F3CC4"/>
    <w:rsid w:val="1935690C"/>
    <w:rsid w:val="19A766B9"/>
    <w:rsid w:val="19B423DE"/>
    <w:rsid w:val="19BE4F9F"/>
    <w:rsid w:val="19C85C15"/>
    <w:rsid w:val="19CE76BA"/>
    <w:rsid w:val="19F26070"/>
    <w:rsid w:val="19F97C8B"/>
    <w:rsid w:val="1A117A54"/>
    <w:rsid w:val="1A1523CE"/>
    <w:rsid w:val="1A21343D"/>
    <w:rsid w:val="1A3D0DB4"/>
    <w:rsid w:val="1A6513D4"/>
    <w:rsid w:val="1A703458"/>
    <w:rsid w:val="1A957C32"/>
    <w:rsid w:val="1AA37A2C"/>
    <w:rsid w:val="1AA730BD"/>
    <w:rsid w:val="1AB0786C"/>
    <w:rsid w:val="1AD20CC7"/>
    <w:rsid w:val="1ADF5B23"/>
    <w:rsid w:val="1AE3343E"/>
    <w:rsid w:val="1B162396"/>
    <w:rsid w:val="1B257AD4"/>
    <w:rsid w:val="1B294C9D"/>
    <w:rsid w:val="1B333D5D"/>
    <w:rsid w:val="1B4667CC"/>
    <w:rsid w:val="1B471B07"/>
    <w:rsid w:val="1B4C6157"/>
    <w:rsid w:val="1B515E62"/>
    <w:rsid w:val="1B587618"/>
    <w:rsid w:val="1B5F19C7"/>
    <w:rsid w:val="1B5F1C25"/>
    <w:rsid w:val="1BEF4851"/>
    <w:rsid w:val="1C1C709B"/>
    <w:rsid w:val="1C4806F1"/>
    <w:rsid w:val="1C690B86"/>
    <w:rsid w:val="1C9B1923"/>
    <w:rsid w:val="1C9F6814"/>
    <w:rsid w:val="1CB369A2"/>
    <w:rsid w:val="1CB731AA"/>
    <w:rsid w:val="1CD65C5D"/>
    <w:rsid w:val="1CDE0462"/>
    <w:rsid w:val="1D1B2A71"/>
    <w:rsid w:val="1D5C514E"/>
    <w:rsid w:val="1D5F7331"/>
    <w:rsid w:val="1D803B43"/>
    <w:rsid w:val="1D85395E"/>
    <w:rsid w:val="1D865D14"/>
    <w:rsid w:val="1D8705EC"/>
    <w:rsid w:val="1DC823F7"/>
    <w:rsid w:val="1DED1842"/>
    <w:rsid w:val="1E001284"/>
    <w:rsid w:val="1E20535F"/>
    <w:rsid w:val="1E3C64F5"/>
    <w:rsid w:val="1E43150B"/>
    <w:rsid w:val="1E575188"/>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631369"/>
    <w:rsid w:val="206E7404"/>
    <w:rsid w:val="208717DB"/>
    <w:rsid w:val="20AB56C6"/>
    <w:rsid w:val="20D52D39"/>
    <w:rsid w:val="20F2001C"/>
    <w:rsid w:val="212C13E3"/>
    <w:rsid w:val="21545FA4"/>
    <w:rsid w:val="2176507C"/>
    <w:rsid w:val="219E32F8"/>
    <w:rsid w:val="21BA10C4"/>
    <w:rsid w:val="21BE35AF"/>
    <w:rsid w:val="21C11174"/>
    <w:rsid w:val="22244B28"/>
    <w:rsid w:val="22467FD4"/>
    <w:rsid w:val="22784511"/>
    <w:rsid w:val="229451FD"/>
    <w:rsid w:val="22A12DB6"/>
    <w:rsid w:val="22AA3280"/>
    <w:rsid w:val="22C97F89"/>
    <w:rsid w:val="23195423"/>
    <w:rsid w:val="23252EAE"/>
    <w:rsid w:val="23400B66"/>
    <w:rsid w:val="23510E00"/>
    <w:rsid w:val="236356D1"/>
    <w:rsid w:val="23A91C83"/>
    <w:rsid w:val="23C94380"/>
    <w:rsid w:val="23C962E8"/>
    <w:rsid w:val="23F628B3"/>
    <w:rsid w:val="241779D8"/>
    <w:rsid w:val="241F0332"/>
    <w:rsid w:val="24373239"/>
    <w:rsid w:val="243954FA"/>
    <w:rsid w:val="244E64C3"/>
    <w:rsid w:val="246818DB"/>
    <w:rsid w:val="246E4D46"/>
    <w:rsid w:val="247E4FED"/>
    <w:rsid w:val="248E7864"/>
    <w:rsid w:val="249B7324"/>
    <w:rsid w:val="24B30BE8"/>
    <w:rsid w:val="24C6643F"/>
    <w:rsid w:val="24E31A74"/>
    <w:rsid w:val="24E34060"/>
    <w:rsid w:val="24E42F6F"/>
    <w:rsid w:val="24E73693"/>
    <w:rsid w:val="25143CB6"/>
    <w:rsid w:val="25275183"/>
    <w:rsid w:val="253A0491"/>
    <w:rsid w:val="25491B20"/>
    <w:rsid w:val="257559F7"/>
    <w:rsid w:val="25851E17"/>
    <w:rsid w:val="25AE12D9"/>
    <w:rsid w:val="25E036B2"/>
    <w:rsid w:val="25E9082A"/>
    <w:rsid w:val="25EA57D5"/>
    <w:rsid w:val="25F42473"/>
    <w:rsid w:val="25FF7AB9"/>
    <w:rsid w:val="26701A1C"/>
    <w:rsid w:val="267A2E85"/>
    <w:rsid w:val="267E2DFB"/>
    <w:rsid w:val="267F0FB7"/>
    <w:rsid w:val="26AA1A7C"/>
    <w:rsid w:val="26AF2D79"/>
    <w:rsid w:val="26B34B91"/>
    <w:rsid w:val="26DD6B95"/>
    <w:rsid w:val="270701F0"/>
    <w:rsid w:val="270D0281"/>
    <w:rsid w:val="270D66E8"/>
    <w:rsid w:val="27514612"/>
    <w:rsid w:val="278B0DAB"/>
    <w:rsid w:val="279C6B0E"/>
    <w:rsid w:val="27A64735"/>
    <w:rsid w:val="27CC4DF2"/>
    <w:rsid w:val="27E22DFD"/>
    <w:rsid w:val="27E523B1"/>
    <w:rsid w:val="27E77285"/>
    <w:rsid w:val="281864F2"/>
    <w:rsid w:val="281A7B78"/>
    <w:rsid w:val="28287CEE"/>
    <w:rsid w:val="285C301A"/>
    <w:rsid w:val="286903EF"/>
    <w:rsid w:val="287F5DD3"/>
    <w:rsid w:val="288047CB"/>
    <w:rsid w:val="289E62FA"/>
    <w:rsid w:val="28AB671E"/>
    <w:rsid w:val="28BA30C3"/>
    <w:rsid w:val="28D72A57"/>
    <w:rsid w:val="291E2CA6"/>
    <w:rsid w:val="29331862"/>
    <w:rsid w:val="29514925"/>
    <w:rsid w:val="297377B1"/>
    <w:rsid w:val="298E421D"/>
    <w:rsid w:val="299E147F"/>
    <w:rsid w:val="29C32A87"/>
    <w:rsid w:val="29CF070E"/>
    <w:rsid w:val="29CF26DC"/>
    <w:rsid w:val="2A1C5DA0"/>
    <w:rsid w:val="2A200D39"/>
    <w:rsid w:val="2A507EFF"/>
    <w:rsid w:val="2A9248E5"/>
    <w:rsid w:val="2A931BAD"/>
    <w:rsid w:val="2A9B7773"/>
    <w:rsid w:val="2ACB3B45"/>
    <w:rsid w:val="2ADC05A4"/>
    <w:rsid w:val="2B6F0D7F"/>
    <w:rsid w:val="2B797443"/>
    <w:rsid w:val="2B8716BD"/>
    <w:rsid w:val="2B8B76FF"/>
    <w:rsid w:val="2B906D86"/>
    <w:rsid w:val="2BAF763B"/>
    <w:rsid w:val="2BD5034F"/>
    <w:rsid w:val="2C0B6845"/>
    <w:rsid w:val="2C164021"/>
    <w:rsid w:val="2C4E3791"/>
    <w:rsid w:val="2C8A2821"/>
    <w:rsid w:val="2CC04EFA"/>
    <w:rsid w:val="2CD178C0"/>
    <w:rsid w:val="2CF750C7"/>
    <w:rsid w:val="2D025012"/>
    <w:rsid w:val="2D0F0B0A"/>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3A20E7"/>
    <w:rsid w:val="304C4B41"/>
    <w:rsid w:val="307776D1"/>
    <w:rsid w:val="30862574"/>
    <w:rsid w:val="30A55148"/>
    <w:rsid w:val="30A77875"/>
    <w:rsid w:val="30B631E1"/>
    <w:rsid w:val="311933AA"/>
    <w:rsid w:val="31611C9E"/>
    <w:rsid w:val="317550C0"/>
    <w:rsid w:val="317D15BB"/>
    <w:rsid w:val="31934D3E"/>
    <w:rsid w:val="31D07E6C"/>
    <w:rsid w:val="31D574D0"/>
    <w:rsid w:val="31DD1A92"/>
    <w:rsid w:val="31F67A05"/>
    <w:rsid w:val="323F65DA"/>
    <w:rsid w:val="32412074"/>
    <w:rsid w:val="32422082"/>
    <w:rsid w:val="325B63D6"/>
    <w:rsid w:val="325E3EE7"/>
    <w:rsid w:val="32A0644D"/>
    <w:rsid w:val="32B77AC3"/>
    <w:rsid w:val="32D0705C"/>
    <w:rsid w:val="32DD7D02"/>
    <w:rsid w:val="32DE0199"/>
    <w:rsid w:val="33334E8E"/>
    <w:rsid w:val="335B2774"/>
    <w:rsid w:val="335C6052"/>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0420D4"/>
    <w:rsid w:val="351224A5"/>
    <w:rsid w:val="352B6E83"/>
    <w:rsid w:val="353046F2"/>
    <w:rsid w:val="354D2044"/>
    <w:rsid w:val="356157C6"/>
    <w:rsid w:val="35831650"/>
    <w:rsid w:val="358D07D1"/>
    <w:rsid w:val="35A66E91"/>
    <w:rsid w:val="35B0692A"/>
    <w:rsid w:val="35B63EAC"/>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6D65004"/>
    <w:rsid w:val="37085B1F"/>
    <w:rsid w:val="372E04CB"/>
    <w:rsid w:val="3762046C"/>
    <w:rsid w:val="376A7E9C"/>
    <w:rsid w:val="376B5C1E"/>
    <w:rsid w:val="37742729"/>
    <w:rsid w:val="3790083E"/>
    <w:rsid w:val="37A92DDE"/>
    <w:rsid w:val="37C77814"/>
    <w:rsid w:val="382C7B34"/>
    <w:rsid w:val="38662298"/>
    <w:rsid w:val="38715CEA"/>
    <w:rsid w:val="388A3751"/>
    <w:rsid w:val="38CE513F"/>
    <w:rsid w:val="38D65199"/>
    <w:rsid w:val="38E070F2"/>
    <w:rsid w:val="39034314"/>
    <w:rsid w:val="390B0AC4"/>
    <w:rsid w:val="390D33AB"/>
    <w:rsid w:val="3916419B"/>
    <w:rsid w:val="391E6D06"/>
    <w:rsid w:val="393A3C1D"/>
    <w:rsid w:val="3965541C"/>
    <w:rsid w:val="39673821"/>
    <w:rsid w:val="39825EE7"/>
    <w:rsid w:val="399C2315"/>
    <w:rsid w:val="39A3641C"/>
    <w:rsid w:val="39A93BA9"/>
    <w:rsid w:val="39BF24C9"/>
    <w:rsid w:val="39CE5179"/>
    <w:rsid w:val="39F52B6F"/>
    <w:rsid w:val="3A074847"/>
    <w:rsid w:val="3A3B3117"/>
    <w:rsid w:val="3AA10261"/>
    <w:rsid w:val="3AA90FE6"/>
    <w:rsid w:val="3AA9318F"/>
    <w:rsid w:val="3AB62DA0"/>
    <w:rsid w:val="3AC61BD3"/>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967FD4"/>
    <w:rsid w:val="3CAA596A"/>
    <w:rsid w:val="3CB1587B"/>
    <w:rsid w:val="3CB735F2"/>
    <w:rsid w:val="3CBE0C38"/>
    <w:rsid w:val="3CC372BE"/>
    <w:rsid w:val="3CED621B"/>
    <w:rsid w:val="3D030207"/>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3C4972"/>
    <w:rsid w:val="3FBD79D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06F3B"/>
    <w:rsid w:val="41F77860"/>
    <w:rsid w:val="42125648"/>
    <w:rsid w:val="421E4A73"/>
    <w:rsid w:val="42217CAC"/>
    <w:rsid w:val="424A4B98"/>
    <w:rsid w:val="42581D3A"/>
    <w:rsid w:val="4262787F"/>
    <w:rsid w:val="42643391"/>
    <w:rsid w:val="426E2C81"/>
    <w:rsid w:val="42D011BC"/>
    <w:rsid w:val="42FE0080"/>
    <w:rsid w:val="430F4676"/>
    <w:rsid w:val="43315D2E"/>
    <w:rsid w:val="43824A1C"/>
    <w:rsid w:val="4390486D"/>
    <w:rsid w:val="4399333D"/>
    <w:rsid w:val="43B2241F"/>
    <w:rsid w:val="43C3013B"/>
    <w:rsid w:val="43CE64CC"/>
    <w:rsid w:val="43D110E1"/>
    <w:rsid w:val="43E873C9"/>
    <w:rsid w:val="44181DC4"/>
    <w:rsid w:val="44250817"/>
    <w:rsid w:val="4429652B"/>
    <w:rsid w:val="44905B1F"/>
    <w:rsid w:val="45007767"/>
    <w:rsid w:val="450734F3"/>
    <w:rsid w:val="4523357B"/>
    <w:rsid w:val="45316885"/>
    <w:rsid w:val="453B3049"/>
    <w:rsid w:val="453F0643"/>
    <w:rsid w:val="45682DFA"/>
    <w:rsid w:val="458C735B"/>
    <w:rsid w:val="459455AC"/>
    <w:rsid w:val="45A95EE9"/>
    <w:rsid w:val="45CD6CF3"/>
    <w:rsid w:val="45D35790"/>
    <w:rsid w:val="45FB0F21"/>
    <w:rsid w:val="460637C4"/>
    <w:rsid w:val="460C59D7"/>
    <w:rsid w:val="4615106E"/>
    <w:rsid w:val="46167166"/>
    <w:rsid w:val="461A2194"/>
    <w:rsid w:val="4622247F"/>
    <w:rsid w:val="462E6C42"/>
    <w:rsid w:val="464473C4"/>
    <w:rsid w:val="465E515F"/>
    <w:rsid w:val="46901553"/>
    <w:rsid w:val="469B1BC5"/>
    <w:rsid w:val="469E62EA"/>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3E6D0C"/>
    <w:rsid w:val="4B8F44A9"/>
    <w:rsid w:val="4B9A1456"/>
    <w:rsid w:val="4BA32C82"/>
    <w:rsid w:val="4BAD1567"/>
    <w:rsid w:val="4BBD4EE7"/>
    <w:rsid w:val="4BD73978"/>
    <w:rsid w:val="4BE70627"/>
    <w:rsid w:val="4C0A5AE1"/>
    <w:rsid w:val="4C130AB8"/>
    <w:rsid w:val="4C391ADB"/>
    <w:rsid w:val="4C5A284D"/>
    <w:rsid w:val="4C63431C"/>
    <w:rsid w:val="4C816990"/>
    <w:rsid w:val="4CB571EA"/>
    <w:rsid w:val="4CB96B43"/>
    <w:rsid w:val="4CC75FCC"/>
    <w:rsid w:val="4CD63947"/>
    <w:rsid w:val="4CF3344B"/>
    <w:rsid w:val="4CFC49F4"/>
    <w:rsid w:val="4D073D73"/>
    <w:rsid w:val="4D1E27BA"/>
    <w:rsid w:val="4D23574A"/>
    <w:rsid w:val="4D3B12BD"/>
    <w:rsid w:val="4D4C4DB0"/>
    <w:rsid w:val="4D6238ED"/>
    <w:rsid w:val="4D6B06B3"/>
    <w:rsid w:val="4D7322D5"/>
    <w:rsid w:val="4D865EF5"/>
    <w:rsid w:val="4DD7034C"/>
    <w:rsid w:val="4DE312CB"/>
    <w:rsid w:val="4DF5318E"/>
    <w:rsid w:val="4E1F4862"/>
    <w:rsid w:val="4E2B0F4A"/>
    <w:rsid w:val="4E2E4393"/>
    <w:rsid w:val="4E34765B"/>
    <w:rsid w:val="4E535EF2"/>
    <w:rsid w:val="4E56234E"/>
    <w:rsid w:val="4E7F7C36"/>
    <w:rsid w:val="4EF11A75"/>
    <w:rsid w:val="4F08773C"/>
    <w:rsid w:val="4F1A3E2E"/>
    <w:rsid w:val="4F31409F"/>
    <w:rsid w:val="4F4437CC"/>
    <w:rsid w:val="4F5C0D3C"/>
    <w:rsid w:val="4F5E670E"/>
    <w:rsid w:val="4F830A4B"/>
    <w:rsid w:val="4F846A83"/>
    <w:rsid w:val="4F9F566B"/>
    <w:rsid w:val="4FE52410"/>
    <w:rsid w:val="50070E2C"/>
    <w:rsid w:val="500E01E6"/>
    <w:rsid w:val="502F619C"/>
    <w:rsid w:val="504B57F2"/>
    <w:rsid w:val="505C5D66"/>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2631B6"/>
    <w:rsid w:val="545F0C78"/>
    <w:rsid w:val="54647343"/>
    <w:rsid w:val="54A61722"/>
    <w:rsid w:val="54B31FAF"/>
    <w:rsid w:val="54F616B0"/>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DB3DF1"/>
    <w:rsid w:val="57F967AD"/>
    <w:rsid w:val="58052975"/>
    <w:rsid w:val="582D112D"/>
    <w:rsid w:val="583152CE"/>
    <w:rsid w:val="58554453"/>
    <w:rsid w:val="58AF0BB8"/>
    <w:rsid w:val="58D802CE"/>
    <w:rsid w:val="58E525CA"/>
    <w:rsid w:val="59351174"/>
    <w:rsid w:val="593B5DDE"/>
    <w:rsid w:val="593D045A"/>
    <w:rsid w:val="59473F47"/>
    <w:rsid w:val="5960739E"/>
    <w:rsid w:val="59896D0A"/>
    <w:rsid w:val="59B72684"/>
    <w:rsid w:val="59CC6E29"/>
    <w:rsid w:val="59CE7D0B"/>
    <w:rsid w:val="59CF110D"/>
    <w:rsid w:val="59F66B3A"/>
    <w:rsid w:val="5A0532BF"/>
    <w:rsid w:val="5A3B615E"/>
    <w:rsid w:val="5A6E4EEC"/>
    <w:rsid w:val="5A9579AE"/>
    <w:rsid w:val="5AC468CD"/>
    <w:rsid w:val="5ACA6584"/>
    <w:rsid w:val="5ACB1A0A"/>
    <w:rsid w:val="5ACB3B4E"/>
    <w:rsid w:val="5AD31FE5"/>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CEE76A1"/>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42015"/>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C70B52"/>
    <w:rsid w:val="61D215CF"/>
    <w:rsid w:val="61F642E6"/>
    <w:rsid w:val="622A5268"/>
    <w:rsid w:val="622C5484"/>
    <w:rsid w:val="623C3E38"/>
    <w:rsid w:val="624049E0"/>
    <w:rsid w:val="625C563D"/>
    <w:rsid w:val="626A1704"/>
    <w:rsid w:val="628C1BC6"/>
    <w:rsid w:val="62AD7E76"/>
    <w:rsid w:val="62B362C8"/>
    <w:rsid w:val="62B97A94"/>
    <w:rsid w:val="62C1330E"/>
    <w:rsid w:val="62E55497"/>
    <w:rsid w:val="62FD5F86"/>
    <w:rsid w:val="62FD6475"/>
    <w:rsid w:val="630C5A29"/>
    <w:rsid w:val="630D3DF3"/>
    <w:rsid w:val="6342085E"/>
    <w:rsid w:val="636F415C"/>
    <w:rsid w:val="63754A1B"/>
    <w:rsid w:val="63852ED6"/>
    <w:rsid w:val="63F40F8B"/>
    <w:rsid w:val="640F4C9F"/>
    <w:rsid w:val="64372D3D"/>
    <w:rsid w:val="64785A9C"/>
    <w:rsid w:val="64917820"/>
    <w:rsid w:val="64AA1CC5"/>
    <w:rsid w:val="651075FA"/>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91427"/>
    <w:rsid w:val="689A5E59"/>
    <w:rsid w:val="68BF65E6"/>
    <w:rsid w:val="68CC4C87"/>
    <w:rsid w:val="68EE72DF"/>
    <w:rsid w:val="692E2EB0"/>
    <w:rsid w:val="69485FEA"/>
    <w:rsid w:val="694C7BCA"/>
    <w:rsid w:val="69677DC0"/>
    <w:rsid w:val="69937EC7"/>
    <w:rsid w:val="69D64558"/>
    <w:rsid w:val="69E23E3D"/>
    <w:rsid w:val="6A042548"/>
    <w:rsid w:val="6A304492"/>
    <w:rsid w:val="6A471EFD"/>
    <w:rsid w:val="6A5B587F"/>
    <w:rsid w:val="6A90616B"/>
    <w:rsid w:val="6AA64288"/>
    <w:rsid w:val="6AB57116"/>
    <w:rsid w:val="6AE73176"/>
    <w:rsid w:val="6B0A525B"/>
    <w:rsid w:val="6B17424A"/>
    <w:rsid w:val="6B2218FA"/>
    <w:rsid w:val="6B691672"/>
    <w:rsid w:val="6B755FDA"/>
    <w:rsid w:val="6B7D64E9"/>
    <w:rsid w:val="6BB640C5"/>
    <w:rsid w:val="6BCF0C2E"/>
    <w:rsid w:val="6BD06892"/>
    <w:rsid w:val="6BE526B4"/>
    <w:rsid w:val="6BE97F42"/>
    <w:rsid w:val="6C3A0859"/>
    <w:rsid w:val="6C416AD8"/>
    <w:rsid w:val="6C5E6A51"/>
    <w:rsid w:val="6C6513C3"/>
    <w:rsid w:val="6C744268"/>
    <w:rsid w:val="6C8407E5"/>
    <w:rsid w:val="6CC60283"/>
    <w:rsid w:val="6CCD388D"/>
    <w:rsid w:val="6CD62D03"/>
    <w:rsid w:val="6CD97FB6"/>
    <w:rsid w:val="6CDA233C"/>
    <w:rsid w:val="6D170809"/>
    <w:rsid w:val="6D4B22B8"/>
    <w:rsid w:val="6D663E0B"/>
    <w:rsid w:val="6D930013"/>
    <w:rsid w:val="6DA828B1"/>
    <w:rsid w:val="6E1374F8"/>
    <w:rsid w:val="6E1A1656"/>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75F58"/>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1354E"/>
    <w:rsid w:val="73A91864"/>
    <w:rsid w:val="73AE2AAC"/>
    <w:rsid w:val="73BA5FD6"/>
    <w:rsid w:val="73CD0FA0"/>
    <w:rsid w:val="73E544F1"/>
    <w:rsid w:val="742A10F7"/>
    <w:rsid w:val="74466A1C"/>
    <w:rsid w:val="74A11E7D"/>
    <w:rsid w:val="74AC62F7"/>
    <w:rsid w:val="74B25745"/>
    <w:rsid w:val="74B46F86"/>
    <w:rsid w:val="74EA55F4"/>
    <w:rsid w:val="74F97739"/>
    <w:rsid w:val="74FB18F9"/>
    <w:rsid w:val="75590B0A"/>
    <w:rsid w:val="7582279F"/>
    <w:rsid w:val="75843EB5"/>
    <w:rsid w:val="759F4605"/>
    <w:rsid w:val="75AB44BA"/>
    <w:rsid w:val="75BB71AF"/>
    <w:rsid w:val="75D05731"/>
    <w:rsid w:val="75F01962"/>
    <w:rsid w:val="760E19DF"/>
    <w:rsid w:val="7615653D"/>
    <w:rsid w:val="761B75CE"/>
    <w:rsid w:val="762116DB"/>
    <w:rsid w:val="763F670D"/>
    <w:rsid w:val="76517CAC"/>
    <w:rsid w:val="76676A53"/>
    <w:rsid w:val="76741165"/>
    <w:rsid w:val="768153C1"/>
    <w:rsid w:val="769E78D2"/>
    <w:rsid w:val="76B620A1"/>
    <w:rsid w:val="76CF67D0"/>
    <w:rsid w:val="76F20814"/>
    <w:rsid w:val="77001F24"/>
    <w:rsid w:val="770D5E61"/>
    <w:rsid w:val="771B2BF8"/>
    <w:rsid w:val="77214B01"/>
    <w:rsid w:val="77462524"/>
    <w:rsid w:val="7754544E"/>
    <w:rsid w:val="775D7201"/>
    <w:rsid w:val="77673D84"/>
    <w:rsid w:val="7778770E"/>
    <w:rsid w:val="779A7EBA"/>
    <w:rsid w:val="77A21064"/>
    <w:rsid w:val="77A90F64"/>
    <w:rsid w:val="77BA4E88"/>
    <w:rsid w:val="77E34EB2"/>
    <w:rsid w:val="78027672"/>
    <w:rsid w:val="781564B8"/>
    <w:rsid w:val="78224ACF"/>
    <w:rsid w:val="78654DF4"/>
    <w:rsid w:val="788A2AAC"/>
    <w:rsid w:val="78936F61"/>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66105B"/>
    <w:rsid w:val="7A681070"/>
    <w:rsid w:val="7A71506F"/>
    <w:rsid w:val="7A7E1B39"/>
    <w:rsid w:val="7A860C7C"/>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434BA5"/>
    <w:rsid w:val="7D5E1216"/>
    <w:rsid w:val="7D660BE8"/>
    <w:rsid w:val="7DA553F4"/>
    <w:rsid w:val="7DB23041"/>
    <w:rsid w:val="7E003759"/>
    <w:rsid w:val="7E200E4E"/>
    <w:rsid w:val="7E514E49"/>
    <w:rsid w:val="7E5632B4"/>
    <w:rsid w:val="7E5F5463"/>
    <w:rsid w:val="7E5F7809"/>
    <w:rsid w:val="7E66156B"/>
    <w:rsid w:val="7E812A19"/>
    <w:rsid w:val="7EAF2C64"/>
    <w:rsid w:val="7EB22415"/>
    <w:rsid w:val="7EB904A9"/>
    <w:rsid w:val="7ECE5D75"/>
    <w:rsid w:val="7ED56C53"/>
    <w:rsid w:val="7EEA1BAF"/>
    <w:rsid w:val="7EF3245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1"/>
    <w:qFormat/>
    <w:uiPriority w:val="9"/>
    <w:pPr>
      <w:keepNext/>
      <w:keepLines/>
      <w:jc w:val="center"/>
      <w:outlineLvl w:val="0"/>
    </w:pPr>
    <w:rPr>
      <w:b/>
      <w:bCs/>
      <w:kern w:val="44"/>
      <w:sz w:val="36"/>
      <w:szCs w:val="44"/>
    </w:rPr>
  </w:style>
  <w:style w:type="paragraph" w:styleId="4">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9">
    <w:name w:val="heading 7"/>
    <w:basedOn w:val="1"/>
    <w:next w:val="1"/>
    <w:link w:val="150"/>
    <w:unhideWhenUsed/>
    <w:qFormat/>
    <w:uiPriority w:val="9"/>
    <w:pPr>
      <w:keepNext/>
      <w:keepLines/>
      <w:spacing w:before="240" w:after="64" w:line="317" w:lineRule="auto"/>
      <w:outlineLvl w:val="6"/>
    </w:pPr>
    <w:rPr>
      <w:b/>
      <w:sz w:val="24"/>
    </w:rPr>
  </w:style>
  <w:style w:type="paragraph" w:styleId="10">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1">
    <w:name w:val="toc 7"/>
    <w:basedOn w:val="1"/>
    <w:next w:val="1"/>
    <w:qFormat/>
    <w:uiPriority w:val="39"/>
    <w:pPr>
      <w:ind w:left="1440"/>
      <w:jc w:val="left"/>
    </w:pPr>
    <w:rPr>
      <w:rFonts w:ascii="Calibri" w:hAnsi="Calibri" w:eastAsia="宋体" w:cs="Times New Roman"/>
      <w:sz w:val="18"/>
      <w:szCs w:val="18"/>
    </w:rPr>
  </w:style>
  <w:style w:type="paragraph" w:styleId="12">
    <w:name w:val="Normal Indent"/>
    <w:basedOn w:val="1"/>
    <w:qFormat/>
    <w:uiPriority w:val="0"/>
    <w:pPr>
      <w:ind w:firstLine="420"/>
    </w:pPr>
    <w:rPr>
      <w:rFonts w:ascii="Times New Roman" w:hAnsi="Times New Roman"/>
      <w:kern w:val="0"/>
      <w:sz w:val="20"/>
      <w:szCs w:val="20"/>
    </w:rPr>
  </w:style>
  <w:style w:type="paragraph" w:styleId="13">
    <w:name w:val="caption"/>
    <w:basedOn w:val="1"/>
    <w:next w:val="1"/>
    <w:qFormat/>
    <w:uiPriority w:val="35"/>
    <w:pPr>
      <w:spacing w:before="152" w:after="160"/>
    </w:pPr>
    <w:rPr>
      <w:rFonts w:ascii="Arial" w:hAnsi="Arial" w:eastAsia="黑体" w:cs="Arial"/>
      <w:sz w:val="20"/>
      <w:szCs w:val="20"/>
    </w:rPr>
  </w:style>
  <w:style w:type="paragraph" w:styleId="14">
    <w:name w:val="Document Map"/>
    <w:basedOn w:val="1"/>
    <w:link w:val="74"/>
    <w:qFormat/>
    <w:uiPriority w:val="0"/>
    <w:pPr>
      <w:shd w:val="clear" w:color="auto" w:fill="000080"/>
    </w:pPr>
    <w:rPr>
      <w:sz w:val="24"/>
    </w:rPr>
  </w:style>
  <w:style w:type="paragraph" w:styleId="15">
    <w:name w:val="toa heading"/>
    <w:basedOn w:val="1"/>
    <w:next w:val="1"/>
    <w:qFormat/>
    <w:uiPriority w:val="99"/>
    <w:pPr>
      <w:spacing w:before="120"/>
    </w:pPr>
    <w:rPr>
      <w:rFonts w:ascii="Arial" w:hAnsi="Arial" w:eastAsia="宋体" w:cs="Arial"/>
      <w:sz w:val="24"/>
      <w:szCs w:val="24"/>
    </w:rPr>
  </w:style>
  <w:style w:type="paragraph" w:styleId="16">
    <w:name w:val="annotation text"/>
    <w:basedOn w:val="1"/>
    <w:link w:val="65"/>
    <w:qFormat/>
    <w:uiPriority w:val="0"/>
    <w:pPr>
      <w:jc w:val="left"/>
    </w:pPr>
  </w:style>
  <w:style w:type="paragraph" w:styleId="17">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8">
    <w:name w:val="Body Text Indent"/>
    <w:basedOn w:val="1"/>
    <w:link w:val="83"/>
    <w:qFormat/>
    <w:uiPriority w:val="99"/>
    <w:pPr>
      <w:spacing w:after="120"/>
      <w:ind w:left="420" w:leftChars="200"/>
    </w:pPr>
    <w:rPr>
      <w:rFonts w:ascii="Calibri" w:hAnsi="Calibri" w:eastAsia="宋体" w:cs="Times New Roman"/>
      <w:szCs w:val="20"/>
    </w:rPr>
  </w:style>
  <w:style w:type="paragraph" w:styleId="19">
    <w:name w:val="index 4"/>
    <w:basedOn w:val="1"/>
    <w:next w:val="1"/>
    <w:qFormat/>
    <w:uiPriority w:val="0"/>
    <w:pPr>
      <w:ind w:left="600" w:leftChars="600"/>
    </w:pPr>
  </w:style>
  <w:style w:type="paragraph" w:styleId="20">
    <w:name w:val="toc 5"/>
    <w:basedOn w:val="1"/>
    <w:next w:val="1"/>
    <w:qFormat/>
    <w:uiPriority w:val="39"/>
    <w:pPr>
      <w:ind w:left="960"/>
      <w:jc w:val="left"/>
    </w:pPr>
    <w:rPr>
      <w:rFonts w:ascii="Calibri" w:hAnsi="Calibri" w:eastAsia="宋体" w:cs="Times New Roman"/>
      <w:sz w:val="18"/>
      <w:szCs w:val="18"/>
    </w:rPr>
  </w:style>
  <w:style w:type="paragraph" w:styleId="21">
    <w:name w:val="toc 3"/>
    <w:basedOn w:val="1"/>
    <w:next w:val="1"/>
    <w:qFormat/>
    <w:uiPriority w:val="39"/>
    <w:pPr>
      <w:ind w:left="480"/>
      <w:jc w:val="left"/>
    </w:pPr>
    <w:rPr>
      <w:rFonts w:ascii="Calibri" w:hAnsi="Calibri" w:eastAsia="宋体" w:cs="Times New Roman"/>
      <w:i/>
      <w:iCs/>
      <w:sz w:val="20"/>
      <w:szCs w:val="20"/>
    </w:rPr>
  </w:style>
  <w:style w:type="paragraph" w:styleId="22">
    <w:name w:val="Plain Text"/>
    <w:basedOn w:val="1"/>
    <w:link w:val="76"/>
    <w:qFormat/>
    <w:uiPriority w:val="0"/>
    <w:rPr>
      <w:rFonts w:ascii="宋体" w:hAnsi="Courier New"/>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67"/>
    <w:qFormat/>
    <w:uiPriority w:val="0"/>
    <w:pPr>
      <w:ind w:left="100" w:leftChars="2500"/>
    </w:pPr>
    <w:rPr>
      <w:sz w:val="24"/>
    </w:rPr>
  </w:style>
  <w:style w:type="paragraph" w:styleId="25">
    <w:name w:val="Body Text Indent 2"/>
    <w:basedOn w:val="1"/>
    <w:link w:val="55"/>
    <w:qFormat/>
    <w:uiPriority w:val="0"/>
    <w:pPr>
      <w:spacing w:after="120" w:line="480" w:lineRule="auto"/>
      <w:ind w:left="420" w:leftChars="200"/>
    </w:pPr>
  </w:style>
  <w:style w:type="paragraph" w:styleId="26">
    <w:name w:val="Balloon Text"/>
    <w:basedOn w:val="1"/>
    <w:link w:val="71"/>
    <w:qFormat/>
    <w:uiPriority w:val="0"/>
    <w:rPr>
      <w:sz w:val="18"/>
    </w:rPr>
  </w:style>
  <w:style w:type="paragraph" w:styleId="27">
    <w:name w:val="footer"/>
    <w:basedOn w:val="1"/>
    <w:link w:val="77"/>
    <w:qFormat/>
    <w:uiPriority w:val="99"/>
    <w:pPr>
      <w:tabs>
        <w:tab w:val="center" w:pos="4153"/>
        <w:tab w:val="right" w:pos="8306"/>
      </w:tabs>
      <w:snapToGrid w:val="0"/>
      <w:jc w:val="left"/>
    </w:pPr>
    <w:rPr>
      <w:sz w:val="18"/>
    </w:rPr>
  </w:style>
  <w:style w:type="paragraph" w:styleId="28">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0">
    <w:name w:val="toc 4"/>
    <w:basedOn w:val="1"/>
    <w:next w:val="1"/>
    <w:qFormat/>
    <w:uiPriority w:val="39"/>
    <w:pPr>
      <w:ind w:left="720"/>
      <w:jc w:val="left"/>
    </w:pPr>
    <w:rPr>
      <w:rFonts w:ascii="Calibri" w:hAnsi="Calibri" w:eastAsia="宋体" w:cs="Times New Roman"/>
      <w:sz w:val="18"/>
      <w:szCs w:val="18"/>
    </w:rPr>
  </w:style>
  <w:style w:type="paragraph" w:styleId="31">
    <w:name w:val="List"/>
    <w:basedOn w:val="1"/>
    <w:qFormat/>
    <w:uiPriority w:val="99"/>
    <w:pPr>
      <w:ind w:left="420" w:hanging="420"/>
    </w:pPr>
    <w:rPr>
      <w:rFonts w:ascii="Times New Roman" w:hAnsi="Times New Roman" w:eastAsia="宋体" w:cs="Times New Roman"/>
      <w:szCs w:val="20"/>
    </w:rPr>
  </w:style>
  <w:style w:type="paragraph" w:styleId="32">
    <w:name w:val="toc 6"/>
    <w:basedOn w:val="1"/>
    <w:next w:val="1"/>
    <w:qFormat/>
    <w:uiPriority w:val="39"/>
    <w:pPr>
      <w:ind w:left="1200"/>
      <w:jc w:val="left"/>
    </w:pPr>
    <w:rPr>
      <w:rFonts w:ascii="Calibri" w:hAnsi="Calibri" w:eastAsia="宋体" w:cs="Times New Roman"/>
      <w:sz w:val="18"/>
      <w:szCs w:val="18"/>
    </w:rPr>
  </w:style>
  <w:style w:type="paragraph" w:styleId="33">
    <w:name w:val="Body Text Indent 3"/>
    <w:basedOn w:val="1"/>
    <w:link w:val="57"/>
    <w:qFormat/>
    <w:uiPriority w:val="0"/>
    <w:pPr>
      <w:spacing w:after="120"/>
      <w:ind w:left="420" w:leftChars="200"/>
    </w:pPr>
    <w:rPr>
      <w:sz w:val="16"/>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6"/>
    <w:next w:val="16"/>
    <w:link w:val="56"/>
    <w:qFormat/>
    <w:uiPriority w:val="0"/>
    <w:rPr>
      <w:b/>
    </w:rPr>
  </w:style>
  <w:style w:type="paragraph" w:styleId="40">
    <w:name w:val="Body Text First Indent 2"/>
    <w:basedOn w:val="18"/>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3"/>
    <w:qFormat/>
    <w:uiPriority w:val="9"/>
    <w:rPr>
      <w:rFonts w:ascii="Calibri" w:hAnsi="Calibri" w:eastAsia="宋体" w:cs="Times New Roman"/>
      <w:b/>
      <w:bCs/>
      <w:kern w:val="44"/>
      <w:sz w:val="36"/>
      <w:szCs w:val="44"/>
    </w:rPr>
  </w:style>
  <w:style w:type="character" w:customStyle="1" w:styleId="52">
    <w:name w:val="标题 2 字符"/>
    <w:basedOn w:val="43"/>
    <w:link w:val="4"/>
    <w:qFormat/>
    <w:uiPriority w:val="9"/>
    <w:rPr>
      <w:rFonts w:ascii="Arial" w:hAnsi="Arial" w:eastAsia="宋体" w:cs="Times New Roman"/>
      <w:b/>
      <w:bCs/>
      <w:sz w:val="24"/>
      <w:szCs w:val="32"/>
    </w:rPr>
  </w:style>
  <w:style w:type="character" w:customStyle="1" w:styleId="53">
    <w:name w:val="标题 3 字符"/>
    <w:basedOn w:val="43"/>
    <w:link w:val="5"/>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5"/>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3"/>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8"/>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6"/>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4"/>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6"/>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4"/>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2"/>
    <w:qFormat/>
    <w:locked/>
    <w:uiPriority w:val="0"/>
    <w:rPr>
      <w:rFonts w:ascii="宋体" w:hAnsi="Courier New"/>
    </w:rPr>
  </w:style>
  <w:style w:type="character" w:customStyle="1" w:styleId="77">
    <w:name w:val="页脚 字符"/>
    <w:link w:val="27"/>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8"/>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2"/>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2"/>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4"/>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5"/>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3"/>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3"/>
    <w:qFormat/>
    <w:uiPriority w:val="0"/>
    <w:rPr>
      <w:rFonts w:hint="eastAsia" w:ascii="宋体" w:hAnsi="宋体" w:eastAsia="宋体" w:cs="宋体"/>
      <w:color w:val="000000"/>
      <w:sz w:val="20"/>
      <w:szCs w:val="20"/>
      <w:u w:val="none"/>
    </w:rPr>
  </w:style>
  <w:style w:type="character" w:customStyle="1" w:styleId="144">
    <w:name w:val="font101"/>
    <w:basedOn w:val="43"/>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3"/>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3"/>
    <w:link w:val="8"/>
    <w:qFormat/>
    <w:uiPriority w:val="9"/>
    <w:rPr>
      <w:rFonts w:ascii="Arial" w:hAnsi="Arial" w:eastAsia="黑体" w:cstheme="minorBidi"/>
      <w:b/>
      <w:kern w:val="2"/>
      <w:sz w:val="24"/>
      <w:szCs w:val="22"/>
    </w:rPr>
  </w:style>
  <w:style w:type="character" w:customStyle="1" w:styleId="150">
    <w:name w:val="标题 7 字符"/>
    <w:basedOn w:val="43"/>
    <w:link w:val="9"/>
    <w:qFormat/>
    <w:uiPriority w:val="9"/>
    <w:rPr>
      <w:rFonts w:asciiTheme="minorHAnsi" w:hAnsiTheme="minorHAnsi" w:eastAsiaTheme="minorEastAsia" w:cstheme="minorBidi"/>
      <w:b/>
      <w:kern w:val="2"/>
      <w:sz w:val="24"/>
      <w:szCs w:val="22"/>
    </w:rPr>
  </w:style>
  <w:style w:type="character" w:customStyle="1" w:styleId="151">
    <w:name w:val="标题 9 字符"/>
    <w:basedOn w:val="43"/>
    <w:link w:val="10"/>
    <w:semiHidden/>
    <w:qFormat/>
    <w:uiPriority w:val="9"/>
    <w:rPr>
      <w:rFonts w:ascii="Arial" w:hAnsi="Arial" w:eastAsia="黑体" w:cstheme="minorBidi"/>
      <w:kern w:val="2"/>
      <w:sz w:val="21"/>
      <w:szCs w:val="22"/>
    </w:rPr>
  </w:style>
  <w:style w:type="paragraph" w:customStyle="1" w:styleId="152">
    <w:name w:val="_Style 4"/>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1"/>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3"/>
    <w:link w:val="6"/>
    <w:qFormat/>
    <w:uiPriority w:val="9"/>
    <w:rPr>
      <w:rFonts w:ascii="Arial" w:hAnsi="Arial" w:eastAsia="黑体" w:cstheme="minorBidi"/>
      <w:b/>
      <w:kern w:val="2"/>
      <w:sz w:val="28"/>
      <w:szCs w:val="22"/>
    </w:rPr>
  </w:style>
  <w:style w:type="character" w:customStyle="1" w:styleId="164">
    <w:name w:val="批注文字 字符2"/>
    <w:basedOn w:val="43"/>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3"/>
    <w:qFormat/>
    <w:uiPriority w:val="0"/>
    <w:rPr>
      <w:rFonts w:hint="eastAsia" w:ascii="宋体" w:hAnsi="宋体" w:eastAsia="宋体" w:cs="宋体"/>
      <w:color w:val="000000"/>
      <w:sz w:val="18"/>
      <w:szCs w:val="18"/>
      <w:u w:val="none"/>
    </w:rPr>
  </w:style>
  <w:style w:type="character" w:customStyle="1" w:styleId="167">
    <w:name w:val="font31"/>
    <w:basedOn w:val="43"/>
    <w:qFormat/>
    <w:uiPriority w:val="0"/>
    <w:rPr>
      <w:rFonts w:hint="default" w:ascii="Times New Roman" w:hAnsi="Times New Roman" w:cs="Times New Roman"/>
      <w:color w:val="000000"/>
      <w:sz w:val="18"/>
      <w:szCs w:val="18"/>
      <w:u w:val="none"/>
    </w:rPr>
  </w:style>
  <w:style w:type="character" w:customStyle="1" w:styleId="168">
    <w:name w:val="font51"/>
    <w:basedOn w:val="43"/>
    <w:qFormat/>
    <w:uiPriority w:val="0"/>
    <w:rPr>
      <w:rFonts w:hint="eastAsia" w:ascii="宋体" w:hAnsi="宋体" w:eastAsia="宋体" w:cs="宋体"/>
      <w:color w:val="000000"/>
      <w:sz w:val="18"/>
      <w:szCs w:val="18"/>
      <w:u w:val="none"/>
    </w:rPr>
  </w:style>
  <w:style w:type="character" w:customStyle="1" w:styleId="169">
    <w:name w:val="font11"/>
    <w:basedOn w:val="43"/>
    <w:qFormat/>
    <w:uiPriority w:val="0"/>
    <w:rPr>
      <w:rFonts w:hint="eastAsia" w:ascii="宋体" w:hAnsi="宋体" w:eastAsia="宋体" w:cs="宋体"/>
      <w:b/>
      <w:bCs/>
      <w:color w:val="000000"/>
      <w:sz w:val="21"/>
      <w:szCs w:val="21"/>
      <w:u w:val="none"/>
    </w:rPr>
  </w:style>
  <w:style w:type="character" w:customStyle="1" w:styleId="170">
    <w:name w:val="font61"/>
    <w:basedOn w:val="43"/>
    <w:qFormat/>
    <w:uiPriority w:val="0"/>
    <w:rPr>
      <w:rFonts w:hint="eastAsia" w:ascii="宋体" w:hAnsi="宋体" w:eastAsia="宋体" w:cs="宋体"/>
      <w:color w:val="000000"/>
      <w:sz w:val="18"/>
      <w:szCs w:val="18"/>
      <w:u w:val="none"/>
    </w:rPr>
  </w:style>
  <w:style w:type="character" w:customStyle="1" w:styleId="171">
    <w:name w:val="样式 Arial1"/>
    <w:basedOn w:val="43"/>
    <w:qFormat/>
    <w:uiPriority w:val="0"/>
    <w:rPr>
      <w:rFonts w:ascii="Arial" w:hAnsi="Arial" w:eastAsia="宋体"/>
      <w:sz w:val="21"/>
    </w:rPr>
  </w:style>
  <w:style w:type="paragraph" w:customStyle="1" w:styleId="172">
    <w:name w:val="简单回函地址"/>
    <w:basedOn w:val="1"/>
    <w:qFormat/>
    <w:uiPriority w:val="0"/>
    <w:rPr>
      <w:rFonts w:ascii="Times New Roman" w:hAnsi="Times New Roman" w:eastAsia="宋体"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1" Type="http://schemas.openxmlformats.org/officeDocument/2006/relationships/fontTable" Target="fontTable.xml"/><Relationship Id="rId70" Type="http://schemas.openxmlformats.org/officeDocument/2006/relationships/numbering" Target="numbering.xml"/><Relationship Id="rId7" Type="http://schemas.openxmlformats.org/officeDocument/2006/relationships/footer" Target="footer3.xml"/><Relationship Id="rId69" Type="http://schemas.openxmlformats.org/officeDocument/2006/relationships/customXml" Target="../customXml/item1.xml"/><Relationship Id="rId68" Type="http://schemas.openxmlformats.org/officeDocument/2006/relationships/image" Target="media/image27.png"/><Relationship Id="rId67" Type="http://schemas.openxmlformats.org/officeDocument/2006/relationships/image" Target="media/image26.png"/><Relationship Id="rId66" Type="http://schemas.openxmlformats.org/officeDocument/2006/relationships/image" Target="media/image25.png"/><Relationship Id="rId65" Type="http://schemas.openxmlformats.org/officeDocument/2006/relationships/image" Target="media/image24.png"/><Relationship Id="rId64" Type="http://schemas.openxmlformats.org/officeDocument/2006/relationships/image" Target="media/image23.png"/><Relationship Id="rId63" Type="http://schemas.openxmlformats.org/officeDocument/2006/relationships/image" Target="media/image22.png"/><Relationship Id="rId62" Type="http://schemas.openxmlformats.org/officeDocument/2006/relationships/image" Target="media/image21.png"/><Relationship Id="rId61" Type="http://schemas.openxmlformats.org/officeDocument/2006/relationships/image" Target="media/image20.png"/><Relationship Id="rId60" Type="http://schemas.openxmlformats.org/officeDocument/2006/relationships/image" Target="media/image19.png"/><Relationship Id="rId6" Type="http://schemas.openxmlformats.org/officeDocument/2006/relationships/header" Target="header2.xml"/><Relationship Id="rId59" Type="http://schemas.openxmlformats.org/officeDocument/2006/relationships/image" Target="media/image18.png"/><Relationship Id="rId58" Type="http://schemas.openxmlformats.org/officeDocument/2006/relationships/image" Target="media/image17.png"/><Relationship Id="rId57" Type="http://schemas.openxmlformats.org/officeDocument/2006/relationships/image" Target="media/image16.png"/><Relationship Id="rId56" Type="http://schemas.openxmlformats.org/officeDocument/2006/relationships/image" Target="media/image15.png"/><Relationship Id="rId55" Type="http://schemas.openxmlformats.org/officeDocument/2006/relationships/image" Target="media/image14.png"/><Relationship Id="rId54" Type="http://schemas.openxmlformats.org/officeDocument/2006/relationships/image" Target="media/image13.png"/><Relationship Id="rId53" Type="http://schemas.openxmlformats.org/officeDocument/2006/relationships/image" Target="media/image12.png"/><Relationship Id="rId52" Type="http://schemas.openxmlformats.org/officeDocument/2006/relationships/image" Target="media/image11.png"/><Relationship Id="rId51" Type="http://schemas.openxmlformats.org/officeDocument/2006/relationships/image" Target="media/image10.png"/><Relationship Id="rId50" Type="http://schemas.openxmlformats.org/officeDocument/2006/relationships/image" Target="media/image9.png"/><Relationship Id="rId5" Type="http://schemas.openxmlformats.org/officeDocument/2006/relationships/footer" Target="footer2.xml"/><Relationship Id="rId49" Type="http://schemas.openxmlformats.org/officeDocument/2006/relationships/image" Target="media/image8.png"/><Relationship Id="rId48" Type="http://schemas.openxmlformats.org/officeDocument/2006/relationships/image" Target="media/image7.png"/><Relationship Id="rId47" Type="http://schemas.openxmlformats.org/officeDocument/2006/relationships/image" Target="media/image6.png"/><Relationship Id="rId46" Type="http://schemas.openxmlformats.org/officeDocument/2006/relationships/image" Target="media/image5.png"/><Relationship Id="rId45" Type="http://schemas.openxmlformats.org/officeDocument/2006/relationships/image" Target="media/image4.png"/><Relationship Id="rId44" Type="http://schemas.openxmlformats.org/officeDocument/2006/relationships/image" Target="media/image3.png"/><Relationship Id="rId43" Type="http://schemas.openxmlformats.org/officeDocument/2006/relationships/image" Target="media/image2.png"/><Relationship Id="rId42" Type="http://schemas.openxmlformats.org/officeDocument/2006/relationships/theme" Target="theme/theme1.xml"/><Relationship Id="rId41" Type="http://schemas.openxmlformats.org/officeDocument/2006/relationships/footer" Target="footer29.xml"/><Relationship Id="rId40" Type="http://schemas.openxmlformats.org/officeDocument/2006/relationships/footer" Target="footer28.xml"/><Relationship Id="rId4" Type="http://schemas.openxmlformats.org/officeDocument/2006/relationships/footer" Target="footer1.xml"/><Relationship Id="rId39" Type="http://schemas.openxmlformats.org/officeDocument/2006/relationships/header" Target="header10.xml"/><Relationship Id="rId38" Type="http://schemas.openxmlformats.org/officeDocument/2006/relationships/header" Target="header9.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header" Target="header8.xml"/><Relationship Id="rId34" Type="http://schemas.openxmlformats.org/officeDocument/2006/relationships/header" Target="header7.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header" Target="head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82</Pages>
  <Words>23344</Words>
  <Characters>24414</Characters>
  <Lines>371</Lines>
  <Paragraphs>104</Paragraphs>
  <TotalTime>13</TotalTime>
  <ScaleCrop>false</ScaleCrop>
  <LinksUpToDate>false</LinksUpToDate>
  <CharactersWithSpaces>24910</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轻途</cp:lastModifiedBy>
  <cp:lastPrinted>2025-03-10T09:40:00Z</cp:lastPrinted>
  <dcterms:modified xsi:type="dcterms:W3CDTF">2025-11-13T07:15:56Z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ED02EB12B8294FE5807EAA5D2C3C24E0</vt:lpwstr>
  </property>
  <property fmtid="{D5CDD505-2E9C-101B-9397-08002B2CF9AE}" pid="4" name="KSOTemplateDocerSaveRecord">
    <vt:lpwstr>eyJoZGlkIjoiNmY2NmQzZjVmOWZlYjA2ZjdkZDFiNWRhYmRiYWI5MWEiLCJ1c2VySWQiOiIzMDU3ODk3NzcifQ==</vt:lpwstr>
  </property>
</Properties>
</file>