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2025年等保测评项目招标项目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pStyle w:val="23"/>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3"/>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：中国重汽集团数智化转型发展部</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30"/>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30"/>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23"/>
        <w:rPr>
          <w:rFonts w:hint="eastAsia" w:ascii="仿宋_GB2312" w:hAnsi="仿宋_GB2312" w:eastAsia="仿宋_GB2312" w:cs="仿宋_GB2312"/>
          <w:b/>
          <w:bCs/>
          <w:kern w:val="44"/>
          <w:sz w:val="36"/>
          <w:szCs w:val="44"/>
        </w:rPr>
      </w:pPr>
    </w:p>
    <w:p>
      <w:pPr>
        <w:pStyle w:val="4"/>
        <w:jc w:val="both"/>
        <w:rPr>
          <w:rFonts w:hint="eastAsia" w:ascii="仿宋_GB2312" w:hAnsi="仿宋_GB2312" w:eastAsia="仿宋_GB2312" w:cs="仿宋_GB2312"/>
          <w:sz w:val="44"/>
        </w:rPr>
      </w:pPr>
      <w:bookmarkStart w:id="0" w:name="_Toc29994"/>
      <w:bookmarkStart w:id="1" w:name="_Toc5202"/>
      <w:bookmarkStart w:id="2" w:name="_Toc22242"/>
      <w:bookmarkStart w:id="3" w:name="_Toc15480"/>
      <w:bookmarkStart w:id="4" w:name="_Toc23693"/>
    </w:p>
    <w:p>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项目名称：2025年等保测评项目招标项目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项目编号：FSCZB2025110179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一是完成一线通系统、智能通系统、智慧重汽系统、财务系统、业财一体化系统、数据底座系统、IAM系统、产品数据管理系统、职能系统9大系统等保三级测评，输出9套《网络安全等级保护备案表》、《等级保护测评报告》，2025年12月31日前经济南市公安局审核通过（合格率100%），全面满足公安局相关监管要求；二是结合重汽9套系统实际运行场景、技术架构及业务流程针对性制定问题整改计划，明确核心问题清单、整改目标、责任部门/责任人、实际可执行步骤、完成时限及可量化验证标准，具备极强可操作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中国重汽集团数智化转型发展部</w:t>
            </w:r>
          </w:p>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济南市历城区华奥路777号重汽科技大厦</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毕文卿</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17864180472</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w:t>
            </w:r>
            <w:r>
              <w:rPr>
                <w:rFonts w:hint="eastAsia" w:ascii="宋体" w:hAnsi="宋体" w:eastAsia="宋体" w:cs="宋体"/>
                <w:b/>
                <w:snapToGrid w:val="0"/>
                <w:kern w:val="0"/>
                <w:sz w:val="24"/>
                <w:szCs w:val="24"/>
                <w:lang w:val="en-US" w:eastAsia="zh-CN"/>
              </w:rPr>
              <w:t>biwenqing</w:t>
            </w:r>
            <w:r>
              <w:rPr>
                <w:rFonts w:hint="eastAsia" w:ascii="宋体" w:hAnsi="宋体" w:eastAsia="宋体" w:cs="宋体"/>
                <w:b/>
                <w:snapToGrid w:val="0"/>
                <w:kern w:val="0"/>
                <w:sz w:val="24"/>
                <w:szCs w:val="24"/>
              </w:rPr>
              <w:t>@sinotruk.com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72</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服务类6%</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yellow"/>
                <w:u w:val="single"/>
                <w:lang w:val="en-US" w:eastAsia="zh-CN"/>
              </w:rPr>
              <w:t>2000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yellow"/>
              </w:rPr>
              <w:t>万人民币</w:t>
            </w:r>
            <w:r>
              <w:rPr>
                <w:rFonts w:hint="eastAsia" w:ascii="宋体" w:hAnsi="Courier New" w:eastAsia="宋体" w:cs="Times New Roman"/>
                <w:b w:val="0"/>
                <w:bCs/>
                <w:strike w:val="0"/>
                <w:dstrike w:val="0"/>
                <w:highlight w:val="none"/>
              </w:rPr>
              <w:t>（或等值其他货币）；公司成立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pPr>
              <w:pStyle w:val="171"/>
              <w:numPr>
                <w:ilvl w:val="0"/>
                <w:numId w:val="6"/>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pPr>
              <w:pStyle w:val="171"/>
              <w:numPr>
                <w:ilvl w:val="0"/>
                <w:numId w:val="6"/>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lang w:eastAsia="zh-CN"/>
              </w:rPr>
              <w:t>（</w:t>
            </w:r>
            <w:r>
              <w:rPr>
                <w:rFonts w:hint="eastAsia"/>
                <w:b w:val="0"/>
                <w:bCs/>
                <w:strike w:val="0"/>
                <w:dstrike w:val="0"/>
                <w:highlight w:val="yellow"/>
                <w:u w:val="none"/>
              </w:rPr>
              <w:t>不接受</w:t>
            </w:r>
            <w:r>
              <w:rPr>
                <w:rFonts w:hint="eastAsia"/>
                <w:b w:val="0"/>
                <w:bCs/>
                <w:strike w:val="0"/>
                <w:dstrike w:val="0"/>
                <w:highlight w:val="yellow"/>
                <w:u w:val="none"/>
                <w:lang w:eastAsia="zh-CN"/>
              </w:rPr>
              <w:t>）</w:t>
            </w:r>
            <w:r>
              <w:rPr>
                <w:rFonts w:hint="eastAsia"/>
                <w:b w:val="0"/>
                <w:bCs/>
                <w:strike w:val="0"/>
                <w:dstrike w:val="0"/>
                <w:highlight w:val="none"/>
              </w:rPr>
              <w:t>联合体投标</w:t>
            </w:r>
            <w:r>
              <w:rPr>
                <w:rFonts w:hint="eastAsia"/>
                <w:b w:val="0"/>
                <w:bCs/>
                <w:strike w:val="0"/>
                <w:dstrike w:val="0"/>
                <w:highlight w:val="none"/>
                <w:lang w:eastAsia="zh-CN"/>
              </w:rPr>
              <w:t>；</w:t>
            </w:r>
          </w:p>
          <w:p>
            <w:pPr>
              <w:pStyle w:val="171"/>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color w:val="000000"/>
                <w:sz w:val="24"/>
                <w:szCs w:val="24"/>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2025年11月20日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2025年11月30日前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2025年11月30日前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2025年11月25日17：00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2025年11月30日17：00</w:t>
            </w:r>
          </w:p>
          <w:p>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hint="eastAsia"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2025年11月30日17：00</w:t>
            </w:r>
          </w:p>
          <w:p>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1"/>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2025年12月12日9：00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重汽科技大厦三楼会议室</w:t>
            </w:r>
            <w:bookmarkStart w:id="104" w:name="_GoBack"/>
            <w:bookmarkEnd w:id="104"/>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lang w:val="en-US" w:eastAsia="zh-CN"/>
              </w:rPr>
              <w:t>标的、数量、</w:t>
            </w:r>
            <w:r>
              <w:rPr>
                <w:rFonts w:hint="eastAsia" w:ascii="仿宋_GB2312" w:hAnsi="仿宋_GB2312" w:eastAsia="仿宋_GB2312" w:cs="仿宋_GB2312"/>
                <w:b/>
                <w:bCs/>
                <w:color w:val="000000"/>
                <w:sz w:val="24"/>
                <w:szCs w:val="24"/>
              </w:rPr>
              <w:t>交货期：</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标的：乙方（测评方）接受甲方（委托方）委托，为甲方名下以下九套应用系统提供网络安全等级保护三级测评服务，服务需符合国家等级保护和中国重汽集团等保的相关标准和要求，满足甲方等保备案及主管部门监管合规需求。</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具体服务对象（九大系统）如下：一线通系统、智能通系统、智慧重汽系统、财务系统、业财一体化系统、数据底座系统、IAM系统、产品数据管理系统、职能系统。</w:t>
            </w:r>
          </w:p>
          <w:p>
            <w:pPr>
              <w:pStyle w:val="23"/>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2、数量：共9个系统。</w:t>
            </w:r>
          </w:p>
          <w:p>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3、入场测评期：自合同签定生效之日起，15个日历日之内（或者按甲、乙双方约定的时间）完成等保测评及相关报告出具。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招标人指定地点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3"/>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lang w:val="en-US" w:eastAsia="zh-CN"/>
              </w:rPr>
              <w:t>半年期商业汇票（包括银行承兑汇票和商业承兑汇票）</w:t>
            </w:r>
            <w:r>
              <w:rPr>
                <w:rFonts w:hint="eastAsia" w:ascii="仿宋_GB2312" w:hAnsi="仿宋_GB2312" w:eastAsia="仿宋_GB2312" w:cs="仿宋_GB2312"/>
                <w:color w:val="auto"/>
                <w:sz w:val="24"/>
                <w:szCs w:val="24"/>
                <w:highlight w:val="none"/>
              </w:rPr>
              <w:t>：</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甲方以半年期商业汇票（包括银行承兑汇票和商业承兑汇票）方式分以下两个阶段向乙方支付。</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乙方完成项目解决方案并经甲方签字确认合格后，乙方向甲方提供发票，甲方在收到乙方提供的发票后30日内，向乙方支付本合同总金额的90%；</w:t>
            </w:r>
          </w:p>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质保期(自项目验收合格之日起至少一年)结束后，且乙方在质保期内保证了甲方系统的正常运行、升级和维护工作，经甲方签字确认合格后，乙方向甲方提供发票，甲方在收到乙方提供的发票后30日内，向乙方支付本合同总金额的10%。如出现质量等问题，甲方扣除相应金额。</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3"/>
        <w:numPr>
          <w:ilvl w:val="0"/>
          <w:numId w:val="7"/>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7" w:name="_Toc19183"/>
      <w:bookmarkStart w:id="8" w:name="_Toc27087"/>
      <w:bookmarkStart w:id="9" w:name="_Toc427"/>
      <w:bookmarkStart w:id="10" w:name="_Toc6577"/>
      <w:bookmarkStart w:id="11" w:name="_Toc11216"/>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8"/>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3"/>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9"/>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9"/>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5"/>
        <w:rPr>
          <w:rFonts w:hint="eastAsia" w:ascii="仿宋_GB2312" w:hAnsi="仿宋_GB2312" w:eastAsia="仿宋_GB2312" w:cs="仿宋_GB2312"/>
          <w:sz w:val="36"/>
          <w:szCs w:val="36"/>
        </w:rPr>
      </w:pPr>
      <w:bookmarkStart w:id="19" w:name="_Toc33266950"/>
      <w:bookmarkStart w:id="20" w:name="_Toc30534"/>
      <w:bookmarkStart w:id="21" w:name="_Toc33266627"/>
      <w:bookmarkStart w:id="22" w:name="_Toc33285487"/>
      <w:bookmarkStart w:id="23" w:name="_Toc33267001"/>
      <w:bookmarkStart w:id="24" w:name="_Toc33265752"/>
      <w:bookmarkStart w:id="25" w:name="_Toc33265653"/>
      <w:bookmarkStart w:id="26" w:name="_Toc3326691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6915"/>
      <w:bookmarkStart w:id="29" w:name="_Toc33267002"/>
      <w:bookmarkStart w:id="30" w:name="_Toc33265753"/>
      <w:bookmarkStart w:id="31" w:name="_Toc33266951"/>
      <w:bookmarkStart w:id="32" w:name="_Toc33266628"/>
      <w:bookmarkStart w:id="33" w:name="_Toc33285489"/>
      <w:bookmarkStart w:id="34" w:name="_Toc33265654"/>
      <w:bookmarkStart w:id="35" w:name="_Toc395116634"/>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3"/>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3"/>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10"/>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11"/>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10"/>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10"/>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12"/>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13"/>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7"/>
      <w:bookmarkStart w:id="39" w:name="OLE_LINK28"/>
      <w:bookmarkStart w:id="40" w:name="OLE_LINK29"/>
      <w:bookmarkStart w:id="41" w:name="OLE_LINK26"/>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44" w:name="_Toc31869"/>
      <w:bookmarkStart w:id="45" w:name="_Toc13479"/>
      <w:bookmarkStart w:id="46" w:name="_Toc2363"/>
      <w:bookmarkStart w:id="47" w:name="_Toc13002"/>
      <w:bookmarkStart w:id="48" w:name="_Toc21022"/>
      <w:bookmarkStart w:id="49" w:name="_Toc76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5"/>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法定代表人身份证明；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rPr>
        <w:t>法定代表人授权委托书（授权人需带身份证原件）；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rPr>
        <w:t>营业执照副本原件</w:t>
      </w:r>
      <w:r>
        <w:rPr>
          <w:rFonts w:hint="eastAsia" w:ascii="仿宋_GB2312" w:hAnsi="仿宋_GB2312" w:eastAsia="仿宋_GB2312" w:cs="仿宋_GB2312"/>
          <w:color w:val="000000"/>
          <w:sz w:val="24"/>
          <w:szCs w:val="24"/>
          <w:lang w:val="en-US" w:eastAsia="zh-CN"/>
        </w:rPr>
        <w:t>或复印件并加盖公章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rPr>
        <w:t>投标人应具有相应生产证明，若</w:t>
      </w:r>
      <w:r>
        <w:rPr>
          <w:rFonts w:hint="eastAsia" w:ascii="仿宋_GB2312" w:hAnsi="仿宋_GB2312" w:eastAsia="仿宋_GB2312" w:cs="仿宋_GB2312"/>
          <w:color w:val="000000"/>
          <w:sz w:val="24"/>
          <w:szCs w:val="24"/>
          <w:lang w:val="en-US" w:eastAsia="zh-CN"/>
        </w:rPr>
        <w:t>非原厂商</w:t>
      </w:r>
      <w:r>
        <w:rPr>
          <w:rFonts w:hint="eastAsia" w:ascii="仿宋_GB2312" w:hAnsi="仿宋_GB2312" w:eastAsia="仿宋_GB2312" w:cs="仿宋_GB2312"/>
          <w:color w:val="000000"/>
          <w:sz w:val="24"/>
          <w:szCs w:val="24"/>
        </w:rPr>
        <w:t>需提供</w:t>
      </w:r>
      <w:r>
        <w:rPr>
          <w:rFonts w:hint="eastAsia" w:ascii="仿宋_GB2312" w:hAnsi="仿宋_GB2312" w:eastAsia="仿宋_GB2312" w:cs="仿宋_GB2312"/>
          <w:color w:val="000000"/>
          <w:sz w:val="24"/>
          <w:szCs w:val="24"/>
          <w:lang w:val="en-US" w:eastAsia="zh-CN"/>
        </w:rPr>
        <w:t>原厂商</w:t>
      </w:r>
      <w:r>
        <w:rPr>
          <w:rFonts w:hint="eastAsia" w:ascii="仿宋_GB2312" w:hAnsi="仿宋_GB2312" w:eastAsia="仿宋_GB2312" w:cs="仿宋_GB2312"/>
          <w:color w:val="000000"/>
          <w:sz w:val="24"/>
          <w:szCs w:val="24"/>
        </w:rPr>
        <w:t>授权书（原件或加盖投标单位公章的彩色打印件）；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rPr>
        <w:t>证明投标人满足投标资料表中列出的业绩要求的文件</w:t>
      </w:r>
      <w:r>
        <w:rPr>
          <w:rFonts w:hint="eastAsia" w:ascii="仿宋_GB2312" w:hAnsi="仿宋_GB2312" w:eastAsia="仿宋_GB2312" w:cs="仿宋_GB2312"/>
          <w:color w:val="000000"/>
          <w:sz w:val="24"/>
          <w:szCs w:val="24"/>
          <w:lang w:eastAsia="zh-CN"/>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1.6</w:t>
      </w:r>
      <w:r>
        <w:rPr>
          <w:rFonts w:hint="eastAsia" w:ascii="仿宋_GB2312" w:hAnsi="仿宋_GB2312" w:eastAsia="仿宋_GB2312" w:cs="仿宋_GB2312"/>
          <w:color w:val="000000"/>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1.7</w:t>
      </w:r>
      <w:r>
        <w:rPr>
          <w:rFonts w:hint="eastAsia" w:ascii="仿宋_GB2312" w:hAnsi="仿宋_GB2312" w:eastAsia="仿宋_GB2312" w:cs="仿宋_GB2312"/>
          <w:color w:val="000000"/>
          <w:sz w:val="24"/>
          <w:szCs w:val="24"/>
        </w:rPr>
        <w:t>企业最近半年完税证明、信用证明材料（征信报告）；</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1.8</w:t>
      </w:r>
      <w:r>
        <w:rPr>
          <w:rFonts w:hint="eastAsia" w:ascii="仿宋_GB2312" w:hAnsi="仿宋_GB2312" w:eastAsia="仿宋_GB2312" w:cs="仿宋_GB2312"/>
          <w:color w:val="000000"/>
          <w:sz w:val="24"/>
          <w:szCs w:val="24"/>
        </w:rPr>
        <w:t>年度纳税信用评价信息（可从电子税务局查询截图，需加盖公章）；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企业对外担保说明（写明贵单位对外有无对外担保和质押业务，需加盖公章）。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信用中国截图或国家企业信用信息公示系统截图；</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2.1 </w:t>
      </w:r>
      <w:r>
        <w:rPr>
          <w:rFonts w:hint="eastAsia" w:ascii="仿宋_GB2312" w:hAnsi="仿宋_GB2312" w:eastAsia="仿宋_GB2312" w:cs="仿宋_GB2312"/>
          <w:b/>
          <w:bCs/>
          <w:sz w:val="24"/>
          <w:szCs w:val="24"/>
        </w:rPr>
        <w:t>项目实施方案。针对招标文件项目技术要求，提出相应的解决方案。</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2.2 </w:t>
      </w:r>
      <w:r>
        <w:rPr>
          <w:rFonts w:hint="eastAsia" w:ascii="仿宋_GB2312" w:hAnsi="仿宋_GB2312" w:eastAsia="仿宋_GB2312" w:cs="仿宋_GB2312"/>
          <w:b/>
          <w:bCs/>
          <w:sz w:val="24"/>
          <w:szCs w:val="24"/>
        </w:rPr>
        <w:t>项目团队。列示拟参与项目的团队成员及工作简历。</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2.3 </w:t>
      </w:r>
      <w:r>
        <w:rPr>
          <w:rFonts w:hint="eastAsia" w:ascii="仿宋_GB2312" w:hAnsi="仿宋_GB2312" w:eastAsia="仿宋_GB2312" w:cs="仿宋_GB2312"/>
          <w:b/>
          <w:bCs/>
          <w:sz w:val="24"/>
          <w:szCs w:val="24"/>
        </w:rPr>
        <w:t>项目所需的硬件配置总体规划（包括不限于计算资源、存储资源及网络资源等）及预算建议（可根据项目实施进度分期建设）。</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2.4 </w:t>
      </w:r>
      <w:r>
        <w:rPr>
          <w:rFonts w:hint="eastAsia" w:ascii="仿宋_GB2312" w:hAnsi="仿宋_GB2312" w:eastAsia="仿宋_GB2312" w:cs="仿宋_GB2312"/>
          <w:b/>
          <w:bCs/>
          <w:sz w:val="24"/>
          <w:szCs w:val="24"/>
        </w:rPr>
        <w:t xml:space="preserve">综合说明； </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4" w:name="_Toc15748"/>
      <w:r>
        <w:rPr>
          <w:rFonts w:hint="eastAsia" w:ascii="仿宋_GB2312" w:hAnsi="仿宋_GB2312" w:eastAsia="仿宋_GB2312" w:cs="仿宋_GB2312"/>
          <w:b/>
          <w:bCs/>
          <w:sz w:val="24"/>
          <w:szCs w:val="24"/>
          <w:lang w:val="en-US" w:eastAsia="zh-CN"/>
        </w:rPr>
        <w:t>3.1 开标一览表</w:t>
      </w:r>
      <w:r>
        <w:rPr>
          <w:rFonts w:hint="eastAsia" w:ascii="仿宋_GB2312" w:hAnsi="仿宋_GB2312" w:eastAsia="仿宋_GB2312" w:cs="仿宋_GB2312"/>
          <w:b/>
          <w:bCs/>
          <w:kern w:val="2"/>
          <w:sz w:val="24"/>
          <w:szCs w:val="24"/>
          <w:lang w:val="en-US" w:eastAsia="zh-CN" w:bidi="ar-SA"/>
        </w:rPr>
        <w:t>（附件8）</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3.2 </w:t>
      </w:r>
      <w:r>
        <w:rPr>
          <w:rFonts w:hint="eastAsia" w:ascii="仿宋_GB2312" w:hAnsi="仿宋_GB2312" w:eastAsia="仿宋_GB2312" w:cs="仿宋_GB2312"/>
          <w:b/>
          <w:bCs/>
          <w:sz w:val="24"/>
          <w:szCs w:val="24"/>
        </w:rPr>
        <w:t>投标函</w:t>
      </w:r>
      <w:r>
        <w:rPr>
          <w:rFonts w:hint="eastAsia" w:ascii="仿宋_GB2312" w:hAnsi="仿宋_GB2312" w:eastAsia="仿宋_GB2312" w:cs="仿宋_GB2312"/>
          <w:b/>
          <w:bCs/>
          <w:kern w:val="2"/>
          <w:sz w:val="24"/>
          <w:szCs w:val="24"/>
          <w:lang w:val="en-US" w:eastAsia="zh-CN" w:bidi="ar-SA"/>
        </w:rPr>
        <w:t>（附件1）</w:t>
      </w:r>
      <w:r>
        <w:rPr>
          <w:rFonts w:hint="eastAsia" w:ascii="仿宋_GB2312" w:hAnsi="仿宋_GB2312" w:eastAsia="仿宋_GB2312" w:cs="仿宋_GB2312"/>
          <w:b/>
          <w:bCs/>
          <w:sz w:val="24"/>
          <w:szCs w:val="24"/>
        </w:rPr>
        <w:t>;</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 xml:space="preserve">3.3 </w:t>
      </w:r>
      <w:r>
        <w:rPr>
          <w:rFonts w:hint="eastAsia" w:ascii="仿宋_GB2312" w:hAnsi="仿宋_GB2312" w:eastAsia="仿宋_GB2312" w:cs="仿宋_GB2312"/>
          <w:b/>
          <w:bCs/>
          <w:sz w:val="24"/>
          <w:szCs w:val="24"/>
        </w:rPr>
        <w:t>商务条款偏离表；</w:t>
      </w:r>
      <w:r>
        <w:rPr>
          <w:rFonts w:hint="eastAsia" w:ascii="仿宋_GB2312" w:hAnsi="仿宋_GB2312" w:eastAsia="仿宋_GB2312" w:cs="仿宋_GB2312"/>
          <w:b/>
          <w:bCs/>
          <w:kern w:val="2"/>
          <w:sz w:val="24"/>
          <w:szCs w:val="24"/>
          <w:lang w:val="en-US" w:eastAsia="zh-CN" w:bidi="ar-SA"/>
        </w:rPr>
        <w:t>（附件10）</w:t>
      </w:r>
    </w:p>
    <w:p>
      <w:pPr>
        <w:pStyle w:val="2"/>
        <w:ind w:firstLine="420" w:firstLineChars="0"/>
        <w:rPr>
          <w:rFonts w:hint="default"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3.4 分项报价表（附件9-1）</w:t>
      </w:r>
    </w:p>
    <w:p>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四、投标文件格式</w:t>
      </w:r>
      <w:bookmarkEnd w:id="54"/>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pStyle w:val="23"/>
        <w:jc w:val="center"/>
        <w:rPr>
          <w:rFonts w:hint="eastAsia" w:ascii="仿宋_GB2312" w:hAnsi="仿宋_GB2312" w:eastAsia="仿宋_GB2312" w:cs="仿宋_GB2312"/>
          <w:b/>
          <w:bCs/>
          <w:kern w:val="44"/>
          <w:sz w:val="36"/>
          <w:szCs w:val="44"/>
        </w:rPr>
      </w:pPr>
    </w:p>
    <w:p>
      <w:pPr>
        <w:bidi w:val="0"/>
        <w:rPr>
          <w:rFonts w:hint="eastAsia"/>
        </w:rPr>
      </w:pPr>
      <w:bookmarkStart w:id="55" w:name="_Toc13605"/>
      <w:bookmarkStart w:id="56" w:name="_Toc3565"/>
      <w:bookmarkStart w:id="57" w:name="_Toc4483"/>
      <w:bookmarkStart w:id="58" w:name="_Toc7110"/>
      <w:bookmarkStart w:id="59" w:name="_Toc32378"/>
      <w:bookmarkStart w:id="60" w:name="_Toc13562"/>
      <w:bookmarkStart w:id="61" w:name="_Toc13988"/>
      <w:bookmarkStart w:id="62" w:name="_Toc1884"/>
      <w:bookmarkStart w:id="63" w:name="_Toc4532"/>
      <w:bookmarkStart w:id="64" w:name="_Toc21497"/>
      <w:bookmarkStart w:id="65" w:name="_Toc12563"/>
      <w:bookmarkStart w:id="66" w:name="_Toc8032"/>
      <w:bookmarkStart w:id="67" w:name="_Toc30738"/>
      <w:bookmarkStart w:id="68" w:name="_Toc20467"/>
      <w:bookmarkStart w:id="69" w:name="_Toc24913"/>
      <w:bookmarkStart w:id="70" w:name="_Toc20272"/>
      <w:bookmarkStart w:id="71" w:name="_Toc24964"/>
      <w:bookmarkStart w:id="72" w:name="_Toc19672"/>
      <w:bookmarkStart w:id="73" w:name="_Toc11355"/>
      <w:bookmarkStart w:id="74" w:name="_Toc6346"/>
      <w:bookmarkStart w:id="75" w:name="_Toc4029"/>
      <w:bookmarkStart w:id="76" w:name="_Toc14517"/>
      <w:bookmarkStart w:id="77" w:name="_Toc133783966"/>
      <w:bookmarkStart w:id="78" w:name="_Toc12552"/>
      <w:bookmarkStart w:id="79" w:name="_Toc3372"/>
      <w:bookmarkStart w:id="80" w:name="_Toc13555"/>
      <w:bookmarkStart w:id="81" w:name="_Toc6957"/>
      <w:bookmarkStart w:id="82" w:name="_Toc28236"/>
      <w:bookmarkStart w:id="83" w:name="_Toc8202"/>
      <w:bookmarkStart w:id="84" w:name="_Toc16358"/>
      <w:bookmarkStart w:id="85" w:name="_Toc22649"/>
      <w:bookmarkStart w:id="86" w:name="_Toc12714"/>
      <w:bookmarkStart w:id="87" w:name="_Toc18606"/>
      <w:bookmarkStart w:id="88" w:name="_Toc23870"/>
      <w:bookmarkStart w:id="89" w:name="_Toc18182"/>
      <w:bookmarkStart w:id="90" w:name="_Toc18805"/>
      <w:bookmarkStart w:id="91" w:name="_Toc7511"/>
      <w:bookmarkStart w:id="92" w:name="_Toc4194"/>
    </w:p>
    <w:p>
      <w:pPr>
        <w:bidi w:val="0"/>
        <w:rPr>
          <w:rFonts w:hint="eastAsia"/>
        </w:rPr>
      </w:pPr>
    </w:p>
    <w:p>
      <w:pPr>
        <w:bidi w:val="0"/>
        <w:rPr>
          <w:rFonts w:hint="eastAsia"/>
        </w:rPr>
      </w:pPr>
    </w:p>
    <w:p>
      <w:pPr>
        <w:bidi w:val="0"/>
        <w:rPr>
          <w:rFonts w:hint="eastAsia"/>
        </w:rPr>
      </w:pPr>
    </w:p>
    <w:p>
      <w:pPr>
        <w:bidi w:val="0"/>
        <w:rPr>
          <w:rFonts w:hint="eastAsia"/>
        </w:rPr>
      </w:pPr>
    </w:p>
    <w:p>
      <w:pPr>
        <w:pStyle w:val="4"/>
        <w:numPr>
          <w:ilvl w:val="0"/>
          <w:numId w:val="14"/>
        </w:numPr>
        <w:spacing w:line="360" w:lineRule="auto"/>
        <w:rPr>
          <w:rFonts w:hint="eastAsia" w:ascii="仿宋_GB2312" w:hAnsi="仿宋_GB2312" w:eastAsia="仿宋_GB2312" w:cs="仿宋_GB2312"/>
          <w:sz w:val="44"/>
          <w:highlight w:val="green"/>
        </w:rPr>
      </w:pPr>
      <w:bookmarkStart w:id="93" w:name="_Toc10008"/>
      <w:r>
        <w:rPr>
          <w:rFonts w:hint="eastAsia" w:ascii="仿宋_GB2312" w:hAnsi="仿宋_GB2312" w:eastAsia="仿宋_GB2312" w:cs="仿宋_GB2312"/>
          <w:sz w:val="44"/>
          <w:highlight w:val="green"/>
        </w:rPr>
        <w:t>技术标书</w:t>
      </w:r>
      <w:bookmarkEnd w:id="93"/>
    </w:p>
    <w:p>
      <w:pPr>
        <w:pStyle w:val="23"/>
      </w:pPr>
    </w:p>
    <w:p>
      <w:r>
        <w:br w:type="page"/>
      </w:r>
    </w:p>
    <w:p>
      <w:pPr>
        <w:pStyle w:val="23"/>
      </w:pPr>
    </w:p>
    <w:p>
      <w:pPr>
        <w:spacing w:line="360" w:lineRule="auto"/>
        <w:jc w:val="center"/>
        <w:outlineLvl w:val="0"/>
        <w:rPr>
          <w:rFonts w:hint="default" w:ascii="宋体" w:hAnsi="Calibri" w:eastAsia="宋体" w:cs="Times New Roman"/>
          <w:b/>
          <w:sz w:val="36"/>
          <w:szCs w:val="36"/>
          <w:lang w:val="en-US" w:eastAsia="zh-CN"/>
        </w:rPr>
      </w:pPr>
      <w:bookmarkStart w:id="9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bookmarkEnd w:id="94"/>
      <w:r>
        <w:rPr>
          <w:rFonts w:hint="eastAsia" w:ascii="宋体" w:hAnsi="宋体" w:eastAsia="宋体" w:cs="Times New Roman"/>
          <w:b/>
          <w:sz w:val="36"/>
          <w:szCs w:val="36"/>
          <w:lang w:val="en-US" w:eastAsia="zh-CN"/>
        </w:rPr>
        <w:t>合同主要条款</w:t>
      </w:r>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pStyle w:val="172"/>
        <w:numPr>
          <w:ilvl w:val="0"/>
          <w:numId w:val="15"/>
        </w:numPr>
        <w:ind w:left="420"/>
      </w:pPr>
      <w:bookmarkStart w:id="95" w:name="_Toc47976610"/>
      <w:bookmarkStart w:id="96" w:name="_Toc15851"/>
      <w:bookmarkStart w:id="97" w:name="_Toc20872"/>
      <w:bookmarkStart w:id="98" w:name="_Toc8509"/>
      <w:r>
        <w:rPr>
          <w:rFonts w:hint="eastAsia"/>
          <w:lang w:val="en-US" w:eastAsia="zh-CN"/>
        </w:rPr>
        <w:t>标的、数量、</w:t>
      </w:r>
      <w:r>
        <w:rPr>
          <w:rFonts w:hint="eastAsia"/>
        </w:rPr>
        <w:t>交货期</w:t>
      </w:r>
      <w:bookmarkEnd w:id="95"/>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1、标的：</w:t>
      </w:r>
      <w:r>
        <w:rPr>
          <w:rFonts w:hint="default" w:ascii="宋体" w:hAnsi="宋体" w:eastAsia="宋体" w:cs="Times New Roman"/>
          <w:b w:val="0"/>
          <w:bCs w:val="0"/>
          <w:kern w:val="2"/>
          <w:sz w:val="24"/>
          <w:szCs w:val="24"/>
          <w:lang w:val="en-US" w:eastAsia="zh-CN" w:bidi="ar-SA"/>
        </w:rPr>
        <w:t>乙方（测评方）接受甲方（委托方）委托，为甲方名下以下九套应用系统提供网络安全等级保护三级测评服务，服务需符合国家等级保护和中国重汽集团等保的相关标准和要求，满足甲方等保备案及主管部门监管合规需求。</w:t>
      </w:r>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default" w:ascii="宋体" w:hAnsi="宋体" w:eastAsia="宋体" w:cs="Times New Roman"/>
          <w:b w:val="0"/>
          <w:bCs w:val="0"/>
          <w:kern w:val="2"/>
          <w:sz w:val="24"/>
          <w:szCs w:val="24"/>
          <w:lang w:val="en-US" w:eastAsia="zh-CN" w:bidi="ar-SA"/>
        </w:rPr>
        <w:t>具体服务对象（九大系统）如下：一线通系统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智能通系统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智慧重汽系统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财务系统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业财一体化系统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数据底座系统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IAM系统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产品数据管理系统</w:t>
      </w:r>
      <w:r>
        <w:rPr>
          <w:rFonts w:hint="eastAsia" w:ascii="宋体" w:hAnsi="宋体" w:eastAsia="宋体" w:cs="Times New Roman"/>
          <w:b w:val="0"/>
          <w:bCs w:val="0"/>
          <w:kern w:val="2"/>
          <w:sz w:val="24"/>
          <w:szCs w:val="24"/>
          <w:lang w:val="en-US" w:eastAsia="zh-CN" w:bidi="ar-SA"/>
        </w:rPr>
        <w:t>、</w:t>
      </w:r>
      <w:r>
        <w:rPr>
          <w:rFonts w:hint="default" w:ascii="宋体" w:hAnsi="宋体" w:eastAsia="宋体" w:cs="Times New Roman"/>
          <w:b w:val="0"/>
          <w:bCs w:val="0"/>
          <w:kern w:val="2"/>
          <w:sz w:val="24"/>
          <w:szCs w:val="24"/>
          <w:lang w:val="en-US" w:eastAsia="zh-CN" w:bidi="ar-SA"/>
        </w:rPr>
        <w:t>职能系统</w:t>
      </w:r>
      <w:r>
        <w:rPr>
          <w:rFonts w:hint="eastAsia" w:ascii="宋体" w:hAnsi="宋体" w:eastAsia="宋体" w:cs="Times New Roman"/>
          <w:b w:val="0"/>
          <w:bCs w:val="0"/>
          <w:kern w:val="2"/>
          <w:sz w:val="24"/>
          <w:szCs w:val="24"/>
          <w:lang w:val="en-US" w:eastAsia="zh-CN" w:bidi="ar-SA"/>
        </w:rPr>
        <w:t>。</w:t>
      </w:r>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2、数量：共9个系统。</w:t>
      </w:r>
    </w:p>
    <w:p>
      <w:pPr>
        <w:pStyle w:val="172"/>
        <w:numPr>
          <w:ilvl w:val="0"/>
          <w:numId w:val="0"/>
        </w:numPr>
        <w:ind w:leftChars="0" w:firstLine="480" w:firstLineChars="200"/>
        <w:rPr>
          <w:rFonts w:hint="default"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3、入场测评期：自合同签定生效之日起，15个日历日之内（或者按甲、乙双方约定的时间）完成等保测评及相关报告出具。</w:t>
      </w:r>
    </w:p>
    <w:p>
      <w:pPr>
        <w:pStyle w:val="172"/>
      </w:pPr>
      <w:bookmarkStart w:id="99" w:name="_Toc47976611"/>
      <w:r>
        <w:rPr>
          <w:rFonts w:hint="eastAsia"/>
        </w:rPr>
        <w:t>交货地点</w:t>
      </w:r>
      <w:bookmarkEnd w:id="99"/>
    </w:p>
    <w:p>
      <w:pPr>
        <w:pStyle w:val="172"/>
        <w:numPr>
          <w:ilvl w:val="0"/>
          <w:numId w:val="0"/>
        </w:numPr>
        <w:ind w:leftChars="0" w:firstLine="480" w:firstLineChars="200"/>
        <w:rPr>
          <w:rFonts w:hint="default" w:eastAsia="黑体"/>
          <w:sz w:val="32"/>
          <w:szCs w:val="21"/>
          <w:lang w:val="en-US" w:eastAsia="zh-CN"/>
        </w:rPr>
      </w:pPr>
      <w:r>
        <w:rPr>
          <w:rFonts w:hint="eastAsia" w:ascii="宋体" w:hAnsi="宋体" w:eastAsia="宋体" w:cs="Times New Roman"/>
          <w:b w:val="0"/>
          <w:bCs w:val="0"/>
          <w:kern w:val="2"/>
          <w:sz w:val="24"/>
          <w:szCs w:val="24"/>
          <w:lang w:val="en-US" w:eastAsia="zh-CN" w:bidi="ar-SA"/>
        </w:rPr>
        <w:t>中国重汽集团未来科技大厦。</w:t>
      </w:r>
    </w:p>
    <w:p>
      <w:pPr>
        <w:pStyle w:val="172"/>
      </w:pPr>
      <w:bookmarkStart w:id="100" w:name="_Toc47976612"/>
      <w:r>
        <w:rPr>
          <w:rFonts w:hint="eastAsia"/>
          <w:lang w:val="en-US" w:eastAsia="zh-CN"/>
        </w:rPr>
        <w:t>价款及</w:t>
      </w:r>
      <w:r>
        <w:rPr>
          <w:rFonts w:hint="eastAsia"/>
        </w:rPr>
        <w:t>付款方式</w:t>
      </w:r>
      <w:bookmarkEnd w:id="100"/>
    </w:p>
    <w:p>
      <w:pPr>
        <w:pStyle w:val="175"/>
        <w:numPr>
          <w:ilvl w:val="0"/>
          <w:numId w:val="0"/>
        </w:numPr>
        <w:tabs>
          <w:tab w:val="left" w:pos="851"/>
          <w:tab w:val="left" w:pos="8789"/>
        </w:tabs>
        <w:ind w:right="-71" w:rightChars="-34" w:firstLine="480" w:firstLineChars="200"/>
        <w:rPr>
          <w:rFonts w:ascii="宋体" w:hAnsi="宋体"/>
          <w:sz w:val="24"/>
          <w:szCs w:val="24"/>
        </w:rPr>
      </w:pPr>
      <w:r>
        <w:rPr>
          <w:rFonts w:hint="eastAsia" w:ascii="宋体" w:hAnsi="宋体"/>
          <w:sz w:val="24"/>
          <w:szCs w:val="24"/>
        </w:rPr>
        <w:t>本次招标项目投标报价设置最高限价，投标人投标报价不得高于人民币 720000元（大写：柒拾贰万元整）（含6%增值税）。甲方以半年期商业汇票（包括银行承兑汇票和商业承兑汇票）方式分以下两个阶段向乙方支付。</w:t>
      </w:r>
    </w:p>
    <w:p>
      <w:pPr>
        <w:pStyle w:val="175"/>
        <w:numPr>
          <w:ilvl w:val="0"/>
          <w:numId w:val="16"/>
        </w:numPr>
        <w:tabs>
          <w:tab w:val="left" w:pos="0"/>
          <w:tab w:val="left" w:pos="851"/>
        </w:tabs>
        <w:ind w:left="0" w:right="-71" w:rightChars="-34" w:firstLine="426"/>
        <w:rPr>
          <w:rFonts w:ascii="宋体" w:hAnsi="宋体"/>
          <w:sz w:val="24"/>
          <w:szCs w:val="24"/>
        </w:rPr>
      </w:pPr>
      <w:r>
        <w:rPr>
          <w:rFonts w:hint="eastAsia" w:ascii="宋体" w:hAnsi="宋体"/>
          <w:sz w:val="24"/>
          <w:szCs w:val="24"/>
        </w:rPr>
        <w:t>乙方完成项目解决方案并经甲方签字确认合格后，乙方向甲方提供发票，甲方在收到乙方提供的发票后</w:t>
      </w:r>
      <w:r>
        <w:rPr>
          <w:rFonts w:ascii="宋体" w:hAnsi="宋体"/>
          <w:sz w:val="24"/>
          <w:szCs w:val="24"/>
        </w:rPr>
        <w:t>30日内，</w:t>
      </w:r>
      <w:r>
        <w:rPr>
          <w:rFonts w:hint="eastAsia" w:ascii="宋体" w:hAnsi="宋体"/>
          <w:sz w:val="24"/>
          <w:szCs w:val="24"/>
        </w:rPr>
        <w:t>向乙方支付本合同总金额的</w:t>
      </w:r>
      <w:r>
        <w:rPr>
          <w:rFonts w:hint="eastAsia" w:ascii="宋体" w:hAnsi="宋体"/>
          <w:sz w:val="24"/>
          <w:szCs w:val="24"/>
          <w:u w:val="single"/>
        </w:rPr>
        <w:t>90</w:t>
      </w:r>
      <w:r>
        <w:rPr>
          <w:rFonts w:ascii="宋体" w:hAnsi="宋体"/>
          <w:sz w:val="24"/>
          <w:szCs w:val="24"/>
          <w:u w:val="single"/>
        </w:rPr>
        <w:t>%</w:t>
      </w:r>
      <w:r>
        <w:rPr>
          <w:rFonts w:hint="eastAsia" w:ascii="宋体" w:hAnsi="宋体"/>
          <w:sz w:val="24"/>
          <w:szCs w:val="24"/>
        </w:rPr>
        <w:t>；</w:t>
      </w:r>
    </w:p>
    <w:p>
      <w:pPr>
        <w:pStyle w:val="175"/>
        <w:numPr>
          <w:ilvl w:val="0"/>
          <w:numId w:val="16"/>
        </w:numPr>
        <w:tabs>
          <w:tab w:val="left" w:pos="0"/>
          <w:tab w:val="left" w:pos="851"/>
        </w:tabs>
        <w:ind w:left="0" w:right="-71" w:rightChars="-34" w:firstLine="426"/>
        <w:rPr>
          <w:rFonts w:ascii="宋体" w:hAnsi="宋体"/>
          <w:sz w:val="24"/>
          <w:szCs w:val="24"/>
        </w:rPr>
      </w:pPr>
      <w:r>
        <w:rPr>
          <w:rFonts w:hint="eastAsia" w:ascii="宋体" w:hAnsi="宋体"/>
          <w:sz w:val="24"/>
          <w:szCs w:val="24"/>
        </w:rPr>
        <w:t>质保期</w:t>
      </w:r>
      <w:r>
        <w:rPr>
          <w:rFonts w:ascii="宋体" w:hAnsi="宋体"/>
          <w:sz w:val="24"/>
          <w:szCs w:val="24"/>
        </w:rPr>
        <w:t>(</w:t>
      </w:r>
      <w:r>
        <w:rPr>
          <w:rFonts w:hint="eastAsia" w:ascii="宋体" w:hAnsi="宋体"/>
          <w:sz w:val="24"/>
          <w:szCs w:val="24"/>
        </w:rPr>
        <w:t>自项目验收合格之日起至少一年</w:t>
      </w:r>
      <w:r>
        <w:rPr>
          <w:rFonts w:ascii="宋体" w:hAnsi="宋体"/>
          <w:sz w:val="24"/>
          <w:szCs w:val="24"/>
        </w:rPr>
        <w:t>)结束后，且乙方在质保期内保证了</w:t>
      </w:r>
      <w:r>
        <w:rPr>
          <w:rFonts w:hint="eastAsia" w:ascii="宋体" w:hAnsi="宋体"/>
          <w:sz w:val="24"/>
          <w:szCs w:val="24"/>
        </w:rPr>
        <w:t>甲方</w:t>
      </w:r>
      <w:r>
        <w:rPr>
          <w:rFonts w:ascii="宋体" w:hAnsi="宋体"/>
          <w:sz w:val="24"/>
          <w:szCs w:val="24"/>
        </w:rPr>
        <w:t>系统的正常运行、升级和维护工作</w:t>
      </w:r>
      <w:r>
        <w:rPr>
          <w:rFonts w:hint="eastAsia" w:ascii="宋体" w:hAnsi="宋体"/>
          <w:sz w:val="24"/>
          <w:szCs w:val="24"/>
        </w:rPr>
        <w:t>，经甲方签字确认合格后，</w:t>
      </w:r>
      <w:r>
        <w:rPr>
          <w:rFonts w:ascii="宋体" w:hAnsi="宋体"/>
          <w:sz w:val="24"/>
          <w:szCs w:val="24"/>
        </w:rPr>
        <w:t>乙方向甲方提供发票，甲方在收到乙方提供的发票后30日内，向乙方支付本合同总金额的1</w:t>
      </w:r>
      <w:r>
        <w:rPr>
          <w:rFonts w:hint="eastAsia" w:ascii="宋体" w:hAnsi="宋体"/>
          <w:sz w:val="24"/>
          <w:szCs w:val="24"/>
        </w:rPr>
        <w:t>0</w:t>
      </w:r>
      <w:r>
        <w:rPr>
          <w:rFonts w:ascii="宋体" w:hAnsi="宋体"/>
          <w:sz w:val="24"/>
          <w:szCs w:val="24"/>
        </w:rPr>
        <w:t>%</w:t>
      </w:r>
      <w:r>
        <w:rPr>
          <w:rFonts w:hint="eastAsia" w:ascii="宋体" w:hAnsi="宋体"/>
          <w:sz w:val="24"/>
          <w:szCs w:val="24"/>
        </w:rPr>
        <w:t>。如出现质量等问题，甲方扣除相应金额。</w:t>
      </w:r>
    </w:p>
    <w:p>
      <w:pPr>
        <w:pStyle w:val="172"/>
      </w:pPr>
      <w:bookmarkStart w:id="101" w:name="_Toc47976613"/>
      <w:r>
        <w:rPr>
          <w:rFonts w:hint="eastAsia"/>
          <w:lang w:val="en-US" w:eastAsia="zh-CN"/>
        </w:rPr>
        <w:t>质量要求、</w:t>
      </w:r>
      <w:r>
        <w:rPr>
          <w:rFonts w:hint="eastAsia"/>
        </w:rPr>
        <w:t>保修期及售后服务</w:t>
      </w:r>
      <w:bookmarkEnd w:id="101"/>
    </w:p>
    <w:p>
      <w:pPr>
        <w:pStyle w:val="175"/>
        <w:numPr>
          <w:ilvl w:val="0"/>
          <w:numId w:val="17"/>
        </w:numPr>
        <w:tabs>
          <w:tab w:val="left" w:pos="0"/>
          <w:tab w:val="left" w:pos="851"/>
        </w:tabs>
        <w:ind w:left="0" w:right="-71" w:rightChars="-34" w:firstLine="480" w:firstLineChars="200"/>
        <w:rPr>
          <w:rFonts w:hint="eastAsia" w:ascii="宋体" w:hAnsi="宋体"/>
          <w:sz w:val="24"/>
          <w:szCs w:val="24"/>
        </w:rPr>
      </w:pPr>
      <w:r>
        <w:rPr>
          <w:rFonts w:hint="eastAsia" w:ascii="宋体" w:hAnsi="宋体"/>
          <w:sz w:val="24"/>
          <w:szCs w:val="24"/>
        </w:rPr>
        <w:t xml:space="preserve">等保测评质量要求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 xml:space="preserve">测评过程需严格遵循国家等级保护和中国重汽集团等保的相关标准和要求。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测评结果需真实、准确、完整，需出具符合规范的测评报告，</w:t>
      </w:r>
      <w:r>
        <w:rPr>
          <w:rFonts w:hint="eastAsia" w:ascii="宋体" w:hAnsi="宋体"/>
          <w:sz w:val="24"/>
          <w:szCs w:val="24"/>
          <w:lang w:val="en-US" w:eastAsia="zh-CN"/>
        </w:rPr>
        <w:t>同时对于监管部门要求的其他相关材料</w:t>
      </w:r>
      <w:r>
        <w:rPr>
          <w:rFonts w:hint="eastAsia" w:ascii="宋体" w:hAnsi="宋体"/>
          <w:sz w:val="24"/>
          <w:szCs w:val="24"/>
        </w:rPr>
        <w:t xml:space="preserve">需通过相关部门认可或备案。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3</w:t>
      </w:r>
      <w:r>
        <w:rPr>
          <w:rFonts w:hint="eastAsia" w:ascii="宋体" w:hAnsi="宋体"/>
          <w:sz w:val="24"/>
          <w:szCs w:val="24"/>
          <w:lang w:eastAsia="zh-CN"/>
        </w:rPr>
        <w:t>）</w:t>
      </w:r>
      <w:r>
        <w:rPr>
          <w:rFonts w:hint="eastAsia" w:ascii="宋体" w:hAnsi="宋体"/>
          <w:sz w:val="24"/>
          <w:szCs w:val="24"/>
        </w:rPr>
        <w:t>测评过程中需保障被测评方的信息安全，不得泄露其商业秘密、敏感数据等核心信息。</w:t>
      </w:r>
    </w:p>
    <w:p>
      <w:pPr>
        <w:pStyle w:val="175"/>
        <w:numPr>
          <w:ilvl w:val="0"/>
          <w:numId w:val="17"/>
        </w:numPr>
        <w:tabs>
          <w:tab w:val="left" w:pos="0"/>
          <w:tab w:val="left" w:pos="851"/>
        </w:tabs>
        <w:ind w:left="0" w:right="-71" w:rightChars="-34" w:firstLine="480" w:firstLineChars="200"/>
        <w:rPr>
          <w:rFonts w:hint="eastAsia" w:ascii="宋体" w:hAnsi="宋体"/>
          <w:sz w:val="24"/>
          <w:szCs w:val="24"/>
        </w:rPr>
      </w:pPr>
      <w:r>
        <w:rPr>
          <w:rFonts w:hint="eastAsia" w:ascii="宋体" w:hAnsi="宋体"/>
          <w:sz w:val="24"/>
          <w:szCs w:val="24"/>
        </w:rPr>
        <w:t xml:space="preserve">保修期（质保期）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本合同项下等保测评服务的质保期为1年，自</w:t>
      </w:r>
      <w:r>
        <w:rPr>
          <w:rFonts w:hint="eastAsia" w:ascii="宋体" w:hAnsi="宋体"/>
          <w:sz w:val="24"/>
          <w:szCs w:val="24"/>
          <w:lang w:val="en-US" w:eastAsia="zh-CN"/>
        </w:rPr>
        <w:t>等保相关</w:t>
      </w:r>
      <w:r>
        <w:rPr>
          <w:rFonts w:hint="eastAsia" w:ascii="宋体" w:hAnsi="宋体"/>
          <w:sz w:val="24"/>
          <w:szCs w:val="24"/>
        </w:rPr>
        <w:t xml:space="preserve">报告正式交付且通过被测评方验收之日起计算。 </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质保期内，若因测评方自身工作失误导致测评报告存在错误、遗漏，或不符合相关标准要求，测评方需在约定时间内免费重新提供测评服务并出具修正后的报告。</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售后服务</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响应时效：质保期内，被测评方提出售后服务需求后，测评方需在24小时内给出明确响应，48小时内提供具体解决方案。</w:t>
      </w:r>
    </w:p>
    <w:p>
      <w:pPr>
        <w:pStyle w:val="175"/>
        <w:numPr>
          <w:ilvl w:val="0"/>
          <w:numId w:val="0"/>
        </w:numPr>
        <w:tabs>
          <w:tab w:val="left" w:pos="0"/>
          <w:tab w:val="left" w:pos="851"/>
        </w:tabs>
        <w:ind w:right="-71" w:rightChars="-34" w:firstLine="480" w:firstLineChars="200"/>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服务内容：免费提供等保相关政策咨询、测评报告解读服务；协助被测评方应对主管部门的检查或复核，提供必要的技术支持。</w:t>
      </w:r>
    </w:p>
    <w:p>
      <w:pPr>
        <w:pStyle w:val="172"/>
      </w:pPr>
      <w:bookmarkStart w:id="102" w:name="_Toc47976614"/>
      <w:r>
        <w:rPr>
          <w:rFonts w:hint="eastAsia"/>
        </w:rPr>
        <w:t>安装、调试及验收要求</w:t>
      </w:r>
      <w:bookmarkEnd w:id="102"/>
    </w:p>
    <w:p>
      <w:pPr>
        <w:pStyle w:val="175"/>
        <w:numPr>
          <w:ilvl w:val="0"/>
          <w:numId w:val="18"/>
        </w:numPr>
        <w:tabs>
          <w:tab w:val="left" w:pos="0"/>
          <w:tab w:val="left" w:pos="851"/>
        </w:tabs>
        <w:ind w:left="0" w:right="-71" w:rightChars="-34" w:firstLine="480" w:firstLineChars="200"/>
        <w:rPr>
          <w:rFonts w:ascii="宋体" w:hAnsi="宋体"/>
          <w:sz w:val="24"/>
          <w:szCs w:val="24"/>
        </w:rPr>
      </w:pPr>
      <w:r>
        <w:rPr>
          <w:rFonts w:hint="eastAsia" w:ascii="宋体" w:hAnsi="宋体"/>
          <w:sz w:val="24"/>
          <w:szCs w:val="24"/>
        </w:rPr>
        <w:t>本项目实施服务计划进度、交付物以及提供的售后服务，严格按照工作说明书</w:t>
      </w:r>
      <w:r>
        <w:rPr>
          <w:rFonts w:ascii="宋体" w:hAnsi="宋体"/>
          <w:sz w:val="24"/>
          <w:szCs w:val="24"/>
        </w:rPr>
        <w:t>内容执行。</w:t>
      </w:r>
    </w:p>
    <w:p>
      <w:pPr>
        <w:pStyle w:val="175"/>
        <w:numPr>
          <w:ilvl w:val="0"/>
          <w:numId w:val="18"/>
        </w:numPr>
        <w:tabs>
          <w:tab w:val="left" w:pos="0"/>
          <w:tab w:val="left" w:pos="851"/>
        </w:tabs>
        <w:ind w:left="0" w:right="-71" w:rightChars="-34" w:firstLine="480" w:firstLineChars="200"/>
        <w:rPr>
          <w:rFonts w:ascii="宋体" w:hAnsi="宋体"/>
          <w:sz w:val="24"/>
          <w:szCs w:val="24"/>
        </w:rPr>
      </w:pPr>
      <w:r>
        <w:rPr>
          <w:rFonts w:hint="eastAsia" w:ascii="宋体" w:hAnsi="宋体"/>
          <w:sz w:val="24"/>
          <w:szCs w:val="24"/>
        </w:rPr>
        <w:t>系统试运行之前，乙方须负责建立甲方认可的系统运行、维护机制。</w:t>
      </w:r>
    </w:p>
    <w:p>
      <w:pPr>
        <w:pStyle w:val="175"/>
        <w:numPr>
          <w:ilvl w:val="0"/>
          <w:numId w:val="18"/>
        </w:numPr>
        <w:tabs>
          <w:tab w:val="left" w:pos="0"/>
          <w:tab w:val="left" w:pos="851"/>
        </w:tabs>
        <w:ind w:left="0" w:right="-71" w:rightChars="-34" w:firstLine="480" w:firstLineChars="200"/>
      </w:pPr>
      <w:r>
        <w:rPr>
          <w:rFonts w:hint="eastAsia" w:ascii="宋体" w:hAnsi="宋体" w:cs="Times New Roman"/>
          <w:sz w:val="24"/>
          <w:szCs w:val="24"/>
        </w:rPr>
        <w:t>项目实施服务过</w:t>
      </w:r>
      <w:r>
        <w:rPr>
          <w:rFonts w:hint="eastAsia" w:ascii="宋体" w:hAnsi="宋体"/>
          <w:sz w:val="24"/>
          <w:szCs w:val="24"/>
        </w:rPr>
        <w:t>程各个阶段工作中，甲乙双方均需填写验收表，经双方项目经理签字确认，并作为项目最终验收依据。</w:t>
      </w:r>
    </w:p>
    <w:p>
      <w:pPr>
        <w:pStyle w:val="172"/>
      </w:pPr>
      <w:r>
        <w:rPr>
          <w:rFonts w:hint="eastAsia"/>
          <w:lang w:val="en-US" w:eastAsia="zh-CN"/>
        </w:rPr>
        <w:t>违约责任</w:t>
      </w:r>
    </w:p>
    <w:p>
      <w:pPr>
        <w:numPr>
          <w:ilvl w:val="0"/>
          <w:numId w:val="19"/>
        </w:numPr>
        <w:tabs>
          <w:tab w:val="left" w:pos="851"/>
          <w:tab w:val="left" w:pos="993"/>
        </w:tabs>
        <w:spacing w:line="360" w:lineRule="auto"/>
        <w:ind w:left="0" w:right="-71" w:rightChars="-34" w:firstLine="480" w:firstLineChars="200"/>
        <w:jc w:val="left"/>
        <w:rPr>
          <w:rFonts w:ascii="宋体" w:hAnsi="宋体"/>
          <w:sz w:val="24"/>
          <w:szCs w:val="24"/>
        </w:rPr>
      </w:pPr>
      <w:r>
        <w:rPr>
          <w:rFonts w:hint="eastAsia" w:ascii="宋体" w:hAnsi="宋体"/>
          <w:sz w:val="24"/>
          <w:szCs w:val="24"/>
        </w:rPr>
        <w:t>合同签署及履行过程中，未经甲方书面同意，乙方不得将本合同项下项目擅自转让或分包，否则应承担合同总金额</w:t>
      </w:r>
      <w:r>
        <w:rPr>
          <w:rFonts w:ascii="宋体" w:hAnsi="宋体"/>
          <w:sz w:val="24"/>
          <w:szCs w:val="24"/>
        </w:rPr>
        <w:t>10%的违约金。</w:t>
      </w:r>
    </w:p>
    <w:p>
      <w:pPr>
        <w:numPr>
          <w:ilvl w:val="0"/>
          <w:numId w:val="19"/>
        </w:numPr>
        <w:tabs>
          <w:tab w:val="left" w:pos="851"/>
          <w:tab w:val="left" w:pos="993"/>
        </w:tabs>
        <w:spacing w:line="360" w:lineRule="auto"/>
        <w:ind w:left="0" w:right="-71" w:rightChars="-34" w:firstLine="480" w:firstLineChars="200"/>
        <w:jc w:val="left"/>
        <w:rPr>
          <w:rFonts w:hint="eastAsia" w:ascii="宋体" w:hAnsi="宋体"/>
          <w:sz w:val="24"/>
          <w:szCs w:val="24"/>
        </w:rPr>
      </w:pPr>
      <w:r>
        <w:rPr>
          <w:rFonts w:hint="eastAsia" w:ascii="宋体" w:hAnsi="宋体"/>
          <w:sz w:val="24"/>
          <w:szCs w:val="24"/>
        </w:rPr>
        <w:t>由于乙方原因未按照本合同及其附件规定的时间节点完成实施服务的，乙方每逾期一日应按合同总金额万分之三的标准向甲方支付违约金。乙方逾期</w:t>
      </w:r>
      <w:r>
        <w:rPr>
          <w:rFonts w:ascii="宋体" w:hAnsi="宋体"/>
          <w:sz w:val="24"/>
          <w:szCs w:val="24"/>
        </w:rPr>
        <w:t>30日仍未完成的，</w:t>
      </w:r>
      <w:r>
        <w:rPr>
          <w:rFonts w:hint="eastAsia" w:ascii="宋体" w:hAnsi="宋体"/>
          <w:sz w:val="24"/>
          <w:szCs w:val="24"/>
        </w:rPr>
        <w:t>甲方有权单方解除合同并要求返还甲方已支付的但乙方还未提供相应服务的合同款。</w:t>
      </w:r>
    </w:p>
    <w:p>
      <w:pPr>
        <w:numPr>
          <w:ilvl w:val="0"/>
          <w:numId w:val="19"/>
        </w:numPr>
        <w:tabs>
          <w:tab w:val="left" w:pos="851"/>
          <w:tab w:val="left" w:pos="993"/>
        </w:tabs>
        <w:spacing w:line="360" w:lineRule="auto"/>
        <w:ind w:left="0" w:right="-71" w:rightChars="-34" w:firstLine="480" w:firstLineChars="200"/>
        <w:jc w:val="left"/>
        <w:rPr>
          <w:rFonts w:hint="eastAsia" w:ascii="宋体" w:hAnsi="宋体"/>
          <w:sz w:val="24"/>
          <w:szCs w:val="24"/>
        </w:rPr>
      </w:pPr>
      <w:r>
        <w:rPr>
          <w:rFonts w:hint="eastAsia" w:ascii="宋体" w:hAnsi="宋体"/>
          <w:sz w:val="24"/>
          <w:szCs w:val="24"/>
        </w:rPr>
        <w:t>由于甲方原因造成乙方逾期交付实施服务的，乙方不承担违约责任。</w:t>
      </w:r>
    </w:p>
    <w:p>
      <w:pPr>
        <w:numPr>
          <w:ilvl w:val="0"/>
          <w:numId w:val="19"/>
        </w:numPr>
        <w:tabs>
          <w:tab w:val="left" w:pos="851"/>
          <w:tab w:val="left" w:pos="993"/>
        </w:tabs>
        <w:spacing w:line="360" w:lineRule="auto"/>
        <w:ind w:left="0" w:right="-71" w:rightChars="-34" w:firstLine="480" w:firstLineChars="200"/>
        <w:jc w:val="left"/>
        <w:rPr>
          <w:rFonts w:ascii="宋体" w:hAnsi="宋体"/>
          <w:color w:val="000000"/>
          <w:sz w:val="24"/>
          <w:szCs w:val="24"/>
        </w:rPr>
      </w:pPr>
      <w:r>
        <w:rPr>
          <w:rFonts w:hint="eastAsia" w:ascii="宋体" w:hAnsi="宋体"/>
          <w:sz w:val="24"/>
          <w:szCs w:val="24"/>
        </w:rPr>
        <w:t xml:space="preserve">在合同履行过程中，乙方提供的工作人员资历及实施服务人天数量未达到合同及其附件要求的，应承担合同总金额10%的违约金。   </w:t>
      </w:r>
      <w:bookmarkStart w:id="103" w:name="_Hlk60487931"/>
    </w:p>
    <w:p>
      <w:pPr>
        <w:numPr>
          <w:ilvl w:val="0"/>
          <w:numId w:val="19"/>
        </w:numPr>
        <w:tabs>
          <w:tab w:val="left" w:pos="851"/>
          <w:tab w:val="left" w:pos="993"/>
        </w:tabs>
        <w:spacing w:line="360" w:lineRule="auto"/>
        <w:ind w:left="0" w:right="-71" w:rightChars="-34" w:firstLine="480" w:firstLineChars="200"/>
        <w:jc w:val="left"/>
        <w:rPr>
          <w:rFonts w:ascii="宋体" w:hAnsi="宋体"/>
          <w:color w:val="000000"/>
          <w:sz w:val="24"/>
          <w:szCs w:val="24"/>
        </w:rPr>
      </w:pPr>
      <w:r>
        <w:rPr>
          <w:rFonts w:hint="eastAsia" w:ascii="宋体" w:hAnsi="宋体"/>
          <w:color w:val="000000"/>
          <w:sz w:val="24"/>
          <w:szCs w:val="24"/>
        </w:rPr>
        <w:t xml:space="preserve">由于乙方未按照本合同及其附件（包括质量、知识产权及保密等相关条款）的要求履行相对应的实施服务或服务未达到招标文件、合同及附件的要求而给甲方造成任何损失，以及由于乙方人员故意或恶意或过失造成的工作内容瑕疵对甲方生产运营及相关系统软件造成不良影响的，乙方均须承担乙方相关的赔偿责任，视具体损失及影响情况，甲方有权考核乙方一定比例的项目款。 </w:t>
      </w:r>
      <w:bookmarkEnd w:id="103"/>
      <w:r>
        <w:rPr>
          <w:rFonts w:ascii="宋体" w:hAnsi="宋体"/>
          <w:sz w:val="24"/>
          <w:szCs w:val="24"/>
        </w:rPr>
        <w:t xml:space="preserve"> </w:t>
      </w:r>
    </w:p>
    <w:p>
      <w:pPr>
        <w:numPr>
          <w:ilvl w:val="0"/>
          <w:numId w:val="19"/>
        </w:numPr>
        <w:tabs>
          <w:tab w:val="left" w:pos="851"/>
        </w:tabs>
        <w:spacing w:line="360" w:lineRule="auto"/>
        <w:ind w:left="0" w:firstLine="480" w:firstLineChars="200"/>
      </w:pPr>
      <w:r>
        <w:rPr>
          <w:rFonts w:hint="eastAsia" w:ascii="宋体" w:hAnsi="宋体"/>
          <w:sz w:val="24"/>
          <w:szCs w:val="24"/>
        </w:rPr>
        <w:t>若乙方提供发票出现税务问题时，乙方应承担赔偿责任，包括但不限于税款、滞纳金、罚款及其相关的损失。</w:t>
      </w:r>
    </w:p>
    <w:p>
      <w:pPr>
        <w:pStyle w:val="172"/>
      </w:pPr>
      <w:r>
        <w:rPr>
          <w:rFonts w:hint="eastAsia"/>
          <w:lang w:val="en-US" w:eastAsia="zh-CN"/>
        </w:rPr>
        <w:t>争议解决方式</w:t>
      </w:r>
    </w:p>
    <w:p>
      <w:pPr>
        <w:tabs>
          <w:tab w:val="left" w:pos="993"/>
        </w:tabs>
        <w:spacing w:line="360" w:lineRule="auto"/>
        <w:ind w:right="-71" w:rightChars="-34" w:firstLine="480" w:firstLineChars="200"/>
        <w:jc w:val="left"/>
        <w:rPr>
          <w:rFonts w:hint="default" w:ascii="宋体" w:hAnsi="宋体"/>
          <w:sz w:val="24"/>
          <w:szCs w:val="24"/>
          <w:lang w:val="en-US" w:eastAsia="zh-CN"/>
        </w:rPr>
      </w:pPr>
      <w:r>
        <w:rPr>
          <w:rFonts w:hint="eastAsia" w:ascii="宋体" w:hAnsi="宋体"/>
          <w:sz w:val="24"/>
          <w:szCs w:val="24"/>
          <w:lang w:val="en-US" w:eastAsia="zh-CN"/>
        </w:rPr>
        <w:t>双方在本合同履行中发生的任何争议，首先应友好协商解决。协商不成的，任何一方均可向甲方住所地有管辖权的人民法院提起诉讼。</w:t>
      </w:r>
    </w:p>
    <w:p>
      <w:r>
        <w:rPr>
          <w:rFonts w:hint="eastAsia" w:ascii="宋体" w:hAnsi="宋体"/>
          <w:sz w:val="24"/>
          <w:szCs w:val="24"/>
          <w:lang w:eastAsia="zh-CN"/>
        </w:rPr>
        <w:br w:type="page"/>
      </w: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6"/>
      <w:bookmarkEnd w:id="97"/>
      <w:bookmarkEnd w:id="98"/>
    </w:p>
    <w:p>
      <w:pPr>
        <w:keepNext/>
        <w:keepLines/>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3"/>
        <w:rPr>
          <w:rFonts w:ascii="Times New Roman" w:hAnsi="Times New Roman" w:eastAsia="宋体" w:cs="Times New Roman"/>
          <w:b/>
          <w:bCs/>
          <w:color w:val="000000"/>
          <w:sz w:val="24"/>
          <w:szCs w:val="24"/>
        </w:rPr>
        <w:sectPr>
          <w:footerReference r:id="rId10" w:type="first"/>
          <w:headerReference r:id="rId8" w:type="default"/>
          <w:footerReference r:id="rId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pStyle w:val="23"/>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rPr>
          <w:rFonts w:ascii="Times New Roman" w:hAnsi="Times New Roman" w:eastAsia="宋体" w:cs="Times New Roman"/>
          <w:b/>
          <w:bCs/>
          <w:color w:val="000000"/>
          <w:sz w:val="24"/>
          <w:szCs w:val="24"/>
        </w:rPr>
      </w:pPr>
    </w:p>
    <w:p>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3"/>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33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2"/>
        <w:gridCol w:w="681"/>
        <w:gridCol w:w="975"/>
        <w:gridCol w:w="1625"/>
        <w:gridCol w:w="371"/>
        <w:gridCol w:w="673"/>
        <w:gridCol w:w="582"/>
        <w:gridCol w:w="2970"/>
        <w:gridCol w:w="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9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872" w:type="pct"/>
            <w:gridSpan w:val="2"/>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55" w:type="pct"/>
            <w:tcBorders>
              <w:right w:val="single" w:color="000000" w:sz="4" w:space="0"/>
            </w:tcBorders>
          </w:tcPr>
          <w:p>
            <w:pPr>
              <w:spacing w:before="97" w:line="186"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3</w:t>
            </w:r>
          </w:p>
        </w:tc>
        <w:tc>
          <w:tcPr>
            <w:tcW w:w="855" w:type="pct"/>
            <w:gridSpan w:val="3"/>
            <w:tcBorders>
              <w:right w:val="single" w:color="000000" w:sz="4" w:space="0"/>
            </w:tcBorders>
          </w:tcPr>
          <w:p>
            <w:pPr>
              <w:spacing w:before="97" w:line="186"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4</w:t>
            </w:r>
          </w:p>
        </w:tc>
        <w:tc>
          <w:tcPr>
            <w:tcW w:w="1563" w:type="pct"/>
            <w:tcBorders>
              <w:left w:val="single" w:color="000000" w:sz="4" w:space="0"/>
            </w:tcBorders>
          </w:tcPr>
          <w:p>
            <w:pPr>
              <w:spacing w:before="97" w:line="186" w:lineRule="auto"/>
              <w:jc w:val="center"/>
              <w:rPr>
                <w:rFonts w:hint="eastAsia" w:ascii="宋体" w:hAnsi="宋体" w:eastAsia="宋体" w:cs="宋体"/>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356"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9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872" w:type="pct"/>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55" w:type="pct"/>
            <w:tcBorders>
              <w:right w:val="single" w:color="000000" w:sz="4" w:space="0"/>
            </w:tcBorders>
            <w:vAlign w:val="center"/>
          </w:tcPr>
          <w:p>
            <w:pPr>
              <w:spacing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规格描述</w:t>
            </w:r>
          </w:p>
        </w:tc>
        <w:tc>
          <w:tcPr>
            <w:tcW w:w="855" w:type="pct"/>
            <w:gridSpan w:val="3"/>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563"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35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一</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2025年等保测评项目</w:t>
            </w: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1.1</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中国重汽一线通系统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完成中国重汽一线通系统等保三级测评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1.2</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中国重汽智能通平台系统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完成中国重汽智能通平台系统等保三级测评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1.3</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财务系统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完成财务系统等保三级测评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1.4</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智慧重汽系统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完成智慧重汽系统等保三级测评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1.5</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6"/>
                <w:szCs w:val="16"/>
                <w:lang w:bidi="ar"/>
              </w:rPr>
            </w:pPr>
            <w:r>
              <w:rPr>
                <w:rFonts w:hint="eastAsia" w:ascii="宋体" w:hAnsi="宋体" w:eastAsia="宋体" w:cs="宋体"/>
                <w:i w:val="0"/>
                <w:iCs w:val="0"/>
                <w:color w:val="000000"/>
                <w:kern w:val="0"/>
                <w:sz w:val="24"/>
                <w:szCs w:val="24"/>
                <w:u w:val="none"/>
                <w:lang w:val="en-US" w:eastAsia="zh-CN" w:bidi="ar"/>
              </w:rPr>
              <w:t>业财一体化系统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完成业财一体化系统等保三级测评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1.6</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24"/>
                <w:szCs w:val="24"/>
                <w:u w:val="none"/>
                <w:lang w:val="en-US" w:eastAsia="zh-CN" w:bidi="ar"/>
              </w:rPr>
              <w:t>数据底座系统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完成数据底座系统等保三级测评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1.7</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24"/>
                <w:szCs w:val="24"/>
                <w:u w:val="none"/>
                <w:lang w:val="en-US" w:eastAsia="zh-CN" w:bidi="ar"/>
              </w:rPr>
              <w:t>IAM系统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完成IAM系统等保三级测评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1.8</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24"/>
                <w:szCs w:val="24"/>
                <w:u w:val="none"/>
                <w:lang w:val="en-US" w:eastAsia="zh-CN" w:bidi="ar"/>
              </w:rPr>
              <w:t>职能系统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完成职能系统等保三级测评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center"/>
              <w:textAlignment w:val="center"/>
              <w:rPr>
                <w:rFonts w:hint="eastAsia" w:ascii="宋体" w:hAnsi="宋体" w:eastAsia="宋体" w:cs="宋体"/>
                <w:sz w:val="18"/>
                <w:szCs w:val="18"/>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000000"/>
                <w:kern w:val="0"/>
                <w:sz w:val="24"/>
                <w:szCs w:val="24"/>
                <w:u w:val="none"/>
                <w:lang w:val="en-US" w:eastAsia="zh-CN" w:bidi="ar"/>
              </w:rPr>
              <w:t>1.9</w:t>
            </w: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5"/>
                <w:szCs w:val="15"/>
                <w:lang w:bidi="ar"/>
              </w:rPr>
            </w:pPr>
            <w:r>
              <w:rPr>
                <w:rFonts w:hint="eastAsia" w:ascii="宋体" w:hAnsi="宋体" w:eastAsia="宋体" w:cs="宋体"/>
                <w:i w:val="0"/>
                <w:iCs w:val="0"/>
                <w:color w:val="000000"/>
                <w:kern w:val="0"/>
                <w:sz w:val="24"/>
                <w:szCs w:val="24"/>
                <w:u w:val="none"/>
                <w:lang w:val="en-US" w:eastAsia="zh-CN" w:bidi="ar"/>
              </w:rPr>
              <w:t>产品数据管理系统</w:t>
            </w:r>
          </w:p>
        </w:tc>
        <w:tc>
          <w:tcPr>
            <w:tcW w:w="1625" w:type="dxa"/>
            <w:tcBorders>
              <w:right w:val="single" w:color="000000" w:sz="4" w:space="0"/>
            </w:tcBorders>
            <w:vAlign w:val="center"/>
          </w:tcPr>
          <w:p>
            <w:pPr>
              <w:keepNext w:val="0"/>
              <w:keepLines w:val="0"/>
              <w:widowControl/>
              <w:suppressLineNumbers w:val="0"/>
              <w:jc w:val="left"/>
              <w:textAlignment w:val="center"/>
              <w:rPr>
                <w:rFonts w:hint="eastAsia" w:ascii="Arial"/>
              </w:rPr>
            </w:pPr>
            <w:r>
              <w:rPr>
                <w:rFonts w:hint="eastAsia" w:ascii="宋体" w:hAnsi="宋体" w:eastAsia="宋体" w:cs="宋体"/>
                <w:i w:val="0"/>
                <w:iCs w:val="0"/>
                <w:color w:val="000000"/>
                <w:kern w:val="0"/>
                <w:sz w:val="22"/>
                <w:szCs w:val="22"/>
                <w:u w:val="none"/>
                <w:lang w:val="en-US" w:eastAsia="zh-CN" w:bidi="ar"/>
              </w:rPr>
              <w:t>完成产品数据管理系统等保三级测评</w:t>
            </w: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both"/>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bidi="ar"/>
              </w:rPr>
            </w:pP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496" w:type="pct"/>
            <w:vAlign w:val="center"/>
          </w:tcPr>
          <w:p>
            <w:pPr>
              <w:keepNext w:val="0"/>
              <w:keepLines w:val="0"/>
              <w:widowControl/>
              <w:suppressLineNumbers w:val="0"/>
              <w:jc w:val="both"/>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color w:val="000000"/>
                <w:kern w:val="0"/>
                <w:sz w:val="18"/>
                <w:szCs w:val="18"/>
                <w:lang w:bidi="ar"/>
              </w:rPr>
            </w:pP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96" w:type="pct"/>
            <w:vAlign w:val="center"/>
          </w:tcPr>
          <w:p>
            <w:pPr>
              <w:keepNext w:val="0"/>
              <w:keepLines w:val="0"/>
              <w:widowControl/>
              <w:suppressLineNumbers w:val="0"/>
              <w:jc w:val="both"/>
              <w:textAlignment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872" w:type="pct"/>
            <w:gridSpan w:val="2"/>
            <w:vAlign w:val="center"/>
          </w:tcPr>
          <w:p>
            <w:pPr>
              <w:keepNext w:val="0"/>
              <w:keepLines w:val="0"/>
              <w:widowControl/>
              <w:suppressLineNumbers w:val="0"/>
              <w:jc w:val="left"/>
              <w:textAlignment w:val="center"/>
              <w:rPr>
                <w:rFonts w:hint="eastAsia" w:ascii="宋体" w:hAnsi="宋体" w:eastAsia="宋体" w:cs="宋体"/>
                <w:sz w:val="18"/>
                <w:szCs w:val="18"/>
              </w:rPr>
            </w:pPr>
          </w:p>
        </w:tc>
        <w:tc>
          <w:tcPr>
            <w:tcW w:w="855" w:type="pct"/>
            <w:tcBorders>
              <w:right w:val="single" w:color="000000" w:sz="4" w:space="0"/>
            </w:tcBorders>
          </w:tcPr>
          <w:p>
            <w:pPr>
              <w:jc w:val="center"/>
              <w:rPr>
                <w:rFonts w:hint="eastAsia" w:ascii="Arial"/>
              </w:rPr>
            </w:pPr>
          </w:p>
        </w:tc>
        <w:tc>
          <w:tcPr>
            <w:tcW w:w="855" w:type="pct"/>
            <w:gridSpan w:val="3"/>
            <w:tcBorders>
              <w:right w:val="single" w:color="000000" w:sz="4" w:space="0"/>
            </w:tcBorders>
          </w:tcPr>
          <w:p>
            <w:pPr>
              <w:jc w:val="center"/>
              <w:rPr>
                <w:rFonts w:hint="eastAsia" w:ascii="Arial"/>
              </w:rPr>
            </w:pPr>
          </w:p>
        </w:tc>
        <w:tc>
          <w:tcPr>
            <w:tcW w:w="1563" w:type="pct"/>
            <w:tcBorders>
              <w:left w:val="single" w:color="000000" w:sz="4" w:space="0"/>
            </w:tcBorders>
          </w:tcPr>
          <w:p>
            <w:pPr>
              <w:rPr>
                <w:rFonts w:hint="eastAsia" w:ascii="Arial"/>
              </w:rPr>
            </w:pPr>
          </w:p>
        </w:tc>
        <w:tc>
          <w:tcPr>
            <w:tcW w:w="356"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3"/>
          <w:wAfter w:w="2225" w:type="pct"/>
          <w:trHeight w:val="369" w:hRule="atLeast"/>
        </w:trPr>
        <w:tc>
          <w:tcPr>
            <w:tcW w:w="855" w:type="pct"/>
            <w:gridSpan w:val="2"/>
            <w:tcBorders>
              <w:left w:val="single" w:color="000000" w:sz="4" w:space="0"/>
            </w:tcBorders>
            <w:vAlign w:val="center"/>
          </w:tcPr>
          <w:p>
            <w:pPr>
              <w:jc w:val="center"/>
              <w:rPr>
                <w:rFonts w:ascii="宋体" w:hAnsi="宋体" w:eastAsia="宋体" w:cs="宋体"/>
                <w:b/>
                <w:bCs/>
                <w:szCs w:val="21"/>
              </w:rPr>
            </w:pPr>
          </w:p>
        </w:tc>
        <w:tc>
          <w:tcPr>
            <w:tcW w:w="1563" w:type="pct"/>
            <w:gridSpan w:val="3"/>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354"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30"/>
        <w:rPr>
          <w:rFonts w:hint="eastAsia"/>
        </w:rPr>
        <w:sectPr>
          <w:footerReference r:id="rId19"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0"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3"/>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1"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2"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3"/>
      </w:pPr>
    </w:p>
    <w:p>
      <w:pPr>
        <w:pStyle w:val="23"/>
      </w:pPr>
    </w:p>
    <w:p>
      <w:pPr>
        <w:spacing w:before="140" w:line="220" w:lineRule="auto"/>
        <w:ind w:left="2" w:firstLine="464" w:firstLineChars="200"/>
        <w:rPr>
          <w:rFonts w:hint="eastAsia" w:ascii="宋体" w:hAnsi="宋体" w:eastAsia="宋体" w:cs="宋体"/>
          <w:spacing w:val="-2"/>
          <w:szCs w:val="21"/>
        </w:rPr>
        <w:sectPr>
          <w:footerReference r:id="rId2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3"/>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3"/>
      </w:pPr>
    </w:p>
    <w:p>
      <w:pPr>
        <w:jc w:val="right"/>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30"/>
        <w:rPr>
          <w:rFonts w:hint="eastAsia" w:asciiTheme="minorEastAsia" w:hAnsiTheme="minorEastAsia" w:cstheme="minorEastAsia"/>
          <w:sz w:val="20"/>
          <w:szCs w:val="20"/>
        </w:rPr>
      </w:pPr>
    </w:p>
    <w:p>
      <w:pPr>
        <w:rPr>
          <w:rFonts w:hint="eastAsia"/>
        </w:rPr>
      </w:pPr>
      <w:r>
        <w:br w:type="page"/>
      </w:r>
    </w:p>
    <w:p>
      <w:pPr>
        <w:pStyle w:val="30"/>
        <w:rPr>
          <w:rFonts w:hint="eastAsia"/>
        </w:rPr>
        <w:sectPr>
          <w:headerReference r:id="rId26" w:type="first"/>
          <w:footerReference r:id="rId28" w:type="first"/>
          <w:headerReference r:id="rId25" w:type="default"/>
          <w:footerReference r:id="rId27"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pPr>
    </w:p>
    <w:p>
      <w:pPr>
        <w:tabs>
          <w:tab w:val="left" w:pos="233"/>
        </w:tabs>
        <w:bidi w:val="0"/>
        <w:jc w:val="left"/>
        <w:rPr>
          <w:rFonts w:hint="eastAsia"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ab/>
      </w:r>
    </w:p>
    <w:tbl>
      <w:tblPr>
        <w:tblStyle w:val="42"/>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970" w:type="dxa"/>
            <w:vMerge w:val="restart"/>
            <w:tcBorders>
              <w:top w:val="single" w:color="auto" w:sz="4" w:space="0"/>
              <w:left w:val="single" w:color="auto" w:sz="4" w:space="0"/>
              <w:right w:val="single" w:color="auto" w:sz="4" w:space="0"/>
            </w:tcBorders>
            <w:vAlign w:val="center"/>
          </w:tcPr>
          <w:p>
            <w:pPr>
              <w:jc w:val="center"/>
              <w:rPr>
                <w:rFonts w:ascii="宋体"/>
                <w:szCs w:val="21"/>
              </w:rPr>
            </w:pPr>
            <w:r>
              <w:rPr>
                <w:rFonts w:hint="eastAsia" w:ascii="宋体"/>
              </w:rPr>
              <w:t>厂商实力</w:t>
            </w:r>
          </w:p>
        </w:tc>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szCs w:val="21"/>
                <w:lang w:val="en-US" w:eastAsia="zh-CN"/>
              </w:rPr>
            </w:pPr>
            <w:r>
              <w:rPr>
                <w:rFonts w:hint="eastAsia" w:ascii="宋体"/>
                <w:lang w:val="en-US" w:eastAsia="zh-CN"/>
              </w:rPr>
              <w:t>10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eastAsia="宋体" w:cs="宋体"/>
                <w:kern w:val="2"/>
                <w:sz w:val="24"/>
                <w:lang w:val="en-US" w:eastAsia="zh-CN" w:bidi="ar-SA"/>
              </w:rPr>
            </w:pPr>
            <w:r>
              <w:rPr>
                <w:rFonts w:hint="eastAsia"/>
              </w:rPr>
              <w:t>202</w:t>
            </w:r>
            <w:r>
              <w:rPr>
                <w:rFonts w:hint="eastAsia"/>
                <w:lang w:val="en-US" w:eastAsia="zh-CN"/>
              </w:rPr>
              <w:t>1</w:t>
            </w:r>
            <w:r>
              <w:rPr>
                <w:rFonts w:hint="eastAsia"/>
              </w:rPr>
              <w:t>年1月至投标截止时间前，独立完成的类似等保项目业绩的，每有一项加1分，最高加10分(提供合同复印件并加盖公章)。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right w:val="single" w:color="auto" w:sz="4" w:space="0"/>
            </w:tcBorders>
            <w:vAlign w:val="center"/>
          </w:tcPr>
          <w:p>
            <w:pPr>
              <w:jc w:val="center"/>
              <w:rPr>
                <w:rFonts w:ascii="宋体"/>
                <w:szCs w:val="21"/>
              </w:rPr>
            </w:pP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eastAsia" w:ascii="宋体" w:eastAsia="宋体"/>
                <w:szCs w:val="21"/>
                <w:lang w:val="en-US" w:eastAsia="zh-CN"/>
              </w:rPr>
            </w:pPr>
            <w:r>
              <w:rPr>
                <w:rFonts w:hint="eastAsia" w:ascii="宋体"/>
                <w:szCs w:val="21"/>
                <w:lang w:val="en-US" w:eastAsia="zh-CN"/>
              </w:rPr>
              <w:t>5</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7"/>
              <w:rPr>
                <w:rFonts w:hint="eastAsia" w:ascii="宋体" w:hAnsi="宋体" w:eastAsia="宋体" w:cs="宋体"/>
                <w:color w:val="000000"/>
                <w:kern w:val="0"/>
                <w:sz w:val="24"/>
                <w:lang w:val="en-US" w:eastAsia="zh-CN" w:bidi="ar-SA"/>
              </w:rPr>
            </w:pPr>
            <w:r>
              <w:rPr>
                <w:rFonts w:hint="eastAsia" w:ascii="Times New Roman" w:hAnsi="Times New Roman" w:eastAsia="宋体" w:cs="Times New Roman"/>
                <w:kern w:val="2"/>
                <w:sz w:val="21"/>
                <w:lang w:val="en-US" w:eastAsia="zh-CN" w:bidi="ar-SA"/>
              </w:rPr>
              <w:t>具备中国国家认可委颁发的CNAS实验室(ISO/IEC 17025)认可资质和检验机构认可资质（ISO/IEC 17020）得5分（提供证书复印件并加盖公章）。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bottom w:val="single" w:color="auto" w:sz="4" w:space="0"/>
              <w:right w:val="single" w:color="auto" w:sz="4" w:space="0"/>
            </w:tcBorders>
            <w:vAlign w:val="center"/>
          </w:tcPr>
          <w:p>
            <w:pPr>
              <w:jc w:val="center"/>
              <w:rPr>
                <w:rFonts w:ascii="宋体"/>
                <w:szCs w:val="21"/>
              </w:rPr>
            </w:pP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szCs w:val="21"/>
                <w:lang w:val="en-US"/>
              </w:rPr>
            </w:pPr>
            <w:r>
              <w:rPr>
                <w:rFonts w:hint="eastAsia" w:ascii="宋体"/>
                <w:lang w:val="en-US" w:eastAsia="zh-CN"/>
              </w:rPr>
              <w:t>15</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7"/>
              <w:rPr>
                <w:rFonts w:ascii="宋体" w:hAnsi="宋体" w:eastAsia="宋体" w:cs="宋体"/>
                <w:color w:val="000000"/>
                <w:kern w:val="0"/>
                <w:sz w:val="24"/>
                <w:lang w:val="en-US" w:eastAsia="zh-CN" w:bidi="ar-SA"/>
              </w:rPr>
            </w:pPr>
            <w:r>
              <w:rPr>
                <w:rFonts w:hint="eastAsia" w:ascii="Times New Roman" w:hAnsi="Times New Roman" w:eastAsia="宋体" w:cs="Times New Roman"/>
                <w:kern w:val="2"/>
                <w:sz w:val="21"/>
                <w:lang w:val="en-US" w:eastAsia="zh-CN" w:bidi="ar-SA"/>
              </w:rPr>
              <w:t>具有中国信息安全审查认证中心颁发的风险评估资质，中国信息安全测评中心颁发的风险评估资质证书，中国网络安全审查技术与认证中心颁发的信息安全风险评估服务资质证书，每有一项得5分，最高得15分（提供证书复印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restart"/>
            <w:tcBorders>
              <w:top w:val="single" w:color="auto" w:sz="4" w:space="0"/>
              <w:left w:val="single" w:color="auto" w:sz="4" w:space="0"/>
              <w:right w:val="single" w:color="auto" w:sz="4" w:space="0"/>
            </w:tcBorders>
            <w:vAlign w:val="center"/>
          </w:tcPr>
          <w:p>
            <w:pPr>
              <w:jc w:val="center"/>
              <w:rPr>
                <w:rFonts w:hint="default" w:eastAsia="宋体"/>
                <w:lang w:val="en-US" w:eastAsia="zh-CN"/>
              </w:rPr>
            </w:pPr>
            <w:r>
              <w:rPr>
                <w:rFonts w:hint="eastAsia"/>
              </w:rPr>
              <w:t>实施能力</w:t>
            </w:r>
          </w:p>
        </w:tc>
        <w:tc>
          <w:tcPr>
            <w:tcW w:w="650" w:type="dxa"/>
            <w:tcBorders>
              <w:top w:val="single" w:color="auto" w:sz="4" w:space="0"/>
              <w:left w:val="single" w:color="auto" w:sz="4" w:space="0"/>
              <w:bottom w:val="nil"/>
              <w:right w:val="single" w:color="auto" w:sz="4" w:space="0"/>
            </w:tcBorders>
            <w:vAlign w:val="center"/>
          </w:tcPr>
          <w:p>
            <w:pPr>
              <w:jc w:val="center"/>
              <w:rPr>
                <w:rFonts w:hint="default"/>
                <w:lang w:val="en-US"/>
              </w:rPr>
            </w:pPr>
            <w:r>
              <w:rPr>
                <w:rFonts w:hint="eastAsia" w:ascii="宋体"/>
                <w:lang w:val="en-US" w:eastAsia="zh-CN"/>
              </w:rPr>
              <w:t>20</w:t>
            </w:r>
          </w:p>
        </w:tc>
        <w:tc>
          <w:tcPr>
            <w:tcW w:w="6153" w:type="dxa"/>
            <w:tcBorders>
              <w:top w:val="single" w:color="auto" w:sz="4" w:space="0"/>
              <w:left w:val="single" w:color="auto" w:sz="4" w:space="0"/>
              <w:bottom w:val="nil"/>
              <w:right w:val="single" w:color="auto" w:sz="4" w:space="0"/>
            </w:tcBorders>
            <w:vAlign w:val="center"/>
          </w:tcPr>
          <w:p>
            <w:pPr>
              <w:widowControl/>
              <w:jc w:val="left"/>
              <w:textAlignment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对投标人的等保测评方案中：①项目需求分析；②等保测评方法；③等保测评依据；④等保测评工具；⑤等保测评工作内容及计划；⑥等保测评质量保证措施；以上方案根据其内容是否思路清晰、有针对性、有创新、全面系统、切实可行，评分区间1-20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right w:val="single" w:color="auto" w:sz="4" w:space="0"/>
            </w:tcBorders>
            <w:vAlign w:val="center"/>
          </w:tcPr>
          <w:p>
            <w:pPr>
              <w:jc w:val="center"/>
              <w:rPr>
                <w:rFonts w:hint="default" w:eastAsia="宋体"/>
                <w:lang w:val="en-US" w:eastAsia="zh-CN"/>
              </w:rPr>
            </w:pP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lang w:val="en-US" w:eastAsia="zh-CN"/>
              </w:rPr>
            </w:pPr>
            <w:r>
              <w:rPr>
                <w:rFonts w:hint="eastAsia" w:ascii="宋体"/>
                <w:lang w:val="en-US" w:eastAsia="zh-CN"/>
              </w:rPr>
              <w:t>20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对投标人拟派的项目经理除具有等级保护高级测评师证书外还同时具有信息系统项目管理师证书（高级）或PMP证书的得5分；</w:t>
            </w:r>
          </w:p>
          <w:p>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投标人项目实施人员具备软件评测师、中级或以上等级保护测评服务人员资格认证、信息安全保障从业人员证书，每提供一项得3分，最高得9分。（提供证书复印件并加盖公章）;</w:t>
            </w:r>
          </w:p>
          <w:p>
            <w:pPr>
              <w:widowControl/>
              <w:jc w:val="left"/>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项目实施人员投标截止时间前有从事过类似信息系统项目的安全等级保护测评工作经验(须提供资格证书和业绩证明材料)，每提供一项得1分，最高得6分。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970" w:type="dxa"/>
            <w:vMerge w:val="continue"/>
            <w:tcBorders>
              <w:left w:val="single" w:color="auto" w:sz="4" w:space="0"/>
              <w:bottom w:val="single" w:color="auto" w:sz="4" w:space="0"/>
              <w:right w:val="single" w:color="auto" w:sz="4" w:space="0"/>
            </w:tcBorders>
            <w:vAlign w:val="center"/>
          </w:tcPr>
          <w:p>
            <w:pPr>
              <w:jc w:val="center"/>
              <w:rPr>
                <w:rFonts w:hint="eastAsia"/>
                <w:b/>
                <w:bCs/>
                <w:lang w:val="en-US" w:eastAsia="zh-CN"/>
              </w:rPr>
            </w:pP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lang w:val="en-US" w:eastAsia="zh-CN"/>
              </w:rPr>
            </w:pPr>
            <w:r>
              <w:rPr>
                <w:rFonts w:hint="eastAsia" w:ascii="宋体"/>
                <w:lang w:val="en-US" w:eastAsia="zh-CN"/>
              </w:rPr>
              <w:t>15</w:t>
            </w:r>
          </w:p>
        </w:tc>
        <w:tc>
          <w:tcPr>
            <w:tcW w:w="6153" w:type="dxa"/>
            <w:tcBorders>
              <w:top w:val="single" w:color="auto" w:sz="4" w:space="0"/>
              <w:left w:val="single" w:color="auto" w:sz="4" w:space="0"/>
              <w:bottom w:val="nil"/>
              <w:right w:val="single" w:color="auto" w:sz="4" w:space="0"/>
            </w:tcBorders>
            <w:vAlign w:val="center"/>
          </w:tcPr>
          <w:p>
            <w:pPr>
              <w:widowControl/>
              <w:jc w:val="left"/>
              <w:textAlignment w:val="cente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对供应商的售后服务保障体系进行评价，包括响应时间、服务方式、人员赋能等。评分区间1-15分。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hint="default"/>
                <w:b/>
                <w:bCs/>
                <w:lang w:val="en-US" w:eastAsia="zh-CN"/>
              </w:rPr>
            </w:pPr>
            <w:r>
              <w:rPr>
                <w:rFonts w:hint="eastAsia"/>
                <w:lang w:val="en-US" w:eastAsia="zh-CN"/>
              </w:rPr>
              <w:t>增值服务</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lang w:val="en-US" w:eastAsia="zh-CN"/>
              </w:rPr>
            </w:pPr>
            <w:r>
              <w:rPr>
                <w:rFonts w:hint="eastAsia" w:ascii="宋体"/>
                <w:lang w:val="en-US" w:eastAsia="zh-CN"/>
              </w:rPr>
              <w:t>15</w:t>
            </w:r>
          </w:p>
        </w:tc>
        <w:tc>
          <w:tcPr>
            <w:tcW w:w="6153" w:type="dxa"/>
            <w:tcBorders>
              <w:top w:val="single" w:color="auto" w:sz="4" w:space="0"/>
              <w:left w:val="single" w:color="auto" w:sz="4" w:space="0"/>
              <w:bottom w:val="nil"/>
              <w:right w:val="single" w:color="auto" w:sz="4" w:space="0"/>
            </w:tcBorders>
            <w:vAlign w:val="center"/>
          </w:tcPr>
          <w:p>
            <w:pPr>
              <w:pStyle w:val="174"/>
            </w:pPr>
            <w:r>
              <w:rPr>
                <w:rFonts w:hint="eastAsia"/>
              </w:rPr>
              <w:t>对投标人附赠的服务进行综合评价，打分评分区间1-15分。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2335" w:type="dxa"/>
            <w:gridSpan w:val="3"/>
            <w:tcBorders>
              <w:left w:val="single" w:color="auto" w:sz="4" w:space="0"/>
              <w:bottom w:val="single" w:color="auto" w:sz="4" w:space="0"/>
              <w:right w:val="single" w:color="auto" w:sz="4" w:space="0"/>
            </w:tcBorders>
            <w:vAlign w:val="center"/>
          </w:tcPr>
          <w:p>
            <w:pPr>
              <w:jc w:val="center"/>
              <w:rPr>
                <w:rFonts w:hint="default"/>
                <w:lang w:val="en-US" w:eastAsia="zh-CN"/>
              </w:rPr>
            </w:pPr>
            <w:r>
              <w:rPr>
                <w:rFonts w:hint="eastAsia"/>
                <w:lang w:val="en-US" w:eastAsia="zh-CN"/>
              </w:rPr>
              <w:t>合计</w:t>
            </w:r>
          </w:p>
        </w:tc>
        <w:tc>
          <w:tcPr>
            <w:tcW w:w="6803" w:type="dxa"/>
            <w:gridSpan w:val="2"/>
            <w:tcBorders>
              <w:top w:val="single" w:color="auto" w:sz="4" w:space="0"/>
              <w:left w:val="single" w:color="auto" w:sz="4" w:space="0"/>
              <w:bottom w:val="nil"/>
              <w:right w:val="single" w:color="auto" w:sz="4" w:space="0"/>
            </w:tcBorders>
            <w:vAlign w:val="center"/>
          </w:tcPr>
          <w:p>
            <w:pPr>
              <w:pStyle w:val="174"/>
              <w:jc w:val="center"/>
              <w:rPr>
                <w:rFonts w:hint="default" w:eastAsia="宋体"/>
                <w:lang w:val="en-US" w:eastAsia="zh-CN"/>
              </w:rPr>
            </w:pPr>
            <w:r>
              <w:rPr>
                <w:rFonts w:hint="eastAsia"/>
                <w:lang w:val="en-US" w:eastAsia="zh-CN"/>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tabs>
          <w:tab w:val="left" w:pos="233"/>
        </w:tabs>
        <w:bidi w:val="0"/>
        <w:jc w:val="left"/>
        <w:rPr>
          <w:rFonts w:hint="eastAsia" w:asciiTheme="minorHAnsi" w:hAnsiTheme="minorHAnsi" w:eastAsiaTheme="minorEastAsia" w:cstheme="minorBidi"/>
          <w:kern w:val="2"/>
          <w:sz w:val="21"/>
          <w:szCs w:val="22"/>
          <w:lang w:val="en-US" w:eastAsia="zh-CN" w:bidi="ar-S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3"/>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3"/>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23"/>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23"/>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3"/>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052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052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3"/>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pStyle w:val="23"/>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3"/>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7"/>
                    <a:stretch>
                      <a:fillRect/>
                    </a:stretch>
                  </pic:blipFill>
                  <pic:spPr>
                    <a:xfrm>
                      <a:off x="0" y="0"/>
                      <a:ext cx="5749290" cy="2501265"/>
                    </a:xfrm>
                    <a:prstGeom prst="rect">
                      <a:avLst/>
                    </a:prstGeom>
                    <a:noFill/>
                    <a:ln>
                      <a:noFill/>
                    </a:ln>
                  </pic:spPr>
                </pic:pic>
              </a:graphicData>
            </a:graphic>
          </wp:inline>
        </w:drawing>
      </w:r>
    </w:p>
    <w:p>
      <w:pPr>
        <w:pStyle w:val="23"/>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8"/>
                    <a:stretch>
                      <a:fillRect/>
                    </a:stretch>
                  </pic:blipFill>
                  <pic:spPr>
                    <a:xfrm>
                      <a:off x="0" y="0"/>
                      <a:ext cx="5746750" cy="3303270"/>
                    </a:xfrm>
                    <a:prstGeom prst="rect">
                      <a:avLst/>
                    </a:prstGeom>
                    <a:noFill/>
                    <a:ln>
                      <a:noFill/>
                    </a:ln>
                  </pic:spPr>
                </pic:pic>
              </a:graphicData>
            </a:graphic>
          </wp:inline>
        </w:drawing>
      </w:r>
    </w:p>
    <w:p>
      <w:pPr>
        <w:pStyle w:val="23"/>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9"/>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0"/>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rPr>
    </w:pPr>
  </w:p>
  <w:p>
    <w:pPr>
      <w:pStyle w:val="2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p>
    <w:pPr>
      <w:pStyle w:val="29"/>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A"/>
    <w:multiLevelType w:val="multilevel"/>
    <w:tmpl w:val="0000000A"/>
    <w:lvl w:ilvl="0" w:tentative="0">
      <w:start w:val="1"/>
      <w:numFmt w:val="decimal"/>
      <w:pStyle w:val="175"/>
      <w:lvlText w:val="%1、"/>
      <w:lvlJc w:val="left"/>
      <w:pPr>
        <w:ind w:left="987" w:hanging="420"/>
      </w:pPr>
      <w:rPr>
        <w:rFonts w:hint="default" w:ascii="宋体" w:hAnsi="宋体" w:eastAsia="宋体" w:cs="宋体"/>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6882CE3"/>
    <w:multiLevelType w:val="multilevel"/>
    <w:tmpl w:val="06882CE3"/>
    <w:lvl w:ilvl="0" w:tentative="0">
      <w:start w:val="1"/>
      <w:numFmt w:val="decimal"/>
      <w:pStyle w:val="173"/>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20D3BE2"/>
    <w:multiLevelType w:val="multilevel"/>
    <w:tmpl w:val="120D3B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44449A7"/>
    <w:multiLevelType w:val="multilevel"/>
    <w:tmpl w:val="344449A7"/>
    <w:lvl w:ilvl="0" w:tentative="0">
      <w:start w:val="1"/>
      <w:numFmt w:val="decimal"/>
      <w:lvlText w:val="%1、"/>
      <w:lvlJc w:val="left"/>
      <w:pPr>
        <w:ind w:left="84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56D20133"/>
    <w:multiLevelType w:val="multilevel"/>
    <w:tmpl w:val="56D20133"/>
    <w:lvl w:ilvl="0" w:tentative="0">
      <w:start w:val="1"/>
      <w:numFmt w:val="chineseCountingThousand"/>
      <w:pStyle w:val="171"/>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56A6EAE"/>
    <w:multiLevelType w:val="multilevel"/>
    <w:tmpl w:val="656A6EAE"/>
    <w:lvl w:ilvl="0" w:tentative="0">
      <w:start w:val="1"/>
      <w:numFmt w:val="chineseCountingThousand"/>
      <w:pStyle w:val="1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6E8C6948"/>
    <w:multiLevelType w:val="singleLevel"/>
    <w:tmpl w:val="6E8C6948"/>
    <w:lvl w:ilvl="0" w:tentative="0">
      <w:start w:val="1"/>
      <w:numFmt w:val="chineseCounting"/>
      <w:suff w:val="space"/>
      <w:lvlText w:val="第%1部分"/>
      <w:lvlJc w:val="left"/>
      <w:rPr>
        <w:rFonts w:hint="eastAsia"/>
      </w:rPr>
    </w:lvl>
  </w:abstractNum>
  <w:abstractNum w:abstractNumId="15">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11"/>
  </w:num>
  <w:num w:numId="3">
    <w:abstractNumId w:val="13"/>
  </w:num>
  <w:num w:numId="4">
    <w:abstractNumId w:val="4"/>
  </w:num>
  <w:num w:numId="5">
    <w:abstractNumId w:val="2"/>
  </w:num>
  <w:num w:numId="6">
    <w:abstractNumId w:val="9"/>
  </w:num>
  <w:num w:numId="7">
    <w:abstractNumId w:val="14"/>
  </w:num>
  <w:num w:numId="8">
    <w:abstractNumId w:val="15"/>
  </w:num>
  <w:num w:numId="9">
    <w:abstractNumId w:val="6"/>
  </w:num>
  <w:num w:numId="10">
    <w:abstractNumId w:val="3"/>
  </w:num>
  <w:num w:numId="11">
    <w:abstractNumId w:val="10"/>
  </w:num>
  <w:num w:numId="12">
    <w:abstractNumId w:val="1"/>
  </w:num>
  <w:num w:numId="13">
    <w:abstractNumId w:val="7"/>
  </w:num>
  <w:num w:numId="14">
    <w:abstractNumId w:val="0"/>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8D1D97"/>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8C4826"/>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0717F"/>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AF15EB"/>
    <w:rsid w:val="10BE093E"/>
    <w:rsid w:val="10EC27C5"/>
    <w:rsid w:val="110F6D60"/>
    <w:rsid w:val="111B0FE9"/>
    <w:rsid w:val="115F67A8"/>
    <w:rsid w:val="1168209E"/>
    <w:rsid w:val="119A7465"/>
    <w:rsid w:val="11C07DA5"/>
    <w:rsid w:val="123B6FD5"/>
    <w:rsid w:val="12413D84"/>
    <w:rsid w:val="12491386"/>
    <w:rsid w:val="127B2E60"/>
    <w:rsid w:val="128236EB"/>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3C679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A60E8"/>
    <w:rsid w:val="219E32F8"/>
    <w:rsid w:val="21BA10C4"/>
    <w:rsid w:val="21BE35AF"/>
    <w:rsid w:val="21C11174"/>
    <w:rsid w:val="22244B28"/>
    <w:rsid w:val="22467FD4"/>
    <w:rsid w:val="22784511"/>
    <w:rsid w:val="229451FD"/>
    <w:rsid w:val="22A12DB6"/>
    <w:rsid w:val="22AA3280"/>
    <w:rsid w:val="22C97F89"/>
    <w:rsid w:val="22CD6B77"/>
    <w:rsid w:val="23195423"/>
    <w:rsid w:val="23252EAE"/>
    <w:rsid w:val="23400B66"/>
    <w:rsid w:val="23510E00"/>
    <w:rsid w:val="236356D1"/>
    <w:rsid w:val="23741E7D"/>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0C0C98"/>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925061"/>
    <w:rsid w:val="2BAF763B"/>
    <w:rsid w:val="2BCC3368"/>
    <w:rsid w:val="2BD5034F"/>
    <w:rsid w:val="2C0B6845"/>
    <w:rsid w:val="2C164021"/>
    <w:rsid w:val="2C4E3791"/>
    <w:rsid w:val="2C8A2821"/>
    <w:rsid w:val="2CC04EFA"/>
    <w:rsid w:val="2CF750C7"/>
    <w:rsid w:val="2D025012"/>
    <w:rsid w:val="2D120D4B"/>
    <w:rsid w:val="2D4178F0"/>
    <w:rsid w:val="2D6C5D01"/>
    <w:rsid w:val="2D9C5B61"/>
    <w:rsid w:val="2D9F4F67"/>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4F35184"/>
    <w:rsid w:val="350420D4"/>
    <w:rsid w:val="351224A5"/>
    <w:rsid w:val="352B6E83"/>
    <w:rsid w:val="353046F2"/>
    <w:rsid w:val="354D2044"/>
    <w:rsid w:val="356157C6"/>
    <w:rsid w:val="35831650"/>
    <w:rsid w:val="358D07D1"/>
    <w:rsid w:val="35A3178F"/>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7D6070D"/>
    <w:rsid w:val="381C032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915965"/>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AC2698"/>
    <w:rsid w:val="45D35790"/>
    <w:rsid w:val="45FB0F21"/>
    <w:rsid w:val="460C59D7"/>
    <w:rsid w:val="4615106E"/>
    <w:rsid w:val="46167166"/>
    <w:rsid w:val="461A2194"/>
    <w:rsid w:val="4622247F"/>
    <w:rsid w:val="462E6C42"/>
    <w:rsid w:val="464473C4"/>
    <w:rsid w:val="465E515F"/>
    <w:rsid w:val="46901553"/>
    <w:rsid w:val="469B1BC5"/>
    <w:rsid w:val="469E62EA"/>
    <w:rsid w:val="46C1577B"/>
    <w:rsid w:val="46E62229"/>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2242FA"/>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8428DD"/>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8A6B41"/>
    <w:rsid w:val="52EF4CB5"/>
    <w:rsid w:val="52F959F0"/>
    <w:rsid w:val="52FF21DE"/>
    <w:rsid w:val="5302488E"/>
    <w:rsid w:val="53136173"/>
    <w:rsid w:val="53645473"/>
    <w:rsid w:val="539A4AC7"/>
    <w:rsid w:val="53D004E8"/>
    <w:rsid w:val="542631B6"/>
    <w:rsid w:val="545F0C78"/>
    <w:rsid w:val="54647343"/>
    <w:rsid w:val="5480192E"/>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8273DA"/>
    <w:rsid w:val="64917820"/>
    <w:rsid w:val="64AA1CC5"/>
    <w:rsid w:val="64D811FE"/>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10EC2"/>
    <w:rsid w:val="67762CFD"/>
    <w:rsid w:val="6777598C"/>
    <w:rsid w:val="677A678D"/>
    <w:rsid w:val="67815A82"/>
    <w:rsid w:val="67980D1B"/>
    <w:rsid w:val="68011379"/>
    <w:rsid w:val="680D1D06"/>
    <w:rsid w:val="681462BE"/>
    <w:rsid w:val="68157452"/>
    <w:rsid w:val="68252C37"/>
    <w:rsid w:val="683C7AA3"/>
    <w:rsid w:val="68507856"/>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8D09C0"/>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733121"/>
    <w:rsid w:val="6D7E3DC9"/>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52FE7"/>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1F957F7"/>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5D7E"/>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2"/>
    <w:qFormat/>
    <w:uiPriority w:val="9"/>
    <w:pPr>
      <w:keepNext/>
      <w:keepLines/>
      <w:jc w:val="center"/>
      <w:outlineLvl w:val="0"/>
    </w:pPr>
    <w:rPr>
      <w:b/>
      <w:bCs/>
      <w:kern w:val="44"/>
      <w:sz w:val="36"/>
      <w:szCs w:val="44"/>
    </w:rPr>
  </w:style>
  <w:style w:type="paragraph" w:styleId="5">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2"/>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4"/>
    <w:qFormat/>
    <w:uiPriority w:val="9"/>
    <w:rPr>
      <w:rFonts w:ascii="Calibri" w:hAnsi="Calibri" w:eastAsia="宋体" w:cs="Times New Roman"/>
      <w:b/>
      <w:bCs/>
      <w:kern w:val="44"/>
      <w:sz w:val="36"/>
      <w:szCs w:val="44"/>
    </w:rPr>
  </w:style>
  <w:style w:type="character" w:customStyle="1" w:styleId="53">
    <w:name w:val="标题 2 字符"/>
    <w:basedOn w:val="44"/>
    <w:link w:val="5"/>
    <w:qFormat/>
    <w:uiPriority w:val="9"/>
    <w:rPr>
      <w:rFonts w:ascii="Arial" w:hAnsi="Arial" w:eastAsia="宋体" w:cs="Times New Roman"/>
      <w:b/>
      <w:bCs/>
      <w:sz w:val="24"/>
      <w:szCs w:val="32"/>
    </w:rPr>
  </w:style>
  <w:style w:type="character" w:customStyle="1" w:styleId="54">
    <w:name w:val="标题 3 字符"/>
    <w:basedOn w:val="44"/>
    <w:link w:val="6"/>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9"/>
    <w:qFormat/>
    <w:uiPriority w:val="9"/>
    <w:rPr>
      <w:rFonts w:ascii="Arial" w:hAnsi="Arial" w:eastAsia="黑体" w:cstheme="minorBidi"/>
      <w:b/>
      <w:kern w:val="2"/>
      <w:sz w:val="24"/>
      <w:szCs w:val="22"/>
    </w:rPr>
  </w:style>
  <w:style w:type="character" w:customStyle="1" w:styleId="150">
    <w:name w:val="标题 7 字符"/>
    <w:basedOn w:val="44"/>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7"/>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paragraph" w:customStyle="1" w:styleId="171">
    <w:name w:val="（二）级标题"/>
    <w:basedOn w:val="23"/>
    <w:qFormat/>
    <w:uiPriority w:val="2"/>
    <w:pPr>
      <w:numPr>
        <w:ilvl w:val="0"/>
        <w:numId w:val="2"/>
      </w:numPr>
      <w:spacing w:line="360" w:lineRule="auto"/>
      <w:outlineLvl w:val="2"/>
    </w:pPr>
    <w:rPr>
      <w:b/>
    </w:rPr>
  </w:style>
  <w:style w:type="paragraph" w:customStyle="1" w:styleId="172">
    <w:name w:val="一级标题"/>
    <w:basedOn w:val="23"/>
    <w:qFormat/>
    <w:uiPriority w:val="1"/>
    <w:pPr>
      <w:numPr>
        <w:ilvl w:val="0"/>
        <w:numId w:val="3"/>
      </w:numPr>
      <w:spacing w:line="360" w:lineRule="auto"/>
      <w:ind w:left="420"/>
      <w:outlineLvl w:val="1"/>
    </w:pPr>
    <w:rPr>
      <w:rFonts w:ascii="黑体" w:eastAsia="黑体"/>
      <w:b/>
      <w:bCs/>
      <w:sz w:val="28"/>
    </w:rPr>
  </w:style>
  <w:style w:type="paragraph" w:customStyle="1" w:styleId="173">
    <w:name w:val="（4）级标题"/>
    <w:basedOn w:val="23"/>
    <w:qFormat/>
    <w:uiPriority w:val="8"/>
    <w:pPr>
      <w:numPr>
        <w:ilvl w:val="0"/>
        <w:numId w:val="4"/>
      </w:numPr>
      <w:spacing w:line="360" w:lineRule="auto"/>
      <w:outlineLvl w:val="4"/>
    </w:pPr>
  </w:style>
  <w:style w:type="paragraph" w:customStyle="1" w:styleId="174">
    <w:name w:val="表格"/>
    <w:basedOn w:val="1"/>
    <w:qFormat/>
    <w:uiPriority w:val="10"/>
    <w:rPr>
      <w:rFonts w:ascii="宋体" w:hAnsi="宋体"/>
      <w:szCs w:val="30"/>
    </w:rPr>
  </w:style>
  <w:style w:type="paragraph" w:customStyle="1" w:styleId="175">
    <w:name w:val="潍柴文档正文一级标题"/>
    <w:basedOn w:val="176"/>
    <w:qFormat/>
    <w:uiPriority w:val="0"/>
    <w:pPr>
      <w:numPr>
        <w:ilvl w:val="0"/>
        <w:numId w:val="5"/>
      </w:numPr>
      <w:ind w:right="100" w:rightChars="100" w:firstLine="0" w:firstLineChars="0"/>
      <w:jc w:val="left"/>
    </w:pPr>
  </w:style>
  <w:style w:type="paragraph" w:customStyle="1" w:styleId="176">
    <w:name w:val="潍柴文档正文"/>
    <w:basedOn w:val="1"/>
    <w:qFormat/>
    <w:uiPriority w:val="0"/>
    <w:pPr>
      <w:spacing w:line="360" w:lineRule="auto"/>
      <w:ind w:firstLine="200" w:firstLineChars="200"/>
    </w:pPr>
    <w:rPr>
      <w:rFonts w:ascii="Times New Roman" w:hAnsi="Times New Roman"/>
      <w:sz w:val="28"/>
    </w:rPr>
  </w:style>
  <w:style w:type="paragraph" w:customStyle="1" w:styleId="177">
    <w:name w:val="标书正文"/>
    <w:basedOn w:val="23"/>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18.png"/><Relationship Id="rId5" Type="http://schemas.openxmlformats.org/officeDocument/2006/relationships/footer" Target="footer2.xml"/><Relationship Id="rId49" Type="http://schemas.openxmlformats.org/officeDocument/2006/relationships/image" Target="media/image17.png"/><Relationship Id="rId48" Type="http://schemas.openxmlformats.org/officeDocument/2006/relationships/image" Target="media/image16.png"/><Relationship Id="rId47" Type="http://schemas.openxmlformats.org/officeDocument/2006/relationships/image" Target="media/image15.png"/><Relationship Id="rId46" Type="http://schemas.openxmlformats.org/officeDocument/2006/relationships/image" Target="media/image14.png"/><Relationship Id="rId45" Type="http://schemas.openxmlformats.org/officeDocument/2006/relationships/image" Target="media/image13.png"/><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png"/><Relationship Id="rId41" Type="http://schemas.openxmlformats.org/officeDocument/2006/relationships/image" Target="media/image9.png"/><Relationship Id="rId40" Type="http://schemas.openxmlformats.org/officeDocument/2006/relationships/image" Target="media/image8.png"/><Relationship Id="rId4" Type="http://schemas.openxmlformats.org/officeDocument/2006/relationships/footer" Target="footer1.xml"/><Relationship Id="rId39" Type="http://schemas.openxmlformats.org/officeDocument/2006/relationships/image" Target="media/image7.png"/><Relationship Id="rId38" Type="http://schemas.openxmlformats.org/officeDocument/2006/relationships/image" Target="media/image6.png"/><Relationship Id="rId37" Type="http://schemas.openxmlformats.org/officeDocument/2006/relationships/image" Target="media/image5.png"/><Relationship Id="rId36" Type="http://schemas.openxmlformats.org/officeDocument/2006/relationships/image" Target="media/image4.png"/><Relationship Id="rId35" Type="http://schemas.openxmlformats.org/officeDocument/2006/relationships/image" Target="media/image3.png"/><Relationship Id="rId34" Type="http://schemas.openxmlformats.org/officeDocument/2006/relationships/image" Target="media/image2.png"/><Relationship Id="rId33" Type="http://schemas.openxmlformats.org/officeDocument/2006/relationships/theme" Target="theme/theme1.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header" Target="header7.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header" Target="header5.xml"/><Relationship Id="rId25" Type="http://schemas.openxmlformats.org/officeDocument/2006/relationships/header" Target="header4.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50</Pages>
  <Words>9726</Words>
  <Characters>10320</Characters>
  <Lines>371</Lines>
  <Paragraphs>104</Paragraphs>
  <TotalTime>2</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2025-11-20T02:30:28Z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