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2026年整车仓储部高端防腐和普通喷蜡项目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：FSCZB2025110139</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济南卡车股份有限公司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56BC82BF">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2026年整车仓储部高端防腐和普通喷蜡项目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2026年整车仓储部高端防腐和普通喷蜡项目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FSCZB2025110139</w:t>
      </w:r>
    </w:p>
    <w:p w14:paraId="4EEF9425">
      <w:pPr>
        <w:pStyle w:val="76"/>
        <w:numPr>
          <w:ilvl w:val="0"/>
          <w:numId w:val="10"/>
        </w:numPr>
        <w:ind w:left="425" w:leftChars="0" w:hanging="425" w:firstLineChars="0"/>
        <w:rPr>
          <w:rFonts w:hint="eastAsia"/>
          <w:highlight w:val="none"/>
          <w:lang w:val="en-US" w:eastAsia="zh-CN"/>
        </w:rPr>
      </w:pPr>
      <w:r>
        <w:rPr>
          <w:rFonts w:hint="eastAsia"/>
          <w:b/>
          <w:bCs/>
          <w:highlight w:val="none"/>
        </w:rPr>
        <w:t>招标形式</w:t>
      </w:r>
      <w:r>
        <w:rPr>
          <w:rFonts w:hint="eastAsia"/>
          <w:highlight w:val="none"/>
        </w:rPr>
        <w:t>：</w:t>
      </w:r>
      <w:bookmarkStart w:id="4" w:name="_Toc47112482"/>
      <w:r>
        <w:rPr>
          <w:rFonts w:hint="eastAsia"/>
          <w:highlight w:val="none"/>
          <w:lang w:val="en-US" w:eastAsia="zh-CN"/>
        </w:rPr>
        <w:t>公开招标</w:t>
      </w:r>
    </w:p>
    <w:p w14:paraId="64CC306A">
      <w:pPr>
        <w:pStyle w:val="76"/>
        <w:numPr>
          <w:ilvl w:val="0"/>
          <w:numId w:val="10"/>
        </w:numPr>
        <w:ind w:left="425" w:leftChars="0" w:hanging="425" w:firstLineChars="0"/>
        <w:rPr>
          <w:rFonts w:hint="eastAsia"/>
          <w:highlight w:val="none"/>
          <w:lang w:val="en-US" w:eastAsia="zh-CN"/>
        </w:rPr>
      </w:pPr>
      <w:r>
        <w:rPr>
          <w:rFonts w:hint="eastAsia"/>
          <w:b/>
          <w:bCs/>
          <w:highlight w:val="none"/>
          <w:lang w:val="en-US" w:eastAsia="zh-CN"/>
        </w:rPr>
        <w:t>项目概况</w:t>
      </w:r>
      <w:r>
        <w:rPr>
          <w:rFonts w:hint="eastAsia"/>
          <w:highlight w:val="none"/>
          <w:lang w:val="en-US" w:eastAsia="zh-CN"/>
        </w:rPr>
        <w:t>：</w:t>
      </w:r>
      <w:bookmarkStart w:id="5" w:name="_Hlk60819894"/>
    </w:p>
    <w:p w14:paraId="45591082">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highlight w:val="none"/>
          <w:lang w:val="en-US" w:eastAsia="zh-CN"/>
        </w:rPr>
      </w:pPr>
      <w:r>
        <w:rPr>
          <w:rFonts w:hint="eastAsia"/>
          <w:b/>
          <w:bCs/>
          <w:highlight w:val="none"/>
          <w:lang w:val="en-US" w:eastAsia="zh-CN"/>
        </w:rPr>
        <w:t>1、高端防腐</w:t>
      </w:r>
      <w:r>
        <w:rPr>
          <w:rFonts w:hint="eastAsia"/>
          <w:highlight w:val="none"/>
          <w:lang w:val="en-US" w:eastAsia="zh-CN"/>
        </w:rPr>
        <w:t>：</w:t>
      </w:r>
    </w:p>
    <w:p w14:paraId="104DABFE">
      <w:pPr>
        <w:widowControl/>
        <w:spacing w:line="400" w:lineRule="exact"/>
        <w:ind w:left="2" w:firstLine="574"/>
        <w:textAlignment w:val="baseline"/>
        <w:rPr>
          <w:rFonts w:hint="eastAsia"/>
          <w:highlight w:val="none"/>
          <w:lang w:val="en-US" w:eastAsia="zh-CN"/>
        </w:rPr>
      </w:pPr>
      <w:r>
        <w:rPr>
          <w:rFonts w:hint="eastAsia"/>
          <w:highlight w:val="none"/>
          <w:lang w:val="en-US" w:eastAsia="zh-CN"/>
        </w:rPr>
        <w:t>1）、对传动轴两头、钢板弹簧、钢板座、消音器支架、变速箱上连接件、骑马螺栓、大灯防护罩螺栓、驾驶室后悬支架处螺栓、减震器、限位块、驾驶室花型保险杠螺栓、前面罩内部翻转轴销轴、底盘拉杆螺纹、油箱拉带紧固螺栓、储气筒紧固螺栓、发动机与变速箱结合位置及总装装配的各活动件螺栓和接头的打紧端，采用喷涂高固含防锈蜡防护。</w:t>
      </w:r>
    </w:p>
    <w:p w14:paraId="02C1B620">
      <w:pPr>
        <w:widowControl/>
        <w:spacing w:line="400" w:lineRule="exact"/>
        <w:ind w:left="2" w:firstLine="574"/>
        <w:textAlignment w:val="baseline"/>
        <w:rPr>
          <w:rFonts w:hint="eastAsia"/>
          <w:highlight w:val="none"/>
          <w:lang w:val="en-US" w:eastAsia="zh-CN"/>
        </w:rPr>
      </w:pPr>
      <w:r>
        <w:rPr>
          <w:rFonts w:hint="eastAsia"/>
          <w:highlight w:val="none"/>
          <w:lang w:val="en-US" w:eastAsia="zh-CN"/>
        </w:rPr>
        <w:t>2）、采用高温漆对增压器外壳及附件区域、排气管卡箍、排气管口内部焊缝及边缘均匀喷涂两遍。</w:t>
      </w:r>
    </w:p>
    <w:p w14:paraId="378AF485">
      <w:pPr>
        <w:widowControl/>
        <w:spacing w:line="400" w:lineRule="exact"/>
        <w:ind w:left="2" w:firstLine="574"/>
        <w:textAlignment w:val="baseline"/>
        <w:rPr>
          <w:rFonts w:hint="eastAsia"/>
          <w:highlight w:val="none"/>
          <w:lang w:val="en-US" w:eastAsia="zh-CN"/>
        </w:rPr>
      </w:pPr>
      <w:r>
        <w:rPr>
          <w:rFonts w:hint="eastAsia"/>
          <w:highlight w:val="none"/>
          <w:lang w:val="en-US" w:eastAsia="zh-CN"/>
        </w:rPr>
        <w:t>3）、底盘整体、驾驶室及附属件（包含上车踏板螺栓、外饰件支架）及前面罩内部金属件喷涂防锈蜡。喷蜡时需均匀喷涂，所有零部件及夹缝处确保蜡膜覆盖，干膜膜厚≥50μm。</w:t>
      </w:r>
    </w:p>
    <w:p w14:paraId="125D41D1">
      <w:pPr>
        <w:widowControl/>
        <w:spacing w:line="400" w:lineRule="exact"/>
        <w:ind w:left="2" w:firstLine="574"/>
        <w:textAlignment w:val="baseline"/>
        <w:rPr>
          <w:rFonts w:hint="eastAsia"/>
          <w:highlight w:val="none"/>
          <w:lang w:val="en-US" w:eastAsia="zh-CN"/>
        </w:rPr>
      </w:pPr>
      <w:r>
        <w:rPr>
          <w:rFonts w:hint="eastAsia"/>
          <w:highlight w:val="none"/>
          <w:lang w:val="en-US" w:eastAsia="zh-CN"/>
        </w:rPr>
        <w:t>4）、由于中重卡高端防腐项目工艺验证评审会会议纪要要求：各整车单位排查已完成高端防腐工艺的5个月以上库存车辆，检查蜡膜状态、若蜡膜出现脱落，免费重新进行喷涂。</w:t>
      </w:r>
    </w:p>
    <w:p w14:paraId="6DC3E3EB">
      <w:pPr>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baseline"/>
        <w:rPr>
          <w:rFonts w:hint="eastAsia"/>
          <w:b/>
          <w:bCs/>
          <w:highlight w:val="none"/>
          <w:lang w:val="en-US" w:eastAsia="zh-CN"/>
        </w:rPr>
      </w:pPr>
      <w:r>
        <w:rPr>
          <w:rFonts w:hint="eastAsia"/>
          <w:b/>
          <w:bCs/>
          <w:highlight w:val="none"/>
          <w:lang w:val="en-US" w:eastAsia="zh-CN"/>
        </w:rPr>
        <w:t>2、海运出口车喷蜡喷蜡：</w:t>
      </w:r>
    </w:p>
    <w:p w14:paraId="5F2FF570">
      <w:pPr>
        <w:widowControl/>
        <w:spacing w:line="400" w:lineRule="exact"/>
        <w:ind w:left="2" w:firstLine="574"/>
        <w:textAlignment w:val="baseline"/>
        <w:rPr>
          <w:rFonts w:hint="eastAsia"/>
          <w:highlight w:val="none"/>
          <w:lang w:val="en-US" w:eastAsia="zh-CN"/>
        </w:rPr>
      </w:pPr>
      <w:r>
        <w:rPr>
          <w:rFonts w:hint="eastAsia"/>
          <w:highlight w:val="none"/>
          <w:lang w:val="en-US" w:eastAsia="zh-CN"/>
        </w:rPr>
        <w:t>1）、驾驶室左右踏板及前踏板的固定螺栓采用喷涂自喷蜡。</w:t>
      </w:r>
    </w:p>
    <w:p w14:paraId="10E1DE20">
      <w:pPr>
        <w:widowControl/>
        <w:spacing w:line="400" w:lineRule="exact"/>
        <w:ind w:left="2" w:firstLine="574"/>
        <w:textAlignment w:val="baseline"/>
        <w:rPr>
          <w:rFonts w:hint="eastAsia"/>
          <w:highlight w:val="none"/>
          <w:lang w:val="en-US" w:eastAsia="zh-CN"/>
        </w:rPr>
      </w:pPr>
      <w:r>
        <w:rPr>
          <w:rFonts w:hint="eastAsia"/>
          <w:highlight w:val="none"/>
          <w:lang w:val="en-US" w:eastAsia="zh-CN"/>
        </w:rPr>
        <w:t>2）、驾驶室前面罩及内部、驾驶室后围及底盘整体喷涂防锈蜡。喷蜡时需均匀喷涂，所有零部件及夹缝处确保蜡膜覆盖，干膜膜厚≥30μm。</w:t>
      </w:r>
    </w:p>
    <w:p w14:paraId="54A8E680">
      <w:pPr>
        <w:widowControl/>
        <w:spacing w:line="400" w:lineRule="exact"/>
        <w:ind w:left="2" w:firstLine="574"/>
        <w:textAlignment w:val="baseline"/>
        <w:rPr>
          <w:rFonts w:hint="eastAsia" w:ascii="宋体" w:hAnsi="宋体"/>
          <w:kern w:val="0"/>
          <w:szCs w:val="21"/>
        </w:rPr>
      </w:pPr>
      <w:r>
        <w:rPr>
          <w:rFonts w:hint="eastAsia"/>
          <w:highlight w:val="none"/>
          <w:lang w:val="en-US" w:eastAsia="zh-CN"/>
        </w:rPr>
        <w:t>3）、由于中重卡高端防腐项目工艺验证评审会会议纪要要求：各整车单位排查已完成高端防腐工艺的5个月以上库存车辆，检查蜡膜状态、若蜡膜出现脱落，免费重新进行喷涂。</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：本项目投标人的含税投标价不得超过111.02万元。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济南卡车股份有限公司</w:t>
      </w:r>
      <w:r>
        <w:rPr>
          <w:rFonts w:hint="eastAsia" w:ascii="宋体" w:hAnsi="Courier New" w:eastAsia="宋体" w:cs="Times New Roman"/>
          <w:kern w:val="2"/>
          <w:sz w:val="21"/>
          <w:highlight w:val="none"/>
          <w:lang w:val="en-US" w:eastAsia="zh-CN" w:bidi="ar-SA"/>
        </w:rPr>
        <w:t xml:space="preserve">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招标</w:t>
      </w:r>
      <w:r>
        <w:rPr>
          <w:rFonts w:hint="eastAsia" w:ascii="宋体" w:hAnsi="Courier New" w:eastAsia="宋体" w:cs="Times New Roman"/>
          <w:kern w:val="2"/>
          <w:sz w:val="21"/>
          <w:lang w:val="en-US" w:eastAsia="zh-CN" w:bidi="ar-SA"/>
        </w:rPr>
        <w:t>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技术联系人：杨淑清</w:t>
      </w:r>
    </w:p>
    <w:p w14:paraId="762793B7">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电话：13210630938</w:t>
      </w:r>
    </w:p>
    <w:p w14:paraId="7A897144">
      <w:pPr>
        <w:ind w:firstLine="420" w:firstLineChars="200"/>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Style w:val="37"/>
          <w:rFonts w:hint="eastAsia" w:ascii="宋体" w:hAnsi="Courier New" w:eastAsia="宋体" w:cs="Times New Roman"/>
          <w:kern w:val="2"/>
          <w:sz w:val="21"/>
          <w:lang w:val="en-US" w:eastAsia="zh-CN" w:bidi="ar-SA"/>
        </w:rPr>
        <w:t>yangshuqing1@sinotruk.com</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42F401DD">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（1）投标人须遵守《中华人民共和国招标投标法》《中华人民共和国民法典》及其它有关的法律和法规；为中华人民共和国境内注册的独立法人机构，具有独立承担民事责任能力；</w:t>
      </w:r>
    </w:p>
    <w:p w14:paraId="0156853C">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（2）公司成立3年以上（以营业执照成立日期到开标当日满3年为准）；注册资金不少于100万元（人民币）；经营范围满足招标项目需求；</w:t>
      </w:r>
    </w:p>
    <w:p w14:paraId="1B971FF6">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（3）投标人须提供具有统一社会信用代码的新版营业执照副本原件及复印件（加盖公章）；</w:t>
      </w:r>
    </w:p>
    <w:p w14:paraId="070EF4F8">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000A3C7C">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（5）投标人在近三年内在经营活动中无违法记录，且营业收入和利润保持正常比值。</w:t>
      </w:r>
    </w:p>
    <w:p w14:paraId="09ABE501">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（6）具有健全的财务会计制度，财务状况和良好的市场行为。没有处于被有权机关吊销营业执照、吊销资质、停业整顿、取消投标资格以及财产被接管、冻结或进入破产程序等。</w:t>
      </w:r>
    </w:p>
    <w:p w14:paraId="1F65B209">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7）投标人没有被列入招标人处《黑名单》（《黑名单》指投标人与招标人在以往或正在进行的合作中，存在招标人认为的违反合同约定或违反法律法规等的失信行为）的。在“国家企业信用信息公示系统”、“中国执行信息公开网”、“信用中国”、“天眼查”“裁判文书网”等信息平台中，无行政处罚及失信记录等信息。</w:t>
      </w:r>
    </w:p>
    <w:p w14:paraId="43072366">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（8）投标人须提供法人授权委托书原件（在投标文件副本中可用复印件）及投标单位的法定代表人或授权代表的身份证原件及复印件（加盖公章）；</w:t>
      </w:r>
    </w:p>
    <w:p w14:paraId="66025C8D">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（9）投标人须具有履行合同所必需的设备、财务、技术、服务等方面的资质和能力；</w:t>
      </w:r>
    </w:p>
    <w:p w14:paraId="25DAC263">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（10）投标人须具有完全履行招标文件的所有要求的能力；</w:t>
      </w:r>
    </w:p>
    <w:p w14:paraId="7772A141">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（11）投标人须认可招标人的工作指令，包括节假日能正常开展工作的要求；</w:t>
      </w:r>
    </w:p>
    <w:p w14:paraId="238E6550">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highlight w:val="none"/>
        </w:rPr>
      </w:pPr>
      <w:r>
        <w:rPr>
          <w:rFonts w:hint="eastAsia" w:hAnsi="宋体"/>
          <w:highlight w:val="none"/>
        </w:rPr>
        <w:t>（12）投标人并非联合投标或者代理投标。</w:t>
      </w:r>
    </w:p>
    <w:p w14:paraId="2F594EFB">
      <w:pPr>
        <w:pStyle w:val="14"/>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hAnsi="宋体"/>
          <w:highlight w:val="none"/>
        </w:rPr>
        <w:t>（13）供方的直接或间接股东、法定代表人、董事、监事、高管非重汽员工及其亲属。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20</w:t>
      </w:r>
      <w:r>
        <w:rPr>
          <w:rFonts w:hint="eastAsia" w:ascii="宋体" w:hAnsi="Courier New" w:eastAsia="宋体" w:cs="Times New Roman"/>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25</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483F0ED0">
      <w:pPr>
        <w:spacing w:line="360" w:lineRule="auto"/>
        <w:ind w:firstLine="420" w:firstLineChars="200"/>
        <w:rPr>
          <w:rFonts w:hint="eastAsia"/>
          <w:highlight w:val="none"/>
        </w:rPr>
      </w:pPr>
      <w:bookmarkStart w:id="7" w:name="_Toc47976601"/>
      <w:r>
        <w:rPr>
          <w:rFonts w:hint="eastAsia"/>
          <w:highlight w:val="none"/>
        </w:rPr>
        <w:t>（1）有统一社会信用代码的新版营业执照副本复印件（加盖公章）；道路运输许可证复印件（加盖公章）；</w:t>
      </w:r>
    </w:p>
    <w:p w14:paraId="15DBE1F5">
      <w:pPr>
        <w:spacing w:line="360" w:lineRule="auto"/>
        <w:ind w:firstLine="420" w:firstLineChars="200"/>
        <w:rPr>
          <w:rFonts w:hint="eastAsia"/>
          <w:highlight w:val="none"/>
        </w:rPr>
      </w:pPr>
      <w:r>
        <w:rPr>
          <w:rFonts w:hint="eastAsia"/>
          <w:highlight w:val="none"/>
        </w:rPr>
        <w:t>（2）法定代表人授权委托书（含法人身份证和被授权人身份证，见附件2），法定代表人参加投标的，提供法人身份证明文件（加盖公章）；</w:t>
      </w:r>
    </w:p>
    <w:p w14:paraId="092B3A4D">
      <w:pPr>
        <w:spacing w:line="360" w:lineRule="auto"/>
        <w:ind w:firstLine="420" w:firstLineChars="200"/>
        <w:rPr>
          <w:rFonts w:hint="eastAsia"/>
          <w:highlight w:val="none"/>
        </w:rPr>
      </w:pPr>
      <w:r>
        <w:rPr>
          <w:rFonts w:hint="eastAsia"/>
          <w:highlight w:val="none"/>
        </w:rPr>
        <w:t>（3）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若缺少本项或经财务专家审核认为有异常，须进行现场答疑；</w:t>
      </w:r>
    </w:p>
    <w:p w14:paraId="4750A7BB">
      <w:pPr>
        <w:spacing w:line="360" w:lineRule="auto"/>
        <w:ind w:firstLine="420" w:firstLineChars="200"/>
        <w:rPr>
          <w:rFonts w:hint="eastAsia"/>
          <w:highlight w:val="none"/>
        </w:rPr>
      </w:pPr>
      <w:r>
        <w:rPr>
          <w:rFonts w:hint="eastAsia"/>
          <w:highlight w:val="none"/>
        </w:rPr>
        <w:t>（4）近三年内在经营活动中没有违法违纪行为的声明；</w:t>
      </w:r>
    </w:p>
    <w:p w14:paraId="64AD8323">
      <w:pPr>
        <w:spacing w:line="360" w:lineRule="auto"/>
        <w:ind w:firstLine="420" w:firstLineChars="200"/>
        <w:rPr>
          <w:rFonts w:hint="eastAsia"/>
          <w:highlight w:val="none"/>
        </w:rPr>
      </w:pPr>
      <w:r>
        <w:rPr>
          <w:rFonts w:hint="eastAsia"/>
          <w:highlight w:val="none"/>
        </w:rPr>
        <w:t>（5）投标单位在国家企业信用信息公示系统中无与本投标业务相关的行政处罚、经营异常和失信信息的声明；</w:t>
      </w:r>
    </w:p>
    <w:p w14:paraId="50DD919C">
      <w:pPr>
        <w:spacing w:line="360" w:lineRule="auto"/>
        <w:ind w:firstLine="420" w:firstLineChars="200"/>
        <w:rPr>
          <w:rFonts w:hint="eastAsia"/>
          <w:highlight w:val="none"/>
        </w:rPr>
      </w:pPr>
      <w:r>
        <w:rPr>
          <w:rFonts w:hint="eastAsia"/>
          <w:highlight w:val="none"/>
        </w:rPr>
        <w:t>（6）企业最近半年完税证明、信用证明材料（中国人民银行信用代码证+征信报告）；</w:t>
      </w:r>
    </w:p>
    <w:p w14:paraId="1F1EF6FA">
      <w:pPr>
        <w:spacing w:line="360" w:lineRule="auto"/>
        <w:ind w:firstLine="420" w:firstLineChars="200"/>
        <w:rPr>
          <w:rFonts w:hint="eastAsia"/>
          <w:highlight w:val="none"/>
        </w:rPr>
      </w:pPr>
      <w:r>
        <w:rPr>
          <w:rFonts w:hint="eastAsia"/>
          <w:highlight w:val="none"/>
        </w:rPr>
        <w:t>（7）年度纳税信用评价信息；</w:t>
      </w:r>
    </w:p>
    <w:p w14:paraId="4EAB7E9F">
      <w:pPr>
        <w:spacing w:line="360" w:lineRule="auto"/>
        <w:ind w:firstLine="420" w:firstLineChars="200"/>
        <w:rPr>
          <w:rFonts w:hint="eastAsia"/>
          <w:highlight w:val="none"/>
        </w:rPr>
      </w:pPr>
      <w:r>
        <w:rPr>
          <w:rFonts w:hint="eastAsia"/>
          <w:highlight w:val="none"/>
        </w:rPr>
        <w:t>（8）企业对外担保说明（加盖公章）。</w:t>
      </w:r>
    </w:p>
    <w:p w14:paraId="7C4DDE27">
      <w:pPr>
        <w:spacing w:line="360" w:lineRule="auto"/>
        <w:ind w:firstLine="420" w:firstLineChars="200"/>
        <w:rPr>
          <w:rFonts w:hint="eastAsia"/>
          <w:highlight w:val="yellow"/>
          <w:lang w:val="en-US" w:eastAsia="zh-CN"/>
        </w:rPr>
      </w:pPr>
      <w:r>
        <w:rPr>
          <w:rFonts w:hint="eastAsia"/>
          <w:highlight w:val="yellow"/>
          <w:lang w:eastAsia="zh-CN"/>
        </w:rPr>
        <w:t>（</w:t>
      </w:r>
      <w:r>
        <w:rPr>
          <w:rFonts w:hint="eastAsia"/>
          <w:highlight w:val="yellow"/>
          <w:lang w:val="en-US" w:eastAsia="zh-CN"/>
        </w:rPr>
        <w:t>9）</w:t>
      </w:r>
      <w:r>
        <w:rPr>
          <w:rFonts w:hint="eastAsia"/>
          <w:highlight w:val="yellow"/>
        </w:rPr>
        <w:t>保证金缴纳凭证。</w:t>
      </w:r>
      <w:r>
        <w:rPr>
          <w:rFonts w:hint="eastAsia"/>
          <w:highlight w:val="yellow"/>
          <w:lang w:eastAsia="zh-CN"/>
        </w:rPr>
        <w:t>（</w:t>
      </w:r>
      <w:r>
        <w:rPr>
          <w:rFonts w:hint="eastAsia"/>
          <w:highlight w:val="yellow"/>
          <w:lang w:val="en-US" w:eastAsia="zh-CN"/>
        </w:rPr>
        <w:t>应标时不做要求，投标时需随投标文件一起上传）</w:t>
      </w:r>
    </w:p>
    <w:p w14:paraId="3F5DD9A7">
      <w:pPr>
        <w:spacing w:line="360" w:lineRule="auto"/>
        <w:ind w:firstLine="422" w:firstLineChars="200"/>
        <w:rPr>
          <w:rFonts w:hint="default"/>
          <w:highlight w:val="yellow"/>
          <w:lang w:val="en-US" w:eastAsia="zh-CN"/>
        </w:rPr>
      </w:pPr>
      <w:r>
        <w:rPr>
          <w:rFonts w:hint="eastAsia" w:hAnsi="宋体"/>
          <w:b/>
          <w:bCs/>
          <w:highlight w:val="none"/>
        </w:rPr>
        <w:t>其他</w:t>
      </w:r>
      <w:r>
        <w:rPr>
          <w:rFonts w:hint="eastAsia" w:hAnsi="宋体"/>
          <w:highlight w:val="none"/>
        </w:rPr>
        <w:t>：</w:t>
      </w:r>
      <w:r>
        <w:rPr>
          <w:rFonts w:hint="eastAsia"/>
          <w:highlight w:val="none"/>
        </w:rPr>
        <w:t>投标人可以证明企业实力的其他证明材料（可根据实际自行增加），</w:t>
      </w:r>
      <w:r>
        <w:rPr>
          <w:rFonts w:hint="eastAsia" w:hAnsi="宋体"/>
          <w:highlight w:val="none"/>
        </w:rPr>
        <w:t>根据实际情况上传pdf文件版本</w:t>
      </w:r>
    </w:p>
    <w:bookmarkEnd w:id="7"/>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highlight w:val="yellow"/>
          <w:lang w:val="en-US" w:eastAsia="zh-CN" w:bidi="ar-SA"/>
        </w:rPr>
        <w:t>按照合同约定执行</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yellow"/>
          <w:lang w:eastAsia="zh-CN"/>
        </w:rPr>
        <w:t>半年期商业汇票</w:t>
      </w:r>
      <w:r>
        <w:rPr>
          <w:rFonts w:hint="eastAsia" w:ascii="宋体" w:hAnsi="宋体" w:eastAsia="宋体" w:cs="宋体"/>
          <w:b w:val="0"/>
          <w:bCs w:val="0"/>
          <w:sz w:val="21"/>
          <w:szCs w:val="21"/>
          <w:highlight w:val="yellow"/>
          <w:lang w:eastAsia="zh-CN"/>
        </w:rPr>
        <w:t>（包括银行承兑汇票和商业承兑汇票）；</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乙方完成甲方的需求，乙方开具合同价款100%的收据并增值税专用发票，经甲方核对无误后支付。</w:t>
      </w:r>
      <w:r>
        <w:rPr>
          <w:rFonts w:hint="eastAsia" w:ascii="宋体" w:hAnsi="宋体" w:eastAsia="宋体" w:cs="宋体"/>
          <w:color w:val="auto"/>
          <w:sz w:val="21"/>
          <w:szCs w:val="21"/>
          <w:highlight w:val="none"/>
          <w:lang w:eastAsia="zh-CN"/>
        </w:rPr>
        <w:t>付款周期原则为当月挂账，次次月付款。（如A月挂账，A+2月付款）。</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bookmarkStart w:id="8" w:name="_GoBack"/>
      <w:bookmarkEnd w:id="8"/>
    </w:p>
    <w:p w14:paraId="41E14020">
      <w:pPr>
        <w:pStyle w:val="26"/>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r>
        <w:rPr>
          <w:rFonts w:hint="eastAsia" w:ascii="宋体" w:hAnsi="宋体" w:eastAsia="宋体" w:cs="宋体"/>
          <w:b/>
          <w:bCs/>
          <w:color w:val="000000"/>
          <w:kern w:val="2"/>
          <w:sz w:val="21"/>
          <w:szCs w:val="21"/>
          <w:highlight w:val="yellow"/>
          <w:u w:val="single"/>
          <w:lang w:val="en-US" w:eastAsia="zh-CN" w:bidi="ar"/>
        </w:rPr>
        <w:t>月2日9:00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5BC1939F">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cs="宋体"/>
          <w:b/>
          <w:bCs/>
          <w:kern w:val="2"/>
          <w:sz w:val="21"/>
          <w:szCs w:val="21"/>
          <w:highlight w:val="none"/>
          <w:lang w:val="en-US" w:eastAsia="zh-CN" w:bidi="ar"/>
        </w:rPr>
        <w:t>2</w:t>
      </w:r>
      <w:r>
        <w:rPr>
          <w:rFonts w:hint="eastAsia" w:ascii="宋体" w:hAnsi="宋体" w:eastAsia="宋体" w:cs="宋体"/>
          <w:b/>
          <w:bCs/>
          <w:kern w:val="2"/>
          <w:sz w:val="21"/>
          <w:szCs w:val="21"/>
          <w:highlight w:val="none"/>
          <w:lang w:val="en-US" w:eastAsia="zh-CN" w:bidi="ar"/>
        </w:rPr>
        <w:t>0000元</w:t>
      </w:r>
    </w:p>
    <w:p w14:paraId="0C4BEBB4">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开户名称：中国重汽集团济南卡车股份有限公司</w:t>
      </w:r>
    </w:p>
    <w:p w14:paraId="7B3195ED">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开户银行：招商银行股份有限公司济南分行营业部</w:t>
      </w:r>
    </w:p>
    <w:p w14:paraId="03D457BF">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银行帐号：531900051810601</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0B13CA40">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业务外包</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1B7B633">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4"/>
      </w:pPr>
    </w:p>
    <w:p w14:paraId="44F04E35">
      <w:pPr>
        <w:pStyle w:val="1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14"/>
        <w:rPr>
          <w:rFonts w:hAnsi="宋体" w:eastAsia="宋体" w:cs="Times New Roman"/>
          <w:b/>
          <w:color w:val="000000"/>
          <w:sz w:val="24"/>
          <w:szCs w:val="24"/>
        </w:rPr>
      </w:pPr>
    </w:p>
    <w:p w14:paraId="3CEE3B78">
      <w:pPr>
        <w:pStyle w:val="1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AF0723E"/>
    <w:multiLevelType w:val="singleLevel"/>
    <w:tmpl w:val="4AF0723E"/>
    <w:lvl w:ilvl="0" w:tentative="0">
      <w:start w:val="2"/>
      <w:numFmt w:val="chineseCounting"/>
      <w:suff w:val="nothing"/>
      <w:lvlText w:val="%1、"/>
      <w:lvlJc w:val="left"/>
      <w:rPr>
        <w:rFonts w:hint="eastAsia"/>
      </w:rPr>
    </w:lvl>
  </w:abstractNum>
  <w:abstractNum w:abstractNumId="1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1"/>
  </w:num>
  <w:num w:numId="2">
    <w:abstractNumId w:val="15"/>
  </w:num>
  <w:num w:numId="3">
    <w:abstractNumId w:val="14"/>
  </w:num>
  <w:num w:numId="4">
    <w:abstractNumId w:val="12"/>
  </w:num>
  <w:num w:numId="5">
    <w:abstractNumId w:val="6"/>
  </w:num>
  <w:num w:numId="6">
    <w:abstractNumId w:val="7"/>
  </w:num>
  <w:num w:numId="7">
    <w:abstractNumId w:val="8"/>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9"/>
  </w:num>
  <w:num w:numId="14">
    <w:abstractNumId w:val="3"/>
  </w:num>
  <w:num w:numId="15">
    <w:abstractNumId w:val="16"/>
  </w:num>
  <w:num w:numId="16">
    <w:abstractNumId w:val="5"/>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617"/>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11217E"/>
    <w:rsid w:val="02CC3DCA"/>
    <w:rsid w:val="02FE76EF"/>
    <w:rsid w:val="03F033B0"/>
    <w:rsid w:val="057C1D39"/>
    <w:rsid w:val="05891259"/>
    <w:rsid w:val="08633479"/>
    <w:rsid w:val="0CB51572"/>
    <w:rsid w:val="0E4D31E3"/>
    <w:rsid w:val="0FCF422E"/>
    <w:rsid w:val="10DC2AA3"/>
    <w:rsid w:val="10FA7C8C"/>
    <w:rsid w:val="130B198F"/>
    <w:rsid w:val="16133F57"/>
    <w:rsid w:val="16A918E4"/>
    <w:rsid w:val="17D966D6"/>
    <w:rsid w:val="1BC71D3B"/>
    <w:rsid w:val="1C59115B"/>
    <w:rsid w:val="1D916DCF"/>
    <w:rsid w:val="1EEC5078"/>
    <w:rsid w:val="1FB23E60"/>
    <w:rsid w:val="22473E0E"/>
    <w:rsid w:val="226C7852"/>
    <w:rsid w:val="22C5630B"/>
    <w:rsid w:val="23725E6A"/>
    <w:rsid w:val="23EC0BA6"/>
    <w:rsid w:val="24701A48"/>
    <w:rsid w:val="268B0052"/>
    <w:rsid w:val="27743C90"/>
    <w:rsid w:val="287A719D"/>
    <w:rsid w:val="29CA2459"/>
    <w:rsid w:val="2B271A58"/>
    <w:rsid w:val="2B6304A7"/>
    <w:rsid w:val="2B7935AF"/>
    <w:rsid w:val="2CF6734C"/>
    <w:rsid w:val="2D663463"/>
    <w:rsid w:val="2E690790"/>
    <w:rsid w:val="2EF96EE4"/>
    <w:rsid w:val="32E5111C"/>
    <w:rsid w:val="34D85D0F"/>
    <w:rsid w:val="36254FE4"/>
    <w:rsid w:val="372F61E0"/>
    <w:rsid w:val="39322FCA"/>
    <w:rsid w:val="3AB90991"/>
    <w:rsid w:val="3B706131"/>
    <w:rsid w:val="3E6F041E"/>
    <w:rsid w:val="4275481E"/>
    <w:rsid w:val="428B617A"/>
    <w:rsid w:val="433D7BDC"/>
    <w:rsid w:val="437E1813"/>
    <w:rsid w:val="45BD47FC"/>
    <w:rsid w:val="45CC5FB2"/>
    <w:rsid w:val="469011FB"/>
    <w:rsid w:val="46B75BA8"/>
    <w:rsid w:val="48C97955"/>
    <w:rsid w:val="49880C8F"/>
    <w:rsid w:val="4A8835F7"/>
    <w:rsid w:val="4B592E71"/>
    <w:rsid w:val="4F2043EF"/>
    <w:rsid w:val="52B9239A"/>
    <w:rsid w:val="53533D66"/>
    <w:rsid w:val="546F3BC5"/>
    <w:rsid w:val="54885F3F"/>
    <w:rsid w:val="54BD78FD"/>
    <w:rsid w:val="554C20B4"/>
    <w:rsid w:val="57001A52"/>
    <w:rsid w:val="58A86DDE"/>
    <w:rsid w:val="59154AD7"/>
    <w:rsid w:val="5ADF548D"/>
    <w:rsid w:val="5D5C60B4"/>
    <w:rsid w:val="63F04A69"/>
    <w:rsid w:val="64ED7AF8"/>
    <w:rsid w:val="64FF15A2"/>
    <w:rsid w:val="6527641E"/>
    <w:rsid w:val="66A50B1E"/>
    <w:rsid w:val="67B2063C"/>
    <w:rsid w:val="67C97AC3"/>
    <w:rsid w:val="67E30EC1"/>
    <w:rsid w:val="6A4E3B2B"/>
    <w:rsid w:val="6B481C3B"/>
    <w:rsid w:val="6C1331A3"/>
    <w:rsid w:val="6CA84BC1"/>
    <w:rsid w:val="6D3E4756"/>
    <w:rsid w:val="6D7E7E75"/>
    <w:rsid w:val="6F660474"/>
    <w:rsid w:val="6FC523EB"/>
    <w:rsid w:val="71C022DB"/>
    <w:rsid w:val="72895F2E"/>
    <w:rsid w:val="72C02EBE"/>
    <w:rsid w:val="72C507AD"/>
    <w:rsid w:val="72D028D8"/>
    <w:rsid w:val="745D47C3"/>
    <w:rsid w:val="75D84470"/>
    <w:rsid w:val="76AC3757"/>
    <w:rsid w:val="7CB93F8E"/>
    <w:rsid w:val="7CF66B46"/>
    <w:rsid w:val="7DBD28BA"/>
    <w:rsid w:val="7F1F5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4432</Words>
  <Characters>4713</Characters>
  <Lines>127</Lines>
  <Paragraphs>35</Paragraphs>
  <TotalTime>0</TotalTime>
  <ScaleCrop>false</ScaleCrop>
  <LinksUpToDate>false</LinksUpToDate>
  <CharactersWithSpaces>4726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許</cp:lastModifiedBy>
  <cp:lastPrinted>2020-06-28T02:28:00Z</cp:lastPrinted>
  <dcterms:modified xsi:type="dcterms:W3CDTF">2025-11-20T07:22:02Z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eyJoZGlkIjoiZTZkNDE3ZGE4Mjk4YmFlZDAwMWNlODJlYzdjMzk3YmQiLCJ1c2VySWQiOiI1MDMyNjc5ODcifQ==</vt:lpwstr>
  </property>
</Properties>
</file>