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360"/>
        <w:jc w:val="left"/>
        <w:rPr>
          <w:rFonts w:ascii="宋体" w:hAnsi="宋体" w:cs="宋体"/>
          <w:sz w:val="24"/>
          <w:szCs w:val="24"/>
        </w:rPr>
      </w:pPr>
      <w:r>
        <w:rPr>
          <w:rFonts w:hint="eastAsia" w:ascii="楷体_GB2312" w:hAnsi="宋体" w:eastAsia="楷体_GB2312"/>
          <w:sz w:val="24"/>
        </w:rPr>
        <w:drawing>
          <wp:anchor distT="0" distB="0" distL="114300" distR="114300" simplePos="0" relativeHeight="251659264" behindDoc="0" locked="0" layoutInCell="1" allowOverlap="1">
            <wp:simplePos x="0" y="0"/>
            <wp:positionH relativeFrom="column">
              <wp:posOffset>-198755</wp:posOffset>
            </wp:positionH>
            <wp:positionV relativeFrom="paragraph">
              <wp:posOffset>48895</wp:posOffset>
            </wp:positionV>
            <wp:extent cx="2548890" cy="889000"/>
            <wp:effectExtent l="0" t="0" r="3810" b="6350"/>
            <wp:wrapNone/>
            <wp:docPr id="1" name="图片 12"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2" descr="timg"/>
                    <pic:cNvPicPr>
                      <a:picLocks noChangeAspect="1"/>
                    </pic:cNvPicPr>
                  </pic:nvPicPr>
                  <pic:blipFill>
                    <a:blip r:embed="rId7"/>
                    <a:stretch>
                      <a:fillRect/>
                    </a:stretch>
                  </pic:blipFill>
                  <pic:spPr>
                    <a:xfrm>
                      <a:off x="0" y="0"/>
                      <a:ext cx="2548890" cy="889000"/>
                    </a:xfrm>
                    <a:prstGeom prst="rect">
                      <a:avLst/>
                    </a:prstGeom>
                    <a:noFill/>
                    <a:ln>
                      <a:noFill/>
                    </a:ln>
                  </pic:spPr>
                </pic:pic>
              </a:graphicData>
            </a:graphic>
          </wp:anchor>
        </w:drawing>
      </w:r>
      <w:r>
        <w:rPr>
          <w:rFonts w:hint="eastAsia" w:ascii="宋体" w:hAnsi="宋体" w:cs="宋体"/>
          <w:sz w:val="24"/>
          <w:szCs w:val="24"/>
        </w:rPr>
        <w:t xml:space="preserve"> </w:t>
      </w:r>
      <w:r>
        <w:rPr>
          <w:rFonts w:ascii="宋体" w:hAnsi="宋体" w:cs="宋体"/>
          <w:sz w:val="24"/>
          <w:szCs w:val="24"/>
        </w:rPr>
        <w:t xml:space="preserve">                                                </w:t>
      </w:r>
    </w:p>
    <w:p>
      <w:pPr>
        <w:spacing w:line="360" w:lineRule="auto"/>
        <w:ind w:right="360" w:firstLine="480" w:firstLineChars="200"/>
        <w:jc w:val="left"/>
        <w:rPr>
          <w:rFonts w:ascii="宋体" w:hAnsi="宋体" w:cs="宋体"/>
          <w:sz w:val="24"/>
          <w:szCs w:val="24"/>
          <w14:textFill>
            <w14:gradFill>
              <w14:gsLst>
                <w14:gs w14:pos="0">
                  <w14:srgbClr w14:val="14CD68"/>
                </w14:gs>
                <w14:gs w14:pos="100000">
                  <w14:srgbClr w14:val="0B6E38"/>
                </w14:gs>
              </w14:gsLst>
              <w14:lin w14:scaled="0"/>
            </w14:gradFill>
          </w14:textFill>
        </w:rPr>
      </w:pPr>
    </w:p>
    <w:p>
      <w:pPr>
        <w:spacing w:line="360" w:lineRule="auto"/>
        <w:ind w:firstLine="480"/>
      </w:pPr>
    </w:p>
    <w:p>
      <w:pPr>
        <w:spacing w:line="360" w:lineRule="auto"/>
        <w:ind w:firstLine="880"/>
        <w:rPr>
          <w:rFonts w:ascii="楷体_GB2312" w:hAnsi="宋体" w:eastAsia="楷体_GB2312"/>
          <w:sz w:val="44"/>
          <w:szCs w:val="44"/>
        </w:rPr>
      </w:pPr>
    </w:p>
    <w:p>
      <w:pPr>
        <w:spacing w:line="360" w:lineRule="auto"/>
        <w:jc w:val="center"/>
      </w:pPr>
    </w:p>
    <w:p>
      <w:pPr>
        <w:spacing w:line="360" w:lineRule="auto"/>
        <w:ind w:firstLine="3092" w:firstLineChars="700"/>
        <w:rPr>
          <w:rFonts w:ascii="楷体_GB2312" w:hAnsi="宋体" w:eastAsia="楷体_GB2312"/>
          <w:b/>
          <w:bCs/>
          <w:sz w:val="44"/>
          <w:szCs w:val="44"/>
          <w:u w:val="single"/>
        </w:rPr>
      </w:pPr>
      <w:r>
        <w:rPr>
          <w:rFonts w:hint="eastAsia" w:ascii="楷体_GB2312" w:hAnsi="宋体" w:eastAsia="楷体_GB2312"/>
          <w:b/>
          <w:bCs/>
          <w:sz w:val="44"/>
          <w:szCs w:val="44"/>
          <w:u w:val="single"/>
        </w:rPr>
        <w:t>中国重汽集团</w:t>
      </w:r>
    </w:p>
    <w:p>
      <w:pPr>
        <w:spacing w:line="360" w:lineRule="auto"/>
        <w:jc w:val="center"/>
        <w:rPr>
          <w:rFonts w:ascii="楷体_GB2312" w:hAnsi="宋体" w:eastAsia="楷体_GB2312"/>
          <w:b/>
          <w:bCs/>
          <w:sz w:val="44"/>
          <w:szCs w:val="44"/>
          <w:u w:val="single"/>
        </w:rPr>
      </w:pPr>
      <w:r>
        <w:rPr>
          <w:rFonts w:hint="eastAsia" w:ascii="楷体_GB2312" w:hAnsi="宋体" w:eastAsia="楷体_GB2312"/>
          <w:b/>
          <w:bCs/>
          <w:sz w:val="44"/>
          <w:szCs w:val="44"/>
          <w:u w:val="single"/>
        </w:rPr>
        <w:t>202</w:t>
      </w:r>
      <w:r>
        <w:rPr>
          <w:rFonts w:hint="eastAsia" w:ascii="楷体_GB2312" w:hAnsi="宋体" w:eastAsia="楷体_GB2312"/>
          <w:b/>
          <w:bCs/>
          <w:sz w:val="44"/>
          <w:szCs w:val="44"/>
          <w:u w:val="single"/>
          <w:lang w:val="en-US" w:eastAsia="zh-CN"/>
        </w:rPr>
        <w:t>5</w:t>
      </w:r>
      <w:r>
        <w:rPr>
          <w:rFonts w:hint="eastAsia" w:ascii="楷体_GB2312" w:hAnsi="宋体" w:eastAsia="楷体_GB2312"/>
          <w:b/>
          <w:bCs/>
          <w:sz w:val="44"/>
          <w:szCs w:val="44"/>
          <w:u w:val="single"/>
        </w:rPr>
        <w:t>年</w:t>
      </w:r>
      <w:r>
        <w:rPr>
          <w:rFonts w:hint="eastAsia" w:ascii="楷体_GB2312" w:hAnsi="宋体" w:eastAsia="楷体_GB2312"/>
          <w:b/>
          <w:bCs/>
          <w:sz w:val="44"/>
          <w:szCs w:val="44"/>
          <w:u w:val="single"/>
          <w:lang w:val="en-US" w:eastAsia="zh-CN"/>
        </w:rPr>
        <w:t>商用车E线路商品</w:t>
      </w:r>
      <w:r>
        <w:rPr>
          <w:rFonts w:hint="eastAsia" w:ascii="楷体_GB2312" w:hAnsi="宋体" w:eastAsia="楷体_GB2312"/>
          <w:b/>
          <w:bCs/>
          <w:sz w:val="44"/>
          <w:szCs w:val="44"/>
          <w:u w:val="single"/>
        </w:rPr>
        <w:t>车</w:t>
      </w:r>
      <w:r>
        <w:rPr>
          <w:rFonts w:hint="eastAsia" w:ascii="楷体_GB2312" w:hAnsi="宋体" w:eastAsia="楷体_GB2312"/>
          <w:b/>
          <w:bCs/>
          <w:sz w:val="44"/>
          <w:szCs w:val="44"/>
          <w:u w:val="single"/>
          <w:lang w:val="en-US" w:eastAsia="zh-CN"/>
        </w:rPr>
        <w:t>驾送运输</w:t>
      </w:r>
      <w:r>
        <w:rPr>
          <w:rFonts w:hint="eastAsia" w:ascii="楷体_GB2312" w:hAnsi="宋体" w:eastAsia="楷体_GB2312"/>
          <w:b/>
          <w:bCs/>
          <w:sz w:val="44"/>
          <w:szCs w:val="44"/>
          <w:u w:val="single"/>
        </w:rPr>
        <w:t>项目</w:t>
      </w:r>
    </w:p>
    <w:p>
      <w:pPr>
        <w:pStyle w:val="8"/>
        <w:spacing w:line="360" w:lineRule="auto"/>
      </w:pPr>
    </w:p>
    <w:p>
      <w:pPr>
        <w:spacing w:line="360" w:lineRule="auto"/>
        <w:ind w:firstLine="2891" w:firstLineChars="400"/>
        <w:rPr>
          <w:rFonts w:ascii="宋体" w:hAnsi="宋体" w:cs="宋体"/>
          <w:b/>
          <w:bCs/>
          <w:sz w:val="72"/>
          <w:szCs w:val="72"/>
        </w:rPr>
      </w:pPr>
      <w:r>
        <w:rPr>
          <w:rFonts w:hint="eastAsia" w:ascii="宋体" w:hAnsi="宋体" w:cs="宋体"/>
          <w:b/>
          <w:bCs/>
          <w:sz w:val="72"/>
          <w:szCs w:val="72"/>
        </w:rPr>
        <w:t>招标文件</w:t>
      </w:r>
    </w:p>
    <w:p>
      <w:pPr>
        <w:spacing w:line="360" w:lineRule="auto"/>
        <w:ind w:firstLine="2249" w:firstLineChars="700"/>
        <w:jc w:val="both"/>
        <w:rPr>
          <w:rFonts w:hint="eastAsia" w:eastAsia="宋体"/>
          <w:highlight w:val="yellow"/>
          <w:lang w:val="en-US" w:eastAsia="zh-CN"/>
        </w:rPr>
      </w:pPr>
      <w:r>
        <w:rPr>
          <w:rFonts w:ascii="宋体" w:hAnsi="宋体" w:cs="宋体"/>
          <w:b/>
          <w:color w:val="000000"/>
          <w:sz w:val="32"/>
          <w:highlight w:val="none"/>
        </w:rPr>
        <w:t>项目编号：</w:t>
      </w:r>
      <w:r>
        <w:rPr>
          <w:rFonts w:hint="eastAsia" w:ascii="宋体" w:hAnsi="宋体" w:cs="宋体"/>
          <w:b/>
          <w:color w:val="000000"/>
          <w:sz w:val="32"/>
          <w:highlight w:val="none"/>
        </w:rPr>
        <w:t>FSCZB2025110350</w:t>
      </w:r>
    </w:p>
    <w:p>
      <w:pPr>
        <w:widowControl/>
        <w:spacing w:line="360" w:lineRule="auto"/>
        <w:ind w:firstLine="643"/>
        <w:jc w:val="left"/>
        <w:rPr>
          <w:rFonts w:ascii="宋体" w:hAnsi="宋体" w:cs="宋体"/>
          <w:b/>
          <w:bCs/>
          <w:kern w:val="0"/>
          <w:sz w:val="32"/>
          <w:szCs w:val="32"/>
        </w:rPr>
      </w:pPr>
    </w:p>
    <w:p>
      <w:pPr>
        <w:widowControl/>
        <w:spacing w:line="360" w:lineRule="auto"/>
        <w:ind w:firstLine="643"/>
        <w:jc w:val="left"/>
        <w:rPr>
          <w:rFonts w:ascii="宋体" w:hAnsi="宋体" w:cs="宋体"/>
          <w:b/>
          <w:bCs/>
          <w:kern w:val="0"/>
          <w:sz w:val="32"/>
          <w:szCs w:val="32"/>
        </w:rPr>
      </w:pPr>
    </w:p>
    <w:p>
      <w:pPr>
        <w:widowControl/>
        <w:spacing w:line="360" w:lineRule="auto"/>
        <w:ind w:firstLine="643"/>
        <w:jc w:val="left"/>
        <w:rPr>
          <w:rFonts w:ascii="宋体" w:hAnsi="宋体" w:cs="宋体"/>
          <w:b/>
          <w:bCs/>
          <w:kern w:val="0"/>
          <w:sz w:val="32"/>
          <w:szCs w:val="32"/>
        </w:rPr>
      </w:pPr>
    </w:p>
    <w:p>
      <w:pPr>
        <w:widowControl/>
        <w:spacing w:line="360" w:lineRule="auto"/>
        <w:ind w:firstLine="1590" w:firstLineChars="495"/>
        <w:rPr>
          <w:rFonts w:ascii="宋体" w:hAnsi="宋体" w:cs="宋体"/>
          <w:b/>
          <w:bCs/>
          <w:kern w:val="0"/>
          <w:sz w:val="32"/>
          <w:szCs w:val="32"/>
          <w:u w:val="single"/>
        </w:rPr>
      </w:pPr>
    </w:p>
    <w:p>
      <w:pPr>
        <w:widowControl/>
        <w:spacing w:line="360" w:lineRule="auto"/>
        <w:ind w:firstLine="643"/>
        <w:jc w:val="center"/>
        <w:rPr>
          <w:rFonts w:ascii="宋体" w:hAnsi="宋体" w:cs="宋体"/>
          <w:b/>
          <w:bCs/>
          <w:kern w:val="0"/>
          <w:sz w:val="32"/>
          <w:szCs w:val="32"/>
        </w:rPr>
      </w:pPr>
    </w:p>
    <w:p>
      <w:pPr>
        <w:spacing w:line="360" w:lineRule="auto"/>
      </w:pPr>
    </w:p>
    <w:p>
      <w:pPr>
        <w:widowControl/>
        <w:spacing w:line="360" w:lineRule="auto"/>
        <w:ind w:firstLine="2096" w:firstLineChars="696"/>
        <w:rPr>
          <w:rFonts w:ascii="宋体" w:hAnsi="宋体" w:cs="宋体"/>
          <w:b/>
          <w:bCs/>
          <w:sz w:val="30"/>
          <w:szCs w:val="30"/>
          <w:u w:val="single"/>
        </w:rPr>
      </w:pPr>
      <w:r>
        <w:rPr>
          <w:rFonts w:hint="eastAsia" w:ascii="宋体" w:hAnsi="宋体" w:cs="宋体"/>
          <w:b/>
          <w:bCs/>
          <w:sz w:val="30"/>
          <w:szCs w:val="30"/>
          <w:u w:val="single"/>
        </w:rPr>
        <w:t>招标单位：中国重型汽车集团有限公司</w:t>
      </w:r>
    </w:p>
    <w:p>
      <w:pPr>
        <w:spacing w:line="360" w:lineRule="auto"/>
        <w:jc w:val="center"/>
        <w:rPr>
          <w:rFonts w:eastAsia="黑体"/>
        </w:rPr>
      </w:pPr>
      <w:r>
        <w:rPr>
          <w:rFonts w:hint="eastAsia" w:ascii="黑体" w:hAnsi="黑体" w:eastAsia="黑体" w:cs="黑体"/>
          <w:color w:val="000000"/>
          <w:sz w:val="32"/>
          <w:u w:val="single"/>
        </w:rPr>
        <w:t>202</w:t>
      </w:r>
      <w:r>
        <w:rPr>
          <w:rFonts w:hint="eastAsia" w:ascii="黑体" w:hAnsi="黑体" w:eastAsia="黑体" w:cs="黑体"/>
          <w:color w:val="000000"/>
          <w:sz w:val="32"/>
          <w:u w:val="single"/>
          <w:lang w:val="en-US" w:eastAsia="zh-CN"/>
        </w:rPr>
        <w:t>5</w:t>
      </w:r>
      <w:r>
        <w:rPr>
          <w:rFonts w:hint="eastAsia" w:ascii="黑体" w:hAnsi="黑体" w:eastAsia="黑体" w:cs="黑体"/>
          <w:color w:val="000000"/>
          <w:sz w:val="32"/>
        </w:rPr>
        <w:t>年</w:t>
      </w:r>
      <w:r>
        <w:rPr>
          <w:rFonts w:hint="eastAsia" w:ascii="黑体" w:hAnsi="黑体" w:eastAsia="黑体" w:cs="黑体"/>
          <w:color w:val="000000"/>
          <w:sz w:val="32"/>
          <w:lang w:val="en-US" w:eastAsia="zh-CN"/>
        </w:rPr>
        <w:t>11</w:t>
      </w:r>
      <w:r>
        <w:rPr>
          <w:rFonts w:hint="eastAsia" w:ascii="黑体" w:hAnsi="黑体" w:eastAsia="黑体" w:cs="黑体"/>
          <w:color w:val="000000"/>
          <w:sz w:val="32"/>
        </w:rPr>
        <w:t>月</w:t>
      </w:r>
    </w:p>
    <w:p>
      <w:pPr>
        <w:widowControl/>
        <w:spacing w:line="360" w:lineRule="auto"/>
        <w:ind w:firstLine="723"/>
        <w:jc w:val="center"/>
        <w:rPr>
          <w:rFonts w:ascii="宋体" w:hAnsi="宋体"/>
          <w:b/>
        </w:rPr>
      </w:pPr>
      <w:r>
        <w:rPr>
          <w:rFonts w:hint="eastAsia" w:ascii="宋体" w:hAnsi="宋体" w:cs="宋体"/>
          <w:b/>
          <w:bCs/>
          <w:sz w:val="36"/>
          <w:szCs w:val="36"/>
        </w:rPr>
        <w:br w:type="page"/>
      </w:r>
      <w:r>
        <w:rPr>
          <w:rFonts w:hint="eastAsia" w:ascii="宋体" w:hAnsi="宋体" w:cs="宋体"/>
          <w:b/>
          <w:bCs/>
          <w:sz w:val="36"/>
          <w:szCs w:val="36"/>
        </w:rPr>
        <w:t>目</w:t>
      </w:r>
      <w:r>
        <w:rPr>
          <w:rFonts w:ascii="宋体" w:hAnsi="宋体" w:cs="宋体"/>
          <w:b/>
          <w:bCs/>
          <w:sz w:val="36"/>
          <w:szCs w:val="36"/>
        </w:rPr>
        <w:t xml:space="preserve">    </w:t>
      </w:r>
      <w:r>
        <w:rPr>
          <w:rFonts w:hint="eastAsia" w:ascii="宋体" w:hAnsi="宋体" w:cs="宋体"/>
          <w:b/>
          <w:bCs/>
          <w:sz w:val="36"/>
          <w:szCs w:val="36"/>
        </w:rPr>
        <w:t>录</w:t>
      </w:r>
    </w:p>
    <w:p>
      <w:pPr>
        <w:pStyle w:val="13"/>
        <w:tabs>
          <w:tab w:val="right" w:leader="dot" w:pos="9071"/>
        </w:tabs>
      </w:pPr>
      <w:r>
        <w:rPr>
          <w:rFonts w:hint="eastAsia" w:ascii="宋体" w:hAnsi="宋体" w:cs="宋体"/>
          <w:i/>
          <w:caps w:val="0"/>
          <w:szCs w:val="24"/>
        </w:rPr>
        <w:fldChar w:fldCharType="begin"/>
      </w:r>
      <w:r>
        <w:rPr>
          <w:rFonts w:hint="eastAsia" w:ascii="宋体" w:hAnsi="宋体" w:cs="宋体"/>
          <w:i/>
          <w:caps w:val="0"/>
          <w:szCs w:val="24"/>
        </w:rPr>
        <w:instrText xml:space="preserve">TOC \o "1-2" \h \u </w:instrText>
      </w:r>
      <w:r>
        <w:rPr>
          <w:rFonts w:hint="eastAsia" w:ascii="宋体" w:hAnsi="宋体" w:cs="宋体"/>
          <w:i/>
          <w:caps w:val="0"/>
          <w:szCs w:val="24"/>
        </w:rPr>
        <w:fldChar w:fldCharType="separate"/>
      </w:r>
      <w:r>
        <w:rPr>
          <w:rFonts w:hint="eastAsia" w:ascii="宋体" w:hAnsi="宋体" w:cs="宋体"/>
          <w:i/>
          <w:caps w:val="0"/>
          <w:szCs w:val="24"/>
        </w:rPr>
        <w:fldChar w:fldCharType="begin"/>
      </w:r>
      <w:r>
        <w:rPr>
          <w:rFonts w:hint="eastAsia" w:ascii="宋体" w:hAnsi="宋体" w:cs="宋体"/>
          <w:i/>
          <w:caps w:val="0"/>
          <w:szCs w:val="24"/>
        </w:rPr>
        <w:instrText xml:space="preserve"> HYPERLINK \l _Toc11033 </w:instrText>
      </w:r>
      <w:r>
        <w:rPr>
          <w:rFonts w:hint="eastAsia" w:ascii="宋体" w:hAnsi="宋体" w:cs="宋体"/>
          <w:i/>
          <w:caps w:val="0"/>
          <w:szCs w:val="24"/>
        </w:rPr>
        <w:fldChar w:fldCharType="separate"/>
      </w:r>
      <w:r>
        <w:t xml:space="preserve">第1章 </w:t>
      </w:r>
      <w:r>
        <w:rPr>
          <w:rFonts w:hint="eastAsia"/>
        </w:rPr>
        <w:t>招标公告</w:t>
      </w:r>
      <w:r>
        <w:tab/>
      </w:r>
      <w:r>
        <w:fldChar w:fldCharType="begin"/>
      </w:r>
      <w:r>
        <w:instrText xml:space="preserve"> PAGEREF _Toc11033 \h </w:instrText>
      </w:r>
      <w:r>
        <w:fldChar w:fldCharType="separate"/>
      </w:r>
      <w:r>
        <w:t>1</w:t>
      </w:r>
      <w:r>
        <w:fldChar w:fldCharType="end"/>
      </w:r>
      <w:r>
        <w:rPr>
          <w:rFonts w:hint="eastAsia" w:ascii="宋体" w:hAnsi="宋体" w:cs="宋体"/>
          <w:i/>
          <w:caps w:val="0"/>
          <w:szCs w:val="24"/>
        </w:rPr>
        <w:fldChar w:fldCharType="end"/>
      </w:r>
    </w:p>
    <w:p>
      <w:pPr>
        <w:pStyle w:val="14"/>
        <w:tabs>
          <w:tab w:val="right" w:leader="dot" w:pos="9071"/>
        </w:tabs>
      </w:pPr>
      <w:r>
        <w:rPr>
          <w:rFonts w:hint="eastAsia" w:ascii="宋体" w:hAnsi="宋体" w:cs="宋体"/>
          <w:i/>
          <w:caps/>
          <w:szCs w:val="24"/>
        </w:rPr>
        <w:fldChar w:fldCharType="begin"/>
      </w:r>
      <w:r>
        <w:rPr>
          <w:rFonts w:hint="eastAsia" w:ascii="宋体" w:hAnsi="宋体" w:cs="宋体"/>
          <w:i/>
          <w:caps/>
          <w:szCs w:val="24"/>
        </w:rPr>
        <w:instrText xml:space="preserve"> HYPERLINK \l _Toc20534 </w:instrText>
      </w:r>
      <w:r>
        <w:rPr>
          <w:rFonts w:hint="eastAsia" w:ascii="宋体" w:hAnsi="宋体" w:cs="宋体"/>
          <w:i/>
          <w:caps/>
          <w:szCs w:val="24"/>
        </w:rPr>
        <w:fldChar w:fldCharType="separate"/>
      </w:r>
      <w:r>
        <w:rPr>
          <w:rFonts w:hint="default"/>
          <w:i w:val="0"/>
          <w:iCs w:val="0"/>
          <w:szCs w:val="28"/>
        </w:rPr>
        <w:t xml:space="preserve">1.1 </w:t>
      </w:r>
      <w:r>
        <w:rPr>
          <w:rFonts w:hint="eastAsia"/>
          <w:szCs w:val="28"/>
        </w:rPr>
        <w:t>项目名称及项目编号</w:t>
      </w:r>
      <w:r>
        <w:tab/>
      </w:r>
      <w:r>
        <w:fldChar w:fldCharType="begin"/>
      </w:r>
      <w:r>
        <w:instrText xml:space="preserve"> PAGEREF _Toc20534 \h </w:instrText>
      </w:r>
      <w:r>
        <w:fldChar w:fldCharType="separate"/>
      </w:r>
      <w:r>
        <w:t>1</w:t>
      </w:r>
      <w:r>
        <w:fldChar w:fldCharType="end"/>
      </w:r>
      <w:r>
        <w:rPr>
          <w:rFonts w:hint="eastAsia" w:ascii="宋体" w:hAnsi="宋体" w:cs="宋体"/>
          <w:i/>
          <w:caps/>
          <w:szCs w:val="24"/>
        </w:rPr>
        <w:fldChar w:fldCharType="end"/>
      </w:r>
    </w:p>
    <w:p>
      <w:pPr>
        <w:pStyle w:val="14"/>
        <w:tabs>
          <w:tab w:val="right" w:leader="dot" w:pos="9071"/>
        </w:tabs>
      </w:pPr>
      <w:r>
        <w:rPr>
          <w:rFonts w:hint="eastAsia" w:ascii="宋体" w:hAnsi="宋体" w:cs="宋体"/>
          <w:i/>
          <w:caps/>
          <w:szCs w:val="24"/>
        </w:rPr>
        <w:fldChar w:fldCharType="begin"/>
      </w:r>
      <w:r>
        <w:rPr>
          <w:rFonts w:hint="eastAsia" w:ascii="宋体" w:hAnsi="宋体" w:cs="宋体"/>
          <w:i/>
          <w:caps/>
          <w:szCs w:val="24"/>
        </w:rPr>
        <w:instrText xml:space="preserve"> HYPERLINK \l _Toc18096 </w:instrText>
      </w:r>
      <w:r>
        <w:rPr>
          <w:rFonts w:hint="eastAsia" w:ascii="宋体" w:hAnsi="宋体" w:cs="宋体"/>
          <w:i/>
          <w:caps/>
          <w:szCs w:val="24"/>
        </w:rPr>
        <w:fldChar w:fldCharType="separate"/>
      </w:r>
      <w:r>
        <w:rPr>
          <w:rFonts w:hint="default"/>
          <w:i w:val="0"/>
          <w:iCs w:val="0"/>
          <w:szCs w:val="28"/>
        </w:rPr>
        <w:t xml:space="preserve">1.2 </w:t>
      </w:r>
      <w:r>
        <w:rPr>
          <w:rFonts w:hint="eastAsia"/>
          <w:szCs w:val="28"/>
        </w:rPr>
        <w:t>招标形式：</w:t>
      </w:r>
      <w:r>
        <w:rPr>
          <w:rFonts w:hint="eastAsia"/>
          <w:szCs w:val="28"/>
          <w:lang w:val="en-US" w:eastAsia="zh-CN"/>
        </w:rPr>
        <w:t>公开招标</w:t>
      </w:r>
      <w:r>
        <w:tab/>
      </w:r>
      <w:r>
        <w:fldChar w:fldCharType="begin"/>
      </w:r>
      <w:r>
        <w:instrText xml:space="preserve"> PAGEREF _Toc18096 \h </w:instrText>
      </w:r>
      <w:r>
        <w:fldChar w:fldCharType="separate"/>
      </w:r>
      <w:r>
        <w:t>1</w:t>
      </w:r>
      <w:r>
        <w:fldChar w:fldCharType="end"/>
      </w:r>
      <w:r>
        <w:rPr>
          <w:rFonts w:hint="eastAsia" w:ascii="宋体" w:hAnsi="宋体" w:cs="宋体"/>
          <w:i/>
          <w:caps/>
          <w:szCs w:val="24"/>
        </w:rPr>
        <w:fldChar w:fldCharType="end"/>
      </w:r>
    </w:p>
    <w:p>
      <w:pPr>
        <w:pStyle w:val="14"/>
        <w:tabs>
          <w:tab w:val="right" w:leader="dot" w:pos="9071"/>
        </w:tabs>
      </w:pPr>
      <w:r>
        <w:rPr>
          <w:rFonts w:hint="eastAsia" w:ascii="宋体" w:hAnsi="宋体" w:cs="宋体"/>
          <w:i/>
          <w:caps/>
          <w:szCs w:val="24"/>
        </w:rPr>
        <w:fldChar w:fldCharType="begin"/>
      </w:r>
      <w:r>
        <w:rPr>
          <w:rFonts w:hint="eastAsia" w:ascii="宋体" w:hAnsi="宋体" w:cs="宋体"/>
          <w:i/>
          <w:caps/>
          <w:szCs w:val="24"/>
        </w:rPr>
        <w:instrText xml:space="preserve"> HYPERLINK \l _Toc10431 </w:instrText>
      </w:r>
      <w:r>
        <w:rPr>
          <w:rFonts w:hint="eastAsia" w:ascii="宋体" w:hAnsi="宋体" w:cs="宋体"/>
          <w:i/>
          <w:caps/>
          <w:szCs w:val="24"/>
        </w:rPr>
        <w:fldChar w:fldCharType="separate"/>
      </w:r>
      <w:r>
        <w:rPr>
          <w:rFonts w:hint="default"/>
          <w:i w:val="0"/>
          <w:iCs w:val="0"/>
          <w:szCs w:val="28"/>
        </w:rPr>
        <w:t xml:space="preserve">1.3 </w:t>
      </w:r>
      <w:r>
        <w:rPr>
          <w:rFonts w:hint="eastAsia"/>
          <w:szCs w:val="28"/>
        </w:rPr>
        <w:t>投标人资格要求</w:t>
      </w:r>
      <w:r>
        <w:tab/>
      </w:r>
      <w:r>
        <w:fldChar w:fldCharType="begin"/>
      </w:r>
      <w:r>
        <w:instrText xml:space="preserve"> PAGEREF _Toc10431 \h </w:instrText>
      </w:r>
      <w:r>
        <w:fldChar w:fldCharType="separate"/>
      </w:r>
      <w:r>
        <w:t>1</w:t>
      </w:r>
      <w:r>
        <w:fldChar w:fldCharType="end"/>
      </w:r>
      <w:r>
        <w:rPr>
          <w:rFonts w:hint="eastAsia" w:ascii="宋体" w:hAnsi="宋体" w:cs="宋体"/>
          <w:i/>
          <w:caps/>
          <w:szCs w:val="24"/>
        </w:rPr>
        <w:fldChar w:fldCharType="end"/>
      </w:r>
    </w:p>
    <w:p>
      <w:pPr>
        <w:pStyle w:val="14"/>
        <w:tabs>
          <w:tab w:val="right" w:leader="dot" w:pos="9071"/>
        </w:tabs>
      </w:pPr>
      <w:r>
        <w:rPr>
          <w:rFonts w:hint="eastAsia" w:ascii="宋体" w:hAnsi="宋体" w:cs="宋体"/>
          <w:i/>
          <w:caps/>
          <w:szCs w:val="24"/>
        </w:rPr>
        <w:fldChar w:fldCharType="begin"/>
      </w:r>
      <w:r>
        <w:rPr>
          <w:rFonts w:hint="eastAsia" w:ascii="宋体" w:hAnsi="宋体" w:cs="宋体"/>
          <w:i/>
          <w:caps/>
          <w:szCs w:val="24"/>
        </w:rPr>
        <w:instrText xml:space="preserve"> HYPERLINK \l _Toc3405 </w:instrText>
      </w:r>
      <w:r>
        <w:rPr>
          <w:rFonts w:hint="eastAsia" w:ascii="宋体" w:hAnsi="宋体" w:cs="宋体"/>
          <w:i/>
          <w:caps/>
          <w:szCs w:val="24"/>
        </w:rPr>
        <w:fldChar w:fldCharType="separate"/>
      </w:r>
      <w:r>
        <w:rPr>
          <w:rFonts w:hint="default"/>
          <w:i w:val="0"/>
          <w:iCs w:val="0"/>
          <w:szCs w:val="28"/>
        </w:rPr>
        <w:t xml:space="preserve">1.4 </w:t>
      </w:r>
      <w:r>
        <w:rPr>
          <w:rFonts w:hint="eastAsia"/>
          <w:szCs w:val="28"/>
        </w:rPr>
        <w:t>招标文件的获取</w:t>
      </w:r>
      <w:r>
        <w:tab/>
      </w:r>
      <w:r>
        <w:rPr>
          <w:rFonts w:hint="eastAsia"/>
          <w:lang w:val="en-US" w:eastAsia="zh-CN"/>
        </w:rPr>
        <w:t>3</w:t>
      </w:r>
      <w:r>
        <w:rPr>
          <w:rFonts w:hint="eastAsia" w:ascii="宋体" w:hAnsi="宋体" w:cs="宋体"/>
          <w:i/>
          <w:caps/>
          <w:szCs w:val="24"/>
        </w:rPr>
        <w:fldChar w:fldCharType="end"/>
      </w:r>
    </w:p>
    <w:p>
      <w:pPr>
        <w:pStyle w:val="14"/>
        <w:tabs>
          <w:tab w:val="right" w:leader="dot" w:pos="9071"/>
        </w:tabs>
      </w:pPr>
      <w:r>
        <w:rPr>
          <w:rFonts w:hint="eastAsia" w:ascii="宋体" w:hAnsi="宋体" w:cs="宋体"/>
          <w:i/>
          <w:caps/>
          <w:szCs w:val="24"/>
        </w:rPr>
        <w:fldChar w:fldCharType="begin"/>
      </w:r>
      <w:r>
        <w:rPr>
          <w:rFonts w:hint="eastAsia" w:ascii="宋体" w:hAnsi="宋体" w:cs="宋体"/>
          <w:i/>
          <w:caps/>
          <w:szCs w:val="24"/>
        </w:rPr>
        <w:instrText xml:space="preserve"> HYPERLINK \l _Toc28136 </w:instrText>
      </w:r>
      <w:r>
        <w:rPr>
          <w:rFonts w:hint="eastAsia" w:ascii="宋体" w:hAnsi="宋体" w:cs="宋体"/>
          <w:i/>
          <w:caps/>
          <w:szCs w:val="24"/>
        </w:rPr>
        <w:fldChar w:fldCharType="separate"/>
      </w:r>
      <w:r>
        <w:rPr>
          <w:rFonts w:hint="default"/>
          <w:i w:val="0"/>
          <w:iCs w:val="0"/>
          <w:szCs w:val="28"/>
        </w:rPr>
        <w:t xml:space="preserve">1.5 </w:t>
      </w:r>
      <w:r>
        <w:rPr>
          <w:rFonts w:hint="eastAsia"/>
          <w:szCs w:val="28"/>
        </w:rPr>
        <w:t>投标文件的递交</w:t>
      </w:r>
      <w:r>
        <w:tab/>
      </w:r>
      <w:r>
        <w:fldChar w:fldCharType="begin"/>
      </w:r>
      <w:r>
        <w:instrText xml:space="preserve"> PAGEREF _Toc28136 \h </w:instrText>
      </w:r>
      <w:r>
        <w:fldChar w:fldCharType="separate"/>
      </w:r>
      <w:r>
        <w:t>3</w:t>
      </w:r>
      <w:r>
        <w:fldChar w:fldCharType="end"/>
      </w:r>
      <w:r>
        <w:rPr>
          <w:rFonts w:hint="eastAsia" w:ascii="宋体" w:hAnsi="宋体" w:cs="宋体"/>
          <w:i/>
          <w:caps/>
          <w:szCs w:val="24"/>
        </w:rPr>
        <w:fldChar w:fldCharType="end"/>
      </w:r>
    </w:p>
    <w:p>
      <w:pPr>
        <w:pStyle w:val="14"/>
        <w:tabs>
          <w:tab w:val="right" w:leader="dot" w:pos="9071"/>
        </w:tabs>
      </w:pPr>
      <w:r>
        <w:rPr>
          <w:rFonts w:hint="eastAsia" w:ascii="宋体" w:hAnsi="宋体" w:cs="宋体"/>
          <w:i/>
          <w:caps/>
          <w:szCs w:val="24"/>
        </w:rPr>
        <w:fldChar w:fldCharType="begin"/>
      </w:r>
      <w:r>
        <w:rPr>
          <w:rFonts w:hint="eastAsia" w:ascii="宋体" w:hAnsi="宋体" w:cs="宋体"/>
          <w:i/>
          <w:caps/>
          <w:szCs w:val="24"/>
        </w:rPr>
        <w:instrText xml:space="preserve"> HYPERLINK \l _Toc22006 </w:instrText>
      </w:r>
      <w:r>
        <w:rPr>
          <w:rFonts w:hint="eastAsia" w:ascii="宋体" w:hAnsi="宋体" w:cs="宋体"/>
          <w:i/>
          <w:caps/>
          <w:szCs w:val="24"/>
        </w:rPr>
        <w:fldChar w:fldCharType="separate"/>
      </w:r>
      <w:r>
        <w:rPr>
          <w:rFonts w:hint="default"/>
          <w:i w:val="0"/>
          <w:iCs w:val="0"/>
          <w:szCs w:val="28"/>
        </w:rPr>
        <w:t xml:space="preserve">1.6 </w:t>
      </w:r>
      <w:r>
        <w:rPr>
          <w:rFonts w:hint="eastAsia"/>
          <w:szCs w:val="28"/>
          <w:highlight w:val="none"/>
        </w:rPr>
        <w:t>开标时间和地点</w:t>
      </w:r>
      <w:r>
        <w:tab/>
      </w:r>
      <w:r>
        <w:fldChar w:fldCharType="begin"/>
      </w:r>
      <w:r>
        <w:instrText xml:space="preserve"> PAGEREF _Toc22006 \h </w:instrText>
      </w:r>
      <w:r>
        <w:fldChar w:fldCharType="separate"/>
      </w:r>
      <w:r>
        <w:t>3</w:t>
      </w:r>
      <w:r>
        <w:fldChar w:fldCharType="end"/>
      </w:r>
      <w:r>
        <w:rPr>
          <w:rFonts w:hint="eastAsia" w:ascii="宋体" w:hAnsi="宋体" w:cs="宋体"/>
          <w:i/>
          <w:caps/>
          <w:szCs w:val="24"/>
        </w:rPr>
        <w:fldChar w:fldCharType="end"/>
      </w:r>
    </w:p>
    <w:p>
      <w:pPr>
        <w:pStyle w:val="14"/>
        <w:tabs>
          <w:tab w:val="right" w:leader="dot" w:pos="9071"/>
        </w:tabs>
      </w:pPr>
      <w:r>
        <w:rPr>
          <w:rFonts w:hint="eastAsia" w:ascii="宋体" w:hAnsi="宋体" w:cs="宋体"/>
          <w:i/>
          <w:caps/>
          <w:szCs w:val="24"/>
        </w:rPr>
        <w:fldChar w:fldCharType="begin"/>
      </w:r>
      <w:r>
        <w:rPr>
          <w:rFonts w:hint="eastAsia" w:ascii="宋体" w:hAnsi="宋体" w:cs="宋体"/>
          <w:i/>
          <w:caps/>
          <w:szCs w:val="24"/>
        </w:rPr>
        <w:instrText xml:space="preserve"> HYPERLINK \l _Toc8732 </w:instrText>
      </w:r>
      <w:r>
        <w:rPr>
          <w:rFonts w:hint="eastAsia" w:ascii="宋体" w:hAnsi="宋体" w:cs="宋体"/>
          <w:i/>
          <w:caps/>
          <w:szCs w:val="24"/>
        </w:rPr>
        <w:fldChar w:fldCharType="separate"/>
      </w:r>
      <w:r>
        <w:rPr>
          <w:rFonts w:hint="default"/>
          <w:i w:val="0"/>
          <w:iCs w:val="0"/>
          <w:szCs w:val="28"/>
        </w:rPr>
        <w:t xml:space="preserve">1.7 </w:t>
      </w:r>
      <w:r>
        <w:rPr>
          <w:rFonts w:hint="eastAsia"/>
          <w:szCs w:val="28"/>
        </w:rPr>
        <w:t>联系方式</w:t>
      </w:r>
      <w:r>
        <w:tab/>
      </w:r>
      <w:r>
        <w:fldChar w:fldCharType="begin"/>
      </w:r>
      <w:r>
        <w:instrText xml:space="preserve"> PAGEREF _Toc8732 \h </w:instrText>
      </w:r>
      <w:r>
        <w:fldChar w:fldCharType="separate"/>
      </w:r>
      <w:r>
        <w:t>3</w:t>
      </w:r>
      <w:r>
        <w:fldChar w:fldCharType="end"/>
      </w:r>
      <w:r>
        <w:rPr>
          <w:rFonts w:hint="eastAsia" w:ascii="宋体" w:hAnsi="宋体" w:cs="宋体"/>
          <w:i/>
          <w:caps/>
          <w:szCs w:val="24"/>
        </w:rPr>
        <w:fldChar w:fldCharType="end"/>
      </w:r>
    </w:p>
    <w:p>
      <w:pPr>
        <w:pStyle w:val="14"/>
        <w:tabs>
          <w:tab w:val="right" w:leader="dot" w:pos="9071"/>
        </w:tabs>
      </w:pPr>
      <w:r>
        <w:rPr>
          <w:rFonts w:hint="eastAsia" w:ascii="宋体" w:hAnsi="宋体" w:cs="宋体"/>
          <w:i/>
          <w:caps/>
          <w:szCs w:val="24"/>
        </w:rPr>
        <w:fldChar w:fldCharType="begin"/>
      </w:r>
      <w:r>
        <w:rPr>
          <w:rFonts w:hint="eastAsia" w:ascii="宋体" w:hAnsi="宋体" w:cs="宋体"/>
          <w:i/>
          <w:caps/>
          <w:szCs w:val="24"/>
        </w:rPr>
        <w:instrText xml:space="preserve"> HYPERLINK \l _Toc2793 </w:instrText>
      </w:r>
      <w:r>
        <w:rPr>
          <w:rFonts w:hint="eastAsia" w:ascii="宋体" w:hAnsi="宋体" w:cs="宋体"/>
          <w:i/>
          <w:caps/>
          <w:szCs w:val="24"/>
        </w:rPr>
        <w:fldChar w:fldCharType="separate"/>
      </w:r>
      <w:r>
        <w:rPr>
          <w:rFonts w:hint="default"/>
          <w:i w:val="0"/>
          <w:iCs w:val="0"/>
          <w:szCs w:val="28"/>
        </w:rPr>
        <w:t xml:space="preserve">1.8 </w:t>
      </w:r>
      <w:r>
        <w:rPr>
          <w:rFonts w:hint="eastAsia"/>
          <w:szCs w:val="28"/>
        </w:rPr>
        <w:t>保证金</w:t>
      </w:r>
      <w:r>
        <w:tab/>
      </w:r>
      <w:r>
        <w:fldChar w:fldCharType="begin"/>
      </w:r>
      <w:r>
        <w:instrText xml:space="preserve"> PAGEREF _Toc2793 \h </w:instrText>
      </w:r>
      <w:r>
        <w:fldChar w:fldCharType="separate"/>
      </w:r>
      <w:r>
        <w:t>3</w:t>
      </w:r>
      <w:r>
        <w:fldChar w:fldCharType="end"/>
      </w:r>
      <w:r>
        <w:rPr>
          <w:rFonts w:hint="eastAsia" w:ascii="宋体" w:hAnsi="宋体" w:cs="宋体"/>
          <w:i/>
          <w:caps/>
          <w:szCs w:val="24"/>
        </w:rPr>
        <w:fldChar w:fldCharType="end"/>
      </w:r>
    </w:p>
    <w:p>
      <w:pPr>
        <w:pStyle w:val="13"/>
        <w:tabs>
          <w:tab w:val="right" w:leader="dot" w:pos="9071"/>
        </w:tabs>
      </w:pPr>
      <w:r>
        <w:rPr>
          <w:rFonts w:hint="eastAsia" w:ascii="宋体" w:hAnsi="宋体" w:cs="宋体"/>
          <w:i/>
          <w:caps/>
          <w:szCs w:val="24"/>
        </w:rPr>
        <w:fldChar w:fldCharType="begin"/>
      </w:r>
      <w:r>
        <w:rPr>
          <w:rFonts w:hint="eastAsia" w:ascii="宋体" w:hAnsi="宋体" w:cs="宋体"/>
          <w:i/>
          <w:caps/>
          <w:szCs w:val="24"/>
        </w:rPr>
        <w:instrText xml:space="preserve"> HYPERLINK \l _Toc6713 </w:instrText>
      </w:r>
      <w:r>
        <w:rPr>
          <w:rFonts w:hint="eastAsia" w:ascii="宋体" w:hAnsi="宋体" w:cs="宋体"/>
          <w:i/>
          <w:caps/>
          <w:szCs w:val="24"/>
        </w:rPr>
        <w:fldChar w:fldCharType="separate"/>
      </w:r>
      <w:r>
        <w:t xml:space="preserve">第2章 </w:t>
      </w:r>
      <w:r>
        <w:rPr>
          <w:rFonts w:hint="eastAsia"/>
        </w:rPr>
        <w:t>投标人须知</w:t>
      </w:r>
      <w:r>
        <w:tab/>
      </w:r>
      <w:r>
        <w:fldChar w:fldCharType="begin"/>
      </w:r>
      <w:r>
        <w:instrText xml:space="preserve"> PAGEREF _Toc6713 \h </w:instrText>
      </w:r>
      <w:r>
        <w:fldChar w:fldCharType="separate"/>
      </w:r>
      <w:r>
        <w:t>3</w:t>
      </w:r>
      <w:r>
        <w:fldChar w:fldCharType="end"/>
      </w:r>
      <w:r>
        <w:rPr>
          <w:rFonts w:hint="eastAsia" w:ascii="宋体" w:hAnsi="宋体" w:cs="宋体"/>
          <w:i/>
          <w:caps/>
          <w:szCs w:val="24"/>
        </w:rPr>
        <w:fldChar w:fldCharType="end"/>
      </w:r>
    </w:p>
    <w:p>
      <w:pPr>
        <w:pStyle w:val="14"/>
        <w:tabs>
          <w:tab w:val="right" w:leader="dot" w:pos="9071"/>
        </w:tabs>
      </w:pPr>
      <w:r>
        <w:rPr>
          <w:rFonts w:hint="eastAsia" w:ascii="宋体" w:hAnsi="宋体" w:cs="宋体"/>
          <w:i/>
          <w:caps/>
          <w:szCs w:val="24"/>
        </w:rPr>
        <w:fldChar w:fldCharType="begin"/>
      </w:r>
      <w:r>
        <w:rPr>
          <w:rFonts w:hint="eastAsia" w:ascii="宋体" w:hAnsi="宋体" w:cs="宋体"/>
          <w:i/>
          <w:caps/>
          <w:szCs w:val="24"/>
        </w:rPr>
        <w:instrText xml:space="preserve"> HYPERLINK \l _Toc15058 </w:instrText>
      </w:r>
      <w:r>
        <w:rPr>
          <w:rFonts w:hint="eastAsia" w:ascii="宋体" w:hAnsi="宋体" w:cs="宋体"/>
          <w:i/>
          <w:caps/>
          <w:szCs w:val="24"/>
        </w:rPr>
        <w:fldChar w:fldCharType="separate"/>
      </w:r>
      <w:r>
        <w:rPr>
          <w:rFonts w:hint="default"/>
          <w:szCs w:val="28"/>
        </w:rPr>
        <w:t xml:space="preserve">2.1 </w:t>
      </w:r>
      <w:r>
        <w:rPr>
          <w:rFonts w:hint="eastAsia"/>
          <w:szCs w:val="28"/>
        </w:rPr>
        <w:t>投标人须知前附表</w:t>
      </w:r>
      <w:r>
        <w:tab/>
      </w:r>
      <w:r>
        <w:fldChar w:fldCharType="begin"/>
      </w:r>
      <w:r>
        <w:instrText xml:space="preserve"> PAGEREF _Toc15058 \h </w:instrText>
      </w:r>
      <w:r>
        <w:fldChar w:fldCharType="separate"/>
      </w:r>
      <w:r>
        <w:t>3</w:t>
      </w:r>
      <w:r>
        <w:fldChar w:fldCharType="end"/>
      </w:r>
      <w:r>
        <w:rPr>
          <w:rFonts w:hint="eastAsia" w:ascii="宋体" w:hAnsi="宋体" w:cs="宋体"/>
          <w:i/>
          <w:caps/>
          <w:szCs w:val="24"/>
        </w:rPr>
        <w:fldChar w:fldCharType="end"/>
      </w:r>
    </w:p>
    <w:p>
      <w:pPr>
        <w:pStyle w:val="14"/>
        <w:tabs>
          <w:tab w:val="right" w:leader="dot" w:pos="9071"/>
        </w:tabs>
      </w:pPr>
      <w:r>
        <w:rPr>
          <w:rFonts w:hint="eastAsia" w:ascii="宋体" w:hAnsi="宋体" w:cs="宋体"/>
          <w:i/>
          <w:caps/>
          <w:szCs w:val="24"/>
        </w:rPr>
        <w:fldChar w:fldCharType="begin"/>
      </w:r>
      <w:r>
        <w:rPr>
          <w:rFonts w:hint="eastAsia" w:ascii="宋体" w:hAnsi="宋体" w:cs="宋体"/>
          <w:i/>
          <w:caps/>
          <w:szCs w:val="24"/>
        </w:rPr>
        <w:instrText xml:space="preserve"> HYPERLINK \l _Toc10842 </w:instrText>
      </w:r>
      <w:r>
        <w:rPr>
          <w:rFonts w:hint="eastAsia" w:ascii="宋体" w:hAnsi="宋体" w:cs="宋体"/>
          <w:i/>
          <w:caps/>
          <w:szCs w:val="24"/>
        </w:rPr>
        <w:fldChar w:fldCharType="separate"/>
      </w:r>
      <w:r>
        <w:rPr>
          <w:rFonts w:hint="default"/>
          <w:i w:val="0"/>
          <w:iCs w:val="0"/>
          <w:szCs w:val="28"/>
        </w:rPr>
        <w:t xml:space="preserve">2.2 </w:t>
      </w:r>
      <w:r>
        <w:rPr>
          <w:rFonts w:hint="eastAsia"/>
          <w:szCs w:val="28"/>
        </w:rPr>
        <w:t>投标文件编写</w:t>
      </w:r>
      <w:r>
        <w:tab/>
      </w:r>
      <w:r>
        <w:rPr>
          <w:rFonts w:hint="eastAsia"/>
          <w:lang w:val="en-US" w:eastAsia="zh-CN"/>
        </w:rPr>
        <w:t>8</w:t>
      </w:r>
      <w:r>
        <w:rPr>
          <w:rFonts w:hint="eastAsia" w:ascii="宋体" w:hAnsi="宋体" w:cs="宋体"/>
          <w:i/>
          <w:caps/>
          <w:szCs w:val="24"/>
        </w:rPr>
        <w:fldChar w:fldCharType="end"/>
      </w:r>
    </w:p>
    <w:p>
      <w:pPr>
        <w:pStyle w:val="14"/>
        <w:tabs>
          <w:tab w:val="right" w:leader="dot" w:pos="9071"/>
        </w:tabs>
      </w:pPr>
      <w:r>
        <w:rPr>
          <w:rFonts w:hint="eastAsia" w:ascii="宋体" w:hAnsi="宋体" w:cs="宋体"/>
          <w:i/>
          <w:caps/>
          <w:szCs w:val="24"/>
        </w:rPr>
        <w:fldChar w:fldCharType="begin"/>
      </w:r>
      <w:r>
        <w:rPr>
          <w:rFonts w:hint="eastAsia" w:ascii="宋体" w:hAnsi="宋体" w:cs="宋体"/>
          <w:i/>
          <w:caps/>
          <w:szCs w:val="24"/>
        </w:rPr>
        <w:instrText xml:space="preserve"> HYPERLINK \l _Toc28928 </w:instrText>
      </w:r>
      <w:r>
        <w:rPr>
          <w:rFonts w:hint="eastAsia" w:ascii="宋体" w:hAnsi="宋体" w:cs="宋体"/>
          <w:i/>
          <w:caps/>
          <w:szCs w:val="24"/>
        </w:rPr>
        <w:fldChar w:fldCharType="separate"/>
      </w:r>
      <w:r>
        <w:rPr>
          <w:rFonts w:hint="default"/>
          <w:i w:val="0"/>
          <w:iCs w:val="0"/>
          <w:szCs w:val="28"/>
        </w:rPr>
        <w:t xml:space="preserve">2.3 </w:t>
      </w:r>
      <w:r>
        <w:rPr>
          <w:rFonts w:hint="eastAsia"/>
          <w:szCs w:val="28"/>
        </w:rPr>
        <w:t>开标与评标</w:t>
      </w:r>
      <w:r>
        <w:tab/>
      </w:r>
      <w:r>
        <w:rPr>
          <w:rFonts w:hint="eastAsia"/>
          <w:lang w:val="en-US" w:eastAsia="zh-CN"/>
        </w:rPr>
        <w:t>9</w:t>
      </w:r>
      <w:r>
        <w:rPr>
          <w:rFonts w:hint="eastAsia" w:ascii="宋体" w:hAnsi="宋体" w:cs="宋体"/>
          <w:i/>
          <w:caps/>
          <w:szCs w:val="24"/>
        </w:rPr>
        <w:fldChar w:fldCharType="end"/>
      </w:r>
    </w:p>
    <w:p>
      <w:pPr>
        <w:pStyle w:val="13"/>
        <w:tabs>
          <w:tab w:val="right" w:leader="dot" w:pos="9071"/>
        </w:tabs>
        <w:rPr>
          <w:rFonts w:hint="eastAsia" w:eastAsia="宋体"/>
          <w:lang w:val="en-US" w:eastAsia="zh-CN"/>
        </w:rPr>
      </w:pPr>
      <w:r>
        <w:rPr>
          <w:rFonts w:hint="eastAsia" w:ascii="宋体" w:hAnsi="宋体" w:cs="宋体"/>
          <w:i/>
          <w:caps/>
          <w:szCs w:val="24"/>
        </w:rPr>
        <w:fldChar w:fldCharType="begin"/>
      </w:r>
      <w:r>
        <w:rPr>
          <w:rFonts w:hint="eastAsia" w:ascii="宋体" w:hAnsi="宋体" w:cs="宋体"/>
          <w:i/>
          <w:caps/>
          <w:szCs w:val="24"/>
        </w:rPr>
        <w:instrText xml:space="preserve"> HYPERLINK \l _Toc451 </w:instrText>
      </w:r>
      <w:r>
        <w:rPr>
          <w:rFonts w:hint="eastAsia" w:ascii="宋体" w:hAnsi="宋体" w:cs="宋体"/>
          <w:i/>
          <w:caps/>
          <w:szCs w:val="24"/>
        </w:rPr>
        <w:fldChar w:fldCharType="separate"/>
      </w:r>
      <w:r>
        <w:t xml:space="preserve">第3章 </w:t>
      </w:r>
      <w:r>
        <w:rPr>
          <w:rFonts w:hint="eastAsia"/>
        </w:rPr>
        <w:t>招标项目内容及运输费用标准</w:t>
      </w:r>
      <w:r>
        <w:tab/>
      </w:r>
      <w:r>
        <w:rPr>
          <w:rFonts w:hint="eastAsia"/>
          <w:lang w:val="en-US" w:eastAsia="zh-CN"/>
        </w:rPr>
        <w:t>1</w:t>
      </w:r>
      <w:r>
        <w:rPr>
          <w:rFonts w:hint="eastAsia" w:ascii="宋体" w:hAnsi="宋体" w:cs="宋体"/>
          <w:i/>
          <w:caps/>
          <w:szCs w:val="24"/>
        </w:rPr>
        <w:fldChar w:fldCharType="end"/>
      </w:r>
      <w:r>
        <w:rPr>
          <w:rFonts w:hint="eastAsia" w:ascii="宋体" w:hAnsi="宋体" w:cs="宋体"/>
          <w:i w:val="0"/>
          <w:iCs/>
          <w:caps/>
          <w:szCs w:val="24"/>
          <w:lang w:val="en-US" w:eastAsia="zh-CN"/>
        </w:rPr>
        <w:t>1</w:t>
      </w:r>
    </w:p>
    <w:p>
      <w:pPr>
        <w:pStyle w:val="14"/>
        <w:tabs>
          <w:tab w:val="right" w:leader="dot" w:pos="9071"/>
        </w:tabs>
        <w:rPr>
          <w:rFonts w:hint="eastAsia" w:eastAsia="宋体"/>
          <w:lang w:val="en-US" w:eastAsia="zh-CN"/>
        </w:rPr>
      </w:pPr>
      <w:r>
        <w:rPr>
          <w:rFonts w:hint="eastAsia" w:ascii="宋体" w:hAnsi="宋体" w:cs="宋体"/>
          <w:i/>
          <w:caps/>
          <w:szCs w:val="24"/>
        </w:rPr>
        <w:fldChar w:fldCharType="begin"/>
      </w:r>
      <w:r>
        <w:rPr>
          <w:rFonts w:hint="eastAsia" w:ascii="宋体" w:hAnsi="宋体" w:cs="宋体"/>
          <w:i/>
          <w:caps/>
          <w:szCs w:val="24"/>
        </w:rPr>
        <w:instrText xml:space="preserve"> HYPERLINK \l _Toc29707 </w:instrText>
      </w:r>
      <w:r>
        <w:rPr>
          <w:rFonts w:hint="eastAsia" w:ascii="宋体" w:hAnsi="宋体" w:cs="宋体"/>
          <w:i/>
          <w:caps/>
          <w:szCs w:val="24"/>
        </w:rPr>
        <w:fldChar w:fldCharType="separate"/>
      </w:r>
      <w:r>
        <w:rPr>
          <w:rFonts w:hint="eastAsia"/>
          <w:szCs w:val="28"/>
        </w:rPr>
        <w:t>3.1项目内容</w:t>
      </w:r>
      <w:r>
        <w:tab/>
      </w:r>
      <w:r>
        <w:rPr>
          <w:rFonts w:hint="eastAsia"/>
          <w:lang w:val="en-US" w:eastAsia="zh-CN"/>
        </w:rPr>
        <w:t>1</w:t>
      </w:r>
      <w:r>
        <w:rPr>
          <w:rFonts w:hint="eastAsia" w:ascii="宋体" w:hAnsi="宋体" w:cs="宋体"/>
          <w:i/>
          <w:caps/>
          <w:szCs w:val="24"/>
        </w:rPr>
        <w:fldChar w:fldCharType="end"/>
      </w:r>
      <w:r>
        <w:rPr>
          <w:rFonts w:hint="eastAsia" w:ascii="宋体" w:hAnsi="宋体" w:cs="宋体"/>
          <w:i w:val="0"/>
          <w:iCs/>
          <w:caps/>
          <w:szCs w:val="24"/>
          <w:lang w:val="en-US" w:eastAsia="zh-CN"/>
        </w:rPr>
        <w:t>1</w:t>
      </w:r>
    </w:p>
    <w:p>
      <w:pPr>
        <w:pStyle w:val="14"/>
        <w:tabs>
          <w:tab w:val="right" w:leader="dot" w:pos="9071"/>
        </w:tabs>
        <w:rPr>
          <w:rFonts w:hint="eastAsia" w:eastAsia="宋体"/>
          <w:lang w:val="en-US" w:eastAsia="zh-CN"/>
        </w:rPr>
      </w:pPr>
      <w:r>
        <w:rPr>
          <w:rFonts w:hint="eastAsia" w:ascii="宋体" w:hAnsi="宋体" w:cs="宋体"/>
          <w:i/>
          <w:caps/>
          <w:szCs w:val="24"/>
        </w:rPr>
        <w:fldChar w:fldCharType="begin"/>
      </w:r>
      <w:r>
        <w:rPr>
          <w:rFonts w:hint="eastAsia" w:ascii="宋体" w:hAnsi="宋体" w:cs="宋体"/>
          <w:i/>
          <w:caps/>
          <w:szCs w:val="24"/>
        </w:rPr>
        <w:instrText xml:space="preserve"> HYPERLINK \l _Toc30575 </w:instrText>
      </w:r>
      <w:r>
        <w:rPr>
          <w:rFonts w:hint="eastAsia" w:ascii="宋体" w:hAnsi="宋体" w:cs="宋体"/>
          <w:i/>
          <w:caps/>
          <w:szCs w:val="24"/>
        </w:rPr>
        <w:fldChar w:fldCharType="separate"/>
      </w:r>
      <w:r>
        <w:rPr>
          <w:rFonts w:hint="eastAsia"/>
          <w:szCs w:val="28"/>
        </w:rPr>
        <w:t>3.2项目路线划分</w:t>
      </w:r>
      <w:r>
        <w:tab/>
      </w:r>
      <w:r>
        <w:rPr>
          <w:rFonts w:hint="eastAsia"/>
          <w:lang w:val="en-US" w:eastAsia="zh-CN"/>
        </w:rPr>
        <w:t>1</w:t>
      </w:r>
      <w:r>
        <w:rPr>
          <w:rFonts w:hint="eastAsia" w:ascii="宋体" w:hAnsi="宋体" w:cs="宋体"/>
          <w:i/>
          <w:caps/>
          <w:szCs w:val="24"/>
        </w:rPr>
        <w:fldChar w:fldCharType="end"/>
      </w:r>
      <w:r>
        <w:rPr>
          <w:rFonts w:hint="eastAsia" w:ascii="宋体" w:hAnsi="宋体" w:cs="宋体"/>
          <w:i w:val="0"/>
          <w:iCs/>
          <w:caps/>
          <w:szCs w:val="24"/>
          <w:lang w:val="en-US" w:eastAsia="zh-CN"/>
        </w:rPr>
        <w:t>1</w:t>
      </w:r>
    </w:p>
    <w:p>
      <w:pPr>
        <w:pStyle w:val="14"/>
        <w:tabs>
          <w:tab w:val="right" w:leader="dot" w:pos="9071"/>
        </w:tabs>
      </w:pPr>
      <w:r>
        <w:rPr>
          <w:rFonts w:hint="eastAsia" w:ascii="宋体" w:hAnsi="宋体" w:cs="宋体"/>
          <w:i/>
          <w:caps/>
          <w:szCs w:val="24"/>
        </w:rPr>
        <w:fldChar w:fldCharType="begin"/>
      </w:r>
      <w:r>
        <w:rPr>
          <w:rFonts w:hint="eastAsia" w:ascii="宋体" w:hAnsi="宋体" w:cs="宋体"/>
          <w:i/>
          <w:caps/>
          <w:szCs w:val="24"/>
        </w:rPr>
        <w:instrText xml:space="preserve"> HYPERLINK \l _Toc18109 </w:instrText>
      </w:r>
      <w:r>
        <w:rPr>
          <w:rFonts w:hint="eastAsia" w:ascii="宋体" w:hAnsi="宋体" w:cs="宋体"/>
          <w:i/>
          <w:caps/>
          <w:szCs w:val="24"/>
        </w:rPr>
        <w:fldChar w:fldCharType="separate"/>
      </w:r>
      <w:r>
        <w:rPr>
          <w:rFonts w:hint="eastAsia"/>
          <w:szCs w:val="28"/>
        </w:rPr>
        <w:t>3.3限达时间</w:t>
      </w:r>
      <w:r>
        <w:tab/>
      </w:r>
      <w:r>
        <w:fldChar w:fldCharType="begin"/>
      </w:r>
      <w:r>
        <w:instrText xml:space="preserve"> PAGEREF _Toc18109 \h </w:instrText>
      </w:r>
      <w:r>
        <w:fldChar w:fldCharType="separate"/>
      </w:r>
      <w:r>
        <w:t>1</w:t>
      </w:r>
      <w:r>
        <w:rPr>
          <w:rFonts w:hint="eastAsia"/>
          <w:lang w:val="en-US" w:eastAsia="zh-CN"/>
        </w:rPr>
        <w:t>2</w:t>
      </w:r>
      <w:r>
        <w:fldChar w:fldCharType="end"/>
      </w:r>
      <w:r>
        <w:rPr>
          <w:rFonts w:hint="eastAsia" w:ascii="宋体" w:hAnsi="宋体" w:cs="宋体"/>
          <w:i/>
          <w:caps/>
          <w:szCs w:val="24"/>
        </w:rPr>
        <w:fldChar w:fldCharType="end"/>
      </w:r>
    </w:p>
    <w:p>
      <w:pPr>
        <w:pStyle w:val="14"/>
        <w:tabs>
          <w:tab w:val="right" w:leader="dot" w:pos="9071"/>
        </w:tabs>
      </w:pPr>
      <w:r>
        <w:rPr>
          <w:rFonts w:hint="eastAsia" w:ascii="宋体" w:hAnsi="宋体" w:cs="宋体"/>
          <w:i/>
          <w:caps/>
          <w:szCs w:val="24"/>
        </w:rPr>
        <w:fldChar w:fldCharType="begin"/>
      </w:r>
      <w:r>
        <w:rPr>
          <w:rFonts w:hint="eastAsia" w:ascii="宋体" w:hAnsi="宋体" w:cs="宋体"/>
          <w:i/>
          <w:caps/>
          <w:szCs w:val="24"/>
        </w:rPr>
        <w:instrText xml:space="preserve"> HYPERLINK \l _Toc21459 </w:instrText>
      </w:r>
      <w:r>
        <w:rPr>
          <w:rFonts w:hint="eastAsia" w:ascii="宋体" w:hAnsi="宋体" w:cs="宋体"/>
          <w:i/>
          <w:caps/>
          <w:szCs w:val="24"/>
        </w:rPr>
        <w:fldChar w:fldCharType="separate"/>
      </w:r>
      <w:r>
        <w:rPr>
          <w:rFonts w:hint="eastAsia"/>
          <w:szCs w:val="28"/>
        </w:rPr>
        <w:t>3.4</w:t>
      </w:r>
      <w:r>
        <w:rPr>
          <w:rFonts w:hint="eastAsia"/>
          <w:szCs w:val="28"/>
          <w:lang w:val="en-US" w:eastAsia="zh-CN"/>
        </w:rPr>
        <w:t>送达</w:t>
      </w:r>
      <w:r>
        <w:rPr>
          <w:rFonts w:hint="eastAsia"/>
          <w:szCs w:val="28"/>
        </w:rPr>
        <w:t>及时率</w:t>
      </w:r>
      <w:r>
        <w:tab/>
      </w:r>
      <w:r>
        <w:fldChar w:fldCharType="begin"/>
      </w:r>
      <w:r>
        <w:instrText xml:space="preserve"> PAGEREF _Toc21459 \h </w:instrText>
      </w:r>
      <w:r>
        <w:fldChar w:fldCharType="separate"/>
      </w:r>
      <w:r>
        <w:t>1</w:t>
      </w:r>
      <w:r>
        <w:rPr>
          <w:rFonts w:hint="eastAsia"/>
          <w:lang w:val="en-US" w:eastAsia="zh-CN"/>
        </w:rPr>
        <w:t>2</w:t>
      </w:r>
      <w:r>
        <w:fldChar w:fldCharType="end"/>
      </w:r>
      <w:r>
        <w:rPr>
          <w:rFonts w:hint="eastAsia" w:ascii="宋体" w:hAnsi="宋体" w:cs="宋体"/>
          <w:i/>
          <w:caps/>
          <w:szCs w:val="24"/>
        </w:rPr>
        <w:fldChar w:fldCharType="end"/>
      </w:r>
    </w:p>
    <w:p>
      <w:pPr>
        <w:pStyle w:val="14"/>
        <w:tabs>
          <w:tab w:val="right" w:leader="dot" w:pos="9071"/>
        </w:tabs>
      </w:pPr>
      <w:r>
        <w:rPr>
          <w:rFonts w:hint="eastAsia" w:ascii="宋体" w:hAnsi="宋体" w:cs="宋体"/>
          <w:i/>
          <w:caps/>
          <w:szCs w:val="24"/>
        </w:rPr>
        <w:fldChar w:fldCharType="begin"/>
      </w:r>
      <w:r>
        <w:rPr>
          <w:rFonts w:hint="eastAsia" w:ascii="宋体" w:hAnsi="宋体" w:cs="宋体"/>
          <w:i/>
          <w:caps/>
          <w:szCs w:val="24"/>
        </w:rPr>
        <w:instrText xml:space="preserve"> HYPERLINK \l _Toc25924 </w:instrText>
      </w:r>
      <w:r>
        <w:rPr>
          <w:rFonts w:hint="eastAsia" w:ascii="宋体" w:hAnsi="宋体" w:cs="宋体"/>
          <w:i/>
          <w:caps/>
          <w:szCs w:val="24"/>
        </w:rPr>
        <w:fldChar w:fldCharType="separate"/>
      </w:r>
      <w:r>
        <w:rPr>
          <w:rFonts w:hint="eastAsia"/>
          <w:szCs w:val="28"/>
        </w:rPr>
        <w:t>3.5项目运输费用标准</w:t>
      </w:r>
      <w:r>
        <w:tab/>
      </w:r>
      <w:r>
        <w:fldChar w:fldCharType="begin"/>
      </w:r>
      <w:r>
        <w:instrText xml:space="preserve"> PAGEREF _Toc25924 \h </w:instrText>
      </w:r>
      <w:r>
        <w:fldChar w:fldCharType="separate"/>
      </w:r>
      <w:r>
        <w:t>1</w:t>
      </w:r>
      <w:r>
        <w:rPr>
          <w:rFonts w:hint="eastAsia"/>
          <w:lang w:val="en-US" w:eastAsia="zh-CN"/>
        </w:rPr>
        <w:t>2</w:t>
      </w:r>
      <w:r>
        <w:fldChar w:fldCharType="end"/>
      </w:r>
      <w:r>
        <w:rPr>
          <w:rFonts w:hint="eastAsia" w:ascii="宋体" w:hAnsi="宋体" w:cs="宋体"/>
          <w:i/>
          <w:caps/>
          <w:szCs w:val="24"/>
        </w:rPr>
        <w:fldChar w:fldCharType="end"/>
      </w:r>
    </w:p>
    <w:p>
      <w:pPr>
        <w:pStyle w:val="13"/>
        <w:tabs>
          <w:tab w:val="right" w:leader="dot" w:pos="9071"/>
        </w:tabs>
      </w:pPr>
      <w:r>
        <w:rPr>
          <w:rFonts w:hint="eastAsia" w:ascii="宋体" w:hAnsi="宋体" w:cs="宋体"/>
          <w:i/>
          <w:caps/>
          <w:szCs w:val="24"/>
        </w:rPr>
        <w:fldChar w:fldCharType="begin"/>
      </w:r>
      <w:r>
        <w:rPr>
          <w:rFonts w:hint="eastAsia" w:ascii="宋体" w:hAnsi="宋体" w:cs="宋体"/>
          <w:i/>
          <w:caps/>
          <w:szCs w:val="24"/>
        </w:rPr>
        <w:instrText xml:space="preserve"> HYPERLINK \l _Toc18885 </w:instrText>
      </w:r>
      <w:r>
        <w:rPr>
          <w:rFonts w:hint="eastAsia" w:ascii="宋体" w:hAnsi="宋体" w:cs="宋体"/>
          <w:i/>
          <w:caps/>
          <w:szCs w:val="24"/>
        </w:rPr>
        <w:fldChar w:fldCharType="separate"/>
      </w:r>
      <w:r>
        <w:t xml:space="preserve">第4章 </w:t>
      </w:r>
      <w:r>
        <w:rPr>
          <w:rFonts w:hint="eastAsia"/>
        </w:rPr>
        <w:t>报价及</w:t>
      </w:r>
      <w:r>
        <w:rPr>
          <w:rFonts w:hint="eastAsia"/>
          <w:lang w:val="en-US" w:eastAsia="zh-CN"/>
        </w:rPr>
        <w:t>管理履约</w:t>
      </w:r>
      <w:r>
        <w:rPr>
          <w:rFonts w:hint="eastAsia"/>
        </w:rPr>
        <w:t>要求</w:t>
      </w:r>
      <w:r>
        <w:tab/>
      </w:r>
      <w:r>
        <w:fldChar w:fldCharType="begin"/>
      </w:r>
      <w:r>
        <w:instrText xml:space="preserve"> PAGEREF _Toc18885 \h </w:instrText>
      </w:r>
      <w:r>
        <w:fldChar w:fldCharType="separate"/>
      </w:r>
      <w:r>
        <w:t>1</w:t>
      </w:r>
      <w:r>
        <w:rPr>
          <w:rFonts w:hint="eastAsia"/>
          <w:lang w:val="en-US" w:eastAsia="zh-CN"/>
        </w:rPr>
        <w:t>3</w:t>
      </w:r>
      <w:r>
        <w:fldChar w:fldCharType="end"/>
      </w:r>
      <w:r>
        <w:rPr>
          <w:rFonts w:hint="eastAsia" w:ascii="宋体" w:hAnsi="宋体" w:cs="宋体"/>
          <w:i/>
          <w:caps/>
          <w:szCs w:val="24"/>
        </w:rPr>
        <w:fldChar w:fldCharType="end"/>
      </w:r>
    </w:p>
    <w:p>
      <w:pPr>
        <w:pStyle w:val="14"/>
        <w:tabs>
          <w:tab w:val="right" w:leader="dot" w:pos="9071"/>
        </w:tabs>
      </w:pPr>
      <w:r>
        <w:rPr>
          <w:rFonts w:hint="eastAsia" w:ascii="宋体" w:hAnsi="宋体" w:cs="宋体"/>
          <w:i/>
          <w:caps/>
          <w:szCs w:val="24"/>
        </w:rPr>
        <w:fldChar w:fldCharType="begin"/>
      </w:r>
      <w:r>
        <w:rPr>
          <w:rFonts w:hint="eastAsia" w:ascii="宋体" w:hAnsi="宋体" w:cs="宋体"/>
          <w:i/>
          <w:caps/>
          <w:szCs w:val="24"/>
        </w:rPr>
        <w:instrText xml:space="preserve"> HYPERLINK \l _Toc18679 </w:instrText>
      </w:r>
      <w:r>
        <w:rPr>
          <w:rFonts w:hint="eastAsia" w:ascii="宋体" w:hAnsi="宋体" w:cs="宋体"/>
          <w:i/>
          <w:caps/>
          <w:szCs w:val="24"/>
        </w:rPr>
        <w:fldChar w:fldCharType="separate"/>
      </w:r>
      <w:r>
        <w:rPr>
          <w:rFonts w:hint="eastAsia"/>
          <w:szCs w:val="28"/>
        </w:rPr>
        <w:t xml:space="preserve">4.1 </w:t>
      </w:r>
      <w:r>
        <w:rPr>
          <w:rFonts w:hint="eastAsia" w:ascii="宋体" w:hAnsi="宋体" w:cs="宋体"/>
          <w:szCs w:val="28"/>
        </w:rPr>
        <w:t>报价要求</w:t>
      </w:r>
      <w:r>
        <w:tab/>
      </w:r>
      <w:r>
        <w:fldChar w:fldCharType="begin"/>
      </w:r>
      <w:r>
        <w:instrText xml:space="preserve"> PAGEREF _Toc18679 \h </w:instrText>
      </w:r>
      <w:r>
        <w:fldChar w:fldCharType="separate"/>
      </w:r>
      <w:r>
        <w:t>1</w:t>
      </w:r>
      <w:r>
        <w:rPr>
          <w:rFonts w:hint="eastAsia"/>
          <w:lang w:val="en-US" w:eastAsia="zh-CN"/>
        </w:rPr>
        <w:t>3</w:t>
      </w:r>
      <w:r>
        <w:fldChar w:fldCharType="end"/>
      </w:r>
      <w:r>
        <w:rPr>
          <w:rFonts w:hint="eastAsia" w:ascii="宋体" w:hAnsi="宋体" w:cs="宋体"/>
          <w:i/>
          <w:caps/>
          <w:szCs w:val="24"/>
        </w:rPr>
        <w:fldChar w:fldCharType="end"/>
      </w:r>
    </w:p>
    <w:p>
      <w:pPr>
        <w:pStyle w:val="14"/>
        <w:tabs>
          <w:tab w:val="right" w:leader="dot" w:pos="9071"/>
        </w:tabs>
        <w:rPr>
          <w:highlight w:val="none"/>
        </w:rPr>
      </w:pPr>
      <w:r>
        <w:rPr>
          <w:rFonts w:hint="eastAsia" w:ascii="宋体" w:hAnsi="宋体" w:cs="宋体"/>
          <w:i/>
          <w:caps/>
          <w:szCs w:val="24"/>
          <w:highlight w:val="none"/>
        </w:rPr>
        <w:fldChar w:fldCharType="begin"/>
      </w:r>
      <w:r>
        <w:rPr>
          <w:rFonts w:hint="eastAsia" w:ascii="宋体" w:hAnsi="宋体" w:cs="宋体"/>
          <w:i/>
          <w:caps/>
          <w:szCs w:val="24"/>
          <w:highlight w:val="none"/>
        </w:rPr>
        <w:instrText xml:space="preserve"> HYPERLINK \l _Toc8116 </w:instrText>
      </w:r>
      <w:r>
        <w:rPr>
          <w:rFonts w:hint="eastAsia" w:ascii="宋体" w:hAnsi="宋体" w:cs="宋体"/>
          <w:i/>
          <w:caps/>
          <w:szCs w:val="24"/>
          <w:highlight w:val="none"/>
        </w:rPr>
        <w:fldChar w:fldCharType="separate"/>
      </w:r>
      <w:r>
        <w:rPr>
          <w:rFonts w:hint="eastAsia"/>
          <w:szCs w:val="28"/>
          <w:highlight w:val="none"/>
        </w:rPr>
        <w:t>4.</w:t>
      </w:r>
      <w:r>
        <w:rPr>
          <w:rFonts w:hint="eastAsia"/>
          <w:szCs w:val="28"/>
          <w:highlight w:val="none"/>
          <w:lang w:val="en-US" w:eastAsia="zh-CN"/>
        </w:rPr>
        <w:t>2</w:t>
      </w:r>
      <w:r>
        <w:rPr>
          <w:rFonts w:hint="eastAsia" w:ascii="宋体" w:hAnsi="宋体" w:cs="宋体"/>
          <w:szCs w:val="28"/>
          <w:highlight w:val="none"/>
          <w:lang w:val="en-US" w:eastAsia="zh-CN"/>
        </w:rPr>
        <w:t>管理和履约</w:t>
      </w:r>
      <w:r>
        <w:rPr>
          <w:rFonts w:hint="eastAsia" w:ascii="宋体" w:hAnsi="宋体" w:cs="宋体"/>
          <w:szCs w:val="28"/>
          <w:highlight w:val="none"/>
        </w:rPr>
        <w:t>要求</w:t>
      </w:r>
      <w:r>
        <w:rPr>
          <w:highlight w:val="none"/>
        </w:rPr>
        <w:tab/>
      </w:r>
      <w:r>
        <w:rPr>
          <w:highlight w:val="none"/>
        </w:rPr>
        <w:fldChar w:fldCharType="begin"/>
      </w:r>
      <w:r>
        <w:rPr>
          <w:highlight w:val="none"/>
        </w:rPr>
        <w:instrText xml:space="preserve"> PAGEREF _Toc8116 \h </w:instrText>
      </w:r>
      <w:r>
        <w:rPr>
          <w:highlight w:val="none"/>
        </w:rPr>
        <w:fldChar w:fldCharType="separate"/>
      </w:r>
      <w:r>
        <w:rPr>
          <w:highlight w:val="none"/>
        </w:rPr>
        <w:t>1</w:t>
      </w:r>
      <w:r>
        <w:rPr>
          <w:rFonts w:hint="eastAsia"/>
          <w:highlight w:val="none"/>
          <w:lang w:val="en-US" w:eastAsia="zh-CN"/>
        </w:rPr>
        <w:t>3</w:t>
      </w:r>
      <w:r>
        <w:rPr>
          <w:highlight w:val="none"/>
        </w:rPr>
        <w:fldChar w:fldCharType="end"/>
      </w:r>
      <w:r>
        <w:rPr>
          <w:rFonts w:hint="eastAsia" w:ascii="宋体" w:hAnsi="宋体" w:cs="宋体"/>
          <w:i/>
          <w:caps/>
          <w:szCs w:val="24"/>
          <w:highlight w:val="none"/>
        </w:rPr>
        <w:fldChar w:fldCharType="end"/>
      </w:r>
    </w:p>
    <w:p>
      <w:pPr>
        <w:pStyle w:val="13"/>
        <w:tabs>
          <w:tab w:val="right" w:leader="dot" w:pos="9071"/>
        </w:tabs>
      </w:pPr>
      <w:r>
        <w:rPr>
          <w:rFonts w:hint="eastAsia" w:ascii="宋体" w:hAnsi="宋体" w:cs="宋体"/>
          <w:i/>
          <w:caps/>
          <w:szCs w:val="24"/>
        </w:rPr>
        <w:fldChar w:fldCharType="begin"/>
      </w:r>
      <w:r>
        <w:rPr>
          <w:rFonts w:hint="eastAsia" w:ascii="宋体" w:hAnsi="宋体" w:cs="宋体"/>
          <w:i/>
          <w:caps/>
          <w:szCs w:val="24"/>
        </w:rPr>
        <w:instrText xml:space="preserve"> HYPERLINK \l _Toc21399 </w:instrText>
      </w:r>
      <w:r>
        <w:rPr>
          <w:rFonts w:hint="eastAsia" w:ascii="宋体" w:hAnsi="宋体" w:cs="宋体"/>
          <w:i/>
          <w:caps/>
          <w:szCs w:val="24"/>
        </w:rPr>
        <w:fldChar w:fldCharType="separate"/>
      </w:r>
      <w:r>
        <w:rPr>
          <w:rFonts w:hint="eastAsia"/>
        </w:rPr>
        <w:t>第5章 评分标准</w:t>
      </w:r>
      <w:r>
        <w:tab/>
      </w:r>
      <w:r>
        <w:fldChar w:fldCharType="begin"/>
      </w:r>
      <w:r>
        <w:instrText xml:space="preserve"> PAGEREF _Toc21399 \h </w:instrText>
      </w:r>
      <w:r>
        <w:fldChar w:fldCharType="separate"/>
      </w:r>
      <w:r>
        <w:t>1</w:t>
      </w:r>
      <w:r>
        <w:rPr>
          <w:rFonts w:hint="eastAsia"/>
          <w:lang w:val="en-US" w:eastAsia="zh-CN"/>
        </w:rPr>
        <w:t>3</w:t>
      </w:r>
      <w:r>
        <w:fldChar w:fldCharType="end"/>
      </w:r>
      <w:r>
        <w:rPr>
          <w:rFonts w:hint="eastAsia" w:ascii="宋体" w:hAnsi="宋体" w:cs="宋体"/>
          <w:i/>
          <w:caps/>
          <w:szCs w:val="24"/>
        </w:rPr>
        <w:fldChar w:fldCharType="end"/>
      </w:r>
    </w:p>
    <w:p>
      <w:pPr>
        <w:pStyle w:val="13"/>
        <w:tabs>
          <w:tab w:val="right" w:leader="dot" w:pos="9071"/>
        </w:tabs>
      </w:pPr>
      <w:r>
        <w:rPr>
          <w:rFonts w:hint="eastAsia" w:ascii="宋体" w:hAnsi="宋体" w:cs="宋体"/>
          <w:i/>
          <w:caps/>
          <w:szCs w:val="24"/>
        </w:rPr>
        <w:fldChar w:fldCharType="begin"/>
      </w:r>
      <w:r>
        <w:rPr>
          <w:rFonts w:hint="eastAsia" w:ascii="宋体" w:hAnsi="宋体" w:cs="宋体"/>
          <w:i/>
          <w:caps/>
          <w:szCs w:val="24"/>
        </w:rPr>
        <w:instrText xml:space="preserve"> HYPERLINK \l _Toc17414 </w:instrText>
      </w:r>
      <w:r>
        <w:rPr>
          <w:rFonts w:hint="eastAsia" w:ascii="宋体" w:hAnsi="宋体" w:cs="宋体"/>
          <w:i/>
          <w:caps/>
          <w:szCs w:val="24"/>
        </w:rPr>
        <w:fldChar w:fldCharType="separate"/>
      </w:r>
      <w:r>
        <w:rPr>
          <w:rFonts w:hint="eastAsia"/>
        </w:rPr>
        <w:t>第</w:t>
      </w:r>
      <w:r>
        <w:rPr>
          <w:rFonts w:hint="eastAsia"/>
          <w:lang w:val="en-US" w:eastAsia="zh-CN"/>
        </w:rPr>
        <w:t>6</w:t>
      </w:r>
      <w:r>
        <w:rPr>
          <w:rFonts w:hint="eastAsia"/>
        </w:rPr>
        <w:t xml:space="preserve">章 </w:t>
      </w:r>
      <w:r>
        <w:rPr>
          <w:rFonts w:hint="eastAsia"/>
          <w:lang w:val="en-US" w:eastAsia="zh-CN"/>
        </w:rPr>
        <w:t>合同签订</w:t>
      </w:r>
      <w:r>
        <w:tab/>
      </w:r>
      <w:r>
        <w:fldChar w:fldCharType="begin"/>
      </w:r>
      <w:r>
        <w:instrText xml:space="preserve"> PAGEREF _Toc17414 \h </w:instrText>
      </w:r>
      <w:r>
        <w:fldChar w:fldCharType="separate"/>
      </w:r>
      <w:r>
        <w:t>1</w:t>
      </w:r>
      <w:r>
        <w:rPr>
          <w:rFonts w:hint="eastAsia"/>
          <w:lang w:val="en-US" w:eastAsia="zh-CN"/>
        </w:rPr>
        <w:t>4</w:t>
      </w:r>
      <w:r>
        <w:fldChar w:fldCharType="end"/>
      </w:r>
      <w:r>
        <w:rPr>
          <w:rFonts w:hint="eastAsia" w:ascii="宋体" w:hAnsi="宋体" w:cs="宋体"/>
          <w:i/>
          <w:caps/>
          <w:szCs w:val="24"/>
        </w:rPr>
        <w:fldChar w:fldCharType="end"/>
      </w:r>
    </w:p>
    <w:p>
      <w:pPr>
        <w:pStyle w:val="13"/>
        <w:tabs>
          <w:tab w:val="right" w:leader="dot" w:pos="9071"/>
        </w:tabs>
        <w:rPr>
          <w:rFonts w:hint="eastAsia" w:eastAsia="宋体"/>
          <w:lang w:val="en-US" w:eastAsia="zh-CN"/>
        </w:rPr>
      </w:pPr>
      <w:r>
        <w:rPr>
          <w:rFonts w:hint="eastAsia" w:ascii="宋体" w:hAnsi="宋体" w:cs="宋体"/>
          <w:i/>
          <w:caps/>
          <w:szCs w:val="24"/>
        </w:rPr>
        <w:fldChar w:fldCharType="begin"/>
      </w:r>
      <w:r>
        <w:rPr>
          <w:rFonts w:hint="eastAsia" w:ascii="宋体" w:hAnsi="宋体" w:cs="宋体"/>
          <w:i/>
          <w:caps/>
          <w:szCs w:val="24"/>
        </w:rPr>
        <w:instrText xml:space="preserve"> HYPERLINK \l _Toc17414 </w:instrText>
      </w:r>
      <w:r>
        <w:rPr>
          <w:rFonts w:hint="eastAsia" w:ascii="宋体" w:hAnsi="宋体" w:cs="宋体"/>
          <w:i/>
          <w:caps/>
          <w:szCs w:val="24"/>
        </w:rPr>
        <w:fldChar w:fldCharType="separate"/>
      </w:r>
      <w:r>
        <w:rPr>
          <w:rFonts w:hint="eastAsia"/>
        </w:rPr>
        <w:t>第</w:t>
      </w:r>
      <w:r>
        <w:rPr>
          <w:rFonts w:hint="eastAsia"/>
          <w:lang w:val="en-US" w:eastAsia="zh-CN"/>
        </w:rPr>
        <w:t>7</w:t>
      </w:r>
      <w:r>
        <w:rPr>
          <w:rFonts w:hint="eastAsia"/>
        </w:rPr>
        <w:t>章 附件</w:t>
      </w:r>
      <w:r>
        <w:tab/>
      </w:r>
      <w:r>
        <w:fldChar w:fldCharType="begin"/>
      </w:r>
      <w:r>
        <w:instrText xml:space="preserve"> PAGEREF _Toc17414 \h </w:instrText>
      </w:r>
      <w:r>
        <w:fldChar w:fldCharType="separate"/>
      </w:r>
      <w:r>
        <w:t>1</w:t>
      </w:r>
      <w:r>
        <w:rPr>
          <w:rFonts w:hint="eastAsia"/>
          <w:lang w:val="en-US" w:eastAsia="zh-CN"/>
        </w:rPr>
        <w:t>5</w:t>
      </w:r>
      <w:r>
        <w:fldChar w:fldCharType="end"/>
      </w:r>
      <w:r>
        <w:rPr>
          <w:rFonts w:hint="eastAsia" w:ascii="宋体" w:hAnsi="宋体" w:cs="宋体"/>
          <w:i/>
          <w:caps/>
          <w:szCs w:val="24"/>
        </w:rPr>
        <w:fldChar w:fldCharType="end"/>
      </w:r>
    </w:p>
    <w:p>
      <w:pPr>
        <w:pStyle w:val="14"/>
        <w:tabs>
          <w:tab w:val="right" w:leader="dot" w:pos="9071"/>
        </w:tabs>
      </w:pPr>
    </w:p>
    <w:p>
      <w:pPr>
        <w:pStyle w:val="4"/>
        <w:numPr>
          <w:ilvl w:val="0"/>
          <w:numId w:val="0"/>
        </w:numPr>
        <w:rPr>
          <w:rFonts w:ascii="宋体" w:hAnsi="宋体" w:cs="宋体"/>
          <w:i/>
          <w:caps/>
          <w:szCs w:val="24"/>
        </w:rPr>
        <w:sectPr>
          <w:headerReference r:id="rId3" w:type="default"/>
          <w:footerReference r:id="rId4" w:type="default"/>
          <w:pgSz w:w="11907" w:h="16840"/>
          <w:pgMar w:top="1025" w:right="1418" w:bottom="1418" w:left="1418" w:header="724" w:footer="851" w:gutter="0"/>
          <w:pgNumType w:start="1"/>
          <w:cols w:space="720" w:num="1"/>
          <w:docGrid w:linePitch="290" w:charSpace="-3931"/>
        </w:sectPr>
      </w:pPr>
      <w:r>
        <w:rPr>
          <w:rFonts w:hint="eastAsia" w:ascii="宋体" w:hAnsi="宋体" w:cs="宋体"/>
          <w:i/>
          <w:caps/>
          <w:szCs w:val="24"/>
        </w:rPr>
        <w:fldChar w:fldCharType="end"/>
      </w:r>
    </w:p>
    <w:p>
      <w:pPr>
        <w:pStyle w:val="16"/>
        <w:ind w:left="420"/>
      </w:pPr>
      <w:bookmarkStart w:id="0" w:name="_Toc31260"/>
      <w:bookmarkStart w:id="1" w:name="_Toc11033"/>
      <w:bookmarkStart w:id="2" w:name="_Toc26651"/>
      <w:bookmarkStart w:id="3" w:name="_Toc131681868"/>
      <w:bookmarkStart w:id="4" w:name="_Toc25259"/>
      <w:bookmarkStart w:id="5" w:name="_Toc12144"/>
      <w:bookmarkStart w:id="6" w:name="_Toc2075"/>
      <w:bookmarkStart w:id="7" w:name="_Toc29758"/>
      <w:r>
        <w:rPr>
          <w:rFonts w:hint="eastAsia"/>
        </w:rPr>
        <w:t>招标公告</w:t>
      </w:r>
      <w:bookmarkEnd w:id="0"/>
      <w:bookmarkEnd w:id="1"/>
      <w:bookmarkEnd w:id="2"/>
      <w:bookmarkEnd w:id="3"/>
      <w:bookmarkEnd w:id="4"/>
    </w:p>
    <w:p>
      <w:pPr>
        <w:pStyle w:val="20"/>
        <w:numPr>
          <w:ilvl w:val="0"/>
          <w:numId w:val="3"/>
        </w:numPr>
        <w:tabs>
          <w:tab w:val="right" w:leader="dot" w:pos="9061"/>
        </w:tabs>
        <w:spacing w:line="360" w:lineRule="auto"/>
        <w:ind w:firstLineChars="0"/>
        <w:jc w:val="center"/>
        <w:outlineLvl w:val="0"/>
        <w:rPr>
          <w:b/>
          <w:iCs/>
          <w:vanish/>
          <w:szCs w:val="20"/>
        </w:rPr>
      </w:pPr>
      <w:bookmarkStart w:id="8" w:name="_Toc129695594"/>
      <w:bookmarkEnd w:id="8"/>
      <w:bookmarkStart w:id="9" w:name="_Toc142573102"/>
      <w:bookmarkEnd w:id="9"/>
      <w:bookmarkStart w:id="10" w:name="_Toc142572964"/>
      <w:bookmarkEnd w:id="10"/>
      <w:bookmarkStart w:id="11" w:name="_Toc142572929"/>
      <w:bookmarkEnd w:id="11"/>
      <w:bookmarkStart w:id="12" w:name="_Toc129692714"/>
      <w:bookmarkEnd w:id="12"/>
      <w:bookmarkStart w:id="13" w:name="_Toc142573635"/>
      <w:bookmarkEnd w:id="13"/>
      <w:bookmarkStart w:id="14" w:name="_Toc142573471"/>
      <w:bookmarkEnd w:id="14"/>
      <w:bookmarkStart w:id="15" w:name="_Toc129692777"/>
      <w:bookmarkEnd w:id="15"/>
      <w:bookmarkStart w:id="16" w:name="_Toc142573010"/>
      <w:bookmarkEnd w:id="16"/>
      <w:bookmarkStart w:id="17" w:name="_Toc129697415"/>
      <w:bookmarkEnd w:id="17"/>
      <w:bookmarkStart w:id="18" w:name="_Toc129693878"/>
      <w:bookmarkEnd w:id="18"/>
      <w:bookmarkStart w:id="19" w:name="_Toc129688947"/>
      <w:bookmarkEnd w:id="19"/>
      <w:bookmarkStart w:id="20" w:name="_Toc131681869"/>
      <w:bookmarkEnd w:id="20"/>
      <w:bookmarkStart w:id="21" w:name="_Toc129692631"/>
      <w:bookmarkEnd w:id="21"/>
      <w:bookmarkStart w:id="22" w:name="_Toc129693362"/>
      <w:bookmarkEnd w:id="22"/>
    </w:p>
    <w:p>
      <w:pPr>
        <w:pStyle w:val="5"/>
        <w:spacing w:before="0" w:beforeLines="0" w:line="360" w:lineRule="auto"/>
        <w:ind w:firstLine="482"/>
        <w:rPr>
          <w:rFonts w:hint="eastAsia" w:eastAsia="宋体"/>
          <w:sz w:val="28"/>
          <w:szCs w:val="28"/>
        </w:rPr>
      </w:pPr>
      <w:bookmarkStart w:id="23" w:name="_Toc20534"/>
      <w:bookmarkStart w:id="24" w:name="_Toc31025"/>
      <w:bookmarkStart w:id="25" w:name="_Toc131681870"/>
      <w:bookmarkStart w:id="26" w:name="_Toc27190"/>
      <w:r>
        <w:rPr>
          <w:rFonts w:hint="eastAsia" w:eastAsia="宋体"/>
          <w:sz w:val="28"/>
          <w:szCs w:val="28"/>
        </w:rPr>
        <w:t>项目名称及项目编号</w:t>
      </w:r>
      <w:bookmarkEnd w:id="23"/>
      <w:bookmarkEnd w:id="24"/>
      <w:bookmarkEnd w:id="25"/>
      <w:bookmarkEnd w:id="26"/>
    </w:p>
    <w:p>
      <w:pPr>
        <w:spacing w:line="360" w:lineRule="auto"/>
        <w:ind w:firstLine="480" w:firstLineChars="200"/>
        <w:rPr>
          <w:rFonts w:hint="eastAsia" w:ascii="宋体" w:hAnsi="宋体" w:eastAsia="宋体" w:cs="宋体"/>
          <w:sz w:val="24"/>
          <w:szCs w:val="24"/>
          <w:u w:val="single"/>
          <w:lang w:eastAsia="zh-CN"/>
        </w:rPr>
      </w:pPr>
      <w:r>
        <w:rPr>
          <w:rFonts w:hint="eastAsia" w:ascii="宋体" w:hAnsi="宋体" w:cs="宋体"/>
          <w:sz w:val="24"/>
          <w:szCs w:val="24"/>
        </w:rPr>
        <w:t>项目名称：</w:t>
      </w:r>
      <w:r>
        <w:rPr>
          <w:rFonts w:hint="eastAsia" w:ascii="宋体" w:hAnsi="宋体" w:cs="宋体"/>
          <w:sz w:val="24"/>
          <w:szCs w:val="24"/>
          <w:u w:val="single"/>
        </w:rPr>
        <w:t>中国重汽集团</w:t>
      </w:r>
      <w:r>
        <w:rPr>
          <w:rFonts w:hint="eastAsia" w:ascii="宋体" w:hAnsi="宋体" w:cs="宋体"/>
          <w:sz w:val="24"/>
          <w:szCs w:val="24"/>
          <w:u w:val="single"/>
          <w:lang w:val="en-US" w:eastAsia="zh-CN"/>
        </w:rPr>
        <w:t>2025年商用车E线路商品车驾送运输项目</w:t>
      </w:r>
    </w:p>
    <w:p>
      <w:pPr>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项目编号：</w:t>
      </w:r>
    </w:p>
    <w:p>
      <w:pPr>
        <w:pStyle w:val="8"/>
        <w:spacing w:line="360" w:lineRule="auto"/>
        <w:ind w:firstLine="480"/>
        <w:jc w:val="left"/>
        <w:rPr>
          <w:rFonts w:hint="eastAsia" w:ascii="宋体" w:hAnsi="宋体" w:cs="宋体"/>
          <w:kern w:val="2"/>
          <w:sz w:val="24"/>
          <w:szCs w:val="24"/>
        </w:rPr>
      </w:pPr>
      <w:r>
        <w:rPr>
          <w:rFonts w:hint="eastAsia" w:ascii="宋体" w:hAnsi="宋体" w:cs="宋体"/>
          <w:kern w:val="2"/>
          <w:sz w:val="24"/>
          <w:szCs w:val="24"/>
        </w:rPr>
        <w:t>报名方式：</w:t>
      </w:r>
      <w:r>
        <w:rPr>
          <w:rFonts w:hint="eastAsia" w:ascii="宋体" w:hAnsi="宋体" w:cs="宋体"/>
          <w:kern w:val="2"/>
          <w:sz w:val="24"/>
          <w:szCs w:val="24"/>
          <w:highlight w:val="none"/>
        </w:rPr>
        <w:t>通过注册登陆“中国重汽e采通”进行投标。</w:t>
      </w:r>
    </w:p>
    <w:p>
      <w:pPr>
        <w:pStyle w:val="8"/>
        <w:spacing w:line="360" w:lineRule="auto"/>
        <w:ind w:left="0" w:leftChars="0" w:firstLine="480"/>
        <w:jc w:val="left"/>
        <w:rPr>
          <w:rStyle w:val="18"/>
          <w:rFonts w:hint="eastAsia" w:ascii="宋体" w:hAnsi="宋体" w:cs="宋体"/>
          <w:color w:val="auto"/>
          <w:kern w:val="2"/>
          <w:sz w:val="24"/>
          <w:szCs w:val="24"/>
          <w:highlight w:val="none"/>
        </w:rPr>
      </w:pPr>
      <w:r>
        <w:rPr>
          <w:rFonts w:hint="eastAsia" w:ascii="宋体" w:hAnsi="宋体" w:cs="宋体"/>
          <w:kern w:val="2"/>
          <w:sz w:val="24"/>
          <w:szCs w:val="24"/>
        </w:rPr>
        <w:t>登陆网址：</w:t>
      </w:r>
      <w:r>
        <w:rPr>
          <w:rFonts w:hint="eastAsia" w:ascii="宋体" w:hAnsi="宋体" w:cs="宋体"/>
          <w:kern w:val="2"/>
          <w:sz w:val="24"/>
          <w:szCs w:val="24"/>
          <w:highlight w:val="none"/>
        </w:rPr>
        <w:fldChar w:fldCharType="begin"/>
      </w:r>
      <w:r>
        <w:rPr>
          <w:rFonts w:hint="eastAsia" w:ascii="宋体" w:hAnsi="宋体" w:cs="宋体"/>
          <w:kern w:val="2"/>
          <w:sz w:val="24"/>
          <w:szCs w:val="24"/>
          <w:highlight w:val="none"/>
        </w:rPr>
        <w:instrText xml:space="preserve"> HYPERLINK "http://ecaitong.sinotruk.com:8012（投标人注册完成审批后，于2023年4月13日17:00前在" </w:instrText>
      </w:r>
      <w:r>
        <w:rPr>
          <w:rFonts w:hint="eastAsia" w:ascii="宋体" w:hAnsi="宋体" w:cs="宋体"/>
          <w:kern w:val="2"/>
          <w:sz w:val="24"/>
          <w:szCs w:val="24"/>
          <w:highlight w:val="none"/>
        </w:rPr>
        <w:fldChar w:fldCharType="separate"/>
      </w:r>
      <w:r>
        <w:rPr>
          <w:rFonts w:hint="eastAsia" w:asciiTheme="minorEastAsia" w:hAnsiTheme="minorEastAsia" w:eastAsiaTheme="minorEastAsia"/>
          <w:sz w:val="24"/>
          <w:szCs w:val="24"/>
          <w:highlight w:val="none"/>
        </w:rPr>
        <w:t>http</w:t>
      </w:r>
      <w:r>
        <w:rPr>
          <w:rFonts w:hint="eastAsia" w:asciiTheme="minorEastAsia" w:hAnsiTheme="minorEastAsia" w:eastAsiaTheme="minorEastAsia"/>
          <w:sz w:val="24"/>
          <w:szCs w:val="24"/>
          <w:highlight w:val="none"/>
          <w:lang w:val="en-US" w:eastAsia="zh-CN"/>
        </w:rPr>
        <w:t>s</w:t>
      </w:r>
      <w:r>
        <w:rPr>
          <w:rFonts w:hint="eastAsia" w:asciiTheme="minorEastAsia" w:hAnsiTheme="minorEastAsia" w:eastAsiaTheme="minorEastAsia"/>
          <w:sz w:val="24"/>
          <w:szCs w:val="24"/>
          <w:highlight w:val="none"/>
        </w:rPr>
        <w:t>://ecaitong.sinotruk.com:8012</w:t>
      </w:r>
      <w:r>
        <w:rPr>
          <w:rStyle w:val="18"/>
          <w:rFonts w:hint="eastAsia" w:ascii="宋体" w:hAnsi="宋体" w:cs="宋体"/>
          <w:color w:val="auto"/>
          <w:kern w:val="2"/>
          <w:sz w:val="24"/>
          <w:szCs w:val="24"/>
          <w:highlight w:val="none"/>
        </w:rPr>
        <w:t>（投标人注册完成审批后，于</w:t>
      </w:r>
      <w:r>
        <w:rPr>
          <w:rStyle w:val="18"/>
          <w:rFonts w:hint="eastAsia" w:ascii="宋体" w:hAnsi="宋体" w:cs="宋体"/>
          <w:color w:val="auto"/>
          <w:kern w:val="2"/>
          <w:sz w:val="24"/>
          <w:szCs w:val="24"/>
          <w:highlight w:val="none"/>
          <w:lang w:eastAsia="zh-CN"/>
        </w:rPr>
        <w:t>202</w:t>
      </w:r>
      <w:r>
        <w:rPr>
          <w:rStyle w:val="18"/>
          <w:rFonts w:hint="eastAsia" w:ascii="宋体" w:hAnsi="宋体" w:cs="宋体"/>
          <w:color w:val="auto"/>
          <w:kern w:val="2"/>
          <w:sz w:val="24"/>
          <w:szCs w:val="24"/>
          <w:highlight w:val="none"/>
          <w:lang w:val="en-US" w:eastAsia="zh-CN"/>
        </w:rPr>
        <w:t>5</w:t>
      </w:r>
      <w:r>
        <w:rPr>
          <w:rStyle w:val="18"/>
          <w:rFonts w:hint="eastAsia" w:ascii="宋体" w:hAnsi="宋体" w:cs="宋体"/>
          <w:color w:val="auto"/>
          <w:kern w:val="2"/>
          <w:sz w:val="24"/>
          <w:szCs w:val="24"/>
          <w:highlight w:val="none"/>
        </w:rPr>
        <w:t>年</w:t>
      </w:r>
      <w:r>
        <w:rPr>
          <w:rStyle w:val="18"/>
          <w:rFonts w:hint="eastAsia" w:ascii="宋体" w:hAnsi="宋体" w:cs="宋体"/>
          <w:color w:val="auto"/>
          <w:kern w:val="2"/>
          <w:sz w:val="24"/>
          <w:szCs w:val="24"/>
          <w:highlight w:val="yellow"/>
          <w:lang w:val="en-US" w:eastAsia="zh-CN"/>
        </w:rPr>
        <w:t>12</w:t>
      </w:r>
      <w:r>
        <w:rPr>
          <w:rFonts w:hint="eastAsia" w:ascii="宋体" w:hAnsi="宋体" w:cs="宋体"/>
          <w:kern w:val="2"/>
          <w:sz w:val="24"/>
          <w:szCs w:val="24"/>
          <w:highlight w:val="yellow"/>
          <w:lang w:eastAsia="zh-CN"/>
        </w:rPr>
        <w:t>月</w:t>
      </w:r>
      <w:r>
        <w:rPr>
          <w:rFonts w:hint="eastAsia" w:ascii="宋体" w:hAnsi="宋体" w:cs="宋体"/>
          <w:kern w:val="2"/>
          <w:sz w:val="24"/>
          <w:szCs w:val="24"/>
          <w:highlight w:val="yellow"/>
          <w:lang w:val="en-US" w:eastAsia="zh-CN"/>
        </w:rPr>
        <w:t>2</w:t>
      </w:r>
      <w:r>
        <w:rPr>
          <w:rFonts w:hint="eastAsia" w:ascii="宋体" w:hAnsi="宋体" w:cs="宋体"/>
          <w:kern w:val="2"/>
          <w:sz w:val="24"/>
          <w:szCs w:val="24"/>
          <w:highlight w:val="yellow"/>
        </w:rPr>
        <w:t>日</w:t>
      </w:r>
      <w:r>
        <w:rPr>
          <w:rFonts w:hint="eastAsia" w:ascii="宋体" w:hAnsi="宋体" w:cs="宋体"/>
          <w:kern w:val="2"/>
          <w:sz w:val="24"/>
          <w:szCs w:val="24"/>
          <w:highlight w:val="yellow"/>
          <w:lang w:val="en-US" w:eastAsia="zh-CN"/>
        </w:rPr>
        <w:t>17</w:t>
      </w:r>
      <w:r>
        <w:rPr>
          <w:rFonts w:hint="eastAsia" w:ascii="宋体" w:hAnsi="宋体" w:cs="宋体"/>
          <w:kern w:val="2"/>
          <w:sz w:val="24"/>
          <w:szCs w:val="24"/>
          <w:lang w:val="en-US" w:eastAsia="zh-CN"/>
        </w:rPr>
        <w:t>点</w:t>
      </w:r>
      <w:r>
        <w:rPr>
          <w:rStyle w:val="18"/>
          <w:rFonts w:hint="eastAsia" w:ascii="宋体" w:hAnsi="宋体" w:cs="宋体"/>
          <w:color w:val="auto"/>
          <w:kern w:val="2"/>
          <w:sz w:val="24"/>
          <w:szCs w:val="24"/>
          <w:highlight w:val="none"/>
        </w:rPr>
        <w:t>前在“中国重汽e采通”招投标中心非生产类招投标点击“供应商应标”，逾期系统自动关闭应标）。</w:t>
      </w:r>
      <w:r>
        <w:rPr>
          <w:rStyle w:val="18"/>
          <w:rFonts w:hint="eastAsia" w:ascii="宋体" w:hAnsi="宋体" w:cs="宋体"/>
          <w:color w:val="auto"/>
          <w:kern w:val="2"/>
          <w:sz w:val="24"/>
          <w:szCs w:val="24"/>
          <w:highlight w:val="none"/>
        </w:rPr>
        <w:fldChar w:fldCharType="end"/>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kern w:val="0"/>
          <w:sz w:val="24"/>
          <w:szCs w:val="24"/>
          <w:highlight w:val="none"/>
          <w:lang w:val="en-US" w:eastAsia="zh-CN" w:bidi="ar-SA"/>
        </w:rPr>
      </w:pPr>
      <w:r>
        <w:rPr>
          <w:rFonts w:hint="eastAsia" w:cs="Times New Roman" w:asciiTheme="minorEastAsia" w:hAnsiTheme="minorEastAsia" w:eastAsiaTheme="minorEastAsia"/>
          <w:kern w:val="0"/>
          <w:sz w:val="24"/>
          <w:szCs w:val="24"/>
          <w:highlight w:val="none"/>
          <w:lang w:val="en-US" w:eastAsia="zh-CN" w:bidi="ar-SA"/>
        </w:rPr>
        <w:t>项目的潜在投标人应标成功</w:t>
      </w:r>
      <w:bookmarkStart w:id="189" w:name="_GoBack"/>
      <w:bookmarkEnd w:id="189"/>
      <w:r>
        <w:rPr>
          <w:rFonts w:hint="eastAsia" w:cs="Times New Roman" w:asciiTheme="minorEastAsia" w:hAnsiTheme="minorEastAsia" w:eastAsiaTheme="minorEastAsia"/>
          <w:kern w:val="0"/>
          <w:sz w:val="24"/>
          <w:szCs w:val="24"/>
          <w:highlight w:val="none"/>
          <w:lang w:val="en-US" w:eastAsia="zh-CN" w:bidi="ar-SA"/>
        </w:rPr>
        <w:t>后通过“中国重汽e采通”（https://ecaitong.sinotruk.com:8012）获取招标文件，于2025年</w:t>
      </w:r>
      <w:r>
        <w:rPr>
          <w:rFonts w:hint="eastAsia" w:cs="Times New Roman" w:asciiTheme="minorEastAsia" w:hAnsiTheme="minorEastAsia" w:eastAsiaTheme="minorEastAsia"/>
          <w:kern w:val="0"/>
          <w:sz w:val="24"/>
          <w:szCs w:val="24"/>
          <w:highlight w:val="yellow"/>
          <w:lang w:val="en-US" w:eastAsia="zh-CN" w:bidi="ar-SA"/>
        </w:rPr>
        <w:t>12月7日17点</w:t>
      </w:r>
      <w:r>
        <w:rPr>
          <w:rFonts w:hint="eastAsia" w:cs="Times New Roman" w:asciiTheme="minorEastAsia" w:hAnsiTheme="minorEastAsia" w:eastAsiaTheme="minorEastAsia"/>
          <w:kern w:val="0"/>
          <w:sz w:val="24"/>
          <w:szCs w:val="24"/>
          <w:highlight w:val="none"/>
          <w:lang w:val="en-US" w:eastAsia="zh-CN" w:bidi="ar-SA"/>
        </w:rPr>
        <w:t>（北京时间）前递交投标文件。</w:t>
      </w:r>
    </w:p>
    <w:p>
      <w:pPr>
        <w:spacing w:line="360" w:lineRule="auto"/>
        <w:ind w:firstLine="420" w:firstLineChars="200"/>
        <w:rPr>
          <w:rFonts w:hint="eastAsia" w:ascii="宋体" w:hAnsi="宋体" w:cs="宋体"/>
          <w:sz w:val="24"/>
          <w:szCs w:val="24"/>
        </w:rPr>
      </w:pPr>
      <w:r>
        <w:rPr>
          <w:rFonts w:hint="eastAsia"/>
          <w:highlight w:val="none"/>
        </w:rPr>
        <w:t xml:space="preserve"> </w:t>
      </w:r>
      <w:r>
        <w:rPr>
          <w:rFonts w:hint="eastAsia" w:ascii="宋体" w:hAnsi="宋体" w:cs="宋体"/>
          <w:sz w:val="24"/>
          <w:szCs w:val="24"/>
          <w:highlight w:val="none"/>
        </w:rPr>
        <w:t>供应商应标须上传资料：营业执照、道路运输许可证、</w:t>
      </w:r>
      <w:r>
        <w:rPr>
          <w:rFonts w:hint="eastAsia" w:ascii="宋体" w:hAnsi="宋体" w:cs="宋体"/>
          <w:color w:val="000000"/>
          <w:sz w:val="24"/>
          <w:szCs w:val="24"/>
          <w:highlight w:val="none"/>
          <w:lang w:val="en-US" w:eastAsia="zh-CN"/>
        </w:rPr>
        <w:t>投标保证金缴纳凭证（</w:t>
      </w:r>
      <w:r>
        <w:rPr>
          <w:rFonts w:hint="eastAsia" w:ascii="宋体" w:hAnsi="宋体" w:cs="宋体"/>
          <w:color w:val="000000"/>
          <w:sz w:val="24"/>
          <w:szCs w:val="24"/>
          <w:highlight w:val="yellow"/>
          <w:lang w:val="en-US" w:eastAsia="zh-CN"/>
        </w:rPr>
        <w:t>本项最晚可在投标截止日之前与投标文件（资格证明文件里）一起上传</w:t>
      </w:r>
      <w:r>
        <w:rPr>
          <w:rFonts w:hint="eastAsia" w:ascii="宋体" w:hAnsi="宋体" w:cs="宋体"/>
          <w:color w:val="000000"/>
          <w:sz w:val="24"/>
          <w:szCs w:val="24"/>
          <w:highlight w:val="none"/>
          <w:lang w:val="en-US" w:eastAsia="zh-CN"/>
        </w:rPr>
        <w:t>，现供方上传投标保证金承诺函）</w:t>
      </w:r>
      <w:r>
        <w:rPr>
          <w:rFonts w:hint="eastAsia" w:ascii="宋体" w:hAnsi="宋体" w:cs="宋体"/>
          <w:sz w:val="24"/>
          <w:szCs w:val="24"/>
          <w:highlight w:val="none"/>
        </w:rPr>
        <w:t>、三年财务报表（成立不足三年的上传成立以来的财</w:t>
      </w:r>
      <w:r>
        <w:rPr>
          <w:rFonts w:hint="eastAsia" w:ascii="宋体" w:hAnsi="宋体" w:cs="宋体"/>
          <w:sz w:val="24"/>
          <w:szCs w:val="24"/>
        </w:rPr>
        <w:t>务报表）</w:t>
      </w:r>
    </w:p>
    <w:p>
      <w:pPr>
        <w:pStyle w:val="10"/>
        <w:spacing w:line="360" w:lineRule="auto"/>
        <w:ind w:firstLine="420" w:firstLineChars="200"/>
      </w:pPr>
      <w:r>
        <w:rPr>
          <w:rFonts w:hint="eastAsia" w:ascii="仿宋_GB2312" w:hAnsi="仿宋_GB2312" w:eastAsia="仿宋_GB2312" w:cs="仿宋_GB2312"/>
          <w:highlight w:val="yellow"/>
          <w:lang w:val="en-US" w:eastAsia="zh-CN"/>
        </w:rPr>
        <w:t>已注册的投标人注意去重汽e采通平台检查更新近三年的经营概况，财务信息更新到近三年，且不许有空余，若因此造成应标不成功，后果由投标人自行承担。（更新路径：重汽e采通-供应商中心-供应商变更-供应商财务数据变更管理-右上角：发起变更）</w:t>
      </w:r>
    </w:p>
    <w:p>
      <w:pPr>
        <w:pStyle w:val="5"/>
        <w:spacing w:before="0" w:beforeLines="0" w:line="360" w:lineRule="auto"/>
        <w:ind w:firstLine="482"/>
        <w:rPr>
          <w:sz w:val="28"/>
          <w:szCs w:val="28"/>
          <w:highlight w:val="none"/>
        </w:rPr>
      </w:pPr>
      <w:bookmarkStart w:id="27" w:name="_Toc18096"/>
      <w:r>
        <w:rPr>
          <w:rFonts w:hint="eastAsia"/>
          <w:sz w:val="28"/>
          <w:szCs w:val="28"/>
        </w:rPr>
        <w:t>招标形式</w:t>
      </w:r>
      <w:r>
        <w:rPr>
          <w:rFonts w:hint="eastAsia"/>
          <w:sz w:val="28"/>
          <w:szCs w:val="28"/>
          <w:highlight w:val="none"/>
        </w:rPr>
        <w:t>：</w:t>
      </w:r>
      <w:bookmarkEnd w:id="27"/>
      <w:bookmarkStart w:id="28" w:name="_Toc16079"/>
      <w:bookmarkStart w:id="29" w:name="_Toc7478"/>
      <w:bookmarkStart w:id="30" w:name="_Toc131681872"/>
      <w:r>
        <w:rPr>
          <w:rFonts w:hint="eastAsia"/>
          <w:sz w:val="28"/>
          <w:szCs w:val="28"/>
          <w:highlight w:val="none"/>
          <w:lang w:val="en-US" w:eastAsia="zh-CN"/>
        </w:rPr>
        <w:t>公开招标</w:t>
      </w:r>
    </w:p>
    <w:p>
      <w:pPr>
        <w:pStyle w:val="5"/>
        <w:spacing w:before="0" w:beforeLines="0" w:line="360" w:lineRule="auto"/>
        <w:ind w:firstLine="482"/>
        <w:rPr>
          <w:rFonts w:hint="default"/>
          <w:sz w:val="28"/>
          <w:szCs w:val="28"/>
          <w:lang w:val="en-US"/>
        </w:rPr>
      </w:pPr>
      <w:bookmarkStart w:id="31" w:name="_Toc10431"/>
      <w:r>
        <w:rPr>
          <w:rFonts w:hint="eastAsia"/>
          <w:sz w:val="28"/>
          <w:szCs w:val="28"/>
        </w:rPr>
        <w:t>投标人资格要求</w:t>
      </w:r>
      <w:bookmarkEnd w:id="28"/>
      <w:bookmarkEnd w:id="29"/>
      <w:bookmarkEnd w:id="30"/>
      <w:bookmarkEnd w:id="31"/>
    </w:p>
    <w:p>
      <w:pPr>
        <w:spacing w:line="360" w:lineRule="auto"/>
        <w:ind w:firstLine="480" w:firstLineChars="200"/>
        <w:rPr>
          <w:rFonts w:ascii="宋体" w:hAnsi="宋体" w:cs="宋体"/>
          <w:sz w:val="24"/>
          <w:szCs w:val="24"/>
        </w:rPr>
      </w:pPr>
      <w:r>
        <w:rPr>
          <w:rFonts w:hint="eastAsia" w:ascii="宋体" w:hAnsi="宋体" w:cs="宋体"/>
          <w:color w:val="000000"/>
          <w:sz w:val="24"/>
          <w:szCs w:val="24"/>
        </w:rPr>
        <w:t>1</w:t>
      </w:r>
      <w:r>
        <w:rPr>
          <w:rFonts w:hint="eastAsia" w:ascii="宋体" w:hAnsi="宋体" w:cs="宋体"/>
          <w:sz w:val="24"/>
          <w:szCs w:val="24"/>
        </w:rPr>
        <w:t>.投标人</w:t>
      </w:r>
      <w:r>
        <w:rPr>
          <w:rFonts w:hint="eastAsia" w:ascii="宋体" w:hAnsi="宋体" w:cs="宋体"/>
          <w:sz w:val="24"/>
          <w:szCs w:val="24"/>
          <w:lang w:val="en-US" w:eastAsia="zh-CN"/>
        </w:rPr>
        <w:t>需具备以下条件方可</w:t>
      </w:r>
      <w:r>
        <w:rPr>
          <w:rFonts w:hint="eastAsia" w:ascii="宋体" w:hAnsi="宋体" w:cs="宋体"/>
          <w:sz w:val="24"/>
          <w:szCs w:val="24"/>
        </w:rPr>
        <w:t>具有参与</w:t>
      </w:r>
      <w:r>
        <w:rPr>
          <w:rFonts w:hint="eastAsia" w:ascii="宋体" w:hAnsi="宋体" w:cs="宋体"/>
          <w:sz w:val="24"/>
          <w:szCs w:val="24"/>
          <w:lang w:val="en-US" w:eastAsia="zh-CN"/>
        </w:rPr>
        <w:t>竞标</w:t>
      </w:r>
      <w:r>
        <w:rPr>
          <w:rFonts w:hint="eastAsia" w:ascii="宋体" w:hAnsi="宋体" w:cs="宋体"/>
          <w:sz w:val="24"/>
          <w:szCs w:val="24"/>
        </w:rPr>
        <w:t>的资格。</w:t>
      </w:r>
    </w:p>
    <w:p>
      <w:pPr>
        <w:spacing w:line="360" w:lineRule="auto"/>
        <w:ind w:firstLine="480" w:firstLineChars="200"/>
        <w:rPr>
          <w:rFonts w:ascii="宋体" w:hAnsi="宋体" w:cs="宋体"/>
          <w:sz w:val="24"/>
          <w:szCs w:val="24"/>
        </w:rPr>
      </w:pPr>
      <w:bookmarkStart w:id="32" w:name="_Toc129697429"/>
      <w:r>
        <w:rPr>
          <w:rFonts w:hint="eastAsia" w:ascii="宋体" w:hAnsi="宋体" w:cs="宋体"/>
          <w:color w:val="000000"/>
          <w:sz w:val="24"/>
          <w:szCs w:val="24"/>
        </w:rPr>
        <w:t>（1）投标人须遵守《中华人民共和国招标投标法》、《中华人民共和国民法典》及其它有关的法律和法规；为中华人民共和国境内注册的独立法人机构，具有独立承担民事责任的能力；经营范围满足竞价项目需求；</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（2）注册资金不少于</w:t>
      </w:r>
      <w:r>
        <w:rPr>
          <w:rFonts w:hint="eastAsia" w:ascii="宋体" w:hAnsi="宋体" w:cs="宋体"/>
          <w:color w:val="000000"/>
          <w:sz w:val="24"/>
          <w:szCs w:val="24"/>
          <w:lang w:val="en-US" w:eastAsia="zh-CN"/>
        </w:rPr>
        <w:t>1000</w:t>
      </w:r>
      <w:r>
        <w:rPr>
          <w:rFonts w:hint="eastAsia" w:ascii="宋体" w:hAnsi="宋体" w:cs="宋体"/>
          <w:color w:val="000000"/>
          <w:sz w:val="24"/>
          <w:szCs w:val="24"/>
        </w:rPr>
        <w:t>万，投标人须于投标时提供具有统一社会信用代码的营业执照副本原件、复印件及资产负债表(加盖公章)；</w:t>
      </w:r>
    </w:p>
    <w:p>
      <w:pPr>
        <w:spacing w:line="360" w:lineRule="auto"/>
        <w:ind w:firstLine="480" w:firstLineChars="200"/>
        <w:rPr>
          <w:rFonts w:hint="eastAsia" w:ascii="宋体" w:hAnsi="宋体" w:cs="宋体"/>
          <w:color w:val="000000"/>
          <w:sz w:val="24"/>
          <w:szCs w:val="24"/>
          <w:lang w:eastAsia="zh-CN"/>
        </w:rPr>
      </w:pPr>
      <w:r>
        <w:rPr>
          <w:rFonts w:hint="eastAsia" w:ascii="宋体" w:hAnsi="宋体" w:cs="宋体"/>
          <w:color w:val="000000"/>
          <w:sz w:val="24"/>
          <w:szCs w:val="24"/>
        </w:rPr>
        <w:t>（3）投标人需提供</w:t>
      </w:r>
      <w:r>
        <w:rPr>
          <w:rFonts w:hint="eastAsia" w:ascii="宋体" w:hAnsi="宋体" w:cs="宋体"/>
          <w:color w:val="000000"/>
          <w:sz w:val="24"/>
          <w:szCs w:val="24"/>
          <w:lang w:eastAsia="zh-CN"/>
        </w:rPr>
        <w:t>：</w:t>
      </w:r>
    </w:p>
    <w:p>
      <w:pPr>
        <w:spacing w:line="360" w:lineRule="auto"/>
        <w:ind w:firstLine="480" w:firstLineChars="200"/>
        <w:rPr>
          <w:rFonts w:hint="eastAsia" w:ascii="宋体" w:hAnsi="宋体" w:cs="宋体"/>
          <w:color w:val="000000"/>
          <w:sz w:val="24"/>
          <w:szCs w:val="24"/>
        </w:rPr>
      </w:pPr>
      <w:r>
        <w:rPr>
          <w:rFonts w:hint="eastAsia" w:ascii="宋体" w:hAnsi="宋体" w:eastAsia="宋体" w:cs="宋体"/>
          <w:color w:val="000000"/>
          <w:sz w:val="24"/>
          <w:szCs w:val="24"/>
          <w:lang w:val="en-US" w:eastAsia="zh-CN"/>
        </w:rPr>
        <w:t>①</w:t>
      </w:r>
      <w:r>
        <w:rPr>
          <w:rFonts w:hint="eastAsia" w:ascii="宋体" w:hAnsi="宋体" w:cs="宋体"/>
          <w:color w:val="000000"/>
          <w:sz w:val="24"/>
          <w:szCs w:val="24"/>
        </w:rPr>
        <w:t>《道路运输经营许可证》原件及复印件(加盖公章)，并保证行政许可在有效期内；</w:t>
      </w:r>
    </w:p>
    <w:p>
      <w:pPr>
        <w:widowControl w:val="0"/>
        <w:numPr>
          <w:ilvl w:val="0"/>
          <w:numId w:val="0"/>
        </w:numPr>
        <w:spacing w:line="360" w:lineRule="auto"/>
        <w:ind w:left="480" w:leftChars="0"/>
        <w:jc w:val="both"/>
        <w:rPr>
          <w:rFonts w:hint="eastAsia" w:ascii="宋体" w:hAnsi="宋体" w:eastAsia="宋体" w:cs="宋体"/>
          <w:kern w:val="2"/>
          <w:sz w:val="24"/>
          <w:szCs w:val="24"/>
          <w:highlight w:val="none"/>
        </w:rPr>
      </w:pPr>
      <w:r>
        <w:rPr>
          <w:rFonts w:hint="eastAsia" w:ascii="宋体" w:hAnsi="宋体" w:cs="宋体"/>
          <w:kern w:val="2"/>
          <w:sz w:val="24"/>
          <w:szCs w:val="24"/>
          <w:highlight w:val="none"/>
          <w:lang w:val="en-US" w:eastAsia="zh-CN"/>
        </w:rPr>
        <w:t>②</w:t>
      </w:r>
      <w:r>
        <w:rPr>
          <w:rFonts w:hint="eastAsia" w:ascii="宋体" w:hAnsi="宋体" w:eastAsia="宋体" w:cs="宋体"/>
          <w:kern w:val="2"/>
          <w:sz w:val="24"/>
          <w:szCs w:val="24"/>
          <w:highlight w:val="none"/>
        </w:rPr>
        <w:t xml:space="preserve">应提供中文版本的审计报告或财务报表； </w:t>
      </w:r>
    </w:p>
    <w:p>
      <w:pPr>
        <w:widowControl w:val="0"/>
        <w:numPr>
          <w:ilvl w:val="0"/>
          <w:numId w:val="0"/>
        </w:numPr>
        <w:spacing w:line="360" w:lineRule="auto"/>
        <w:ind w:left="480" w:leftChars="0"/>
        <w:jc w:val="both"/>
        <w:rPr>
          <w:rFonts w:hint="eastAsia" w:ascii="宋体" w:hAnsi="宋体" w:eastAsia="宋体" w:cs="宋体"/>
          <w:kern w:val="2"/>
          <w:sz w:val="24"/>
          <w:szCs w:val="24"/>
          <w:highlight w:val="none"/>
        </w:rPr>
      </w:pPr>
      <w:r>
        <w:rPr>
          <w:rFonts w:hint="eastAsia" w:ascii="宋体" w:hAnsi="宋体" w:cs="宋体"/>
          <w:kern w:val="2"/>
          <w:sz w:val="24"/>
          <w:szCs w:val="24"/>
          <w:highlight w:val="none"/>
          <w:lang w:val="en-US" w:eastAsia="zh-CN"/>
        </w:rPr>
        <w:t>③</w:t>
      </w:r>
      <w:r>
        <w:rPr>
          <w:rFonts w:hint="eastAsia" w:ascii="宋体" w:hAnsi="宋体" w:eastAsia="宋体" w:cs="宋体"/>
          <w:kern w:val="2"/>
          <w:sz w:val="24"/>
          <w:szCs w:val="24"/>
          <w:highlight w:val="none"/>
        </w:rPr>
        <w:t xml:space="preserve">企业最近半年完税证明、信用证明材料（中国人民银行信用代码证+征信报告）； </w:t>
      </w:r>
    </w:p>
    <w:p>
      <w:pPr>
        <w:spacing w:line="360" w:lineRule="auto"/>
        <w:ind w:firstLine="480" w:firstLineChars="200"/>
        <w:rPr>
          <w:rFonts w:hint="eastAsia" w:ascii="宋体" w:hAnsi="宋体" w:cs="宋体"/>
          <w:color w:val="000000"/>
          <w:sz w:val="24"/>
          <w:szCs w:val="24"/>
          <w:highlight w:val="none"/>
          <w:lang w:val="en-US" w:eastAsia="zh-CN"/>
        </w:rPr>
      </w:pPr>
      <w:r>
        <w:rPr>
          <w:rFonts w:hint="eastAsia" w:ascii="宋体" w:hAnsi="宋体" w:cs="宋体"/>
          <w:kern w:val="2"/>
          <w:sz w:val="24"/>
          <w:szCs w:val="24"/>
          <w:highlight w:val="none"/>
          <w:lang w:val="en-US" w:eastAsia="zh-CN"/>
        </w:rPr>
        <w:t>④</w:t>
      </w:r>
      <w:r>
        <w:rPr>
          <w:rFonts w:hint="eastAsia" w:ascii="宋体" w:hAnsi="宋体" w:cs="宋体"/>
          <w:color w:val="000000"/>
          <w:sz w:val="24"/>
          <w:szCs w:val="24"/>
          <w:highlight w:val="none"/>
          <w:lang w:val="en-US" w:eastAsia="zh-CN"/>
        </w:rPr>
        <w:t xml:space="preserve">年度纳税信用评价信息（可从电子税务局查询截图，需加盖公章）； </w:t>
      </w:r>
    </w:p>
    <w:p>
      <w:pPr>
        <w:spacing w:line="360" w:lineRule="auto"/>
        <w:ind w:firstLine="480" w:firstLineChars="200"/>
        <w:rPr>
          <w:rFonts w:hint="eastAsia" w:ascii="宋体" w:hAnsi="宋体" w:cs="宋体"/>
          <w:color w:val="000000"/>
          <w:sz w:val="24"/>
          <w:szCs w:val="24"/>
        </w:rPr>
      </w:pPr>
      <w:r>
        <w:rPr>
          <w:rFonts w:hint="eastAsia" w:ascii="宋体" w:hAnsi="宋体" w:cs="宋体"/>
          <w:kern w:val="2"/>
          <w:sz w:val="24"/>
          <w:szCs w:val="24"/>
          <w:highlight w:val="none"/>
          <w:lang w:val="en-US" w:eastAsia="zh-CN"/>
        </w:rPr>
        <w:t>⑤</w:t>
      </w:r>
      <w:r>
        <w:rPr>
          <w:rFonts w:hint="eastAsia" w:ascii="宋体" w:hAnsi="宋体" w:cs="宋体"/>
          <w:color w:val="000000"/>
          <w:sz w:val="24"/>
          <w:szCs w:val="24"/>
          <w:highlight w:val="none"/>
          <w:lang w:val="en-US" w:eastAsia="zh-CN"/>
        </w:rPr>
        <w:t>企业对外担保说明（写明贵单位对外有无对外担保和质押业务，需加盖公章）。</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（4）投标人在近三年内或成立以来在经营活动中无重大违法、违规的不良记录; 在以往的招投标活动中没有违纪、违规、违约等不良行为，且没有列于山东重工黑名单企业；</w:t>
      </w:r>
      <w:r>
        <w:rPr>
          <w:rFonts w:hint="eastAsia" w:ascii="宋体" w:hAnsi="宋体" w:cs="宋体"/>
          <w:color w:val="000000"/>
          <w:sz w:val="24"/>
          <w:szCs w:val="24"/>
          <w:lang w:val="en-US" w:eastAsia="zh-CN"/>
        </w:rPr>
        <w:t>不得列入国家企业信用信息公示系统经营异常名录信息、严重违法失信企业名单（黑名单），不得列入中国执行信息公开网失信被执行人名单；</w:t>
      </w:r>
    </w:p>
    <w:p>
      <w:pPr>
        <w:spacing w:line="360" w:lineRule="auto"/>
        <w:ind w:firstLine="480" w:firstLineChars="200"/>
        <w:rPr>
          <w:rFonts w:ascii="宋体" w:hAnsi="宋体" w:cs="宋体"/>
          <w:sz w:val="24"/>
          <w:szCs w:val="24"/>
        </w:rPr>
      </w:pPr>
      <w:r>
        <w:rPr>
          <w:rFonts w:hint="eastAsia" w:ascii="宋体" w:hAnsi="宋体" w:cs="宋体"/>
          <w:color w:val="000000"/>
          <w:sz w:val="24"/>
          <w:szCs w:val="24"/>
        </w:rPr>
        <w:t>（5）具有健全的财务会计制度，财务状况和市场行为良好。没有处于被有关机关吊销营业执照、吊销资质、停业整顿、取消投标资格以及财产被接管、冻结或进入破产程序等；</w:t>
      </w:r>
    </w:p>
    <w:p>
      <w:pPr>
        <w:spacing w:line="360" w:lineRule="auto"/>
        <w:ind w:firstLine="480" w:firstLineChars="200"/>
        <w:rPr>
          <w:rFonts w:ascii="宋体" w:hAnsi="宋体" w:cs="宋体"/>
          <w:sz w:val="24"/>
          <w:szCs w:val="24"/>
        </w:rPr>
      </w:pPr>
      <w:r>
        <w:rPr>
          <w:rFonts w:hint="eastAsia" w:ascii="宋体" w:hAnsi="宋体" w:cs="宋体"/>
          <w:color w:val="000000"/>
          <w:sz w:val="24"/>
          <w:szCs w:val="24"/>
        </w:rPr>
        <w:t>（6）投标人须提供法人授权委托书原件及投标单位的法定代表人或授权代表的身份证原件；</w:t>
      </w:r>
    </w:p>
    <w:p>
      <w:pPr>
        <w:spacing w:line="360" w:lineRule="auto"/>
        <w:ind w:firstLine="480" w:firstLineChars="200"/>
        <w:rPr>
          <w:rFonts w:ascii="宋体" w:hAnsi="宋体" w:cs="宋体"/>
          <w:sz w:val="24"/>
          <w:szCs w:val="24"/>
        </w:rPr>
      </w:pPr>
      <w:r>
        <w:rPr>
          <w:rFonts w:hint="eastAsia" w:ascii="宋体" w:hAnsi="宋体" w:cs="宋体"/>
          <w:color w:val="000000"/>
          <w:sz w:val="24"/>
          <w:szCs w:val="24"/>
        </w:rPr>
        <w:t>（7）投标人须具有履行合同所必须的设备、财务、技术、服务等方面的资质和能力；</w:t>
      </w:r>
    </w:p>
    <w:p>
      <w:pPr>
        <w:spacing w:line="360" w:lineRule="auto"/>
        <w:ind w:firstLine="480" w:firstLineChars="200"/>
        <w:rPr>
          <w:rFonts w:ascii="宋体" w:hAnsi="宋体" w:cs="宋体"/>
          <w:sz w:val="24"/>
          <w:szCs w:val="24"/>
        </w:rPr>
      </w:pPr>
      <w:r>
        <w:rPr>
          <w:rFonts w:hint="eastAsia" w:ascii="宋体" w:hAnsi="宋体" w:cs="宋体"/>
          <w:color w:val="000000"/>
          <w:sz w:val="24"/>
          <w:szCs w:val="24"/>
        </w:rPr>
        <w:t>（8）投标人须具有完全履行投标文件的所有要求的能力；认可业务单位的工作指令，包括节假日能正常开展工作的要求；</w:t>
      </w:r>
    </w:p>
    <w:p>
      <w:pPr>
        <w:spacing w:line="360" w:lineRule="auto"/>
        <w:ind w:firstLine="480" w:firstLineChars="200"/>
        <w:rPr>
          <w:rFonts w:ascii="宋体" w:hAnsi="宋体" w:cs="宋体"/>
          <w:sz w:val="24"/>
          <w:szCs w:val="24"/>
        </w:rPr>
      </w:pPr>
      <w:r>
        <w:rPr>
          <w:rFonts w:hint="eastAsia" w:ascii="宋体" w:hAnsi="宋体" w:cs="宋体"/>
          <w:color w:val="000000"/>
          <w:sz w:val="24"/>
          <w:szCs w:val="24"/>
        </w:rPr>
        <w:t>（</w:t>
      </w:r>
      <w:r>
        <w:rPr>
          <w:rFonts w:hint="eastAsia" w:ascii="宋体" w:hAnsi="宋体" w:cs="宋体"/>
          <w:color w:val="000000"/>
          <w:sz w:val="24"/>
          <w:szCs w:val="24"/>
          <w:lang w:val="en-US" w:eastAsia="zh-CN"/>
        </w:rPr>
        <w:t>9</w:t>
      </w:r>
      <w:r>
        <w:rPr>
          <w:rFonts w:hint="eastAsia" w:ascii="宋体" w:hAnsi="宋体" w:cs="宋体"/>
          <w:color w:val="000000"/>
          <w:sz w:val="24"/>
          <w:szCs w:val="24"/>
        </w:rPr>
        <w:t>）投标人必须是最终投标、签订合同的单位，不得以任何理由将已中标项目以任何形式转包、分包给其他单位；</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w:t>
      </w:r>
      <w:r>
        <w:rPr>
          <w:rFonts w:hint="eastAsia" w:ascii="宋体" w:hAnsi="宋体" w:cs="宋体"/>
          <w:color w:val="000000"/>
          <w:sz w:val="24"/>
          <w:szCs w:val="24"/>
          <w:lang w:val="en-US" w:eastAsia="zh-CN"/>
        </w:rPr>
        <w:t>0</w:t>
      </w:r>
      <w:r>
        <w:rPr>
          <w:rFonts w:hint="eastAsia" w:ascii="宋体" w:hAnsi="宋体" w:cs="宋体"/>
          <w:color w:val="000000"/>
          <w:sz w:val="24"/>
          <w:szCs w:val="24"/>
        </w:rPr>
        <w:t>）本次招标项目不接受联合体投标；</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w:t>
      </w:r>
      <w:r>
        <w:rPr>
          <w:rFonts w:hint="eastAsia" w:ascii="宋体" w:hAnsi="宋体" w:cs="宋体"/>
          <w:color w:val="000000"/>
          <w:sz w:val="24"/>
          <w:szCs w:val="24"/>
          <w:lang w:val="en-US" w:eastAsia="zh-CN"/>
        </w:rPr>
        <w:t>1</w:t>
      </w:r>
      <w:r>
        <w:rPr>
          <w:rFonts w:hint="eastAsia" w:ascii="宋体" w:hAnsi="宋体" w:cs="宋体"/>
          <w:color w:val="000000"/>
          <w:sz w:val="24"/>
          <w:szCs w:val="24"/>
        </w:rPr>
        <w:t>）法人授权委托书及被授权人的身份证；法人到场的提供法定代表人资格证明文件和身份证；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cs="宋体"/>
          <w:color w:val="000000"/>
          <w:sz w:val="24"/>
          <w:szCs w:val="24"/>
        </w:rPr>
        <w:t>（1</w:t>
      </w:r>
      <w:r>
        <w:rPr>
          <w:rFonts w:hint="eastAsia" w:ascii="宋体" w:hAnsi="宋体" w:cs="宋体"/>
          <w:color w:val="000000"/>
          <w:sz w:val="24"/>
          <w:szCs w:val="24"/>
          <w:lang w:val="en-US" w:eastAsia="zh-CN"/>
        </w:rPr>
        <w:t>2</w:t>
      </w:r>
      <w:r>
        <w:rPr>
          <w:rFonts w:hint="eastAsia" w:ascii="宋体" w:hAnsi="宋体" w:cs="宋体"/>
          <w:color w:val="000000"/>
          <w:sz w:val="24"/>
          <w:szCs w:val="24"/>
        </w:rPr>
        <w:t>）投标人须提供经会计师事务所审计且出具无保留意见的近三年的财务审计报告原件（成立不足三年的上传成立以来的财务报表），并加盖公章，包括但不限于报告页、经审计的资产负债表、利润表、现金流量表及报表附注。如投标人公司没有经审计的财务报告，可提供加盖公章的近三年财务报表，包括但不限于资产负债表、利润表、现金流量表。</w:t>
      </w:r>
    </w:p>
    <w:p>
      <w:pPr>
        <w:spacing w:line="360" w:lineRule="auto"/>
        <w:ind w:firstLine="480" w:firstLineChars="200"/>
        <w:rPr>
          <w:rFonts w:ascii="宋体" w:hAnsi="宋体" w:cs="宋体"/>
          <w:sz w:val="24"/>
          <w:szCs w:val="24"/>
        </w:rPr>
      </w:pPr>
      <w:r>
        <w:rPr>
          <w:rFonts w:hint="eastAsia" w:ascii="宋体" w:hAnsi="宋体" w:cs="宋体"/>
          <w:color w:val="000000"/>
          <w:sz w:val="24"/>
          <w:szCs w:val="24"/>
        </w:rPr>
        <w:t>2.如出现因中标人漏报或少报而造成的一切经济后果，由中标人自行负责。</w:t>
      </w:r>
    </w:p>
    <w:p>
      <w:pPr>
        <w:spacing w:line="360" w:lineRule="auto"/>
        <w:ind w:firstLine="480" w:firstLineChars="200"/>
        <w:rPr>
          <w:rFonts w:ascii="宋体" w:hAnsi="宋体" w:cs="宋体"/>
          <w:sz w:val="24"/>
          <w:szCs w:val="24"/>
          <w:highlight w:val="none"/>
        </w:rPr>
      </w:pPr>
      <w:r>
        <w:rPr>
          <w:rFonts w:hint="eastAsia" w:ascii="宋体" w:hAnsi="宋体" w:cs="宋体"/>
          <w:color w:val="000000"/>
          <w:sz w:val="24"/>
          <w:szCs w:val="24"/>
          <w:highlight w:val="none"/>
        </w:rPr>
        <w:t>3.若中标人在签订合同时，坚持提出附加条件或不合理要求的，招标人有权取消其中标资格，由此产生的该中标人损失由该中标人自负，并且招标人有权</w:t>
      </w:r>
      <w:r>
        <w:rPr>
          <w:rFonts w:hint="eastAsia" w:ascii="宋体" w:hAnsi="宋体" w:cs="宋体"/>
          <w:color w:val="000000"/>
          <w:sz w:val="24"/>
          <w:szCs w:val="24"/>
          <w:highlight w:val="none"/>
          <w:lang w:val="en-US" w:eastAsia="zh-CN"/>
        </w:rPr>
        <w:t>扣除其投标保证金并</w:t>
      </w:r>
      <w:r>
        <w:rPr>
          <w:rFonts w:hint="eastAsia" w:ascii="宋体" w:hAnsi="宋体" w:cs="宋体"/>
          <w:color w:val="000000"/>
          <w:sz w:val="24"/>
          <w:szCs w:val="24"/>
          <w:highlight w:val="none"/>
        </w:rPr>
        <w:t>将由此产生的招标人损失（包括经济上的损失和工期上的损失）向该中标人索赔。</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4</w:t>
      </w:r>
      <w:r>
        <w:rPr>
          <w:rFonts w:hint="eastAsia" w:ascii="宋体" w:hAnsi="宋体" w:cs="宋体"/>
          <w:color w:val="000000"/>
          <w:sz w:val="24"/>
          <w:szCs w:val="24"/>
        </w:rPr>
        <w:t>.投标人需具有流畅的信息沟通渠道，且具有（或承诺具有）临时存放商品车必要的、具备安全措施的仓储场地。</w:t>
      </w:r>
    </w:p>
    <w:p>
      <w:pPr>
        <w:spacing w:line="360" w:lineRule="auto"/>
        <w:ind w:firstLine="480" w:firstLineChars="200"/>
        <w:rPr>
          <w:rFonts w:ascii="宋体" w:hAnsi="宋体" w:cs="宋体"/>
          <w:sz w:val="24"/>
          <w:szCs w:val="24"/>
        </w:rPr>
      </w:pPr>
      <w:r>
        <w:rPr>
          <w:rFonts w:hint="eastAsia" w:ascii="宋体" w:hAnsi="宋体" w:cs="宋体"/>
          <w:color w:val="000000"/>
          <w:sz w:val="24"/>
          <w:szCs w:val="24"/>
          <w:lang w:val="en-US" w:eastAsia="zh-CN"/>
        </w:rPr>
        <w:t>5</w:t>
      </w:r>
      <w:r>
        <w:rPr>
          <w:rFonts w:hint="eastAsia" w:ascii="宋体" w:hAnsi="宋体" w:cs="宋体"/>
          <w:color w:val="000000"/>
          <w:sz w:val="24"/>
          <w:szCs w:val="24"/>
        </w:rPr>
        <w:t>.投标人应视需要至招标人处详细了解与本次招标项目有关的全部文件及制度</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所有附件</w:t>
      </w:r>
      <w:r>
        <w:rPr>
          <w:rFonts w:hint="eastAsia" w:ascii="宋体" w:hAnsi="宋体" w:cs="宋体"/>
          <w:color w:val="000000"/>
          <w:sz w:val="24"/>
          <w:szCs w:val="24"/>
          <w:lang w:eastAsia="zh-CN"/>
        </w:rPr>
        <w:t>）</w:t>
      </w:r>
      <w:r>
        <w:rPr>
          <w:rFonts w:hint="eastAsia" w:ascii="宋体" w:hAnsi="宋体" w:cs="宋体"/>
          <w:color w:val="000000"/>
          <w:sz w:val="24"/>
          <w:szCs w:val="24"/>
        </w:rPr>
        <w:t>，</w:t>
      </w:r>
      <w:r>
        <w:rPr>
          <w:rFonts w:hint="eastAsia" w:ascii="宋体" w:hAnsi="宋体" w:cs="宋体"/>
          <w:color w:val="000000"/>
          <w:sz w:val="24"/>
          <w:szCs w:val="24"/>
          <w:highlight w:val="none"/>
          <w:lang w:val="en-US" w:eastAsia="zh-CN"/>
        </w:rPr>
        <w:t>包括但不限于</w:t>
      </w:r>
      <w:r>
        <w:rPr>
          <w:rFonts w:hint="eastAsia" w:ascii="宋体" w:hAnsi="宋体" w:cs="宋体"/>
          <w:color w:val="000000"/>
          <w:sz w:val="24"/>
          <w:szCs w:val="24"/>
          <w:highlight w:val="none"/>
        </w:rPr>
        <w:t>《商品车运输合同》的全部内容，</w:t>
      </w:r>
      <w:r>
        <w:rPr>
          <w:rFonts w:hint="eastAsia" w:ascii="宋体" w:hAnsi="宋体" w:cs="宋体"/>
          <w:color w:val="000000"/>
          <w:sz w:val="24"/>
          <w:szCs w:val="24"/>
          <w:highlight w:val="none"/>
          <w:lang w:val="en-US" w:eastAsia="zh-CN"/>
        </w:rPr>
        <w:t>并同意全部文件及制度中的</w:t>
      </w:r>
      <w:r>
        <w:rPr>
          <w:rFonts w:hint="eastAsia" w:ascii="宋体" w:hAnsi="宋体" w:cs="宋体"/>
          <w:color w:val="000000"/>
          <w:sz w:val="24"/>
          <w:szCs w:val="24"/>
          <w:highlight w:val="none"/>
        </w:rPr>
        <w:t>各项条款。</w:t>
      </w:r>
      <w:r>
        <w:rPr>
          <w:rFonts w:hint="eastAsia" w:ascii="宋体" w:hAnsi="宋体" w:cs="宋体"/>
          <w:color w:val="000000"/>
          <w:sz w:val="24"/>
          <w:szCs w:val="24"/>
        </w:rPr>
        <w:t xml:space="preserve">            </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6</w:t>
      </w:r>
      <w:r>
        <w:rPr>
          <w:rFonts w:hint="eastAsia" w:ascii="宋体" w:hAnsi="宋体" w:cs="宋体"/>
          <w:color w:val="000000"/>
          <w:sz w:val="24"/>
          <w:szCs w:val="24"/>
        </w:rPr>
        <w:t>.投标人应承担其在投标准备、编制、递交投标文件和签订合同协议的整个过程的一切费用而不论其投标结果如何。</w:t>
      </w:r>
    </w:p>
    <w:p>
      <w:pPr>
        <w:spacing w:line="360" w:lineRule="auto"/>
        <w:ind w:firstLine="480" w:firstLineChars="200"/>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7.投标人应具备三年（2022年及以后）以来从事过商品车驾送的资质（以与主机厂直签合同为准），且没有在业务运营过程中出现重大违规、失信等情况（年直采车辆超过500台以上的战略客户不受三年驾送资质限制）。</w:t>
      </w:r>
    </w:p>
    <w:bookmarkEnd w:id="32"/>
    <w:p>
      <w:pPr>
        <w:pStyle w:val="5"/>
        <w:spacing w:before="0" w:beforeLines="0" w:line="360" w:lineRule="auto"/>
        <w:ind w:firstLine="482"/>
        <w:rPr>
          <w:sz w:val="28"/>
          <w:szCs w:val="28"/>
        </w:rPr>
      </w:pPr>
      <w:bookmarkStart w:id="33" w:name="_Toc30539"/>
      <w:bookmarkStart w:id="34" w:name="_Toc131681873"/>
      <w:bookmarkStart w:id="35" w:name="_Toc3405"/>
      <w:bookmarkStart w:id="36" w:name="_Toc21168"/>
      <w:r>
        <w:rPr>
          <w:rFonts w:hint="eastAsia"/>
          <w:sz w:val="28"/>
          <w:szCs w:val="28"/>
        </w:rPr>
        <w:t>招标文件的获取</w:t>
      </w:r>
      <w:bookmarkEnd w:id="33"/>
      <w:bookmarkEnd w:id="34"/>
      <w:bookmarkEnd w:id="35"/>
      <w:bookmarkEnd w:id="36"/>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rPr>
        <w:t>1、本次招标公告</w:t>
      </w:r>
      <w:r>
        <w:rPr>
          <w:rFonts w:hint="eastAsia" w:ascii="宋体" w:hAnsi="宋体" w:cs="宋体"/>
          <w:color w:val="000000"/>
          <w:sz w:val="24"/>
          <w:szCs w:val="24"/>
          <w:lang w:val="en-US" w:eastAsia="zh-CN"/>
        </w:rPr>
        <w:t>在</w:t>
      </w:r>
      <w:r>
        <w:rPr>
          <w:rFonts w:hint="eastAsia" w:ascii="宋体" w:hAnsi="宋体" w:cs="宋体"/>
          <w:color w:val="000000"/>
          <w:sz w:val="24"/>
          <w:szCs w:val="24"/>
          <w:highlight w:val="none"/>
        </w:rPr>
        <w:t>山东省阳光采购服务平台发布</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中国重汽官网</w:t>
      </w:r>
      <w:r>
        <w:rPr>
          <w:rFonts w:hint="eastAsia" w:ascii="宋体" w:hAnsi="宋体" w:cs="宋体"/>
          <w:color w:val="000000"/>
          <w:sz w:val="24"/>
          <w:szCs w:val="24"/>
          <w:highlight w:val="none"/>
        </w:rPr>
        <w:t>。</w:t>
      </w:r>
    </w:p>
    <w:p>
      <w:pPr>
        <w:pStyle w:val="8"/>
        <w:spacing w:line="360" w:lineRule="auto"/>
        <w:ind w:firstLine="480"/>
        <w:jc w:val="left"/>
        <w:rPr>
          <w:rFonts w:ascii="宋体" w:hAnsi="宋体" w:cs="宋体"/>
          <w:color w:val="000000"/>
          <w:sz w:val="24"/>
          <w:szCs w:val="24"/>
        </w:rPr>
      </w:pPr>
      <w:bookmarkStart w:id="37" w:name="_Toc131681875"/>
      <w:bookmarkStart w:id="38" w:name="_Toc29960"/>
      <w:r>
        <w:rPr>
          <w:rFonts w:hint="eastAsia" w:ascii="宋体" w:hAnsi="宋体" w:cs="宋体"/>
          <w:color w:val="000000"/>
          <w:sz w:val="24"/>
          <w:szCs w:val="24"/>
        </w:rPr>
        <w:t>2、</w:t>
      </w:r>
      <w:bookmarkEnd w:id="37"/>
      <w:bookmarkEnd w:id="38"/>
      <w:r>
        <w:rPr>
          <w:rFonts w:hint="eastAsia" w:ascii="宋体" w:hAnsi="宋体" w:cs="宋体"/>
          <w:color w:val="000000"/>
          <w:sz w:val="24"/>
          <w:szCs w:val="24"/>
        </w:rPr>
        <w:t>招标文件获取方式：投标人报名</w:t>
      </w:r>
      <w:r>
        <w:rPr>
          <w:rFonts w:hint="eastAsia" w:ascii="宋体" w:hAnsi="宋体" w:cs="宋体"/>
          <w:color w:val="000000"/>
          <w:sz w:val="24"/>
          <w:szCs w:val="24"/>
          <w:lang w:val="en-US" w:eastAsia="zh-CN"/>
        </w:rPr>
        <w:t>应标成功后</w:t>
      </w:r>
      <w:r>
        <w:rPr>
          <w:rFonts w:hint="eastAsia" w:ascii="宋体" w:hAnsi="宋体" w:cs="宋体"/>
          <w:color w:val="000000"/>
          <w:sz w:val="24"/>
          <w:szCs w:val="24"/>
        </w:rPr>
        <w:t>通过</w:t>
      </w:r>
      <w:r>
        <w:rPr>
          <w:rFonts w:hint="eastAsia" w:ascii="宋体" w:hAnsi="宋体" w:cs="宋体"/>
          <w:sz w:val="24"/>
          <w:szCs w:val="24"/>
        </w:rPr>
        <w:t>中国重汽e采通</w:t>
      </w:r>
      <w:r>
        <w:rPr>
          <w:rFonts w:hint="eastAsia" w:ascii="宋体" w:hAnsi="宋体" w:cs="宋体"/>
          <w:color w:val="000000"/>
          <w:sz w:val="24"/>
          <w:szCs w:val="24"/>
        </w:rPr>
        <w:t>系统自行下载。</w:t>
      </w:r>
    </w:p>
    <w:p>
      <w:pPr>
        <w:pStyle w:val="8"/>
        <w:spacing w:line="360" w:lineRule="auto"/>
        <w:ind w:firstLine="240" w:firstLineChars="100"/>
      </w:pPr>
      <w:r>
        <w:rPr>
          <w:rFonts w:hint="eastAsia" w:ascii="宋体" w:hAnsi="宋体" w:cs="宋体"/>
          <w:color w:val="000000"/>
          <w:sz w:val="24"/>
          <w:szCs w:val="24"/>
        </w:rPr>
        <w:t xml:space="preserve">  </w:t>
      </w:r>
      <w:r>
        <w:rPr>
          <w:rFonts w:hint="eastAsia" w:ascii="宋体" w:hAnsi="宋体" w:cs="宋体"/>
          <w:color w:val="000000"/>
          <w:kern w:val="2"/>
          <w:sz w:val="24"/>
          <w:szCs w:val="24"/>
        </w:rPr>
        <w:t>3、售价：￥0.0 元，本公告包含的招标文件售价总和。</w:t>
      </w:r>
    </w:p>
    <w:p>
      <w:pPr>
        <w:pStyle w:val="8"/>
        <w:spacing w:line="360" w:lineRule="auto"/>
        <w:ind w:firstLine="480"/>
        <w:jc w:val="left"/>
        <w:rPr>
          <w:rFonts w:hint="eastAsia" w:ascii="宋体" w:hAnsi="宋体" w:eastAsia="宋体" w:cs="宋体"/>
          <w:color w:val="000000"/>
          <w:kern w:val="2"/>
          <w:sz w:val="24"/>
          <w:szCs w:val="24"/>
        </w:rPr>
      </w:pPr>
      <w:bookmarkStart w:id="39" w:name="_Toc131681877"/>
      <w:bookmarkStart w:id="40" w:name="_Toc15411"/>
      <w:bookmarkStart w:id="41" w:name="_Toc15520"/>
      <w:r>
        <w:rPr>
          <w:rFonts w:hint="eastAsia" w:ascii="宋体" w:hAnsi="宋体" w:cs="宋体"/>
          <w:color w:val="000000"/>
          <w:kern w:val="2"/>
          <w:sz w:val="24"/>
          <w:szCs w:val="24"/>
        </w:rPr>
        <w:t>登陆网</w:t>
      </w:r>
      <w:r>
        <w:rPr>
          <w:rFonts w:hint="eastAsia" w:ascii="宋体" w:hAnsi="宋体" w:eastAsia="宋体" w:cs="宋体"/>
          <w:color w:val="000000"/>
          <w:kern w:val="2"/>
          <w:sz w:val="24"/>
          <w:szCs w:val="24"/>
        </w:rPr>
        <w:t>址：</w:t>
      </w:r>
      <w:r>
        <w:rPr>
          <w:rFonts w:hint="eastAsia" w:ascii="宋体" w:hAnsi="宋体" w:eastAsia="宋体" w:cs="宋体"/>
          <w:color w:val="000000"/>
          <w:kern w:val="2"/>
          <w:sz w:val="24"/>
          <w:szCs w:val="24"/>
        </w:rPr>
        <w:fldChar w:fldCharType="begin"/>
      </w:r>
      <w:r>
        <w:rPr>
          <w:rFonts w:hint="eastAsia" w:ascii="宋体" w:hAnsi="宋体" w:eastAsia="宋体" w:cs="宋体"/>
          <w:color w:val="000000"/>
          <w:kern w:val="2"/>
          <w:sz w:val="24"/>
          <w:szCs w:val="24"/>
        </w:rPr>
        <w:instrText xml:space="preserve"> HYPERLINK "http://ecaitong.sinotruk.com:8012（投标人注册完成审批后，于2023年4月13日17:00前在" </w:instrText>
      </w:r>
      <w:r>
        <w:rPr>
          <w:rFonts w:hint="eastAsia" w:ascii="宋体" w:hAnsi="宋体" w:eastAsia="宋体" w:cs="宋体"/>
          <w:color w:val="000000"/>
          <w:kern w:val="2"/>
          <w:sz w:val="24"/>
          <w:szCs w:val="24"/>
        </w:rPr>
        <w:fldChar w:fldCharType="separate"/>
      </w:r>
      <w:r>
        <w:rPr>
          <w:rFonts w:hint="eastAsia" w:ascii="宋体" w:hAnsi="宋体" w:eastAsia="宋体" w:cs="宋体"/>
          <w:color w:val="000000"/>
          <w:kern w:val="2"/>
          <w:sz w:val="24"/>
          <w:szCs w:val="24"/>
        </w:rPr>
        <w:t>http</w:t>
      </w:r>
      <w:r>
        <w:rPr>
          <w:rFonts w:hint="eastAsia" w:ascii="宋体" w:hAnsi="宋体" w:eastAsia="宋体" w:cs="宋体"/>
          <w:color w:val="000000"/>
          <w:kern w:val="2"/>
          <w:sz w:val="24"/>
          <w:szCs w:val="24"/>
          <w:lang w:val="en-US" w:eastAsia="zh-CN"/>
        </w:rPr>
        <w:t>s</w:t>
      </w:r>
      <w:r>
        <w:rPr>
          <w:rFonts w:hint="eastAsia" w:ascii="宋体" w:hAnsi="宋体" w:eastAsia="宋体" w:cs="宋体"/>
          <w:color w:val="000000"/>
          <w:kern w:val="2"/>
          <w:sz w:val="24"/>
          <w:szCs w:val="24"/>
        </w:rPr>
        <w:t>://ecaitong.sinotruk.com:8012（投标人注册完成审批后，</w:t>
      </w:r>
      <w:r>
        <w:rPr>
          <w:rFonts w:hint="eastAsia" w:ascii="宋体" w:hAnsi="宋体" w:eastAsia="宋体" w:cs="宋体"/>
          <w:color w:val="000000"/>
          <w:kern w:val="2"/>
          <w:sz w:val="24"/>
          <w:szCs w:val="24"/>
          <w:highlight w:val="none"/>
        </w:rPr>
        <w:t>于</w:t>
      </w:r>
      <w:r>
        <w:rPr>
          <w:rFonts w:hint="eastAsia" w:ascii="宋体" w:hAnsi="宋体" w:eastAsia="宋体" w:cs="宋体"/>
          <w:color w:val="000000"/>
          <w:kern w:val="2"/>
          <w:sz w:val="24"/>
          <w:szCs w:val="24"/>
          <w:highlight w:val="none"/>
          <w:lang w:eastAsia="zh-CN"/>
        </w:rPr>
        <w:t>202</w:t>
      </w:r>
      <w:r>
        <w:rPr>
          <w:rFonts w:hint="eastAsia" w:ascii="宋体" w:hAnsi="宋体" w:eastAsia="宋体" w:cs="宋体"/>
          <w:color w:val="000000"/>
          <w:kern w:val="2"/>
          <w:sz w:val="24"/>
          <w:szCs w:val="24"/>
          <w:highlight w:val="none"/>
          <w:lang w:val="en-US" w:eastAsia="zh-CN"/>
        </w:rPr>
        <w:t xml:space="preserve">5  </w:t>
      </w:r>
      <w:r>
        <w:rPr>
          <w:rFonts w:hint="eastAsia" w:ascii="宋体" w:hAnsi="宋体" w:eastAsia="宋体" w:cs="宋体"/>
          <w:color w:val="000000"/>
          <w:kern w:val="2"/>
          <w:sz w:val="24"/>
          <w:szCs w:val="24"/>
          <w:highlight w:val="none"/>
        </w:rPr>
        <w:t>年</w:t>
      </w:r>
      <w:r>
        <w:rPr>
          <w:rStyle w:val="18"/>
          <w:rFonts w:hint="eastAsia" w:ascii="宋体" w:hAnsi="宋体" w:cs="宋体"/>
          <w:color w:val="auto"/>
          <w:kern w:val="2"/>
          <w:sz w:val="24"/>
          <w:szCs w:val="24"/>
          <w:highlight w:val="yellow"/>
          <w:lang w:val="en-US" w:eastAsia="zh-CN"/>
        </w:rPr>
        <w:t>12</w:t>
      </w:r>
      <w:r>
        <w:rPr>
          <w:rFonts w:hint="eastAsia" w:ascii="宋体" w:hAnsi="宋体" w:cs="宋体"/>
          <w:kern w:val="2"/>
          <w:sz w:val="24"/>
          <w:szCs w:val="24"/>
          <w:highlight w:val="yellow"/>
          <w:lang w:eastAsia="zh-CN"/>
        </w:rPr>
        <w:t>月</w:t>
      </w:r>
      <w:r>
        <w:rPr>
          <w:rFonts w:hint="eastAsia" w:ascii="宋体" w:hAnsi="宋体" w:cs="宋体"/>
          <w:kern w:val="2"/>
          <w:sz w:val="24"/>
          <w:szCs w:val="24"/>
          <w:highlight w:val="yellow"/>
          <w:lang w:val="en-US" w:eastAsia="zh-CN"/>
        </w:rPr>
        <w:t>2</w:t>
      </w:r>
      <w:r>
        <w:rPr>
          <w:rFonts w:hint="eastAsia" w:ascii="宋体" w:hAnsi="宋体" w:cs="宋体"/>
          <w:kern w:val="2"/>
          <w:sz w:val="24"/>
          <w:szCs w:val="24"/>
          <w:highlight w:val="yellow"/>
        </w:rPr>
        <w:t>日</w:t>
      </w:r>
      <w:r>
        <w:rPr>
          <w:rFonts w:hint="eastAsia" w:ascii="宋体" w:hAnsi="宋体" w:cs="宋体"/>
          <w:kern w:val="2"/>
          <w:sz w:val="24"/>
          <w:szCs w:val="24"/>
          <w:highlight w:val="yellow"/>
          <w:lang w:val="en-US" w:eastAsia="zh-CN"/>
        </w:rPr>
        <w:t>17</w:t>
      </w:r>
      <w:r>
        <w:rPr>
          <w:rFonts w:hint="eastAsia" w:ascii="宋体" w:hAnsi="宋体" w:cs="宋体"/>
          <w:kern w:val="2"/>
          <w:sz w:val="24"/>
          <w:szCs w:val="24"/>
          <w:lang w:val="en-US" w:eastAsia="zh-CN"/>
        </w:rPr>
        <w:t>点</w:t>
      </w:r>
      <w:r>
        <w:rPr>
          <w:rFonts w:hint="eastAsia" w:ascii="宋体" w:hAnsi="宋体" w:eastAsia="宋体" w:cs="宋体"/>
          <w:color w:val="000000"/>
          <w:kern w:val="2"/>
          <w:sz w:val="24"/>
          <w:szCs w:val="24"/>
          <w:highlight w:val="none"/>
        </w:rPr>
        <w:t>前</w:t>
      </w:r>
      <w:r>
        <w:rPr>
          <w:rFonts w:hint="eastAsia" w:ascii="宋体" w:hAnsi="宋体" w:eastAsia="宋体" w:cs="宋体"/>
          <w:color w:val="000000"/>
          <w:kern w:val="2"/>
          <w:sz w:val="24"/>
          <w:szCs w:val="24"/>
        </w:rPr>
        <w:t>在“中国重汽e采通”招投标中心非生产类招投标点击“供应商应标”，逾期系统自动关闭应标）。</w:t>
      </w:r>
      <w:r>
        <w:rPr>
          <w:rFonts w:hint="eastAsia" w:ascii="宋体" w:hAnsi="宋体" w:eastAsia="宋体" w:cs="宋体"/>
          <w:color w:val="000000"/>
          <w:kern w:val="2"/>
          <w:sz w:val="24"/>
          <w:szCs w:val="24"/>
        </w:rPr>
        <w:fldChar w:fldCharType="end"/>
      </w:r>
    </w:p>
    <w:p>
      <w:pPr>
        <w:spacing w:line="360" w:lineRule="auto"/>
        <w:rPr>
          <w:rFonts w:hint="eastAsia" w:eastAsia="宋体"/>
          <w:b/>
          <w:shd w:val="clear" w:fill="FFFF00"/>
          <w:lang w:val="en-US" w:eastAsia="zh-CN"/>
        </w:rPr>
      </w:pPr>
      <w:r>
        <w:rPr>
          <w:rFonts w:hint="eastAsia"/>
          <w:b/>
        </w:rPr>
        <w:t xml:space="preserve">  </w:t>
      </w:r>
      <w:r>
        <w:rPr>
          <w:rFonts w:hint="eastAsia" w:ascii="宋体" w:hAnsi="宋体" w:cs="宋体"/>
          <w:color w:val="000000"/>
          <w:sz w:val="24"/>
          <w:szCs w:val="24"/>
        </w:rPr>
        <w:t xml:space="preserve">  供应商应标须上传资料：营业执照、道路运输许可证、</w:t>
      </w:r>
      <w:r>
        <w:rPr>
          <w:rFonts w:hint="eastAsia" w:ascii="宋体" w:hAnsi="宋体" w:cs="宋体"/>
          <w:sz w:val="24"/>
          <w:szCs w:val="24"/>
          <w:lang w:val="en-US" w:eastAsia="zh-CN"/>
        </w:rPr>
        <w:t>投标保证金缴纳凭证</w:t>
      </w:r>
      <w:r>
        <w:rPr>
          <w:rFonts w:hint="eastAsia" w:ascii="宋体" w:hAnsi="宋体" w:cs="宋体"/>
          <w:sz w:val="24"/>
          <w:szCs w:val="24"/>
          <w:highlight w:val="none"/>
          <w:lang w:val="en-US" w:eastAsia="zh-CN"/>
        </w:rPr>
        <w:t>（现供方上传</w:t>
      </w:r>
      <w:r>
        <w:rPr>
          <w:rFonts w:hint="eastAsia" w:ascii="宋体" w:hAnsi="宋体" w:cs="宋体"/>
          <w:color w:val="000000"/>
          <w:sz w:val="24"/>
          <w:szCs w:val="24"/>
          <w:highlight w:val="none"/>
          <w:lang w:val="en-US" w:eastAsia="zh-CN"/>
        </w:rPr>
        <w:t>投标保证金承诺函）</w:t>
      </w:r>
      <w:r>
        <w:rPr>
          <w:rFonts w:hint="eastAsia" w:ascii="宋体" w:hAnsi="宋体" w:cs="宋体"/>
          <w:color w:val="000000"/>
          <w:sz w:val="24"/>
          <w:szCs w:val="24"/>
          <w:highlight w:val="none"/>
          <w:lang w:eastAsia="zh-CN"/>
        </w:rPr>
        <w:t>、</w:t>
      </w:r>
      <w:r>
        <w:rPr>
          <w:rFonts w:hint="eastAsia" w:ascii="宋体" w:hAnsi="宋体" w:cs="宋体"/>
          <w:sz w:val="24"/>
          <w:szCs w:val="24"/>
          <w:highlight w:val="none"/>
          <w:lang w:val="en-US" w:eastAsia="zh-CN"/>
        </w:rPr>
        <w:t>2022年以来与中国重汽直签的商品车运输合同、</w:t>
      </w:r>
      <w:r>
        <w:rPr>
          <w:rFonts w:hint="eastAsia" w:ascii="宋体" w:hAnsi="宋体" w:cs="宋体"/>
          <w:color w:val="000000"/>
          <w:sz w:val="24"/>
          <w:szCs w:val="24"/>
          <w:highlight w:val="none"/>
        </w:rPr>
        <w:t>三</w:t>
      </w:r>
      <w:r>
        <w:rPr>
          <w:rFonts w:hint="eastAsia" w:ascii="宋体" w:hAnsi="宋体" w:cs="宋体"/>
          <w:color w:val="000000"/>
          <w:sz w:val="24"/>
          <w:szCs w:val="24"/>
        </w:rPr>
        <w:t>年财务报表（成立不足三年的上传成立以来的财务报表）</w:t>
      </w:r>
    </w:p>
    <w:p>
      <w:pPr>
        <w:pStyle w:val="5"/>
        <w:spacing w:before="0" w:beforeLines="0" w:line="360" w:lineRule="auto"/>
        <w:ind w:firstLine="482"/>
        <w:rPr>
          <w:sz w:val="28"/>
          <w:szCs w:val="28"/>
        </w:rPr>
      </w:pPr>
      <w:bookmarkStart w:id="42" w:name="_Toc28136"/>
      <w:r>
        <w:rPr>
          <w:rFonts w:hint="eastAsia"/>
          <w:sz w:val="28"/>
          <w:szCs w:val="28"/>
        </w:rPr>
        <w:t>投标文件的递交</w:t>
      </w:r>
      <w:bookmarkEnd w:id="39"/>
      <w:bookmarkEnd w:id="40"/>
      <w:bookmarkEnd w:id="41"/>
      <w:bookmarkEnd w:id="42"/>
    </w:p>
    <w:p>
      <w:pPr>
        <w:pStyle w:val="21"/>
        <w:spacing w:beforeLines="0" w:afterLines="0"/>
        <w:ind w:firstLineChars="0"/>
        <w:rPr>
          <w:highlight w:val="none"/>
        </w:rPr>
      </w:pPr>
      <w:bookmarkStart w:id="43" w:name="_Toc129697439"/>
      <w:r>
        <w:rPr>
          <w:rFonts w:hint="eastAsia"/>
        </w:rPr>
        <w:t>1、投标文件递交的截止时间：</w:t>
      </w:r>
      <w:r>
        <w:rPr>
          <w:rFonts w:hint="eastAsia"/>
          <w:u w:val="single"/>
        </w:rPr>
        <w:t xml:space="preserve"> </w:t>
      </w:r>
      <w:r>
        <w:rPr>
          <w:rFonts w:hint="eastAsia"/>
          <w:u w:val="single"/>
          <w:lang w:val="en-US" w:eastAsia="zh-CN"/>
        </w:rPr>
        <w:t>2</w:t>
      </w:r>
      <w:r>
        <w:rPr>
          <w:rFonts w:hint="eastAsia"/>
          <w:highlight w:val="none"/>
          <w:u w:val="single"/>
          <w:lang w:val="en-US" w:eastAsia="zh-CN"/>
        </w:rPr>
        <w:t>025年</w:t>
      </w:r>
      <w:r>
        <w:rPr>
          <w:rFonts w:hint="eastAsia"/>
          <w:highlight w:val="yellow"/>
          <w:u w:val="single"/>
          <w:lang w:val="en-US" w:eastAsia="zh-CN"/>
        </w:rPr>
        <w:t>12月7日</w:t>
      </w:r>
      <w:r>
        <w:rPr>
          <w:rFonts w:hint="eastAsia"/>
          <w:highlight w:val="none"/>
          <w:u w:val="single"/>
          <w:lang w:val="en-US" w:eastAsia="zh-CN"/>
        </w:rPr>
        <w:t>17：00</w:t>
      </w:r>
      <w:r>
        <w:rPr>
          <w:rFonts w:hint="eastAsia"/>
          <w:highlight w:val="none"/>
          <w:u w:val="single"/>
        </w:rPr>
        <w:t xml:space="preserve"> </w:t>
      </w:r>
    </w:p>
    <w:p>
      <w:pPr>
        <w:wordWrap w:val="0"/>
        <w:spacing w:line="360" w:lineRule="auto"/>
        <w:ind w:firstLine="480" w:firstLineChars="200"/>
        <w:rPr>
          <w:highlight w:val="none"/>
        </w:rPr>
      </w:pPr>
      <w:r>
        <w:rPr>
          <w:rFonts w:hint="eastAsia"/>
          <w:kern w:val="0"/>
          <w:sz w:val="24"/>
          <w:szCs w:val="20"/>
          <w:highlight w:val="none"/>
        </w:rPr>
        <w:t xml:space="preserve">2、递交地点： </w:t>
      </w:r>
      <w:r>
        <w:rPr>
          <w:rFonts w:hint="eastAsia"/>
          <w:highlight w:val="none"/>
          <w:u w:val="single"/>
        </w:rPr>
        <w:t xml:space="preserve"> </w:t>
      </w:r>
      <w:bookmarkEnd w:id="43"/>
      <w:r>
        <w:rPr>
          <w:rFonts w:hint="eastAsia" w:ascii="宋体" w:hAnsi="宋体" w:cs="宋体"/>
          <w:color w:val="000000"/>
          <w:sz w:val="24"/>
          <w:szCs w:val="24"/>
          <w:highlight w:val="none"/>
          <w:u w:val="single"/>
        </w:rPr>
        <w:t>线上上传e采通</w:t>
      </w:r>
    </w:p>
    <w:p>
      <w:pPr>
        <w:pStyle w:val="5"/>
        <w:spacing w:before="0" w:beforeLines="0" w:line="360" w:lineRule="auto"/>
        <w:ind w:firstLine="482"/>
        <w:rPr>
          <w:sz w:val="28"/>
          <w:szCs w:val="28"/>
          <w:highlight w:val="none"/>
        </w:rPr>
      </w:pPr>
      <w:bookmarkStart w:id="44" w:name="_Toc22006"/>
      <w:r>
        <w:rPr>
          <w:rFonts w:hint="eastAsia"/>
          <w:sz w:val="28"/>
          <w:szCs w:val="28"/>
          <w:highlight w:val="none"/>
        </w:rPr>
        <w:t>开标时间和地点</w:t>
      </w:r>
      <w:bookmarkEnd w:id="44"/>
    </w:p>
    <w:p>
      <w:pPr>
        <w:autoSpaceDE w:val="0"/>
        <w:autoSpaceDN w:val="0"/>
        <w:adjustRightInd w:val="0"/>
        <w:snapToGrid w:val="0"/>
        <w:spacing w:line="360" w:lineRule="auto"/>
        <w:ind w:firstLine="480" w:firstLineChars="200"/>
        <w:jc w:val="left"/>
        <w:rPr>
          <w:rFonts w:hint="default" w:ascii="宋体" w:hAnsi="宋体" w:cs="宋体"/>
          <w:sz w:val="24"/>
          <w:szCs w:val="24"/>
          <w:highlight w:val="none"/>
          <w:lang w:val="en-US" w:eastAsia="zh-CN"/>
        </w:rPr>
      </w:pPr>
      <w:r>
        <w:rPr>
          <w:rFonts w:ascii="宋体" w:hAnsi="宋体" w:cs="宋体"/>
          <w:sz w:val="24"/>
          <w:szCs w:val="24"/>
          <w:highlight w:val="none"/>
        </w:rPr>
        <w:t>1</w:t>
      </w:r>
      <w:r>
        <w:rPr>
          <w:rFonts w:hint="eastAsia" w:ascii="宋体" w:hAnsi="宋体" w:cs="宋体"/>
          <w:sz w:val="24"/>
          <w:szCs w:val="24"/>
          <w:highlight w:val="none"/>
        </w:rPr>
        <w:t>、开标时间：</w:t>
      </w:r>
      <w:r>
        <w:rPr>
          <w:rFonts w:hint="eastAsia" w:ascii="宋体" w:hAnsi="宋体" w:cs="宋体"/>
          <w:sz w:val="24"/>
          <w:szCs w:val="24"/>
          <w:highlight w:val="none"/>
          <w:lang w:eastAsia="zh-CN"/>
        </w:rPr>
        <w:t>202</w:t>
      </w:r>
      <w:r>
        <w:rPr>
          <w:rFonts w:hint="eastAsia" w:ascii="宋体" w:hAnsi="宋体" w:cs="宋体"/>
          <w:sz w:val="24"/>
          <w:szCs w:val="24"/>
          <w:highlight w:val="none"/>
          <w:lang w:val="en-US" w:eastAsia="zh-CN"/>
        </w:rPr>
        <w:t>5</w:t>
      </w:r>
      <w:r>
        <w:rPr>
          <w:rFonts w:hint="eastAsia" w:ascii="宋体" w:hAnsi="宋体" w:cs="宋体"/>
          <w:sz w:val="24"/>
          <w:szCs w:val="24"/>
          <w:highlight w:val="none"/>
        </w:rPr>
        <w:t>年</w:t>
      </w:r>
      <w:r>
        <w:rPr>
          <w:rFonts w:hint="eastAsia" w:ascii="宋体" w:hAnsi="宋体" w:cs="宋体"/>
          <w:sz w:val="24"/>
          <w:szCs w:val="24"/>
          <w:highlight w:val="yellow"/>
          <w:lang w:val="en-US" w:eastAsia="zh-CN"/>
        </w:rPr>
        <w:t>12</w:t>
      </w:r>
      <w:r>
        <w:rPr>
          <w:rFonts w:hint="eastAsia" w:ascii="宋体" w:hAnsi="宋体" w:cs="宋体"/>
          <w:sz w:val="24"/>
          <w:szCs w:val="24"/>
          <w:highlight w:val="yellow"/>
          <w:lang w:eastAsia="zh-CN"/>
        </w:rPr>
        <w:t>月</w:t>
      </w:r>
      <w:r>
        <w:rPr>
          <w:rFonts w:hint="eastAsia" w:ascii="宋体" w:hAnsi="宋体" w:cs="宋体"/>
          <w:sz w:val="24"/>
          <w:szCs w:val="24"/>
          <w:highlight w:val="yellow"/>
          <w:lang w:val="en-US" w:eastAsia="zh-CN"/>
        </w:rPr>
        <w:t>8</w:t>
      </w:r>
      <w:r>
        <w:rPr>
          <w:rFonts w:hint="eastAsia" w:ascii="宋体" w:hAnsi="宋体" w:cs="宋体"/>
          <w:sz w:val="24"/>
          <w:szCs w:val="24"/>
          <w:highlight w:val="yellow"/>
          <w:lang w:eastAsia="zh-CN"/>
        </w:rPr>
        <w:t>日</w:t>
      </w:r>
      <w:r>
        <w:rPr>
          <w:rFonts w:hint="eastAsia" w:ascii="宋体" w:hAnsi="宋体" w:cs="宋体"/>
          <w:sz w:val="24"/>
          <w:szCs w:val="24"/>
          <w:highlight w:val="none"/>
          <w:lang w:eastAsia="zh-CN"/>
        </w:rPr>
        <w:t>上午</w:t>
      </w:r>
      <w:r>
        <w:rPr>
          <w:rFonts w:hint="eastAsia" w:ascii="宋体" w:hAnsi="宋体" w:cs="宋体"/>
          <w:sz w:val="24"/>
          <w:szCs w:val="24"/>
          <w:highlight w:val="none"/>
          <w:lang w:val="en-US" w:eastAsia="zh-CN"/>
        </w:rPr>
        <w:t xml:space="preserve">9：00  （暂定，以收到的实际通知为准）   </w:t>
      </w:r>
    </w:p>
    <w:p>
      <w:pPr>
        <w:autoSpaceDE w:val="0"/>
        <w:autoSpaceDN w:val="0"/>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lang w:eastAsia="zh-CN"/>
        </w:rPr>
        <w:t>2、开标地点：</w:t>
      </w:r>
      <w:r>
        <w:rPr>
          <w:rFonts w:hint="eastAsia" w:ascii="宋体" w:hAnsi="宋体" w:cs="宋体"/>
          <w:sz w:val="24"/>
          <w:szCs w:val="24"/>
          <w:highlight w:val="none"/>
          <w:lang w:val="en-US" w:eastAsia="zh-CN"/>
        </w:rPr>
        <w:t xml:space="preserve">重汽科技大厦三楼会议室（暂定，以收到的实际通知为准） </w:t>
      </w:r>
    </w:p>
    <w:p>
      <w:pPr>
        <w:pStyle w:val="5"/>
        <w:spacing w:before="0" w:beforeLines="0" w:line="360" w:lineRule="auto"/>
        <w:ind w:firstLine="482"/>
        <w:rPr>
          <w:sz w:val="28"/>
          <w:szCs w:val="28"/>
        </w:rPr>
      </w:pPr>
      <w:bookmarkStart w:id="45" w:name="_Toc8732"/>
      <w:r>
        <w:rPr>
          <w:rFonts w:hint="eastAsia"/>
          <w:sz w:val="28"/>
          <w:szCs w:val="28"/>
        </w:rPr>
        <w:t>联系方式</w:t>
      </w:r>
      <w:bookmarkEnd w:id="45"/>
    </w:p>
    <w:p>
      <w:pPr>
        <w:spacing w:line="360" w:lineRule="auto"/>
        <w:ind w:firstLine="480" w:firstLineChars="200"/>
      </w:pPr>
      <w:r>
        <w:rPr>
          <w:rFonts w:hint="eastAsia" w:ascii="宋体" w:hAnsi="宋体" w:cs="宋体"/>
          <w:color w:val="000000"/>
          <w:sz w:val="24"/>
          <w:szCs w:val="24"/>
        </w:rPr>
        <w:t>1、技术、商务答疑</w:t>
      </w:r>
    </w:p>
    <w:p>
      <w:pPr>
        <w:autoSpaceDE w:val="0"/>
        <w:autoSpaceDN w:val="0"/>
        <w:adjustRightInd w:val="0"/>
        <w:snapToGrid w:val="0"/>
        <w:spacing w:line="360" w:lineRule="auto"/>
        <w:ind w:firstLine="480" w:firstLineChars="200"/>
        <w:jc w:val="left"/>
        <w:rPr>
          <w:rFonts w:hint="default" w:ascii="宋体" w:hAnsi="宋体" w:eastAsia="宋体" w:cs="宋体"/>
          <w:sz w:val="24"/>
          <w:szCs w:val="24"/>
          <w:highlight w:val="none"/>
          <w:lang w:val="en-US" w:eastAsia="zh-CN"/>
        </w:rPr>
      </w:pPr>
      <w:r>
        <w:rPr>
          <w:rFonts w:hint="eastAsia" w:ascii="宋体" w:hAnsi="宋体" w:cs="宋体"/>
          <w:sz w:val="24"/>
          <w:szCs w:val="24"/>
        </w:rPr>
        <w:t>联 系 人</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王  军  刘  峰</w:t>
      </w:r>
    </w:p>
    <w:p>
      <w:pPr>
        <w:autoSpaceDE w:val="0"/>
        <w:autoSpaceDN w:val="0"/>
        <w:adjustRightInd w:val="0"/>
        <w:snapToGrid w:val="0"/>
        <w:spacing w:line="360" w:lineRule="auto"/>
        <w:ind w:firstLine="480" w:firstLineChars="200"/>
        <w:jc w:val="left"/>
        <w:rPr>
          <w:rFonts w:hint="default" w:ascii="宋体" w:hAnsi="宋体" w:eastAsia="宋体" w:cs="宋体"/>
          <w:sz w:val="24"/>
          <w:szCs w:val="24"/>
          <w:highlight w:val="none"/>
          <w:lang w:val="en-US" w:eastAsia="zh-CN"/>
        </w:rPr>
      </w:pPr>
      <w:r>
        <w:rPr>
          <w:rFonts w:hint="eastAsia" w:ascii="宋体" w:hAnsi="宋体" w:cs="宋体"/>
          <w:sz w:val="24"/>
          <w:szCs w:val="24"/>
          <w:highlight w:val="none"/>
        </w:rPr>
        <w:t xml:space="preserve">联系电话:  </w:t>
      </w:r>
      <w:r>
        <w:rPr>
          <w:rFonts w:hint="eastAsia" w:ascii="宋体" w:hAnsi="宋体" w:cs="宋体"/>
          <w:sz w:val="24"/>
          <w:szCs w:val="24"/>
          <w:highlight w:val="none"/>
          <w:lang w:val="en-US" w:eastAsia="zh-CN"/>
        </w:rPr>
        <w:t>17860603309   17860601879</w:t>
      </w:r>
    </w:p>
    <w:p>
      <w:pPr>
        <w:spacing w:line="360" w:lineRule="auto"/>
        <w:ind w:firstLine="480" w:firstLineChars="200"/>
        <w:rPr>
          <w:rFonts w:ascii="宋体" w:hAnsi="宋体" w:cs="宋体"/>
          <w:sz w:val="24"/>
          <w:szCs w:val="24"/>
          <w:highlight w:val="none"/>
        </w:rPr>
      </w:pPr>
      <w:r>
        <w:rPr>
          <w:rFonts w:hint="eastAsia" w:ascii="宋体" w:hAnsi="宋体" w:cs="宋体"/>
          <w:color w:val="000000"/>
          <w:sz w:val="24"/>
          <w:szCs w:val="24"/>
          <w:highlight w:val="none"/>
        </w:rPr>
        <w:t>2、中国重汽e采通操作咨询</w:t>
      </w:r>
    </w:p>
    <w:p>
      <w:pPr>
        <w:autoSpaceDE w:val="0"/>
        <w:autoSpaceDN w:val="0"/>
        <w:adjustRightInd w:val="0"/>
        <w:snapToGrid w:val="0"/>
        <w:spacing w:line="360" w:lineRule="auto"/>
        <w:ind w:firstLine="480" w:firstLineChars="200"/>
        <w:jc w:val="left"/>
        <w:rPr>
          <w:rFonts w:hint="default" w:ascii="宋体" w:hAnsi="宋体" w:eastAsia="宋体" w:cs="宋体"/>
          <w:sz w:val="24"/>
          <w:szCs w:val="24"/>
          <w:highlight w:val="none"/>
          <w:lang w:val="en-US" w:eastAsia="zh-CN"/>
        </w:rPr>
      </w:pPr>
      <w:r>
        <w:rPr>
          <w:rFonts w:hint="eastAsia" w:ascii="宋体" w:hAnsi="宋体" w:cs="宋体"/>
          <w:sz w:val="24"/>
          <w:szCs w:val="24"/>
          <w:highlight w:val="none"/>
        </w:rPr>
        <w:t>联系人：</w:t>
      </w:r>
      <w:r>
        <w:rPr>
          <w:rFonts w:hint="eastAsia" w:ascii="宋体" w:hAnsi="宋体" w:cs="宋体"/>
          <w:sz w:val="24"/>
          <w:szCs w:val="24"/>
          <w:highlight w:val="none"/>
          <w:lang w:val="en-US" w:eastAsia="zh-CN"/>
        </w:rPr>
        <w:t xml:space="preserve">杨淑超    </w:t>
      </w:r>
      <w:r>
        <w:rPr>
          <w:rFonts w:hint="eastAsia" w:ascii="宋体" w:hAnsi="宋体" w:cs="宋体"/>
          <w:sz w:val="24"/>
          <w:szCs w:val="24"/>
          <w:highlight w:val="none"/>
        </w:rPr>
        <w:t xml:space="preserve">   联系电话：1786060</w:t>
      </w:r>
      <w:r>
        <w:rPr>
          <w:rFonts w:hint="eastAsia" w:ascii="宋体" w:hAnsi="宋体" w:cs="宋体"/>
          <w:sz w:val="24"/>
          <w:szCs w:val="24"/>
          <w:highlight w:val="none"/>
          <w:lang w:val="en-US" w:eastAsia="zh-CN"/>
        </w:rPr>
        <w:t>5820</w:t>
      </w:r>
    </w:p>
    <w:p>
      <w:pPr>
        <w:pStyle w:val="8"/>
        <w:spacing w:line="360" w:lineRule="auto"/>
        <w:ind w:firstLine="480"/>
        <w:rPr>
          <w:highlight w:val="none"/>
        </w:rPr>
      </w:pPr>
      <w:r>
        <w:rPr>
          <w:rFonts w:hint="eastAsia" w:ascii="宋体" w:hAnsi="宋体" w:cs="宋体"/>
          <w:sz w:val="24"/>
          <w:szCs w:val="24"/>
          <w:highlight w:val="none"/>
        </w:rPr>
        <w:t>3</w:t>
      </w:r>
      <w:r>
        <w:rPr>
          <w:rFonts w:hint="eastAsia" w:ascii="宋体" w:hAnsi="宋体" w:cs="宋体"/>
          <w:sz w:val="24"/>
          <w:szCs w:val="24"/>
          <w:highlight w:val="none"/>
          <w:lang w:eastAsia="zh-CN"/>
        </w:rPr>
        <w:t>、</w:t>
      </w:r>
      <w:r>
        <w:rPr>
          <w:rFonts w:hint="eastAsia" w:ascii="宋体" w:hAnsi="宋体" w:cs="宋体"/>
          <w:sz w:val="24"/>
          <w:szCs w:val="24"/>
          <w:highlight w:val="none"/>
        </w:rPr>
        <w:t>报名参标网址：</w:t>
      </w:r>
      <w:r>
        <w:rPr>
          <w:rFonts w:hint="eastAsia" w:ascii="宋体" w:hAnsi="宋体" w:cs="宋体"/>
          <w:color w:val="000000"/>
          <w:sz w:val="24"/>
          <w:szCs w:val="24"/>
          <w:highlight w:val="none"/>
        </w:rPr>
        <w:t>http</w:t>
      </w:r>
      <w:r>
        <w:rPr>
          <w:rFonts w:hint="eastAsia" w:ascii="宋体" w:hAnsi="宋体" w:cs="宋体"/>
          <w:color w:val="000000"/>
          <w:sz w:val="24"/>
          <w:szCs w:val="24"/>
          <w:highlight w:val="none"/>
          <w:lang w:val="en-US" w:eastAsia="zh-CN"/>
        </w:rPr>
        <w:t>s</w:t>
      </w:r>
      <w:r>
        <w:rPr>
          <w:rFonts w:hint="eastAsia" w:ascii="宋体" w:hAnsi="宋体" w:cs="宋体"/>
          <w:color w:val="000000"/>
          <w:sz w:val="24"/>
          <w:szCs w:val="24"/>
          <w:highlight w:val="none"/>
        </w:rPr>
        <w:t>://ecaitong.sinotruk.com:8012</w:t>
      </w:r>
    </w:p>
    <w:p>
      <w:pPr>
        <w:pStyle w:val="5"/>
        <w:spacing w:before="0" w:beforeLines="0" w:line="360" w:lineRule="auto"/>
        <w:ind w:firstLine="482"/>
        <w:rPr>
          <w:sz w:val="28"/>
          <w:szCs w:val="28"/>
        </w:rPr>
      </w:pPr>
      <w:bookmarkStart w:id="46" w:name="_Toc2793"/>
      <w:r>
        <w:rPr>
          <w:rFonts w:hint="eastAsia"/>
          <w:sz w:val="28"/>
          <w:szCs w:val="28"/>
        </w:rPr>
        <w:t>保证金</w:t>
      </w:r>
      <w:bookmarkEnd w:id="46"/>
    </w:p>
    <w:p>
      <w:pPr>
        <w:numPr>
          <w:ilvl w:val="0"/>
          <w:numId w:val="0"/>
        </w:numPr>
        <w:spacing w:line="360" w:lineRule="auto"/>
        <w:ind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1.此</w:t>
      </w:r>
      <w:r>
        <w:rPr>
          <w:rFonts w:hint="eastAsia" w:ascii="宋体" w:hAnsi="宋体" w:cs="宋体"/>
          <w:color w:val="000000"/>
          <w:sz w:val="24"/>
          <w:szCs w:val="24"/>
          <w:highlight w:val="none"/>
          <w:lang w:val="en-US" w:eastAsia="zh-CN"/>
        </w:rPr>
        <w:t>次招标为公开招标，投标保证金为100万元</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壹佰</w:t>
      </w:r>
      <w:r>
        <w:rPr>
          <w:rFonts w:hint="eastAsia" w:ascii="宋体" w:hAnsi="宋体" w:cs="宋体"/>
          <w:color w:val="000000"/>
          <w:sz w:val="24"/>
          <w:szCs w:val="24"/>
          <w:highlight w:val="none"/>
        </w:rPr>
        <w:t>万元整）</w:t>
      </w:r>
      <w:r>
        <w:rPr>
          <w:rFonts w:hint="eastAsia" w:ascii="宋体" w:hAnsi="宋体" w:cs="宋体"/>
          <w:color w:val="000000"/>
          <w:sz w:val="24"/>
          <w:szCs w:val="24"/>
          <w:highlight w:val="none"/>
          <w:lang w:val="en-US" w:eastAsia="zh-CN"/>
        </w:rPr>
        <w:t>。投标单位</w:t>
      </w:r>
      <w:r>
        <w:rPr>
          <w:rFonts w:hint="eastAsia" w:ascii="宋体" w:hAnsi="宋体" w:cs="宋体"/>
          <w:sz w:val="24"/>
          <w:szCs w:val="24"/>
          <w:lang w:val="en-US" w:eastAsia="zh-CN"/>
        </w:rPr>
        <w:t>投标保证金缴纳凭</w:t>
      </w:r>
      <w:r>
        <w:rPr>
          <w:rFonts w:hint="eastAsia" w:ascii="宋体" w:hAnsi="宋体" w:cs="宋体"/>
          <w:sz w:val="24"/>
          <w:szCs w:val="24"/>
          <w:highlight w:val="none"/>
          <w:lang w:val="en-US" w:eastAsia="zh-CN"/>
        </w:rPr>
        <w:t>证（现供方上传</w:t>
      </w:r>
      <w:r>
        <w:rPr>
          <w:rFonts w:hint="eastAsia" w:ascii="宋体" w:hAnsi="宋体" w:cs="宋体"/>
          <w:color w:val="000000"/>
          <w:sz w:val="24"/>
          <w:szCs w:val="24"/>
          <w:highlight w:val="none"/>
          <w:lang w:val="en-US" w:eastAsia="zh-CN"/>
        </w:rPr>
        <w:t xml:space="preserve">投标保证金承诺函）在报名和应标时在E采通上传，恶意竞标或中标后拒绝签约的扣除100万投标保证金。  </w:t>
      </w:r>
      <w:r>
        <w:rPr>
          <w:rFonts w:hint="eastAsia" w:ascii="宋体" w:hAnsi="宋体" w:cs="宋体"/>
          <w:color w:val="000000"/>
          <w:sz w:val="24"/>
          <w:szCs w:val="24"/>
          <w:lang w:val="en-US" w:eastAsia="zh-CN"/>
        </w:rPr>
        <w:t xml:space="preserve"> </w:t>
      </w:r>
    </w:p>
    <w:p>
      <w:pPr>
        <w:spacing w:line="360" w:lineRule="auto"/>
        <w:ind w:firstLine="480" w:firstLineChars="200"/>
        <w:rPr>
          <w:rFonts w:ascii="宋体" w:hAnsi="宋体" w:cs="宋体"/>
          <w:sz w:val="24"/>
          <w:szCs w:val="24"/>
          <w:highlight w:val="none"/>
        </w:rPr>
      </w:pPr>
      <w:r>
        <w:rPr>
          <w:rFonts w:hint="eastAsia" w:ascii="宋体" w:hAnsi="宋体" w:cs="宋体"/>
          <w:color w:val="000000"/>
          <w:sz w:val="24"/>
          <w:szCs w:val="24"/>
          <w:highlight w:val="none"/>
        </w:rPr>
        <w:t>2.缴纳方式：基本账户转账。</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 xml:space="preserve">3.接收单位：中国重汽集团济南动力有限公司 </w:t>
      </w:r>
    </w:p>
    <w:p>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4.转账信息： </w:t>
      </w:r>
    </w:p>
    <w:p>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银行账号：37001616508050150300 </w:t>
      </w:r>
    </w:p>
    <w:p>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账户名称：中国重汽集团济南动力有限公司  </w:t>
      </w:r>
    </w:p>
    <w:p>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开户行名称：中国建设银行济南市天桥区支行  </w:t>
      </w:r>
    </w:p>
    <w:p>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开户行行号：105451000362  </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应备注“</w:t>
      </w:r>
      <w:r>
        <w:rPr>
          <w:rFonts w:hint="eastAsia" w:ascii="宋体" w:hAnsi="宋体" w:cs="宋体"/>
          <w:color w:val="000000"/>
          <w:sz w:val="24"/>
          <w:szCs w:val="24"/>
          <w:highlight w:val="none"/>
          <w:lang w:val="en-US" w:eastAsia="zh-CN"/>
        </w:rPr>
        <w:t>2025年商用车E线路商品车驾送</w:t>
      </w:r>
      <w:r>
        <w:rPr>
          <w:rFonts w:hint="eastAsia" w:ascii="宋体" w:hAnsi="宋体" w:cs="宋体"/>
          <w:color w:val="000000"/>
          <w:sz w:val="24"/>
          <w:szCs w:val="24"/>
          <w:highlight w:val="none"/>
          <w:lang w:eastAsia="zh-CN"/>
        </w:rPr>
        <w:t>运输项目投标保证金</w:t>
      </w:r>
      <w:r>
        <w:rPr>
          <w:rFonts w:hint="eastAsia" w:ascii="宋体" w:hAnsi="宋体" w:cs="宋体"/>
          <w:color w:val="000000"/>
          <w:sz w:val="24"/>
          <w:szCs w:val="24"/>
          <w:highlight w:val="none"/>
        </w:rPr>
        <w:t>”</w:t>
      </w:r>
    </w:p>
    <w:p>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注：投标人应充分考虑银行信息交换时间，由此带来的保证金不能按时到帐的由投标人自行承担。</w:t>
      </w:r>
    </w:p>
    <w:p>
      <w:pPr>
        <w:spacing w:line="360" w:lineRule="auto"/>
        <w:ind w:firstLine="480" w:firstLineChars="200"/>
        <w:rPr>
          <w:rFonts w:hint="eastAsia" w:ascii="宋体" w:hAnsi="宋体" w:eastAsia="宋体" w:cs="宋体"/>
          <w:color w:val="000000"/>
          <w:sz w:val="24"/>
          <w:szCs w:val="24"/>
          <w:shd w:val="clear" w:fill="FFFF00"/>
          <w:lang w:eastAsia="zh-CN"/>
        </w:rPr>
      </w:pPr>
      <w:r>
        <w:rPr>
          <w:rFonts w:hint="eastAsia" w:ascii="宋体" w:hAnsi="宋体" w:cs="宋体"/>
          <w:color w:val="000000"/>
          <w:sz w:val="24"/>
          <w:szCs w:val="24"/>
          <w:lang w:val="en-US" w:eastAsia="zh-CN"/>
        </w:rPr>
        <w:t>5</w:t>
      </w:r>
      <w:r>
        <w:rPr>
          <w:rFonts w:hint="eastAsia" w:ascii="宋体" w:hAnsi="宋体" w:cs="宋体"/>
          <w:color w:val="000000"/>
          <w:sz w:val="24"/>
          <w:szCs w:val="24"/>
        </w:rPr>
        <w:t>.履约保证金：</w:t>
      </w:r>
      <w:r>
        <w:rPr>
          <w:rFonts w:hint="eastAsia" w:ascii="宋体" w:hAnsi="宋体" w:cs="宋体"/>
          <w:color w:val="000000"/>
          <w:sz w:val="24"/>
          <w:szCs w:val="24"/>
          <w:highlight w:val="yellow"/>
        </w:rPr>
        <w:t>每条线路400万元</w:t>
      </w:r>
      <w:r>
        <w:rPr>
          <w:rFonts w:hint="eastAsia" w:ascii="宋体" w:hAnsi="宋体" w:cs="宋体"/>
          <w:color w:val="000000"/>
          <w:sz w:val="24"/>
          <w:szCs w:val="24"/>
          <w:lang w:eastAsia="zh-CN"/>
        </w:rPr>
        <w:t>（中标公司保证金达到1000 万时，不再续缴。缴纳保证金后，合同生效；未及时缴纳</w:t>
      </w:r>
      <w:r>
        <w:rPr>
          <w:rFonts w:hint="eastAsia" w:ascii="宋体" w:hAnsi="宋体" w:cs="宋体"/>
          <w:color w:val="000000"/>
          <w:sz w:val="24"/>
          <w:szCs w:val="24"/>
          <w:lang w:val="en-US" w:eastAsia="zh-CN"/>
        </w:rPr>
        <w:t>履约</w:t>
      </w:r>
      <w:r>
        <w:rPr>
          <w:rFonts w:hint="eastAsia" w:ascii="宋体" w:hAnsi="宋体" w:cs="宋体"/>
          <w:color w:val="000000"/>
          <w:sz w:val="24"/>
          <w:szCs w:val="24"/>
          <w:lang w:eastAsia="zh-CN"/>
        </w:rPr>
        <w:t>保证金，视为弃标，扣除投标保证金，同时纳入黑名单；</w:t>
      </w:r>
      <w:r>
        <w:rPr>
          <w:rFonts w:hint="eastAsia" w:ascii="宋体" w:hAnsi="宋体" w:cs="宋体"/>
          <w:color w:val="000000"/>
          <w:sz w:val="24"/>
          <w:szCs w:val="24"/>
          <w:lang w:val="en-US" w:eastAsia="zh-CN"/>
        </w:rPr>
        <w:t>履约保证金</w:t>
      </w:r>
      <w:r>
        <w:rPr>
          <w:rFonts w:hint="eastAsia" w:ascii="宋体" w:hAnsi="宋体" w:cs="宋体"/>
          <w:color w:val="000000"/>
          <w:sz w:val="24"/>
          <w:szCs w:val="24"/>
          <w:lang w:eastAsia="zh-CN"/>
        </w:rPr>
        <w:t>退还方式按照法务合规部发布的合同模板执行）。</w:t>
      </w:r>
    </w:p>
    <w:p/>
    <w:p>
      <w:pPr>
        <w:pStyle w:val="16"/>
        <w:ind w:left="420"/>
      </w:pPr>
      <w:bookmarkStart w:id="47" w:name="_Toc6713"/>
      <w:r>
        <w:rPr>
          <w:rFonts w:hint="eastAsia"/>
        </w:rPr>
        <w:t>投标人须知</w:t>
      </w:r>
      <w:bookmarkEnd w:id="5"/>
      <w:bookmarkEnd w:id="6"/>
      <w:bookmarkEnd w:id="7"/>
      <w:bookmarkEnd w:id="47"/>
      <w:bookmarkStart w:id="48" w:name="_Toc129685543"/>
      <w:bookmarkEnd w:id="48"/>
      <w:bookmarkStart w:id="49" w:name="_Toc129685544"/>
      <w:bookmarkEnd w:id="49"/>
    </w:p>
    <w:p>
      <w:pPr>
        <w:pStyle w:val="20"/>
        <w:keepNext/>
        <w:keepLines/>
        <w:numPr>
          <w:ilvl w:val="0"/>
          <w:numId w:val="4"/>
        </w:numPr>
        <w:spacing w:line="360" w:lineRule="auto"/>
        <w:ind w:firstLineChars="0"/>
        <w:jc w:val="left"/>
        <w:outlineLvl w:val="1"/>
        <w:rPr>
          <w:b/>
          <w:vanish/>
          <w:kern w:val="0"/>
          <w:sz w:val="24"/>
          <w:szCs w:val="32"/>
        </w:rPr>
      </w:pPr>
      <w:bookmarkStart w:id="50" w:name="_Toc142573112"/>
      <w:bookmarkEnd w:id="50"/>
      <w:bookmarkStart w:id="51" w:name="_Toc129695603"/>
      <w:bookmarkEnd w:id="51"/>
      <w:bookmarkStart w:id="52" w:name="_Toc142573020"/>
      <w:bookmarkEnd w:id="52"/>
      <w:bookmarkStart w:id="53" w:name="_Toc142573481"/>
      <w:bookmarkEnd w:id="53"/>
      <w:bookmarkStart w:id="54" w:name="_Toc142572939"/>
      <w:bookmarkEnd w:id="54"/>
      <w:bookmarkStart w:id="55" w:name="_Toc129693371"/>
      <w:bookmarkEnd w:id="55"/>
      <w:bookmarkStart w:id="56" w:name="_Toc142573645"/>
      <w:bookmarkEnd w:id="56"/>
      <w:bookmarkStart w:id="57" w:name="_Toc129693887"/>
      <w:bookmarkEnd w:id="57"/>
      <w:bookmarkStart w:id="58" w:name="_Toc129692640"/>
      <w:bookmarkEnd w:id="58"/>
      <w:bookmarkStart w:id="59" w:name="_Toc129692723"/>
      <w:bookmarkEnd w:id="59"/>
      <w:bookmarkStart w:id="60" w:name="_Toc142572974"/>
      <w:bookmarkEnd w:id="60"/>
      <w:bookmarkStart w:id="61" w:name="_Toc129692786"/>
      <w:bookmarkEnd w:id="61"/>
      <w:bookmarkStart w:id="62" w:name="_Toc129697443"/>
      <w:bookmarkEnd w:id="62"/>
    </w:p>
    <w:p>
      <w:pPr>
        <w:pStyle w:val="20"/>
        <w:keepNext/>
        <w:keepLines/>
        <w:numPr>
          <w:ilvl w:val="0"/>
          <w:numId w:val="4"/>
        </w:numPr>
        <w:spacing w:line="360" w:lineRule="auto"/>
        <w:ind w:firstLineChars="0"/>
        <w:jc w:val="left"/>
        <w:outlineLvl w:val="1"/>
        <w:rPr>
          <w:b/>
          <w:vanish/>
          <w:kern w:val="0"/>
          <w:sz w:val="24"/>
          <w:szCs w:val="32"/>
        </w:rPr>
      </w:pPr>
      <w:bookmarkStart w:id="63" w:name="_Toc142573646"/>
      <w:bookmarkEnd w:id="63"/>
      <w:bookmarkStart w:id="64" w:name="_Toc142573021"/>
      <w:bookmarkEnd w:id="64"/>
      <w:bookmarkStart w:id="65" w:name="_Toc129693372"/>
      <w:bookmarkEnd w:id="65"/>
      <w:bookmarkStart w:id="66" w:name="_Toc129692641"/>
      <w:bookmarkEnd w:id="66"/>
      <w:bookmarkStart w:id="67" w:name="_Toc129692724"/>
      <w:bookmarkEnd w:id="67"/>
      <w:bookmarkStart w:id="68" w:name="_Toc142572940"/>
      <w:bookmarkEnd w:id="68"/>
      <w:bookmarkStart w:id="69" w:name="_Toc142573113"/>
      <w:bookmarkEnd w:id="69"/>
      <w:bookmarkStart w:id="70" w:name="_Toc142572975"/>
      <w:bookmarkEnd w:id="70"/>
      <w:bookmarkStart w:id="71" w:name="_Toc142573482"/>
      <w:bookmarkEnd w:id="71"/>
      <w:bookmarkStart w:id="72" w:name="_Toc129697444"/>
      <w:bookmarkEnd w:id="72"/>
      <w:bookmarkStart w:id="73" w:name="_Toc129692787"/>
      <w:bookmarkEnd w:id="73"/>
      <w:bookmarkStart w:id="74" w:name="_Toc129695604"/>
      <w:bookmarkEnd w:id="74"/>
      <w:bookmarkStart w:id="75" w:name="_Toc129693888"/>
      <w:bookmarkEnd w:id="75"/>
    </w:p>
    <w:p>
      <w:pPr>
        <w:pStyle w:val="5"/>
        <w:numPr>
          <w:ilvl w:val="1"/>
          <w:numId w:val="4"/>
        </w:numPr>
        <w:spacing w:before="0" w:beforeLines="0" w:line="360" w:lineRule="auto"/>
        <w:rPr>
          <w:sz w:val="28"/>
          <w:szCs w:val="28"/>
        </w:rPr>
      </w:pPr>
      <w:bookmarkStart w:id="76" w:name="_Toc15058"/>
      <w:bookmarkStart w:id="77" w:name="_Toc8123"/>
      <w:bookmarkStart w:id="78" w:name="_Toc14852"/>
      <w:r>
        <w:rPr>
          <w:rFonts w:hint="eastAsia"/>
          <w:sz w:val="28"/>
          <w:szCs w:val="28"/>
        </w:rPr>
        <w:t>投标人须知前附表</w:t>
      </w:r>
      <w:bookmarkEnd w:id="76"/>
      <w:bookmarkEnd w:id="77"/>
      <w:bookmarkEnd w:id="78"/>
    </w:p>
    <w:p>
      <w:pPr>
        <w:spacing w:line="360" w:lineRule="auto"/>
        <w:ind w:firstLine="480" w:firstLineChars="200"/>
        <w:rPr>
          <w:rFonts w:ascii="宋体" w:hAnsi="宋体"/>
          <w:sz w:val="24"/>
          <w:szCs w:val="24"/>
        </w:rPr>
      </w:pPr>
      <w:r>
        <w:rPr>
          <w:rFonts w:hint="eastAsia" w:ascii="宋体" w:hAnsi="宋体" w:cs="宋体"/>
          <w:sz w:val="24"/>
          <w:szCs w:val="24"/>
        </w:rPr>
        <w:t>本表是对“投标人须知”正文的具体补充和修改，如有不一致，以“前附表”为准。</w:t>
      </w:r>
    </w:p>
    <w:tbl>
      <w:tblPr>
        <w:tblStyle w:val="17"/>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653"/>
        <w:gridCol w:w="830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90" w:hRule="atLeast"/>
          <w:tblHeader/>
          <w:jc w:val="center"/>
        </w:trPr>
        <w:tc>
          <w:tcPr>
            <w:tcW w:w="653"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sz w:val="24"/>
                <w:szCs w:val="24"/>
              </w:rPr>
            </w:pPr>
            <w:bookmarkStart w:id="79" w:name="_Toc346372875"/>
            <w:r>
              <w:rPr>
                <w:rFonts w:hint="eastAsia" w:ascii="宋体" w:hAnsi="宋体" w:cs="宋体"/>
                <w:sz w:val="24"/>
              </w:rPr>
              <w:t>序号</w:t>
            </w:r>
          </w:p>
        </w:tc>
        <w:tc>
          <w:tcPr>
            <w:tcW w:w="8305" w:type="dxa"/>
            <w:tcBorders>
              <w:top w:val="single" w:color="auto" w:sz="2" w:space="0"/>
              <w:left w:val="single" w:color="auto" w:sz="2" w:space="0"/>
              <w:bottom w:val="single" w:color="auto" w:sz="2" w:space="0"/>
              <w:right w:val="single" w:color="auto" w:sz="2" w:space="0"/>
            </w:tcBorders>
            <w:vAlign w:val="center"/>
          </w:tcPr>
          <w:p>
            <w:pPr>
              <w:spacing w:line="360" w:lineRule="auto"/>
              <w:ind w:firstLine="3542" w:firstLineChars="1470"/>
              <w:rPr>
                <w:rFonts w:ascii="宋体" w:hAnsi="宋体"/>
                <w:b/>
                <w:bCs/>
                <w:sz w:val="24"/>
                <w:szCs w:val="24"/>
              </w:rPr>
            </w:pPr>
            <w:r>
              <w:rPr>
                <w:rFonts w:hint="eastAsia" w:ascii="宋体" w:hAnsi="宋体" w:cs="宋体"/>
                <w:b/>
                <w:bCs/>
                <w:sz w:val="24"/>
              </w:rPr>
              <w:t>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13" w:hRule="atLeast"/>
          <w:jc w:val="center"/>
        </w:trPr>
        <w:tc>
          <w:tcPr>
            <w:tcW w:w="8958" w:type="dxa"/>
            <w:gridSpan w:val="2"/>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b/>
                <w:bCs/>
                <w:sz w:val="24"/>
                <w:szCs w:val="24"/>
              </w:rPr>
            </w:pPr>
            <w:r>
              <w:rPr>
                <w:rFonts w:hint="eastAsia" w:ascii="宋体" w:hAnsi="宋体" w:cs="宋体"/>
                <w:b/>
                <w:bCs/>
                <w:sz w:val="24"/>
              </w:rPr>
              <w:t>说明</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36" w:hRule="atLeast"/>
          <w:jc w:val="center"/>
        </w:trPr>
        <w:tc>
          <w:tcPr>
            <w:tcW w:w="653"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sz w:val="24"/>
                <w:szCs w:val="24"/>
              </w:rPr>
            </w:pPr>
            <w:r>
              <w:rPr>
                <w:rFonts w:hint="eastAsia" w:ascii="宋体" w:hAnsi="宋体" w:cs="宋体"/>
                <w:sz w:val="24"/>
              </w:rPr>
              <w:t>1</w:t>
            </w:r>
          </w:p>
        </w:tc>
        <w:tc>
          <w:tcPr>
            <w:tcW w:w="8305" w:type="dxa"/>
            <w:tcBorders>
              <w:top w:val="single" w:color="auto" w:sz="2" w:space="0"/>
              <w:left w:val="single" w:color="auto" w:sz="2" w:space="0"/>
              <w:bottom w:val="single" w:color="auto" w:sz="2" w:space="0"/>
              <w:right w:val="single" w:color="auto" w:sz="2" w:space="0"/>
            </w:tcBorders>
            <w:vAlign w:val="center"/>
          </w:tcPr>
          <w:p>
            <w:pPr>
              <w:shd w:val="clea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rPr>
              <w:t>项目名称：</w:t>
            </w:r>
            <w:r>
              <w:rPr>
                <w:rFonts w:hint="eastAsia" w:ascii="宋体" w:hAnsi="宋体" w:cs="宋体"/>
                <w:color w:val="000000"/>
                <w:sz w:val="24"/>
                <w:szCs w:val="24"/>
                <w:highlight w:val="none"/>
              </w:rPr>
              <w:t>中国重汽集团</w:t>
            </w:r>
            <w:r>
              <w:rPr>
                <w:rFonts w:hint="eastAsia" w:ascii="宋体" w:hAnsi="宋体" w:cs="宋体"/>
                <w:color w:val="000000"/>
                <w:sz w:val="24"/>
                <w:szCs w:val="24"/>
                <w:highlight w:val="none"/>
                <w:lang w:eastAsia="zh-CN"/>
              </w:rPr>
              <w:t>2025年</w:t>
            </w:r>
            <w:r>
              <w:rPr>
                <w:rFonts w:hint="eastAsia" w:ascii="宋体" w:hAnsi="宋体" w:cs="宋体"/>
                <w:color w:val="000000"/>
                <w:sz w:val="24"/>
                <w:szCs w:val="24"/>
                <w:highlight w:val="none"/>
                <w:lang w:val="en-US" w:eastAsia="zh-CN"/>
              </w:rPr>
              <w:t>商用车E线路</w:t>
            </w:r>
            <w:r>
              <w:rPr>
                <w:rFonts w:hint="eastAsia" w:ascii="宋体" w:hAnsi="宋体" w:cs="宋体"/>
                <w:color w:val="000000"/>
                <w:sz w:val="24"/>
                <w:szCs w:val="24"/>
                <w:highlight w:val="none"/>
                <w:lang w:eastAsia="zh-CN"/>
              </w:rPr>
              <w:t>商品车</w:t>
            </w:r>
            <w:r>
              <w:rPr>
                <w:rFonts w:hint="eastAsia" w:ascii="宋体" w:hAnsi="宋体" w:cs="宋体"/>
                <w:color w:val="000000"/>
                <w:sz w:val="24"/>
                <w:szCs w:val="24"/>
                <w:highlight w:val="none"/>
                <w:lang w:val="en-US" w:eastAsia="zh-CN"/>
              </w:rPr>
              <w:t>驾送</w:t>
            </w:r>
            <w:r>
              <w:rPr>
                <w:rFonts w:hint="eastAsia" w:ascii="宋体" w:hAnsi="宋体" w:cs="宋体"/>
                <w:color w:val="000000"/>
                <w:sz w:val="24"/>
                <w:szCs w:val="24"/>
                <w:highlight w:val="none"/>
              </w:rPr>
              <w:t>运输项目</w:t>
            </w:r>
          </w:p>
          <w:p>
            <w:pPr>
              <w:shd w:val="clear"/>
              <w:spacing w:line="360" w:lineRule="auto"/>
              <w:ind w:firstLine="420" w:firstLineChars="200"/>
              <w:rPr>
                <w:rFonts w:hint="eastAsia" w:eastAsia="宋体"/>
                <w:lang w:eastAsia="zh-CN"/>
              </w:rPr>
            </w:pPr>
            <w:r>
              <w:rPr>
                <w:rFonts w:hint="eastAsia"/>
                <w:highlight w:val="none"/>
              </w:rPr>
              <w:t xml:space="preserve"> </w:t>
            </w:r>
            <w:r>
              <w:rPr>
                <w:rFonts w:hint="eastAsia" w:hAnsi="宋体"/>
                <w:b/>
                <w:sz w:val="24"/>
                <w:szCs w:val="24"/>
                <w:highlight w:val="none"/>
              </w:rPr>
              <w:t>本次招标</w:t>
            </w:r>
            <w:r>
              <w:rPr>
                <w:rFonts w:hint="eastAsia" w:hAnsi="宋体"/>
                <w:b/>
                <w:sz w:val="24"/>
                <w:szCs w:val="24"/>
                <w:lang w:eastAsia="zh-CN"/>
              </w:rPr>
              <w:t>确定</w:t>
            </w:r>
            <w:r>
              <w:rPr>
                <w:rFonts w:hint="eastAsia" w:hAnsi="宋体"/>
                <w:b/>
                <w:sz w:val="24"/>
                <w:szCs w:val="24"/>
                <w:highlight w:val="yellow"/>
                <w:lang w:val="en-US" w:eastAsia="zh-CN"/>
              </w:rPr>
              <w:t>中标通知下发之日</w:t>
            </w:r>
            <w:r>
              <w:rPr>
                <w:rFonts w:hint="eastAsia" w:hAnsi="宋体"/>
                <w:b/>
                <w:sz w:val="24"/>
                <w:szCs w:val="24"/>
                <w:highlight w:val="yellow"/>
              </w:rPr>
              <w:t>——</w:t>
            </w:r>
            <w:r>
              <w:rPr>
                <w:rFonts w:hint="eastAsia" w:hAnsi="宋体"/>
                <w:b/>
                <w:color w:val="00B0F0"/>
                <w:sz w:val="24"/>
                <w:szCs w:val="24"/>
                <w:highlight w:val="yellow"/>
              </w:rPr>
              <w:t>202</w:t>
            </w:r>
            <w:r>
              <w:rPr>
                <w:rFonts w:hint="eastAsia" w:hAnsi="宋体"/>
                <w:b/>
                <w:color w:val="00B0F0"/>
                <w:sz w:val="24"/>
                <w:szCs w:val="24"/>
                <w:highlight w:val="yellow"/>
                <w:lang w:val="en-US" w:eastAsia="zh-CN"/>
              </w:rPr>
              <w:t>6</w:t>
            </w:r>
            <w:r>
              <w:rPr>
                <w:rFonts w:hint="eastAsia" w:hAnsi="宋体"/>
                <w:b/>
                <w:sz w:val="24"/>
                <w:szCs w:val="24"/>
                <w:highlight w:val="yellow"/>
              </w:rPr>
              <w:t>年</w:t>
            </w:r>
            <w:r>
              <w:rPr>
                <w:rFonts w:hint="eastAsia" w:hAnsi="宋体"/>
                <w:b/>
                <w:sz w:val="24"/>
                <w:szCs w:val="24"/>
                <w:highlight w:val="yellow"/>
                <w:lang w:val="en-US" w:eastAsia="zh-CN"/>
              </w:rPr>
              <w:t>6</w:t>
            </w:r>
            <w:r>
              <w:rPr>
                <w:rFonts w:hint="eastAsia" w:hAnsi="宋体"/>
                <w:b/>
                <w:sz w:val="24"/>
                <w:szCs w:val="24"/>
                <w:highlight w:val="yellow"/>
              </w:rPr>
              <w:t>月3</w:t>
            </w:r>
            <w:r>
              <w:rPr>
                <w:rFonts w:hint="eastAsia" w:hAnsi="宋体"/>
                <w:b/>
                <w:sz w:val="24"/>
                <w:szCs w:val="24"/>
                <w:highlight w:val="yellow"/>
                <w:lang w:val="en-US" w:eastAsia="zh-CN"/>
              </w:rPr>
              <w:t>0</w:t>
            </w:r>
            <w:r>
              <w:rPr>
                <w:rFonts w:hint="eastAsia" w:hAnsi="宋体"/>
                <w:b/>
                <w:sz w:val="24"/>
                <w:szCs w:val="24"/>
                <w:highlight w:val="yellow"/>
              </w:rPr>
              <w:t>日的合同期，各线路确定一</w:t>
            </w:r>
            <w:r>
              <w:rPr>
                <w:rFonts w:hint="eastAsia" w:hAnsi="宋体"/>
                <w:b/>
                <w:sz w:val="24"/>
                <w:szCs w:val="24"/>
                <w:highlight w:val="yellow"/>
                <w:lang w:val="en-US" w:eastAsia="zh-CN"/>
              </w:rPr>
              <w:t>家中标单位一家备选单位，当第一中标人无法按照约定执行时，由备选方履约，价格执行第一中标人价格</w:t>
            </w:r>
            <w:r>
              <w:rPr>
                <w:rFonts w:hint="eastAsia" w:hAnsi="宋体"/>
                <w:b/>
                <w:sz w:val="24"/>
                <w:szCs w:val="24"/>
              </w:rPr>
              <w:t>。中标单位</w:t>
            </w:r>
            <w:r>
              <w:rPr>
                <w:rFonts w:hint="eastAsia" w:hAnsi="宋体"/>
                <w:b/>
                <w:sz w:val="24"/>
                <w:szCs w:val="24"/>
                <w:lang w:val="en-US" w:eastAsia="zh-CN"/>
              </w:rPr>
              <w:t>及备选单位</w:t>
            </w:r>
            <w:r>
              <w:rPr>
                <w:rFonts w:hint="eastAsia" w:hAnsi="宋体"/>
                <w:b/>
                <w:sz w:val="24"/>
                <w:szCs w:val="24"/>
              </w:rPr>
              <w:t>确定后招标方指定所属二级单位负责签定合同</w:t>
            </w:r>
            <w:r>
              <w:rPr>
                <w:rFonts w:hint="eastAsia" w:hAnsi="宋体"/>
                <w:b/>
                <w:sz w:val="24"/>
                <w:szCs w:val="24"/>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263" w:hRule="atLeast"/>
          <w:jc w:val="center"/>
        </w:trPr>
        <w:tc>
          <w:tcPr>
            <w:tcW w:w="653"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sz w:val="24"/>
                <w:szCs w:val="24"/>
              </w:rPr>
            </w:pPr>
            <w:r>
              <w:rPr>
                <w:rFonts w:hint="eastAsia" w:ascii="宋体" w:hAnsi="宋体" w:cs="宋体"/>
                <w:sz w:val="24"/>
              </w:rPr>
              <w:t>2</w:t>
            </w:r>
          </w:p>
        </w:tc>
        <w:tc>
          <w:tcPr>
            <w:tcW w:w="8305" w:type="dxa"/>
            <w:tcBorders>
              <w:top w:val="single" w:color="auto" w:sz="2" w:space="0"/>
              <w:left w:val="single" w:color="auto" w:sz="2" w:space="0"/>
              <w:bottom w:val="single" w:color="auto" w:sz="2" w:space="0"/>
              <w:right w:val="single" w:color="auto" w:sz="2" w:space="0"/>
            </w:tcBorders>
            <w:vAlign w:val="center"/>
          </w:tcPr>
          <w:p>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招标人名称：</w:t>
            </w:r>
            <w:r>
              <w:rPr>
                <w:rFonts w:hint="eastAsia" w:ascii="宋体" w:hAnsi="宋体" w:cs="宋体"/>
                <w:color w:val="000000"/>
                <w:sz w:val="24"/>
                <w:szCs w:val="24"/>
              </w:rPr>
              <w:t>中国重型汽车集团有限公司</w:t>
            </w:r>
            <w:r>
              <w:rPr>
                <w:rFonts w:hint="eastAsia" w:ascii="宋体" w:hAnsi="宋体"/>
                <w:bCs/>
                <w:snapToGrid w:val="0"/>
                <w:kern w:val="0"/>
                <w:sz w:val="24"/>
              </w:rPr>
              <w:t xml:space="preserve"> </w:t>
            </w:r>
          </w:p>
          <w:p>
            <w:pPr>
              <w:spacing w:line="360" w:lineRule="auto"/>
              <w:ind w:firstLine="480" w:firstLineChars="200"/>
              <w:rPr>
                <w:rFonts w:hint="default" w:ascii="宋体" w:hAnsi="宋体" w:eastAsia="宋体"/>
                <w:bCs/>
                <w:snapToGrid w:val="0"/>
                <w:kern w:val="0"/>
                <w:sz w:val="24"/>
                <w:lang w:val="en-US" w:eastAsia="zh-CN"/>
              </w:rPr>
            </w:pPr>
            <w:r>
              <w:rPr>
                <w:rFonts w:hint="eastAsia" w:ascii="宋体" w:hAnsi="宋体"/>
                <w:bCs/>
                <w:snapToGrid w:val="0"/>
                <w:kern w:val="0"/>
                <w:sz w:val="24"/>
              </w:rPr>
              <w:t>联系人：</w:t>
            </w:r>
            <w:r>
              <w:rPr>
                <w:rFonts w:hint="eastAsia" w:ascii="宋体" w:hAnsi="宋体"/>
                <w:bCs/>
                <w:snapToGrid w:val="0"/>
                <w:kern w:val="0"/>
                <w:sz w:val="24"/>
                <w:lang w:val="en-US" w:eastAsia="zh-CN"/>
              </w:rPr>
              <w:t>任双双</w:t>
            </w:r>
          </w:p>
          <w:p>
            <w:pPr>
              <w:spacing w:line="360" w:lineRule="auto"/>
              <w:ind w:firstLine="480" w:firstLineChars="200"/>
              <w:rPr>
                <w:rFonts w:hint="default" w:ascii="宋体" w:hAnsi="宋体" w:eastAsia="宋体"/>
                <w:bCs/>
                <w:snapToGrid w:val="0"/>
                <w:kern w:val="0"/>
                <w:sz w:val="24"/>
                <w:lang w:val="en-US" w:eastAsia="zh-CN"/>
              </w:rPr>
            </w:pPr>
            <w:r>
              <w:rPr>
                <w:rFonts w:hint="eastAsia" w:ascii="宋体" w:hAnsi="宋体"/>
                <w:bCs/>
                <w:snapToGrid w:val="0"/>
                <w:kern w:val="0"/>
                <w:sz w:val="24"/>
              </w:rPr>
              <w:t>电  话：</w:t>
            </w:r>
            <w:r>
              <w:rPr>
                <w:rFonts w:hint="eastAsia" w:ascii="宋体" w:hAnsi="宋体"/>
                <w:bCs/>
                <w:snapToGrid w:val="0"/>
                <w:kern w:val="0"/>
                <w:sz w:val="24"/>
                <w:lang w:val="en-US" w:eastAsia="zh-CN"/>
              </w:rPr>
              <w:t>15140441108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0" w:hRule="atLeast"/>
          <w:jc w:val="center"/>
        </w:trPr>
        <w:tc>
          <w:tcPr>
            <w:tcW w:w="653"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sz w:val="24"/>
                <w:szCs w:val="24"/>
              </w:rPr>
            </w:pPr>
            <w:r>
              <w:rPr>
                <w:rFonts w:hint="eastAsia" w:ascii="宋体" w:hAnsi="宋体" w:cs="宋体"/>
                <w:sz w:val="24"/>
              </w:rPr>
              <w:t>3</w:t>
            </w:r>
          </w:p>
        </w:tc>
        <w:tc>
          <w:tcPr>
            <w:tcW w:w="8305" w:type="dxa"/>
            <w:tcBorders>
              <w:top w:val="single" w:color="auto" w:sz="2" w:space="0"/>
              <w:left w:val="single" w:color="auto" w:sz="2" w:space="0"/>
              <w:bottom w:val="single" w:color="auto" w:sz="2" w:space="0"/>
              <w:right w:val="single" w:color="auto" w:sz="2" w:space="0"/>
            </w:tcBorders>
            <w:vAlign w:val="center"/>
          </w:tcPr>
          <w:p>
            <w:pPr>
              <w:spacing w:line="360" w:lineRule="auto"/>
              <w:ind w:firstLine="480" w:firstLineChars="200"/>
              <w:rPr>
                <w:rFonts w:ascii="宋体" w:hAnsi="宋体" w:cs="宋体"/>
                <w:sz w:val="24"/>
                <w:szCs w:val="24"/>
              </w:rPr>
            </w:pPr>
            <w:r>
              <w:rPr>
                <w:rFonts w:hint="eastAsia" w:ascii="宋体" w:hAnsi="宋体"/>
                <w:bCs/>
                <w:snapToGrid w:val="0"/>
                <w:kern w:val="0"/>
                <w:sz w:val="24"/>
              </w:rPr>
              <w:t>招标代理机构</w:t>
            </w:r>
            <w:r>
              <w:rPr>
                <w:rFonts w:hint="eastAsia" w:ascii="宋体" w:hAnsi="宋体"/>
                <w:sz w:val="24"/>
              </w:rPr>
              <w:t>：</w:t>
            </w:r>
            <w:r>
              <w:rPr>
                <w:rFonts w:ascii="宋体" w:hAnsi="宋体"/>
                <w:sz w:val="24"/>
              </w:rPr>
              <w:t xml:space="preserve"> </w:t>
            </w:r>
            <w:r>
              <w:rPr>
                <w:rFonts w:hint="eastAsia" w:ascii="宋体" w:hAnsi="宋体"/>
                <w:sz w:val="24"/>
              </w:rPr>
              <w:t>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74" w:hRule="atLeast"/>
          <w:jc w:val="center"/>
        </w:trPr>
        <w:tc>
          <w:tcPr>
            <w:tcW w:w="653"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sz w:val="24"/>
                <w:szCs w:val="24"/>
              </w:rPr>
            </w:pPr>
            <w:r>
              <w:rPr>
                <w:rFonts w:hint="eastAsia" w:ascii="宋体" w:hAnsi="宋体" w:cs="宋体"/>
                <w:sz w:val="24"/>
              </w:rPr>
              <w:t>4</w:t>
            </w:r>
          </w:p>
        </w:tc>
        <w:tc>
          <w:tcPr>
            <w:tcW w:w="8305" w:type="dxa"/>
            <w:tcBorders>
              <w:top w:val="single" w:color="auto" w:sz="2" w:space="0"/>
              <w:left w:val="single" w:color="auto" w:sz="2" w:space="0"/>
              <w:bottom w:val="single" w:color="auto" w:sz="2" w:space="0"/>
              <w:right w:val="single" w:color="auto" w:sz="2" w:space="0"/>
            </w:tcBorders>
            <w:vAlign w:val="center"/>
          </w:tcPr>
          <w:p>
            <w:pPr>
              <w:spacing w:line="360" w:lineRule="auto"/>
              <w:ind w:firstLine="480" w:firstLineChars="200"/>
              <w:rPr>
                <w:rFonts w:ascii="宋体" w:hAnsi="宋体"/>
                <w:sz w:val="24"/>
                <w:szCs w:val="24"/>
              </w:rPr>
            </w:pPr>
            <w:r>
              <w:rPr>
                <w:rFonts w:hint="eastAsia" w:ascii="宋体" w:hAnsi="宋体" w:cs="宋体"/>
                <w:sz w:val="24"/>
              </w:rPr>
              <w:t>资金来源：</w:t>
            </w:r>
            <w:r>
              <w:rPr>
                <w:rFonts w:hint="eastAsia" w:ascii="宋体" w:hAnsi="宋体"/>
                <w:kern w:val="0"/>
                <w:sz w:val="24"/>
              </w:rPr>
              <w:t>企业自筹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32" w:hRule="atLeast"/>
          <w:jc w:val="center"/>
        </w:trPr>
        <w:tc>
          <w:tcPr>
            <w:tcW w:w="653"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sz w:val="24"/>
                <w:szCs w:val="24"/>
              </w:rPr>
            </w:pPr>
            <w:r>
              <w:rPr>
                <w:rFonts w:hint="eastAsia" w:ascii="宋体" w:hAnsi="宋体" w:cs="宋体"/>
                <w:sz w:val="24"/>
              </w:rPr>
              <w:t>5</w:t>
            </w:r>
          </w:p>
        </w:tc>
        <w:tc>
          <w:tcPr>
            <w:tcW w:w="8305" w:type="dxa"/>
            <w:tcBorders>
              <w:top w:val="single" w:color="auto" w:sz="2" w:space="0"/>
              <w:left w:val="single" w:color="auto" w:sz="2" w:space="0"/>
              <w:bottom w:val="single" w:color="auto" w:sz="2" w:space="0"/>
              <w:right w:val="single" w:color="auto" w:sz="2" w:space="0"/>
            </w:tcBorders>
            <w:vAlign w:val="center"/>
          </w:tcPr>
          <w:p>
            <w:pPr>
              <w:pStyle w:val="9"/>
              <w:spacing w:after="0" w:line="360" w:lineRule="auto"/>
              <w:ind w:firstLine="480" w:firstLineChars="200"/>
              <w:rPr>
                <w:rFonts w:ascii="宋体" w:hAnsi="宋体"/>
                <w:sz w:val="24"/>
              </w:rPr>
            </w:pPr>
            <w:r>
              <w:rPr>
                <w:rFonts w:hint="eastAsia" w:ascii="宋体" w:hAnsi="宋体"/>
                <w:sz w:val="24"/>
              </w:rPr>
              <w:t>合格投标人：</w:t>
            </w:r>
          </w:p>
          <w:p>
            <w:pPr>
              <w:spacing w:line="360" w:lineRule="auto"/>
              <w:ind w:firstLine="480"/>
              <w:rPr>
                <w:rFonts w:ascii="宋体" w:hAnsi="宋体"/>
                <w:sz w:val="24"/>
              </w:rPr>
            </w:pPr>
            <w:r>
              <w:rPr>
                <w:rFonts w:hint="eastAsia" w:ascii="宋体" w:hAnsi="宋体"/>
                <w:sz w:val="24"/>
              </w:rPr>
              <w:t>同第一章招标公告第三条“投标人资格要求”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32" w:hRule="atLeast"/>
          <w:jc w:val="center"/>
        </w:trPr>
        <w:tc>
          <w:tcPr>
            <w:tcW w:w="8958" w:type="dxa"/>
            <w:gridSpan w:val="2"/>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b/>
                <w:bCs/>
                <w:sz w:val="24"/>
                <w:szCs w:val="24"/>
              </w:rPr>
            </w:pPr>
            <w:r>
              <w:rPr>
                <w:rFonts w:hint="eastAsia" w:ascii="宋体" w:hAnsi="宋体" w:cs="宋体"/>
                <w:b/>
                <w:bCs/>
                <w:sz w:val="24"/>
              </w:rPr>
              <w:t>招标文件的答疑、澄清和修改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90" w:hRule="atLeast"/>
          <w:jc w:val="center"/>
        </w:trPr>
        <w:tc>
          <w:tcPr>
            <w:tcW w:w="653"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sz w:val="24"/>
                <w:szCs w:val="24"/>
              </w:rPr>
            </w:pPr>
            <w:r>
              <w:rPr>
                <w:rFonts w:hint="eastAsia" w:ascii="宋体" w:hAnsi="宋体" w:cs="宋体"/>
                <w:sz w:val="24"/>
              </w:rPr>
              <w:t>6</w:t>
            </w:r>
          </w:p>
        </w:tc>
        <w:tc>
          <w:tcPr>
            <w:tcW w:w="8305" w:type="dxa"/>
            <w:tcBorders>
              <w:top w:val="single" w:color="auto" w:sz="2" w:space="0"/>
              <w:left w:val="single" w:color="auto" w:sz="2" w:space="0"/>
              <w:bottom w:val="single" w:color="auto" w:sz="2" w:space="0"/>
              <w:right w:val="single" w:color="auto" w:sz="2" w:space="0"/>
            </w:tcBorders>
            <w:vAlign w:val="center"/>
          </w:tcPr>
          <w:p>
            <w:pPr>
              <w:snapToGrid w:val="0"/>
              <w:spacing w:line="360" w:lineRule="auto"/>
              <w:ind w:firstLine="480" w:firstLineChars="200"/>
              <w:rPr>
                <w:rFonts w:ascii="宋体" w:hAnsi="宋体"/>
                <w:sz w:val="24"/>
                <w:szCs w:val="24"/>
                <w:highlight w:val="none"/>
              </w:rPr>
            </w:pPr>
            <w:r>
              <w:rPr>
                <w:rFonts w:hint="eastAsia" w:ascii="宋体" w:hAnsi="宋体" w:cs="宋体"/>
                <w:sz w:val="24"/>
              </w:rPr>
              <w:t>提</w:t>
            </w:r>
            <w:r>
              <w:rPr>
                <w:rFonts w:hint="eastAsia" w:ascii="宋体" w:hAnsi="宋体" w:cs="宋体"/>
                <w:sz w:val="24"/>
                <w:highlight w:val="none"/>
              </w:rPr>
              <w:t>交疑问时间：</w:t>
            </w:r>
            <w:r>
              <w:rPr>
                <w:rFonts w:hint="eastAsia"/>
                <w:b/>
                <w:sz w:val="24"/>
                <w:highlight w:val="none"/>
                <w:u w:val="single"/>
              </w:rPr>
              <w:t xml:space="preserve">  </w:t>
            </w:r>
            <w:r>
              <w:rPr>
                <w:rFonts w:hint="eastAsia"/>
                <w:b/>
                <w:sz w:val="24"/>
                <w:highlight w:val="none"/>
                <w:u w:val="single"/>
                <w:lang w:eastAsia="zh-CN"/>
              </w:rPr>
              <w:t>202</w:t>
            </w:r>
            <w:r>
              <w:rPr>
                <w:rFonts w:hint="eastAsia"/>
                <w:b/>
                <w:sz w:val="24"/>
                <w:highlight w:val="none"/>
                <w:u w:val="single"/>
                <w:lang w:val="en-US" w:eastAsia="zh-CN"/>
              </w:rPr>
              <w:t>5</w:t>
            </w:r>
            <w:r>
              <w:rPr>
                <w:rFonts w:hint="eastAsia"/>
                <w:b/>
                <w:sz w:val="24"/>
                <w:highlight w:val="none"/>
                <w:u w:val="single"/>
              </w:rPr>
              <w:t xml:space="preserve"> 年</w:t>
            </w:r>
            <w:r>
              <w:rPr>
                <w:rFonts w:hint="eastAsia"/>
                <w:b/>
                <w:sz w:val="24"/>
                <w:highlight w:val="yellow"/>
                <w:u w:val="single"/>
                <w:lang w:val="en-US" w:eastAsia="zh-CN"/>
              </w:rPr>
              <w:t>12</w:t>
            </w:r>
            <w:r>
              <w:rPr>
                <w:rFonts w:hint="eastAsia"/>
                <w:b/>
                <w:sz w:val="24"/>
                <w:highlight w:val="yellow"/>
                <w:u w:val="single"/>
                <w:lang w:eastAsia="zh-CN"/>
              </w:rPr>
              <w:t>月</w:t>
            </w:r>
            <w:r>
              <w:rPr>
                <w:rFonts w:hint="eastAsia"/>
                <w:b/>
                <w:sz w:val="24"/>
                <w:highlight w:val="yellow"/>
                <w:u w:val="single"/>
                <w:lang w:val="en-US" w:eastAsia="zh-CN"/>
              </w:rPr>
              <w:t>4</w:t>
            </w:r>
            <w:r>
              <w:rPr>
                <w:rFonts w:hint="eastAsia"/>
                <w:b/>
                <w:sz w:val="24"/>
                <w:highlight w:val="yellow"/>
                <w:u w:val="single"/>
                <w:lang w:eastAsia="zh-CN"/>
              </w:rPr>
              <w:t>日</w:t>
            </w:r>
            <w:r>
              <w:rPr>
                <w:rFonts w:hint="eastAsia"/>
                <w:b/>
                <w:sz w:val="24"/>
                <w:highlight w:val="none"/>
                <w:u w:val="single"/>
                <w:lang w:val="en-US" w:eastAsia="zh-CN"/>
              </w:rPr>
              <w:t>17时0分</w:t>
            </w:r>
            <w:r>
              <w:rPr>
                <w:rFonts w:hint="eastAsia"/>
                <w:b/>
                <w:sz w:val="24"/>
                <w:highlight w:val="none"/>
                <w:u w:val="single"/>
                <w:lang w:eastAsia="zh-CN"/>
              </w:rPr>
              <w:t>前。</w:t>
            </w:r>
          </w:p>
          <w:p>
            <w:pPr>
              <w:snapToGrid w:val="0"/>
              <w:spacing w:line="360" w:lineRule="auto"/>
              <w:ind w:firstLine="480" w:firstLineChars="200"/>
              <w:jc w:val="left"/>
              <w:rPr>
                <w:rFonts w:ascii="宋体" w:hAnsi="宋体"/>
                <w:b/>
                <w:sz w:val="24"/>
                <w:u w:val="single"/>
              </w:rPr>
            </w:pPr>
            <w:r>
              <w:rPr>
                <w:rFonts w:hint="eastAsia" w:ascii="宋体" w:hAnsi="宋体" w:cs="宋体"/>
                <w:sz w:val="24"/>
                <w:highlight w:val="none"/>
              </w:rPr>
              <w:t>提交疑问方式：</w:t>
            </w:r>
            <w:r>
              <w:rPr>
                <w:highlight w:val="none"/>
              </w:rPr>
              <w:fldChar w:fldCharType="begin"/>
            </w:r>
            <w:r>
              <w:rPr>
                <w:highlight w:val="none"/>
              </w:rPr>
              <w:instrText xml:space="preserve"> HYPERLINK "mailto:将答疑问题发邮件至15762268551@139.com%20" </w:instrText>
            </w:r>
            <w:r>
              <w:rPr>
                <w:highlight w:val="none"/>
              </w:rPr>
              <w:fldChar w:fldCharType="separate"/>
            </w:r>
            <w:r>
              <w:rPr>
                <w:rFonts w:hint="eastAsia" w:ascii="宋体" w:hAnsi="宋体" w:cs="宋体"/>
                <w:sz w:val="24"/>
                <w:highlight w:val="none"/>
              </w:rPr>
              <w:t>将答疑问题发邮件至</w:t>
            </w:r>
            <w:r>
              <w:rPr>
                <w:rFonts w:ascii="宋体" w:hAnsi="宋体" w:eastAsia="宋体" w:cs="宋体"/>
                <w:sz w:val="24"/>
                <w:szCs w:val="24"/>
              </w:rPr>
              <w:t>renshuangshuang1@sinotruk.com</w:t>
            </w:r>
            <w:r>
              <w:rPr>
                <w:rFonts w:hint="eastAsia" w:ascii="宋体" w:hAnsi="宋体" w:cs="宋体"/>
                <w:sz w:val="24"/>
                <w:highlight w:val="none"/>
              </w:rPr>
              <w:fldChar w:fldCharType="end"/>
            </w:r>
            <w:r>
              <w:rPr>
                <w:rFonts w:hint="eastAsia" w:ascii="宋体" w:hAnsi="宋体" w:cs="宋体"/>
                <w:sz w:val="24"/>
                <w:highlight w:val="none"/>
              </w:rPr>
              <w:t xml:space="preserve">并电话通知招标人。 </w:t>
            </w:r>
            <w:r>
              <w:rPr>
                <w:rFonts w:hint="eastAsia" w:ascii="宋体" w:hAnsi="宋体"/>
                <w:b/>
                <w:sz w:val="24"/>
                <w:highlight w:val="none"/>
              </w:rPr>
              <w:t xml:space="preserve">      </w:t>
            </w:r>
            <w:r>
              <w:rPr>
                <w:rFonts w:hint="eastAsia" w:ascii="宋体" w:hAnsi="宋体"/>
                <w:b/>
                <w:sz w:val="24"/>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32" w:hRule="atLeast"/>
          <w:jc w:val="center"/>
        </w:trPr>
        <w:tc>
          <w:tcPr>
            <w:tcW w:w="653"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sz w:val="24"/>
                <w:szCs w:val="24"/>
              </w:rPr>
            </w:pPr>
            <w:r>
              <w:rPr>
                <w:rFonts w:hint="eastAsia" w:ascii="宋体" w:hAnsi="宋体" w:cs="宋体"/>
                <w:sz w:val="24"/>
              </w:rPr>
              <w:t>7</w:t>
            </w:r>
          </w:p>
        </w:tc>
        <w:tc>
          <w:tcPr>
            <w:tcW w:w="8305" w:type="dxa"/>
            <w:tcBorders>
              <w:top w:val="single" w:color="auto" w:sz="2" w:space="0"/>
              <w:left w:val="single" w:color="auto" w:sz="2" w:space="0"/>
              <w:bottom w:val="single" w:color="auto" w:sz="2" w:space="0"/>
              <w:right w:val="single" w:color="auto" w:sz="2" w:space="0"/>
            </w:tcBorders>
            <w:vAlign w:val="center"/>
          </w:tcPr>
          <w:p>
            <w:pPr>
              <w:spacing w:line="360" w:lineRule="auto"/>
              <w:ind w:firstLine="480" w:firstLineChars="200"/>
              <w:rPr>
                <w:rFonts w:ascii="宋体" w:hAnsi="宋体"/>
                <w:sz w:val="24"/>
                <w:szCs w:val="24"/>
              </w:rPr>
            </w:pPr>
            <w:r>
              <w:rPr>
                <w:rFonts w:hint="eastAsia" w:ascii="宋体" w:hAnsi="宋体"/>
                <w:sz w:val="24"/>
              </w:rPr>
              <w:t>答疑、澄清和修改文件方式：招标人将以电子邮件的方式将招标文件的答疑澄清文件发送至投标报名时登记的电子邮箱</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32" w:hRule="atLeast"/>
          <w:jc w:val="center"/>
        </w:trPr>
        <w:tc>
          <w:tcPr>
            <w:tcW w:w="8958" w:type="dxa"/>
            <w:gridSpan w:val="2"/>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b/>
                <w:bCs/>
                <w:sz w:val="24"/>
                <w:szCs w:val="24"/>
              </w:rPr>
            </w:pPr>
            <w:r>
              <w:rPr>
                <w:rFonts w:hint="eastAsia" w:ascii="宋体" w:hAnsi="宋体" w:cs="宋体"/>
                <w:b/>
                <w:bCs/>
                <w:sz w:val="24"/>
              </w:rPr>
              <w:t>投标文件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32" w:hRule="atLeast"/>
          <w:jc w:val="center"/>
        </w:trPr>
        <w:tc>
          <w:tcPr>
            <w:tcW w:w="653"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sz w:val="24"/>
                <w:szCs w:val="24"/>
              </w:rPr>
            </w:pPr>
            <w:r>
              <w:rPr>
                <w:rFonts w:hint="eastAsia" w:ascii="宋体" w:hAnsi="宋体" w:cs="宋体"/>
                <w:sz w:val="24"/>
              </w:rPr>
              <w:t>8</w:t>
            </w:r>
          </w:p>
        </w:tc>
        <w:tc>
          <w:tcPr>
            <w:tcW w:w="8305" w:type="dxa"/>
            <w:tcBorders>
              <w:top w:val="single" w:color="auto" w:sz="2" w:space="0"/>
              <w:left w:val="single" w:color="auto" w:sz="2" w:space="0"/>
              <w:bottom w:val="single" w:color="auto" w:sz="2" w:space="0"/>
              <w:right w:val="single" w:color="auto" w:sz="2" w:space="0"/>
            </w:tcBorders>
            <w:vAlign w:val="center"/>
          </w:tcPr>
          <w:p>
            <w:pPr>
              <w:spacing w:line="360" w:lineRule="auto"/>
              <w:ind w:firstLine="480" w:firstLineChars="200"/>
              <w:rPr>
                <w:rFonts w:ascii="宋体" w:hAnsi="宋体"/>
                <w:sz w:val="24"/>
                <w:szCs w:val="24"/>
              </w:rPr>
            </w:pPr>
            <w:r>
              <w:rPr>
                <w:rFonts w:hint="eastAsia" w:ascii="宋体" w:hAnsi="宋体" w:cs="宋体"/>
                <w:sz w:val="24"/>
              </w:rPr>
              <w:t>“投标文件组成”详见“投标人须知”第9条。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3" w:hRule="atLeast"/>
          <w:jc w:val="center"/>
        </w:trPr>
        <w:tc>
          <w:tcPr>
            <w:tcW w:w="8958" w:type="dxa"/>
            <w:gridSpan w:val="2"/>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b/>
                <w:bCs/>
                <w:sz w:val="24"/>
                <w:szCs w:val="24"/>
              </w:rPr>
            </w:pPr>
            <w:r>
              <w:rPr>
                <w:rFonts w:hint="eastAsia" w:ascii="宋体" w:hAnsi="宋体" w:cs="宋体"/>
                <w:b/>
                <w:bCs/>
                <w:sz w:val="24"/>
              </w:rPr>
              <w:t>投标保证金及投标有效期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3" w:hRule="atLeast"/>
          <w:jc w:val="center"/>
        </w:trPr>
        <w:tc>
          <w:tcPr>
            <w:tcW w:w="653"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hint="eastAsia" w:ascii="宋体" w:hAnsi="宋体" w:eastAsia="宋体"/>
                <w:sz w:val="24"/>
                <w:szCs w:val="24"/>
                <w:lang w:eastAsia="zh-CN"/>
              </w:rPr>
            </w:pPr>
            <w:r>
              <w:rPr>
                <w:rFonts w:hint="eastAsia" w:ascii="宋体" w:hAnsi="宋体" w:cs="宋体"/>
                <w:sz w:val="24"/>
                <w:lang w:val="en-US" w:eastAsia="zh-CN"/>
              </w:rPr>
              <w:t>9</w:t>
            </w:r>
          </w:p>
        </w:tc>
        <w:tc>
          <w:tcPr>
            <w:tcW w:w="8305" w:type="dxa"/>
            <w:tcBorders>
              <w:top w:val="single" w:color="auto" w:sz="2" w:space="0"/>
              <w:left w:val="single" w:color="auto" w:sz="2" w:space="0"/>
              <w:bottom w:val="single" w:color="auto" w:sz="2" w:space="0"/>
              <w:right w:val="single" w:color="auto" w:sz="2" w:space="0"/>
            </w:tcBorders>
            <w:vAlign w:val="center"/>
          </w:tcPr>
          <w:p>
            <w:pPr>
              <w:spacing w:line="360" w:lineRule="auto"/>
              <w:ind w:firstLine="480" w:firstLineChars="200"/>
              <w:rPr>
                <w:sz w:val="24"/>
                <w:highlight w:val="none"/>
              </w:rPr>
            </w:pPr>
            <w:r>
              <w:rPr>
                <w:sz w:val="24"/>
                <w:highlight w:val="none"/>
              </w:rPr>
              <w:t>1</w:t>
            </w:r>
            <w:r>
              <w:rPr>
                <w:rFonts w:hint="eastAsia"/>
                <w:sz w:val="24"/>
                <w:highlight w:val="none"/>
                <w:lang w:val="en-US" w:eastAsia="zh-CN"/>
              </w:rPr>
              <w:t>.</w:t>
            </w:r>
            <w:r>
              <w:rPr>
                <w:rFonts w:hint="eastAsia"/>
                <w:sz w:val="24"/>
                <w:highlight w:val="none"/>
              </w:rPr>
              <w:t>投标保证金的</w:t>
            </w:r>
            <w:r>
              <w:rPr>
                <w:rFonts w:hint="eastAsia"/>
                <w:sz w:val="24"/>
                <w:highlight w:val="none"/>
                <w:lang w:val="en-US" w:eastAsia="zh-CN"/>
              </w:rPr>
              <w:t>缴纳</w:t>
            </w:r>
            <w:r>
              <w:rPr>
                <w:rFonts w:hint="eastAsia"/>
                <w:sz w:val="24"/>
                <w:highlight w:val="none"/>
              </w:rPr>
              <w:t>形式：</w:t>
            </w:r>
            <w:r>
              <w:rPr>
                <w:rFonts w:hint="eastAsia" w:ascii="宋体" w:hAnsi="宋体" w:cs="宋体"/>
                <w:sz w:val="24"/>
                <w:highlight w:val="none"/>
              </w:rPr>
              <w:t>电汇或网银</w:t>
            </w:r>
          </w:p>
          <w:p>
            <w:pPr>
              <w:spacing w:line="360" w:lineRule="auto"/>
              <w:ind w:firstLine="480" w:firstLineChars="200"/>
              <w:rPr>
                <w:i/>
                <w:iCs/>
                <w:sz w:val="24"/>
                <w:highlight w:val="none"/>
              </w:rPr>
            </w:pPr>
            <w:r>
              <w:rPr>
                <w:sz w:val="24"/>
                <w:highlight w:val="none"/>
              </w:rPr>
              <w:t>2</w:t>
            </w:r>
            <w:r>
              <w:rPr>
                <w:rFonts w:hint="eastAsia"/>
                <w:sz w:val="24"/>
                <w:highlight w:val="none"/>
                <w:lang w:val="en-US" w:eastAsia="zh-CN"/>
              </w:rPr>
              <w:t>.</w:t>
            </w:r>
            <w:r>
              <w:rPr>
                <w:rFonts w:hint="eastAsia"/>
                <w:sz w:val="24"/>
                <w:highlight w:val="none"/>
              </w:rPr>
              <w:t>投标保证金的金额：</w:t>
            </w:r>
            <w:r>
              <w:rPr>
                <w:rFonts w:hint="eastAsia"/>
                <w:b/>
                <w:sz w:val="24"/>
                <w:highlight w:val="none"/>
              </w:rPr>
              <w:t>人民币</w:t>
            </w:r>
            <w:r>
              <w:rPr>
                <w:b/>
                <w:sz w:val="24"/>
                <w:highlight w:val="none"/>
                <w:u w:val="single"/>
              </w:rPr>
              <w:t xml:space="preserve"> </w:t>
            </w:r>
            <w:r>
              <w:rPr>
                <w:rFonts w:hint="eastAsia"/>
                <w:b/>
                <w:sz w:val="24"/>
                <w:highlight w:val="none"/>
                <w:u w:val="single"/>
              </w:rPr>
              <w:t>1</w:t>
            </w:r>
            <w:r>
              <w:rPr>
                <w:rFonts w:hint="eastAsia"/>
                <w:b/>
                <w:sz w:val="24"/>
                <w:highlight w:val="none"/>
                <w:u w:val="single"/>
                <w:lang w:val="en-US" w:eastAsia="zh-CN"/>
              </w:rPr>
              <w:t>00</w:t>
            </w:r>
            <w:r>
              <w:rPr>
                <w:rFonts w:hint="eastAsia"/>
                <w:b/>
                <w:sz w:val="24"/>
                <w:highlight w:val="none"/>
                <w:u w:val="single"/>
              </w:rPr>
              <w:t xml:space="preserve"> </w:t>
            </w:r>
            <w:r>
              <w:rPr>
                <w:rFonts w:hint="eastAsia"/>
                <w:b/>
                <w:sz w:val="24"/>
                <w:highlight w:val="none"/>
              </w:rPr>
              <w:t>万元（</w:t>
            </w:r>
            <w:r>
              <w:rPr>
                <w:rFonts w:hint="eastAsia"/>
                <w:b/>
                <w:sz w:val="24"/>
                <w:highlight w:val="none"/>
                <w:lang w:val="en-US" w:eastAsia="zh-CN"/>
              </w:rPr>
              <w:t>壹佰万</w:t>
            </w:r>
            <w:r>
              <w:rPr>
                <w:rFonts w:hint="eastAsia"/>
                <w:b/>
                <w:sz w:val="24"/>
                <w:highlight w:val="none"/>
              </w:rPr>
              <w:t>元整）</w:t>
            </w:r>
          </w:p>
          <w:p>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银行账号：37001616508050150300 </w:t>
            </w:r>
          </w:p>
          <w:p>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账户名称：中国重汽集团济南动力有限公司  </w:t>
            </w:r>
          </w:p>
          <w:p>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开户行名称：中国建设银行济南市天桥区支行  </w:t>
            </w:r>
          </w:p>
          <w:p>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开户行行号：105451000362  </w:t>
            </w:r>
          </w:p>
          <w:p>
            <w:pPr>
              <w:spacing w:line="360" w:lineRule="auto"/>
              <w:ind w:firstLine="480" w:firstLineChars="200"/>
              <w:rPr>
                <w:rFonts w:hint="eastAsia"/>
                <w:sz w:val="24"/>
                <w:highlight w:val="none"/>
                <w:lang w:eastAsia="zh-CN"/>
              </w:rPr>
            </w:pPr>
            <w:r>
              <w:rPr>
                <w:rFonts w:hint="eastAsia"/>
                <w:sz w:val="24"/>
                <w:highlight w:val="none"/>
              </w:rPr>
              <w:t>汇款备注：</w:t>
            </w:r>
            <w:r>
              <w:rPr>
                <w:rFonts w:hint="eastAsia"/>
                <w:sz w:val="24"/>
                <w:highlight w:val="none"/>
                <w:lang w:val="en-US" w:eastAsia="zh-CN"/>
              </w:rPr>
              <w:t>2025年商用车E线路商品车驾送运</w:t>
            </w:r>
            <w:r>
              <w:rPr>
                <w:rFonts w:hint="eastAsia"/>
                <w:sz w:val="24"/>
                <w:highlight w:val="none"/>
                <w:lang w:eastAsia="zh-CN"/>
              </w:rPr>
              <w:t>输项目投标保证金</w:t>
            </w:r>
          </w:p>
          <w:p>
            <w:pPr>
              <w:spacing w:line="360" w:lineRule="auto"/>
              <w:ind w:firstLine="480" w:firstLineChars="200"/>
              <w:rPr>
                <w:sz w:val="24"/>
                <w:highlight w:val="none"/>
              </w:rPr>
            </w:pPr>
            <w:r>
              <w:rPr>
                <w:sz w:val="24"/>
                <w:highlight w:val="none"/>
              </w:rPr>
              <w:t>3</w:t>
            </w:r>
            <w:r>
              <w:rPr>
                <w:rFonts w:hint="eastAsia"/>
                <w:sz w:val="24"/>
                <w:highlight w:val="none"/>
                <w:lang w:val="en-US" w:eastAsia="zh-CN"/>
              </w:rPr>
              <w:t>.</w:t>
            </w:r>
            <w:r>
              <w:rPr>
                <w:rFonts w:hint="eastAsia"/>
                <w:sz w:val="24"/>
                <w:highlight w:val="none"/>
              </w:rPr>
              <w:t>保证金截止时间：</w:t>
            </w:r>
            <w:r>
              <w:rPr>
                <w:rFonts w:hint="eastAsia"/>
                <w:b/>
                <w:sz w:val="24"/>
                <w:highlight w:val="none"/>
                <w:u w:val="single"/>
                <w:lang w:eastAsia="zh-CN"/>
              </w:rPr>
              <w:t>2025</w:t>
            </w:r>
            <w:r>
              <w:rPr>
                <w:rFonts w:hint="eastAsia"/>
                <w:b/>
                <w:sz w:val="24"/>
                <w:highlight w:val="none"/>
                <w:u w:val="single"/>
              </w:rPr>
              <w:t>年</w:t>
            </w:r>
            <w:r>
              <w:rPr>
                <w:rFonts w:hint="eastAsia"/>
                <w:b/>
                <w:sz w:val="24"/>
                <w:highlight w:val="yellow"/>
                <w:u w:val="single"/>
                <w:lang w:val="en-US" w:eastAsia="zh-CN"/>
              </w:rPr>
              <w:t>12</w:t>
            </w:r>
            <w:r>
              <w:rPr>
                <w:rFonts w:hint="eastAsia"/>
                <w:b/>
                <w:sz w:val="24"/>
                <w:highlight w:val="yellow"/>
                <w:u w:val="single"/>
              </w:rPr>
              <w:t>月</w:t>
            </w:r>
            <w:r>
              <w:rPr>
                <w:rFonts w:hint="eastAsia"/>
                <w:b/>
                <w:sz w:val="24"/>
                <w:highlight w:val="yellow"/>
                <w:u w:val="single"/>
                <w:lang w:val="en-US" w:eastAsia="zh-CN"/>
              </w:rPr>
              <w:t>7</w:t>
            </w:r>
            <w:r>
              <w:rPr>
                <w:rFonts w:hint="eastAsia"/>
                <w:b/>
                <w:sz w:val="24"/>
                <w:highlight w:val="yellow"/>
                <w:u w:val="single"/>
              </w:rPr>
              <w:t>日</w:t>
            </w:r>
            <w:r>
              <w:rPr>
                <w:rFonts w:hint="eastAsia"/>
                <w:b/>
                <w:sz w:val="24"/>
                <w:highlight w:val="none"/>
                <w:u w:val="single"/>
                <w:lang w:val="en-US" w:eastAsia="zh-CN"/>
              </w:rPr>
              <w:t>12</w:t>
            </w:r>
            <w:r>
              <w:rPr>
                <w:rFonts w:hint="eastAsia"/>
                <w:b/>
                <w:sz w:val="24"/>
                <w:highlight w:val="none"/>
                <w:u w:val="single"/>
              </w:rPr>
              <w:t>时</w:t>
            </w:r>
            <w:r>
              <w:rPr>
                <w:b/>
                <w:sz w:val="24"/>
                <w:highlight w:val="none"/>
                <w:u w:val="single"/>
              </w:rPr>
              <w:t>00</w:t>
            </w:r>
            <w:r>
              <w:rPr>
                <w:rFonts w:hint="eastAsia"/>
                <w:b/>
                <w:sz w:val="24"/>
                <w:highlight w:val="none"/>
                <w:u w:val="single"/>
              </w:rPr>
              <w:t>分前</w:t>
            </w:r>
          </w:p>
          <w:p>
            <w:pPr>
              <w:spacing w:line="360" w:lineRule="auto"/>
              <w:ind w:firstLine="480" w:firstLineChars="200"/>
              <w:rPr>
                <w:sz w:val="24"/>
                <w:highlight w:val="none"/>
              </w:rPr>
            </w:pPr>
            <w:r>
              <w:rPr>
                <w:sz w:val="24"/>
                <w:highlight w:val="none"/>
              </w:rPr>
              <w:t>4</w:t>
            </w:r>
            <w:r>
              <w:rPr>
                <w:rFonts w:hint="eastAsia"/>
                <w:sz w:val="24"/>
                <w:highlight w:val="none"/>
                <w:lang w:val="en-US" w:eastAsia="zh-CN"/>
              </w:rPr>
              <w:t>.</w:t>
            </w:r>
            <w:r>
              <w:rPr>
                <w:rFonts w:hint="eastAsia"/>
                <w:sz w:val="24"/>
                <w:highlight w:val="none"/>
              </w:rPr>
              <w:t>投标保证金应从投标人的基本账户转出至上述账户并到账，否则视为无效投标。</w:t>
            </w:r>
          </w:p>
          <w:p>
            <w:pPr>
              <w:spacing w:line="360" w:lineRule="auto"/>
              <w:ind w:firstLine="480" w:firstLineChars="200"/>
              <w:rPr>
                <w:rFonts w:hint="eastAsia" w:ascii="宋体" w:hAnsi="宋体" w:cs="宋体"/>
                <w:sz w:val="24"/>
                <w:szCs w:val="24"/>
                <w:lang w:val="en-US" w:eastAsia="zh-CN"/>
              </w:rPr>
            </w:pPr>
            <w:r>
              <w:rPr>
                <w:rFonts w:hint="eastAsia"/>
                <w:bCs/>
                <w:sz w:val="24"/>
                <w:highlight w:val="none"/>
              </w:rPr>
              <w:t>5</w:t>
            </w:r>
            <w:r>
              <w:rPr>
                <w:rFonts w:hint="eastAsia"/>
                <w:bCs/>
                <w:sz w:val="24"/>
                <w:highlight w:val="none"/>
                <w:lang w:val="en-US" w:eastAsia="zh-CN"/>
              </w:rPr>
              <w:t>.</w:t>
            </w:r>
            <w:r>
              <w:rPr>
                <w:rFonts w:hint="eastAsia"/>
                <w:bCs/>
                <w:sz w:val="24"/>
                <w:highlight w:val="none"/>
              </w:rPr>
              <w:t>投标人应充分考虑银行信息交换时间，由此带来的保证金不能按时到帐的责任由投标人自行承担。</w:t>
            </w:r>
          </w:p>
          <w:p>
            <w:pPr>
              <w:spacing w:line="360" w:lineRule="auto"/>
              <w:ind w:firstLine="480" w:firstLineChars="200"/>
              <w:rPr>
                <w:rFonts w:hint="eastAsia" w:ascii="宋体" w:hAnsi="宋体" w:cs="宋体"/>
                <w:color w:val="000000"/>
                <w:sz w:val="24"/>
                <w:szCs w:val="24"/>
                <w:highlight w:val="none"/>
                <w:lang w:val="en-US" w:eastAsia="zh-CN"/>
              </w:rPr>
            </w:pPr>
            <w:r>
              <w:rPr>
                <w:rFonts w:hint="eastAsia" w:ascii="宋体" w:hAnsi="宋体" w:cs="宋体"/>
                <w:sz w:val="24"/>
                <w:szCs w:val="24"/>
                <w:lang w:val="en-US" w:eastAsia="zh-CN"/>
              </w:rPr>
              <w:t>6.投标保证金缴纳凭</w:t>
            </w:r>
            <w:r>
              <w:rPr>
                <w:rFonts w:hint="eastAsia" w:ascii="宋体" w:hAnsi="宋体" w:cs="宋体"/>
                <w:sz w:val="24"/>
                <w:szCs w:val="24"/>
                <w:highlight w:val="none"/>
                <w:lang w:val="en-US" w:eastAsia="zh-CN"/>
              </w:rPr>
              <w:t>证（现供方上传</w:t>
            </w:r>
            <w:r>
              <w:rPr>
                <w:rFonts w:hint="eastAsia" w:ascii="宋体" w:hAnsi="宋体" w:cs="宋体"/>
                <w:color w:val="000000"/>
                <w:sz w:val="24"/>
                <w:szCs w:val="24"/>
                <w:highlight w:val="none"/>
                <w:lang w:val="en-US" w:eastAsia="zh-CN"/>
              </w:rPr>
              <w:t>投标保证金承诺函）在投标时在E采通上传</w:t>
            </w:r>
          </w:p>
          <w:p>
            <w:pPr>
              <w:spacing w:line="360" w:lineRule="auto"/>
              <w:ind w:firstLine="482" w:firstLineChars="200"/>
              <w:rPr>
                <w:rFonts w:hint="default" w:ascii="宋体" w:hAnsi="宋体" w:eastAsia="宋体"/>
                <w:b/>
                <w:bCs/>
                <w:sz w:val="24"/>
                <w:szCs w:val="24"/>
                <w:lang w:val="en-US" w:eastAsia="zh-CN"/>
              </w:rPr>
            </w:pPr>
            <w:r>
              <w:rPr>
                <w:rFonts w:hint="eastAsia" w:ascii="宋体" w:hAnsi="宋体" w:cs="宋体"/>
                <w:b/>
                <w:bCs/>
                <w:color w:val="000000"/>
                <w:sz w:val="24"/>
                <w:szCs w:val="24"/>
                <w:highlight w:val="none"/>
                <w:lang w:val="en-US" w:eastAsia="zh-CN"/>
              </w:rPr>
              <w:t>注：恶意竞标或</w:t>
            </w:r>
            <w:r>
              <w:rPr>
                <w:rFonts w:hint="eastAsia" w:hAnsi="宋体"/>
                <w:b/>
                <w:bCs/>
                <w:sz w:val="24"/>
                <w:szCs w:val="24"/>
                <w:highlight w:val="none"/>
              </w:rPr>
              <w:t>无</w:t>
            </w:r>
            <w:r>
              <w:rPr>
                <w:rFonts w:hint="eastAsia" w:hAnsi="宋体"/>
                <w:b/>
                <w:sz w:val="24"/>
                <w:szCs w:val="24"/>
                <w:highlight w:val="none"/>
              </w:rPr>
              <w:t>正当理由随意放弃投标、</w:t>
            </w:r>
            <w:r>
              <w:rPr>
                <w:rFonts w:hAnsi="宋体"/>
                <w:b/>
                <w:sz w:val="24"/>
                <w:szCs w:val="24"/>
                <w:highlight w:val="none"/>
              </w:rPr>
              <w:t>撤销投标文件</w:t>
            </w:r>
            <w:r>
              <w:rPr>
                <w:rFonts w:hint="eastAsia" w:hAnsi="宋体"/>
                <w:b/>
                <w:sz w:val="24"/>
                <w:szCs w:val="24"/>
                <w:highlight w:val="none"/>
              </w:rPr>
              <w:t>、</w:t>
            </w:r>
            <w:r>
              <w:rPr>
                <w:rFonts w:hAnsi="宋体"/>
                <w:b/>
                <w:sz w:val="24"/>
                <w:szCs w:val="24"/>
                <w:highlight w:val="none"/>
              </w:rPr>
              <w:t>中标后</w:t>
            </w:r>
            <w:r>
              <w:rPr>
                <w:rFonts w:hint="eastAsia" w:hAnsi="宋体"/>
                <w:b/>
                <w:sz w:val="24"/>
                <w:szCs w:val="24"/>
                <w:highlight w:val="none"/>
              </w:rPr>
              <w:t>无</w:t>
            </w:r>
            <w:r>
              <w:rPr>
                <w:rFonts w:hAnsi="宋体"/>
                <w:b/>
                <w:sz w:val="24"/>
                <w:szCs w:val="24"/>
                <w:highlight w:val="none"/>
              </w:rPr>
              <w:t>正当理由</w:t>
            </w:r>
            <w:r>
              <w:rPr>
                <w:rFonts w:hint="eastAsia" w:hAnsi="宋体"/>
                <w:b/>
                <w:sz w:val="24"/>
                <w:szCs w:val="24"/>
                <w:highlight w:val="none"/>
              </w:rPr>
              <w:t>拒签</w:t>
            </w:r>
            <w:r>
              <w:rPr>
                <w:rFonts w:hAnsi="宋体"/>
                <w:b/>
                <w:sz w:val="24"/>
                <w:szCs w:val="24"/>
                <w:highlight w:val="none"/>
              </w:rPr>
              <w:t>合同</w:t>
            </w:r>
            <w:r>
              <w:rPr>
                <w:rFonts w:hint="eastAsia" w:hAnsi="宋体"/>
                <w:b/>
                <w:sz w:val="24"/>
                <w:szCs w:val="24"/>
                <w:highlight w:val="none"/>
              </w:rPr>
              <w:t>、</w:t>
            </w:r>
            <w:r>
              <w:rPr>
                <w:rFonts w:hAnsi="宋体"/>
                <w:b/>
                <w:sz w:val="24"/>
                <w:szCs w:val="24"/>
                <w:highlight w:val="none"/>
              </w:rPr>
              <w:t>在签订合同时向招标</w:t>
            </w:r>
            <w:r>
              <w:rPr>
                <w:rFonts w:hint="eastAsia" w:hAnsi="宋体"/>
                <w:b/>
                <w:sz w:val="24"/>
                <w:szCs w:val="24"/>
                <w:highlight w:val="none"/>
              </w:rPr>
              <w:t>方</w:t>
            </w:r>
            <w:r>
              <w:rPr>
                <w:rFonts w:hAnsi="宋体"/>
                <w:b/>
                <w:sz w:val="24"/>
                <w:szCs w:val="24"/>
                <w:highlight w:val="none"/>
              </w:rPr>
              <w:t>提出</w:t>
            </w:r>
            <w:r>
              <w:rPr>
                <w:rFonts w:hint="eastAsia" w:hAnsi="宋体"/>
                <w:b/>
                <w:sz w:val="24"/>
                <w:szCs w:val="24"/>
                <w:highlight w:val="none"/>
              </w:rPr>
              <w:t>无理</w:t>
            </w:r>
            <w:r>
              <w:rPr>
                <w:rFonts w:hAnsi="宋体"/>
                <w:b/>
                <w:sz w:val="24"/>
                <w:szCs w:val="24"/>
                <w:highlight w:val="none"/>
              </w:rPr>
              <w:t>附加条件</w:t>
            </w:r>
            <w:r>
              <w:rPr>
                <w:rFonts w:hint="eastAsia" w:hAnsi="宋体"/>
                <w:b/>
                <w:sz w:val="24"/>
                <w:szCs w:val="24"/>
                <w:highlight w:val="none"/>
              </w:rPr>
              <w:t>的，</w:t>
            </w:r>
            <w:r>
              <w:rPr>
                <w:rFonts w:hAnsi="宋体"/>
                <w:b/>
                <w:sz w:val="24"/>
                <w:szCs w:val="24"/>
                <w:highlight w:val="none"/>
              </w:rPr>
              <w:t>投标保证金不予返还</w:t>
            </w:r>
            <w:r>
              <w:rPr>
                <w:rFonts w:hint="eastAsia" w:hAnsi="宋体"/>
                <w:b/>
                <w:sz w:val="24"/>
                <w:szCs w:val="24"/>
                <w:highlight w:val="none"/>
              </w:rPr>
              <w:t>，并取消该投标人的中标资格</w:t>
            </w:r>
            <w:r>
              <w:rPr>
                <w:rFonts w:hAnsi="宋体"/>
                <w:b/>
                <w:sz w:val="24"/>
                <w:szCs w:val="24"/>
                <w:highlight w:val="none"/>
              </w:rPr>
              <w:t>，</w:t>
            </w:r>
            <w:r>
              <w:rPr>
                <w:rFonts w:hint="eastAsia" w:hAnsi="宋体"/>
                <w:b/>
                <w:sz w:val="24"/>
                <w:szCs w:val="24"/>
                <w:highlight w:val="none"/>
                <w:lang w:val="en-US" w:eastAsia="zh-CN"/>
              </w:rPr>
              <w:t>并纳入甲方黑名单，三年内不允许参与此类招标。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09" w:hRule="atLeast"/>
          <w:jc w:val="center"/>
        </w:trPr>
        <w:tc>
          <w:tcPr>
            <w:tcW w:w="653"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hint="eastAsia" w:ascii="宋体" w:hAnsi="宋体" w:eastAsia="宋体"/>
                <w:sz w:val="24"/>
                <w:szCs w:val="24"/>
                <w:lang w:val="en-US" w:eastAsia="zh-CN"/>
              </w:rPr>
            </w:pPr>
            <w:r>
              <w:rPr>
                <w:rFonts w:hint="eastAsia" w:ascii="宋体" w:hAnsi="宋体" w:cs="宋体"/>
                <w:sz w:val="24"/>
              </w:rPr>
              <w:t>1</w:t>
            </w:r>
            <w:r>
              <w:rPr>
                <w:rFonts w:hint="eastAsia" w:ascii="宋体" w:hAnsi="宋体" w:cs="宋体"/>
                <w:sz w:val="24"/>
                <w:lang w:val="en-US" w:eastAsia="zh-CN"/>
              </w:rPr>
              <w:t>0</w:t>
            </w:r>
          </w:p>
        </w:tc>
        <w:tc>
          <w:tcPr>
            <w:tcW w:w="8305" w:type="dxa"/>
            <w:tcBorders>
              <w:top w:val="single" w:color="auto" w:sz="2" w:space="0"/>
              <w:left w:val="single" w:color="auto" w:sz="2" w:space="0"/>
              <w:bottom w:val="single" w:color="auto" w:sz="2" w:space="0"/>
              <w:right w:val="single" w:color="auto" w:sz="2" w:space="0"/>
            </w:tcBorders>
            <w:vAlign w:val="center"/>
          </w:tcPr>
          <w:p>
            <w:pPr>
              <w:spacing w:line="360" w:lineRule="auto"/>
              <w:ind w:firstLine="523" w:firstLineChars="218"/>
              <w:rPr>
                <w:rFonts w:ascii="宋体" w:hAnsi="宋体"/>
                <w:sz w:val="24"/>
                <w:szCs w:val="24"/>
              </w:rPr>
            </w:pPr>
            <w:r>
              <w:rPr>
                <w:rFonts w:hint="eastAsia" w:ascii="宋体" w:hAnsi="宋体" w:cs="宋体"/>
                <w:sz w:val="24"/>
              </w:rPr>
              <w:t>投标有效期：自开标之日起</w:t>
            </w:r>
            <w:r>
              <w:rPr>
                <w:rFonts w:hint="eastAsia" w:ascii="宋体" w:hAnsi="宋体" w:cs="宋体"/>
                <w:sz w:val="24"/>
                <w:u w:val="single"/>
              </w:rPr>
              <w:t>90</w:t>
            </w:r>
            <w:r>
              <w:rPr>
                <w:rFonts w:hint="eastAsia" w:ascii="宋体" w:hAnsi="宋体" w:cs="宋体"/>
                <w:sz w:val="24"/>
              </w:rPr>
              <w:t>日历天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09" w:hRule="atLeast"/>
          <w:jc w:val="center"/>
        </w:trPr>
        <w:tc>
          <w:tcPr>
            <w:tcW w:w="8958" w:type="dxa"/>
            <w:gridSpan w:val="2"/>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b/>
                <w:bCs/>
                <w:sz w:val="24"/>
                <w:szCs w:val="24"/>
              </w:rPr>
            </w:pPr>
            <w:r>
              <w:rPr>
                <w:rFonts w:hint="eastAsia" w:ascii="宋体" w:hAnsi="宋体" w:cs="宋体"/>
                <w:b/>
                <w:bCs/>
                <w:sz w:val="24"/>
              </w:rPr>
              <w:t>投标文件的递交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64" w:hRule="atLeast"/>
          <w:jc w:val="center"/>
        </w:trPr>
        <w:tc>
          <w:tcPr>
            <w:tcW w:w="653" w:type="dxa"/>
            <w:vMerge w:val="restart"/>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hint="eastAsia" w:ascii="宋体" w:hAnsi="宋体" w:eastAsia="宋体"/>
                <w:sz w:val="24"/>
                <w:szCs w:val="24"/>
                <w:lang w:val="en-US" w:eastAsia="zh-CN"/>
              </w:rPr>
            </w:pPr>
            <w:r>
              <w:rPr>
                <w:rFonts w:hint="eastAsia" w:ascii="宋体" w:hAnsi="宋体" w:cs="宋体"/>
                <w:sz w:val="24"/>
              </w:rPr>
              <w:t>1</w:t>
            </w:r>
            <w:r>
              <w:rPr>
                <w:rFonts w:hint="eastAsia" w:ascii="宋体" w:hAnsi="宋体" w:cs="宋体"/>
                <w:sz w:val="24"/>
                <w:lang w:val="en-US" w:eastAsia="zh-CN"/>
              </w:rPr>
              <w:t>1</w:t>
            </w:r>
          </w:p>
        </w:tc>
        <w:tc>
          <w:tcPr>
            <w:tcW w:w="8305" w:type="dxa"/>
            <w:tcBorders>
              <w:top w:val="single" w:color="auto" w:sz="2" w:space="0"/>
              <w:left w:val="single" w:color="auto" w:sz="2" w:space="0"/>
              <w:bottom w:val="single" w:color="auto" w:sz="2" w:space="0"/>
              <w:right w:val="single" w:color="auto" w:sz="2" w:space="0"/>
            </w:tcBorders>
            <w:vAlign w:val="center"/>
          </w:tcPr>
          <w:p>
            <w:pPr>
              <w:spacing w:line="360" w:lineRule="auto"/>
              <w:ind w:firstLine="480" w:firstLineChars="200"/>
              <w:rPr>
                <w:rFonts w:ascii="宋体" w:hAnsi="宋体"/>
                <w:sz w:val="24"/>
                <w:szCs w:val="24"/>
                <w:highlight w:val="none"/>
              </w:rPr>
            </w:pPr>
            <w:r>
              <w:rPr>
                <w:rFonts w:hint="eastAsia" w:ascii="宋体" w:hAnsi="宋体" w:cs="宋体"/>
                <w:sz w:val="24"/>
                <w:highlight w:val="none"/>
              </w:rPr>
              <w:t>投标文件递交截止时间：</w:t>
            </w:r>
            <w:r>
              <w:rPr>
                <w:rFonts w:hint="eastAsia" w:ascii="宋体" w:hAnsi="宋体" w:cs="宋体"/>
                <w:sz w:val="24"/>
                <w:highlight w:val="none"/>
                <w:u w:val="single"/>
                <w:lang w:eastAsia="zh-CN"/>
              </w:rPr>
              <w:t>202</w:t>
            </w:r>
            <w:r>
              <w:rPr>
                <w:rFonts w:hint="eastAsia" w:ascii="宋体" w:hAnsi="宋体" w:cs="宋体"/>
                <w:sz w:val="24"/>
                <w:highlight w:val="none"/>
                <w:u w:val="single"/>
                <w:lang w:val="en-US" w:eastAsia="zh-CN"/>
              </w:rPr>
              <w:t>5</w:t>
            </w:r>
            <w:r>
              <w:rPr>
                <w:rFonts w:hint="eastAsia" w:ascii="宋体" w:hAnsi="宋体" w:cs="宋体"/>
                <w:sz w:val="24"/>
                <w:highlight w:val="none"/>
              </w:rPr>
              <w:t>年</w:t>
            </w:r>
            <w:r>
              <w:rPr>
                <w:rFonts w:hint="eastAsia" w:ascii="宋体" w:hAnsi="宋体" w:cs="宋体"/>
                <w:sz w:val="24"/>
                <w:highlight w:val="yellow"/>
                <w:u w:val="single"/>
                <w:lang w:val="en-US" w:eastAsia="zh-CN"/>
              </w:rPr>
              <w:t>12</w:t>
            </w:r>
            <w:r>
              <w:rPr>
                <w:rFonts w:hint="eastAsia" w:ascii="宋体" w:hAnsi="宋体" w:cs="宋体"/>
                <w:sz w:val="24"/>
                <w:highlight w:val="yellow"/>
                <w:u w:val="single"/>
                <w:lang w:eastAsia="zh-CN"/>
              </w:rPr>
              <w:t>月</w:t>
            </w:r>
            <w:r>
              <w:rPr>
                <w:rFonts w:hint="eastAsia" w:ascii="宋体" w:hAnsi="宋体" w:cs="宋体"/>
                <w:sz w:val="24"/>
                <w:highlight w:val="yellow"/>
                <w:u w:val="single"/>
                <w:lang w:val="en-US" w:eastAsia="zh-CN"/>
              </w:rPr>
              <w:t>7日</w:t>
            </w:r>
            <w:r>
              <w:rPr>
                <w:rFonts w:hint="eastAsia" w:ascii="宋体" w:hAnsi="宋体" w:cs="宋体"/>
                <w:sz w:val="24"/>
                <w:highlight w:val="none"/>
                <w:u w:val="single"/>
                <w:lang w:val="en-US" w:eastAsia="zh-CN"/>
              </w:rPr>
              <w:t>17时</w:t>
            </w:r>
            <w:r>
              <w:rPr>
                <w:rFonts w:hint="eastAsia" w:ascii="宋体" w:hAnsi="宋体" w:cs="宋体"/>
                <w:sz w:val="24"/>
                <w:highlight w:val="none"/>
                <w:u w:val="single"/>
                <w:lang w:eastAsia="zh-CN"/>
              </w:rPr>
              <w:t>前</w:t>
            </w:r>
            <w:r>
              <w:rPr>
                <w:rFonts w:hint="eastAsia" w:ascii="宋体" w:hAnsi="宋体" w:cs="宋体"/>
                <w:sz w:val="24"/>
                <w:highlight w:val="none"/>
              </w:rPr>
              <w:t>（北京时间）。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302" w:hRule="atLeast"/>
          <w:jc w:val="center"/>
        </w:trPr>
        <w:tc>
          <w:tcPr>
            <w:tcW w:w="653" w:type="dxa"/>
            <w:vMerge w:val="continue"/>
            <w:tcBorders>
              <w:top w:val="single" w:color="auto" w:sz="2" w:space="0"/>
              <w:left w:val="single" w:color="auto" w:sz="2" w:space="0"/>
              <w:bottom w:val="single" w:color="auto" w:sz="2" w:space="0"/>
              <w:right w:val="single" w:color="auto" w:sz="2" w:space="0"/>
            </w:tcBorders>
            <w:vAlign w:val="center"/>
          </w:tcPr>
          <w:p>
            <w:pPr>
              <w:widowControl/>
              <w:spacing w:line="360" w:lineRule="auto"/>
              <w:jc w:val="center"/>
              <w:rPr>
                <w:rFonts w:ascii="宋体" w:hAnsi="宋体"/>
                <w:sz w:val="24"/>
                <w:szCs w:val="24"/>
              </w:rPr>
            </w:pPr>
          </w:p>
        </w:tc>
        <w:tc>
          <w:tcPr>
            <w:tcW w:w="8305" w:type="dxa"/>
            <w:tcBorders>
              <w:top w:val="single" w:color="auto" w:sz="2" w:space="0"/>
              <w:left w:val="single" w:color="auto" w:sz="2" w:space="0"/>
              <w:bottom w:val="single" w:color="auto" w:sz="2" w:space="0"/>
              <w:right w:val="single" w:color="auto" w:sz="2" w:space="0"/>
            </w:tcBorders>
            <w:vAlign w:val="center"/>
          </w:tcPr>
          <w:p>
            <w:pPr>
              <w:spacing w:line="360" w:lineRule="auto"/>
              <w:ind w:firstLine="523" w:firstLineChars="218"/>
              <w:rPr>
                <w:rFonts w:hint="eastAsia" w:ascii="宋体" w:hAnsi="宋体" w:cs="宋体"/>
                <w:sz w:val="24"/>
                <w:highlight w:val="none"/>
              </w:rPr>
            </w:pPr>
            <w:r>
              <w:rPr>
                <w:rFonts w:hint="eastAsia" w:ascii="宋体" w:hAnsi="宋体" w:cs="宋体"/>
                <w:sz w:val="24"/>
                <w:highlight w:val="none"/>
              </w:rPr>
              <w:t>投标文件递交地点：</w:t>
            </w:r>
          </w:p>
          <w:p>
            <w:pPr>
              <w:spacing w:line="360" w:lineRule="auto"/>
              <w:ind w:firstLine="523" w:firstLineChars="218"/>
              <w:rPr>
                <w:rFonts w:ascii="宋体" w:hAnsi="宋体" w:cs="宋体"/>
                <w:sz w:val="24"/>
                <w:highlight w:val="none"/>
              </w:rPr>
            </w:pPr>
            <w:r>
              <w:rPr>
                <w:rFonts w:hint="eastAsia" w:ascii="宋体" w:hAnsi="宋体" w:cs="宋体"/>
                <w:sz w:val="24"/>
                <w:highlight w:val="none"/>
              </w:rPr>
              <w:t>线上：“中国重汽e采通（http</w:t>
            </w:r>
            <w:r>
              <w:rPr>
                <w:rFonts w:hint="eastAsia" w:ascii="宋体" w:hAnsi="宋体" w:cs="宋体"/>
                <w:sz w:val="24"/>
                <w:highlight w:val="none"/>
                <w:lang w:val="en-US" w:eastAsia="zh-CN"/>
              </w:rPr>
              <w:t>s</w:t>
            </w:r>
            <w:r>
              <w:rPr>
                <w:rFonts w:hint="eastAsia" w:ascii="宋体" w:hAnsi="宋体" w:cs="宋体"/>
                <w:sz w:val="24"/>
                <w:highlight w:val="none"/>
              </w:rPr>
              <w:t>://ecaitong.sinotruk.com:8012）；</w:t>
            </w:r>
          </w:p>
          <w:p>
            <w:pPr>
              <w:pStyle w:val="8"/>
              <w:ind w:firstLine="480"/>
              <w:rPr>
                <w:highlight w:val="none"/>
              </w:rPr>
            </w:pPr>
            <w:r>
              <w:rPr>
                <w:rFonts w:hint="eastAsia" w:ascii="宋体" w:hAnsi="宋体" w:cs="宋体"/>
                <w:kern w:val="2"/>
                <w:sz w:val="24"/>
                <w:highlight w:val="none"/>
              </w:rPr>
              <w:t xml:space="preserve"> 注：投标人须自备电脑。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16" w:hRule="atLeast"/>
          <w:jc w:val="center"/>
        </w:trPr>
        <w:tc>
          <w:tcPr>
            <w:tcW w:w="8958" w:type="dxa"/>
            <w:gridSpan w:val="2"/>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b/>
                <w:bCs/>
                <w:sz w:val="24"/>
                <w:szCs w:val="24"/>
              </w:rPr>
            </w:pPr>
            <w:r>
              <w:rPr>
                <w:rFonts w:hint="eastAsia" w:ascii="宋体" w:hAnsi="宋体" w:cs="宋体"/>
                <w:b/>
                <w:bCs/>
                <w:sz w:val="24"/>
              </w:rPr>
              <w:t>开标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913" w:hRule="atLeast"/>
          <w:jc w:val="center"/>
        </w:trPr>
        <w:tc>
          <w:tcPr>
            <w:tcW w:w="653"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hint="eastAsia" w:ascii="宋体" w:hAnsi="宋体" w:eastAsia="宋体"/>
                <w:sz w:val="24"/>
                <w:szCs w:val="24"/>
                <w:lang w:eastAsia="zh-CN"/>
              </w:rPr>
            </w:pPr>
            <w:r>
              <w:rPr>
                <w:rFonts w:hint="eastAsia" w:ascii="宋体" w:hAnsi="宋体" w:cs="宋体"/>
                <w:sz w:val="24"/>
              </w:rPr>
              <w:t>1</w:t>
            </w:r>
            <w:r>
              <w:rPr>
                <w:rFonts w:hint="eastAsia" w:ascii="宋体" w:hAnsi="宋体" w:cs="宋体"/>
                <w:sz w:val="24"/>
                <w:lang w:val="en-US" w:eastAsia="zh-CN"/>
              </w:rPr>
              <w:t>2</w:t>
            </w:r>
          </w:p>
        </w:tc>
        <w:tc>
          <w:tcPr>
            <w:tcW w:w="8305" w:type="dxa"/>
            <w:tcBorders>
              <w:top w:val="single" w:color="auto" w:sz="2" w:space="0"/>
              <w:left w:val="single" w:color="auto" w:sz="2" w:space="0"/>
              <w:bottom w:val="single" w:color="auto" w:sz="2" w:space="0"/>
              <w:right w:val="single" w:color="auto" w:sz="2" w:space="0"/>
            </w:tcBorders>
            <w:vAlign w:val="center"/>
          </w:tcPr>
          <w:p>
            <w:pPr>
              <w:spacing w:line="360" w:lineRule="auto"/>
              <w:ind w:firstLine="523" w:firstLineChars="218"/>
              <w:rPr>
                <w:rFonts w:ascii="宋体" w:hAnsi="宋体" w:cs="宋体"/>
                <w:sz w:val="24"/>
                <w:highlight w:val="none"/>
              </w:rPr>
            </w:pPr>
            <w:r>
              <w:rPr>
                <w:rFonts w:hint="eastAsia" w:ascii="宋体" w:hAnsi="宋体" w:cs="宋体"/>
                <w:sz w:val="24"/>
                <w:highlight w:val="none"/>
              </w:rPr>
              <w:t>开标时间：</w:t>
            </w:r>
            <w:r>
              <w:rPr>
                <w:rFonts w:hint="eastAsia" w:ascii="宋体" w:hAnsi="宋体" w:cs="宋体"/>
                <w:sz w:val="24"/>
                <w:highlight w:val="none"/>
                <w:lang w:eastAsia="zh-CN"/>
              </w:rPr>
              <w:t>202</w:t>
            </w:r>
            <w:r>
              <w:rPr>
                <w:rFonts w:hint="eastAsia" w:ascii="宋体" w:hAnsi="宋体" w:cs="宋体"/>
                <w:sz w:val="24"/>
                <w:highlight w:val="none"/>
                <w:lang w:val="en-US" w:eastAsia="zh-CN"/>
              </w:rPr>
              <w:t>5</w:t>
            </w:r>
            <w:r>
              <w:rPr>
                <w:rFonts w:hint="eastAsia" w:ascii="宋体" w:hAnsi="宋体" w:cs="宋体"/>
                <w:sz w:val="24"/>
                <w:highlight w:val="none"/>
              </w:rPr>
              <w:t>年</w:t>
            </w:r>
            <w:r>
              <w:rPr>
                <w:rFonts w:hint="eastAsia" w:ascii="宋体" w:hAnsi="宋体" w:cs="宋体"/>
                <w:sz w:val="24"/>
                <w:highlight w:val="yellow"/>
                <w:lang w:val="en-US" w:eastAsia="zh-CN"/>
              </w:rPr>
              <w:t>12</w:t>
            </w:r>
            <w:r>
              <w:rPr>
                <w:rFonts w:hint="eastAsia" w:ascii="宋体" w:hAnsi="宋体" w:cs="宋体"/>
                <w:sz w:val="24"/>
                <w:highlight w:val="yellow"/>
                <w:lang w:eastAsia="zh-CN"/>
              </w:rPr>
              <w:t>月</w:t>
            </w:r>
            <w:r>
              <w:rPr>
                <w:rFonts w:hint="eastAsia" w:ascii="宋体" w:hAnsi="宋体" w:cs="宋体"/>
                <w:sz w:val="24"/>
                <w:highlight w:val="yellow"/>
                <w:lang w:val="en-US" w:eastAsia="zh-CN"/>
              </w:rPr>
              <w:t>8</w:t>
            </w:r>
            <w:r>
              <w:rPr>
                <w:rFonts w:hint="eastAsia" w:ascii="宋体" w:hAnsi="宋体" w:cs="宋体"/>
                <w:sz w:val="24"/>
                <w:highlight w:val="yellow"/>
                <w:lang w:eastAsia="zh-CN"/>
              </w:rPr>
              <w:t>日</w:t>
            </w:r>
            <w:r>
              <w:rPr>
                <w:rFonts w:hint="eastAsia" w:ascii="宋体" w:hAnsi="宋体" w:cs="宋体"/>
                <w:sz w:val="24"/>
                <w:highlight w:val="none"/>
                <w:lang w:val="en-US" w:eastAsia="zh-CN"/>
              </w:rPr>
              <w:t>9</w:t>
            </w:r>
            <w:r>
              <w:rPr>
                <w:rFonts w:hint="eastAsia" w:ascii="宋体" w:hAnsi="宋体" w:cs="宋体"/>
                <w:sz w:val="24"/>
                <w:highlight w:val="none"/>
                <w:lang w:eastAsia="zh-CN"/>
              </w:rPr>
              <w:t>点</w:t>
            </w:r>
            <w:r>
              <w:rPr>
                <w:rFonts w:hint="eastAsia" w:ascii="宋体" w:hAnsi="宋体" w:cs="宋体"/>
                <w:sz w:val="24"/>
                <w:highlight w:val="none"/>
                <w:lang w:val="en-US" w:eastAsia="zh-CN"/>
              </w:rPr>
              <w:t>0</w:t>
            </w:r>
            <w:r>
              <w:rPr>
                <w:rFonts w:hint="eastAsia" w:ascii="宋体" w:hAnsi="宋体" w:cs="宋体"/>
                <w:sz w:val="24"/>
                <w:highlight w:val="none"/>
                <w:lang w:eastAsia="zh-CN"/>
              </w:rPr>
              <w:t>分（</w:t>
            </w:r>
            <w:r>
              <w:rPr>
                <w:rFonts w:hint="eastAsia" w:ascii="宋体" w:hAnsi="宋体" w:cs="宋体"/>
                <w:sz w:val="24"/>
                <w:highlight w:val="none"/>
              </w:rPr>
              <w:t>北京时间）</w:t>
            </w:r>
          </w:p>
          <w:p>
            <w:pPr>
              <w:spacing w:line="360" w:lineRule="auto"/>
              <w:ind w:firstLine="523" w:firstLineChars="218"/>
              <w:rPr>
                <w:rFonts w:ascii="宋体" w:hAnsi="宋体" w:cs="宋体"/>
                <w:sz w:val="24"/>
                <w:highlight w:val="none"/>
              </w:rPr>
            </w:pPr>
            <w:r>
              <w:rPr>
                <w:rFonts w:hint="eastAsia" w:ascii="宋体" w:hAnsi="宋体" w:cs="宋体"/>
                <w:sz w:val="24"/>
                <w:highlight w:val="none"/>
              </w:rPr>
              <w:t>开标地点：</w:t>
            </w:r>
            <w:r>
              <w:rPr>
                <w:rFonts w:hint="eastAsia" w:ascii="宋体" w:hAnsi="宋体" w:cs="宋体"/>
                <w:sz w:val="24"/>
                <w:szCs w:val="24"/>
                <w:highlight w:val="none"/>
                <w:lang w:val="en-US" w:eastAsia="zh-CN"/>
              </w:rPr>
              <w:t>重汽科技大厦三楼会议室</w:t>
            </w:r>
            <w:r>
              <w:rPr>
                <w:rFonts w:hint="eastAsia" w:ascii="宋体" w:hAnsi="宋体" w:cs="宋体"/>
                <w:sz w:val="24"/>
                <w:highlight w:val="none"/>
              </w:rPr>
              <w:t>。</w:t>
            </w:r>
          </w:p>
          <w:p>
            <w:pPr>
              <w:pStyle w:val="8"/>
              <w:rPr>
                <w:highlight w:val="none"/>
              </w:rPr>
            </w:pPr>
            <w:r>
              <w:rPr>
                <w:rFonts w:hint="eastAsia"/>
                <w:highlight w:val="none"/>
              </w:rPr>
              <w:t xml:space="preserve"> </w:t>
            </w:r>
            <w:r>
              <w:rPr>
                <w:rFonts w:hint="eastAsia" w:ascii="宋体" w:hAnsi="宋体" w:cs="宋体"/>
                <w:kern w:val="2"/>
                <w:sz w:val="24"/>
                <w:highlight w:val="none"/>
              </w:rPr>
              <w:t>开标方式：线下商谈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93" w:hRule="atLeast"/>
          <w:jc w:val="center"/>
        </w:trPr>
        <w:tc>
          <w:tcPr>
            <w:tcW w:w="653"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hint="eastAsia" w:ascii="宋体" w:hAnsi="宋体" w:eastAsia="宋体"/>
                <w:sz w:val="24"/>
                <w:szCs w:val="24"/>
                <w:lang w:eastAsia="zh-CN"/>
              </w:rPr>
            </w:pPr>
            <w:r>
              <w:rPr>
                <w:rFonts w:hint="eastAsia" w:ascii="宋体" w:hAnsi="宋体" w:cs="宋体"/>
                <w:sz w:val="24"/>
              </w:rPr>
              <w:t>1</w:t>
            </w:r>
            <w:r>
              <w:rPr>
                <w:rFonts w:hint="eastAsia" w:ascii="宋体" w:hAnsi="宋体" w:cs="宋体"/>
                <w:sz w:val="24"/>
                <w:lang w:val="en-US" w:eastAsia="zh-CN"/>
              </w:rPr>
              <w:t>3</w:t>
            </w:r>
          </w:p>
        </w:tc>
        <w:tc>
          <w:tcPr>
            <w:tcW w:w="8305" w:type="dxa"/>
            <w:tcBorders>
              <w:top w:val="single" w:color="auto" w:sz="2" w:space="0"/>
              <w:left w:val="single" w:color="auto" w:sz="2" w:space="0"/>
              <w:bottom w:val="single" w:color="auto" w:sz="2" w:space="0"/>
              <w:right w:val="single" w:color="auto" w:sz="2" w:space="0"/>
            </w:tcBorders>
            <w:vAlign w:val="center"/>
          </w:tcPr>
          <w:p>
            <w:pPr>
              <w:spacing w:line="360" w:lineRule="auto"/>
              <w:ind w:firstLine="523" w:firstLineChars="218"/>
              <w:rPr>
                <w:rFonts w:ascii="宋体" w:hAnsi="宋体" w:cs="宋体"/>
                <w:b w:val="0"/>
                <w:bCs/>
                <w:sz w:val="24"/>
                <w:szCs w:val="24"/>
              </w:rPr>
            </w:pPr>
            <w:r>
              <w:rPr>
                <w:rFonts w:hint="eastAsia" w:ascii="宋体" w:hAnsi="宋体" w:cs="宋体"/>
                <w:b w:val="0"/>
                <w:bCs/>
                <w:sz w:val="24"/>
              </w:rPr>
              <w:t>开标资格审查资料：</w:t>
            </w:r>
          </w:p>
          <w:p>
            <w:pPr>
              <w:spacing w:line="360" w:lineRule="auto"/>
              <w:ind w:firstLine="523" w:firstLineChars="218"/>
              <w:rPr>
                <w:rFonts w:ascii="宋体" w:hAnsi="宋体" w:cs="宋体"/>
                <w:b w:val="0"/>
                <w:bCs/>
                <w:sz w:val="24"/>
              </w:rPr>
            </w:pPr>
            <w:r>
              <w:rPr>
                <w:rFonts w:hint="eastAsia" w:ascii="宋体" w:hAnsi="宋体" w:cs="宋体"/>
                <w:b w:val="0"/>
                <w:bCs/>
                <w:sz w:val="24"/>
              </w:rPr>
              <w:t>开标时将核验投标人的以下资格证件：</w:t>
            </w:r>
          </w:p>
          <w:p>
            <w:pPr>
              <w:tabs>
                <w:tab w:val="left" w:pos="6313"/>
              </w:tabs>
              <w:spacing w:line="360" w:lineRule="auto"/>
              <w:ind w:firstLine="480" w:firstLineChars="200"/>
              <w:rPr>
                <w:rFonts w:ascii="宋体" w:hAnsi="宋体"/>
                <w:b w:val="0"/>
                <w:bCs/>
                <w:sz w:val="24"/>
              </w:rPr>
            </w:pPr>
            <w:r>
              <w:rPr>
                <w:rFonts w:hint="eastAsia" w:ascii="宋体" w:hAnsi="宋体"/>
                <w:b w:val="0"/>
                <w:bCs/>
                <w:sz w:val="24"/>
              </w:rPr>
              <w:t>营业执照副本原件、复印件（加盖公章），《道路运输经营许可证》原件及复印件(加盖公章)；</w:t>
            </w:r>
          </w:p>
          <w:p>
            <w:pPr>
              <w:tabs>
                <w:tab w:val="left" w:pos="6313"/>
              </w:tabs>
              <w:spacing w:line="360" w:lineRule="auto"/>
              <w:ind w:firstLine="480" w:firstLineChars="200"/>
              <w:rPr>
                <w:rFonts w:ascii="宋体" w:hAnsi="宋体"/>
                <w:b w:val="0"/>
                <w:bCs/>
                <w:sz w:val="24"/>
              </w:rPr>
            </w:pPr>
            <w:r>
              <w:rPr>
                <w:rFonts w:hint="eastAsia" w:ascii="宋体" w:hAnsi="宋体"/>
                <w:b w:val="0"/>
                <w:bCs/>
                <w:sz w:val="24"/>
              </w:rPr>
              <w:t>法定代表人身份证或法定代表人授权委托书原件（加盖公章）；</w:t>
            </w:r>
          </w:p>
          <w:p>
            <w:pPr>
              <w:tabs>
                <w:tab w:val="left" w:pos="6313"/>
              </w:tabs>
              <w:spacing w:line="360" w:lineRule="auto"/>
              <w:ind w:firstLine="480" w:firstLineChars="200"/>
              <w:rPr>
                <w:rFonts w:ascii="宋体" w:hAnsi="宋体"/>
                <w:b w:val="0"/>
                <w:bCs/>
                <w:sz w:val="24"/>
              </w:rPr>
            </w:pPr>
            <w:r>
              <w:rPr>
                <w:rFonts w:hint="eastAsia" w:ascii="宋体" w:hAnsi="宋体"/>
                <w:b w:val="0"/>
                <w:bCs/>
                <w:sz w:val="24"/>
              </w:rPr>
              <w:t>法人或授权代表身份证（复印件+原件）；</w:t>
            </w:r>
          </w:p>
          <w:p>
            <w:pPr>
              <w:tabs>
                <w:tab w:val="left" w:pos="6313"/>
              </w:tabs>
              <w:spacing w:line="360" w:lineRule="auto"/>
              <w:ind w:firstLine="480" w:firstLineChars="200"/>
              <w:rPr>
                <w:rFonts w:hint="eastAsia" w:ascii="宋体" w:hAnsi="宋体"/>
                <w:b w:val="0"/>
                <w:bCs/>
                <w:sz w:val="24"/>
              </w:rPr>
            </w:pPr>
            <w:r>
              <w:rPr>
                <w:rFonts w:hint="eastAsia" w:ascii="宋体" w:hAnsi="宋体"/>
                <w:b w:val="0"/>
                <w:bCs/>
                <w:sz w:val="24"/>
              </w:rPr>
              <w:t>信用中国截图（加盖公章）；</w:t>
            </w:r>
          </w:p>
          <w:p>
            <w:pPr>
              <w:tabs>
                <w:tab w:val="left" w:pos="0"/>
              </w:tabs>
              <w:spacing w:line="360" w:lineRule="auto"/>
              <w:ind w:left="506" w:leftChars="241"/>
              <w:rPr>
                <w:rFonts w:hint="eastAsia" w:ascii="宋体" w:hAnsi="宋体"/>
                <w:b w:val="0"/>
                <w:bCs/>
                <w:sz w:val="24"/>
                <w:lang w:eastAsia="zh-CN"/>
              </w:rPr>
            </w:pPr>
            <w:r>
              <w:rPr>
                <w:rFonts w:hint="eastAsia" w:ascii="宋体" w:hAnsi="宋体"/>
                <w:b w:val="0"/>
                <w:bCs/>
                <w:sz w:val="24"/>
              </w:rPr>
              <w:t>投标人应提供企业最近半年完税证明、信用证明材料（征信报告）</w:t>
            </w:r>
            <w:r>
              <w:rPr>
                <w:rFonts w:hint="eastAsia" w:ascii="宋体" w:hAnsi="宋体"/>
                <w:b w:val="0"/>
                <w:bCs/>
                <w:sz w:val="24"/>
                <w:lang w:eastAsia="zh-CN"/>
              </w:rPr>
              <w:t>；</w:t>
            </w:r>
          </w:p>
          <w:p>
            <w:pPr>
              <w:tabs>
                <w:tab w:val="left" w:pos="0"/>
              </w:tabs>
              <w:spacing w:line="360" w:lineRule="auto"/>
              <w:ind w:left="506" w:leftChars="241"/>
              <w:rPr>
                <w:rFonts w:ascii="宋体" w:hAnsi="宋体"/>
                <w:b w:val="0"/>
                <w:bCs/>
                <w:sz w:val="24"/>
              </w:rPr>
            </w:pPr>
            <w:r>
              <w:rPr>
                <w:rFonts w:hint="eastAsia" w:ascii="宋体" w:hAnsi="宋体"/>
                <w:b w:val="0"/>
                <w:bCs/>
                <w:sz w:val="24"/>
              </w:rPr>
              <w:t>投标人认为对其投标有利的其他资料。</w:t>
            </w:r>
          </w:p>
          <w:p>
            <w:pPr>
              <w:spacing w:line="360" w:lineRule="auto"/>
              <w:ind w:firstLine="525" w:firstLineChars="218"/>
              <w:rPr>
                <w:rFonts w:ascii="宋体" w:hAnsi="宋体" w:cs="宋体"/>
                <w:b/>
                <w:bCs/>
                <w:sz w:val="24"/>
                <w:szCs w:val="24"/>
              </w:rPr>
            </w:pPr>
            <w:r>
              <w:rPr>
                <w:rFonts w:hint="eastAsia" w:ascii="宋体" w:hAnsi="宋体" w:cs="宋体"/>
                <w:b/>
                <w:bCs/>
                <w:sz w:val="24"/>
              </w:rPr>
              <w:t>注：投标方资质文件不全的，招标人有权视情况要求补齐或者退出。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00" w:hRule="atLeast"/>
          <w:jc w:val="center"/>
        </w:trPr>
        <w:tc>
          <w:tcPr>
            <w:tcW w:w="8958" w:type="dxa"/>
            <w:gridSpan w:val="2"/>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sz w:val="24"/>
                <w:szCs w:val="24"/>
              </w:rPr>
            </w:pPr>
            <w:r>
              <w:rPr>
                <w:rFonts w:hint="eastAsia" w:ascii="宋体" w:hAnsi="宋体" w:cs="宋体"/>
                <w:b/>
                <w:bCs/>
                <w:sz w:val="24"/>
              </w:rPr>
              <w:t>评标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3" w:hRule="atLeast"/>
          <w:jc w:val="center"/>
        </w:trPr>
        <w:tc>
          <w:tcPr>
            <w:tcW w:w="653"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hint="eastAsia" w:ascii="宋体" w:hAnsi="宋体" w:eastAsia="宋体"/>
                <w:sz w:val="24"/>
                <w:szCs w:val="24"/>
                <w:lang w:eastAsia="zh-CN"/>
              </w:rPr>
            </w:pPr>
            <w:r>
              <w:rPr>
                <w:rFonts w:hint="eastAsia" w:ascii="宋体" w:hAnsi="宋体" w:cs="宋体"/>
                <w:sz w:val="24"/>
              </w:rPr>
              <w:t>1</w:t>
            </w:r>
            <w:r>
              <w:rPr>
                <w:rFonts w:hint="eastAsia" w:ascii="宋体" w:hAnsi="宋体" w:cs="宋体"/>
                <w:sz w:val="24"/>
                <w:lang w:val="en-US" w:eastAsia="zh-CN"/>
              </w:rPr>
              <w:t>4</w:t>
            </w:r>
          </w:p>
        </w:tc>
        <w:tc>
          <w:tcPr>
            <w:tcW w:w="8305" w:type="dxa"/>
            <w:tcBorders>
              <w:top w:val="single" w:color="auto" w:sz="2" w:space="0"/>
              <w:left w:val="single" w:color="auto" w:sz="2" w:space="0"/>
              <w:bottom w:val="single" w:color="auto" w:sz="2" w:space="0"/>
              <w:right w:val="single" w:color="auto" w:sz="2" w:space="0"/>
            </w:tcBorders>
            <w:vAlign w:val="center"/>
          </w:tcPr>
          <w:p>
            <w:pPr>
              <w:spacing w:line="360" w:lineRule="auto"/>
              <w:ind w:firstLine="523" w:firstLineChars="218"/>
              <w:rPr>
                <w:rFonts w:ascii="宋体" w:hAnsi="宋体" w:cs="宋体"/>
                <w:sz w:val="24"/>
                <w:szCs w:val="24"/>
              </w:rPr>
            </w:pPr>
            <w:r>
              <w:rPr>
                <w:rFonts w:hint="eastAsia" w:ascii="宋体" w:hAnsi="宋体" w:cs="宋体"/>
                <w:sz w:val="24"/>
              </w:rPr>
              <w:t>评标委员会组成：招标人将根据本项目的特点组建评标委员会，技术专家组和商务专家组成员一致，由五人或以上单数组成。</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3" w:hRule="atLeast"/>
          <w:jc w:val="center"/>
        </w:trPr>
        <w:tc>
          <w:tcPr>
            <w:tcW w:w="653"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hint="eastAsia" w:ascii="宋体" w:hAnsi="宋体" w:eastAsia="宋体"/>
                <w:sz w:val="24"/>
                <w:szCs w:val="24"/>
                <w:lang w:eastAsia="zh-CN"/>
              </w:rPr>
            </w:pPr>
            <w:r>
              <w:rPr>
                <w:rFonts w:hint="eastAsia" w:ascii="宋体" w:hAnsi="宋体" w:cs="宋体"/>
                <w:sz w:val="24"/>
              </w:rPr>
              <w:t>1</w:t>
            </w:r>
            <w:r>
              <w:rPr>
                <w:rFonts w:hint="eastAsia" w:ascii="宋体" w:hAnsi="宋体" w:cs="宋体"/>
                <w:sz w:val="24"/>
                <w:lang w:val="en-US" w:eastAsia="zh-CN"/>
              </w:rPr>
              <w:t>5</w:t>
            </w:r>
          </w:p>
        </w:tc>
        <w:tc>
          <w:tcPr>
            <w:tcW w:w="8305" w:type="dxa"/>
            <w:tcBorders>
              <w:top w:val="single" w:color="auto" w:sz="2" w:space="0"/>
              <w:left w:val="single" w:color="auto" w:sz="2" w:space="0"/>
              <w:bottom w:val="single" w:color="auto" w:sz="2" w:space="0"/>
              <w:right w:val="single" w:color="auto" w:sz="2" w:space="0"/>
            </w:tcBorders>
            <w:vAlign w:val="center"/>
          </w:tcPr>
          <w:p>
            <w:pPr>
              <w:pStyle w:val="9"/>
              <w:spacing w:after="0" w:line="360" w:lineRule="auto"/>
              <w:ind w:firstLine="480" w:firstLineChars="200"/>
              <w:rPr>
                <w:rFonts w:hint="default" w:ascii="宋体" w:hAnsi="宋体" w:eastAsia="宋体" w:cs="宋体"/>
                <w:kern w:val="2"/>
                <w:sz w:val="24"/>
                <w:lang w:val="en-US" w:eastAsia="zh-CN"/>
              </w:rPr>
            </w:pPr>
            <w:bookmarkStart w:id="80" w:name="OLE_LINK1"/>
            <w:r>
              <w:rPr>
                <w:rFonts w:hint="eastAsia" w:ascii="宋体" w:hAnsi="宋体" w:cs="宋体"/>
                <w:kern w:val="2"/>
                <w:sz w:val="24"/>
              </w:rPr>
              <w:t>本次评标采用资质审查、商务唱标、技术评标、商务</w:t>
            </w:r>
            <w:r>
              <w:rPr>
                <w:rFonts w:hint="eastAsia" w:ascii="宋体" w:hAnsi="宋体" w:cs="宋体"/>
                <w:kern w:val="2"/>
                <w:sz w:val="24"/>
                <w:lang w:val="en-US" w:eastAsia="zh-CN"/>
              </w:rPr>
              <w:t>竞价</w:t>
            </w:r>
            <w:r>
              <w:rPr>
                <w:rFonts w:hint="eastAsia" w:ascii="宋体" w:hAnsi="宋体" w:cs="宋体"/>
                <w:kern w:val="2"/>
                <w:sz w:val="24"/>
              </w:rPr>
              <w:t>四个阶段开标模式。首先进行资质审查，符合资质的投标方进入</w:t>
            </w:r>
            <w:r>
              <w:rPr>
                <w:rFonts w:hint="eastAsia" w:ascii="宋体" w:hAnsi="宋体" w:cs="宋体"/>
                <w:kern w:val="2"/>
                <w:sz w:val="24"/>
                <w:lang w:val="en-US" w:eastAsia="zh-CN"/>
              </w:rPr>
              <w:t>技术标评价</w:t>
            </w:r>
            <w:r>
              <w:rPr>
                <w:rFonts w:hint="eastAsia" w:ascii="宋体" w:hAnsi="宋体" w:cs="宋体"/>
                <w:kern w:val="2"/>
                <w:sz w:val="24"/>
              </w:rPr>
              <w:t>，技术标评审由技术评标专家组对所有投标方的技术标部分综合评定和打分，技术标满分100分</w:t>
            </w:r>
            <w:r>
              <w:rPr>
                <w:rFonts w:hint="eastAsia" w:ascii="宋体" w:hAnsi="宋体" w:cs="宋体"/>
                <w:kern w:val="2"/>
                <w:sz w:val="24"/>
                <w:lang w:eastAsia="zh-CN"/>
              </w:rPr>
              <w:t>，</w:t>
            </w:r>
            <w:r>
              <w:rPr>
                <w:rFonts w:hint="eastAsia" w:ascii="宋体" w:hAnsi="宋体" w:cs="宋体"/>
                <w:kern w:val="2"/>
                <w:sz w:val="24"/>
                <w:lang w:val="en-US" w:eastAsia="zh-CN"/>
              </w:rPr>
              <w:t>60分为最低入围标准，根据评标现场情况由评标专家组确定入围名单（</w:t>
            </w:r>
            <w:r>
              <w:rPr>
                <w:rFonts w:hint="eastAsia" w:ascii="宋体" w:hAnsi="宋体" w:cs="宋体"/>
                <w:kern w:val="2"/>
                <w:sz w:val="24"/>
                <w:highlight w:val="yellow"/>
                <w:lang w:val="en-US" w:eastAsia="zh-CN"/>
              </w:rPr>
              <w:t>技术标中的运营得分按照新驾送合同期（7-10月）的得分计算，新供方运营评价不得分</w:t>
            </w:r>
            <w:r>
              <w:rPr>
                <w:rFonts w:hint="eastAsia" w:ascii="宋体" w:hAnsi="宋体" w:cs="宋体"/>
                <w:kern w:val="2"/>
                <w:sz w:val="24"/>
                <w:lang w:val="en-US" w:eastAsia="zh-CN"/>
              </w:rPr>
              <w:t>）；</w:t>
            </w:r>
            <w:r>
              <w:rPr>
                <w:rFonts w:hint="eastAsia" w:ascii="宋体" w:hAnsi="宋体" w:cs="宋体"/>
                <w:kern w:val="2"/>
                <w:sz w:val="24"/>
                <w:highlight w:val="yellow"/>
                <w:lang w:val="en-US" w:eastAsia="zh-CN"/>
              </w:rPr>
              <w:t>商务标每轮至少淘汰一家报价最高的投标方，最终轮次每条线路保留报价最低的2家投标方</w:t>
            </w:r>
            <w:r>
              <w:rPr>
                <w:rFonts w:hint="eastAsia" w:ascii="宋体" w:hAnsi="宋体" w:cs="宋体"/>
                <w:kern w:val="2"/>
                <w:sz w:val="24"/>
              </w:rPr>
              <w:t>。</w:t>
            </w:r>
            <w:r>
              <w:rPr>
                <w:rFonts w:hint="eastAsia" w:ascii="宋体" w:hAnsi="宋体" w:cs="宋体"/>
                <w:kern w:val="2"/>
                <w:sz w:val="24"/>
                <w:highlight w:val="none"/>
              </w:rPr>
              <w:t>招标人有权根据项目情况，采取多轮评标模式，</w:t>
            </w:r>
            <w:r>
              <w:rPr>
                <w:rFonts w:hint="eastAsia" w:ascii="宋体" w:hAnsi="宋体" w:cs="宋体"/>
                <w:kern w:val="2"/>
                <w:sz w:val="24"/>
                <w:highlight w:val="yellow"/>
              </w:rPr>
              <w:t>最终根据</w:t>
            </w:r>
            <w:r>
              <w:rPr>
                <w:rFonts w:hint="eastAsia" w:ascii="宋体" w:hAnsi="宋体" w:cs="宋体"/>
                <w:kern w:val="2"/>
                <w:sz w:val="24"/>
                <w:highlight w:val="yellow"/>
                <w:lang w:val="en-US" w:eastAsia="zh-CN"/>
              </w:rPr>
              <w:t>商务标报价</w:t>
            </w:r>
            <w:r>
              <w:rPr>
                <w:rFonts w:hint="eastAsia" w:ascii="宋体" w:hAnsi="宋体" w:cs="宋体"/>
                <w:kern w:val="2"/>
                <w:sz w:val="24"/>
                <w:highlight w:val="yellow"/>
              </w:rPr>
              <w:t>确定中标方和备用方</w:t>
            </w:r>
            <w:r>
              <w:rPr>
                <w:rFonts w:hint="eastAsia" w:ascii="宋体" w:hAnsi="宋体" w:cs="宋体"/>
                <w:kern w:val="2"/>
                <w:sz w:val="24"/>
                <w:highlight w:val="yellow"/>
                <w:lang w:eastAsia="zh-CN"/>
              </w:rPr>
              <w:t>（</w:t>
            </w:r>
            <w:r>
              <w:rPr>
                <w:rFonts w:hint="eastAsia" w:ascii="宋体" w:hAnsi="宋体" w:cs="宋体"/>
                <w:kern w:val="2"/>
                <w:sz w:val="24"/>
                <w:highlight w:val="yellow"/>
                <w:lang w:val="en-US" w:eastAsia="zh-CN"/>
              </w:rPr>
              <w:t>商务标报价相同时，优先选用技术标得分高的投标方）备选方签备选合同，当第一中标人无法按照约定执行时，由备选方履约，价格执行第一中标人价格</w:t>
            </w:r>
            <w:r>
              <w:rPr>
                <w:rFonts w:hint="eastAsia" w:ascii="宋体" w:hAnsi="宋体" w:cs="宋体"/>
                <w:kern w:val="2"/>
                <w:sz w:val="24"/>
                <w:highlight w:val="none"/>
              </w:rPr>
              <w:t>，对未中标人不做任何解释。</w:t>
            </w:r>
            <w:bookmarkEnd w:id="80"/>
          </w:p>
        </w:tc>
      </w:tr>
    </w:tbl>
    <w:p>
      <w:pPr>
        <w:pStyle w:val="7"/>
        <w:tabs>
          <w:tab w:val="left" w:pos="1146"/>
        </w:tabs>
        <w:spacing w:line="360" w:lineRule="auto"/>
        <w:ind w:left="0" w:leftChars="0" w:firstLine="0" w:firstLineChars="0"/>
        <w:rPr>
          <w:rFonts w:ascii="宋体" w:hAnsi="宋体" w:cs="宋体"/>
          <w:b/>
          <w:bCs/>
          <w:sz w:val="32"/>
          <w:szCs w:val="32"/>
        </w:rPr>
      </w:pPr>
    </w:p>
    <w:bookmarkEnd w:id="79"/>
    <w:p>
      <w:pPr>
        <w:pStyle w:val="20"/>
        <w:numPr>
          <w:ilvl w:val="0"/>
          <w:numId w:val="1"/>
        </w:numPr>
        <w:tabs>
          <w:tab w:val="right" w:leader="dot" w:pos="9061"/>
        </w:tabs>
        <w:spacing w:line="360" w:lineRule="auto"/>
        <w:ind w:firstLineChars="0"/>
        <w:jc w:val="center"/>
        <w:outlineLvl w:val="0"/>
        <w:rPr>
          <w:b/>
          <w:iCs/>
          <w:vanish/>
          <w:sz w:val="40"/>
          <w:szCs w:val="21"/>
        </w:rPr>
      </w:pPr>
      <w:bookmarkStart w:id="81" w:name="_Toc142572977"/>
      <w:bookmarkEnd w:id="81"/>
      <w:bookmarkStart w:id="82" w:name="_Toc142573484"/>
      <w:bookmarkEnd w:id="82"/>
      <w:bookmarkStart w:id="83" w:name="_Toc142572942"/>
      <w:bookmarkEnd w:id="83"/>
      <w:bookmarkStart w:id="84" w:name="_Toc129697446"/>
      <w:bookmarkEnd w:id="84"/>
      <w:bookmarkStart w:id="85" w:name="_Toc129693890"/>
      <w:bookmarkEnd w:id="85"/>
      <w:bookmarkStart w:id="86" w:name="_Toc142573115"/>
      <w:bookmarkEnd w:id="86"/>
      <w:bookmarkStart w:id="87" w:name="_Toc142573648"/>
      <w:bookmarkEnd w:id="87"/>
      <w:bookmarkStart w:id="88" w:name="_Toc142573023"/>
      <w:bookmarkEnd w:id="88"/>
    </w:p>
    <w:p>
      <w:pPr>
        <w:pStyle w:val="20"/>
        <w:keepNext/>
        <w:keepLines/>
        <w:numPr>
          <w:ilvl w:val="1"/>
          <w:numId w:val="1"/>
        </w:numPr>
        <w:spacing w:line="360" w:lineRule="auto"/>
        <w:ind w:left="0" w:firstLine="562"/>
        <w:jc w:val="left"/>
        <w:outlineLvl w:val="1"/>
        <w:rPr>
          <w:b/>
          <w:vanish/>
          <w:kern w:val="0"/>
          <w:sz w:val="28"/>
          <w:szCs w:val="36"/>
        </w:rPr>
      </w:pPr>
      <w:bookmarkStart w:id="89" w:name="_Toc129692727"/>
      <w:bookmarkEnd w:id="89"/>
      <w:bookmarkStart w:id="90" w:name="_Toc142573116"/>
      <w:bookmarkEnd w:id="90"/>
      <w:bookmarkStart w:id="91" w:name="_Toc142573485"/>
      <w:bookmarkEnd w:id="91"/>
      <w:bookmarkStart w:id="92" w:name="_Toc129695607"/>
      <w:bookmarkEnd w:id="92"/>
      <w:bookmarkStart w:id="93" w:name="_Toc142573024"/>
      <w:bookmarkEnd w:id="93"/>
      <w:bookmarkStart w:id="94" w:name="_Toc129693375"/>
      <w:bookmarkEnd w:id="94"/>
      <w:bookmarkStart w:id="95" w:name="_Toc129697447"/>
      <w:bookmarkEnd w:id="95"/>
      <w:bookmarkStart w:id="96" w:name="_Toc142573649"/>
      <w:bookmarkEnd w:id="96"/>
      <w:bookmarkStart w:id="97" w:name="_Toc142572978"/>
      <w:bookmarkEnd w:id="97"/>
      <w:bookmarkStart w:id="98" w:name="_Toc142572943"/>
      <w:bookmarkEnd w:id="98"/>
      <w:bookmarkStart w:id="99" w:name="_Toc129693891"/>
      <w:bookmarkEnd w:id="99"/>
      <w:bookmarkStart w:id="100" w:name="_Toc129692644"/>
      <w:bookmarkEnd w:id="100"/>
      <w:bookmarkStart w:id="101" w:name="_Toc129692790"/>
      <w:bookmarkEnd w:id="101"/>
    </w:p>
    <w:p>
      <w:pPr>
        <w:pStyle w:val="5"/>
        <w:numPr>
          <w:ilvl w:val="1"/>
          <w:numId w:val="0"/>
        </w:numPr>
        <w:spacing w:before="0" w:beforeLines="0" w:line="360" w:lineRule="auto"/>
        <w:ind w:firstLine="562" w:firstLineChars="200"/>
        <w:rPr>
          <w:sz w:val="28"/>
          <w:szCs w:val="28"/>
        </w:rPr>
      </w:pPr>
      <w:bookmarkStart w:id="102" w:name="_Toc14174"/>
      <w:bookmarkStart w:id="103" w:name="_Toc31420"/>
      <w:bookmarkStart w:id="104" w:name="_Toc10842"/>
      <w:r>
        <w:rPr>
          <w:rFonts w:hint="eastAsia"/>
          <w:sz w:val="28"/>
          <w:szCs w:val="28"/>
          <w:lang w:val="en-US" w:eastAsia="zh-CN"/>
        </w:rPr>
        <w:t>2.2</w:t>
      </w:r>
      <w:r>
        <w:rPr>
          <w:rFonts w:hint="eastAsia"/>
          <w:sz w:val="28"/>
          <w:szCs w:val="28"/>
        </w:rPr>
        <w:t>投标文件编写</w:t>
      </w:r>
      <w:bookmarkEnd w:id="102"/>
      <w:bookmarkEnd w:id="103"/>
      <w:bookmarkEnd w:id="104"/>
    </w:p>
    <w:p>
      <w:pPr>
        <w:pStyle w:val="6"/>
        <w:numPr>
          <w:ilvl w:val="2"/>
          <w:numId w:val="0"/>
        </w:numPr>
        <w:ind w:leftChars="200"/>
      </w:pPr>
      <w:bookmarkStart w:id="105" w:name="_Toc92678113"/>
      <w:bookmarkStart w:id="106" w:name="_Toc212369512"/>
      <w:r>
        <w:rPr>
          <w:rFonts w:hint="eastAsia"/>
          <w:lang w:val="en-US" w:eastAsia="zh-CN"/>
        </w:rPr>
        <w:t>2.2.1</w:t>
      </w:r>
      <w:r>
        <w:rPr>
          <w:rFonts w:hint="eastAsia"/>
        </w:rPr>
        <w:t>投标报价语言及计量单位</w:t>
      </w:r>
      <w:bookmarkEnd w:id="105"/>
      <w:bookmarkEnd w:id="106"/>
    </w:p>
    <w:p>
      <w:pPr>
        <w:tabs>
          <w:tab w:val="left" w:pos="6313"/>
        </w:tabs>
        <w:spacing w:line="360" w:lineRule="auto"/>
        <w:ind w:firstLine="480" w:firstLineChars="200"/>
        <w:rPr>
          <w:rFonts w:ascii="宋体" w:hAnsi="宋体"/>
          <w:sz w:val="24"/>
        </w:rPr>
      </w:pPr>
      <w:r>
        <w:rPr>
          <w:rFonts w:ascii="宋体" w:hAnsi="宋体"/>
          <w:sz w:val="24"/>
        </w:rPr>
        <w:t>投标文件和与投标有关的所有文件均应使用</w:t>
      </w:r>
      <w:r>
        <w:rPr>
          <w:rFonts w:hint="eastAsia" w:ascii="宋体" w:hAnsi="宋体"/>
          <w:sz w:val="24"/>
        </w:rPr>
        <w:t>中文。</w:t>
      </w:r>
    </w:p>
    <w:p>
      <w:pPr>
        <w:tabs>
          <w:tab w:val="left" w:pos="6313"/>
        </w:tabs>
        <w:spacing w:line="360" w:lineRule="auto"/>
        <w:ind w:firstLine="480" w:firstLineChars="200"/>
        <w:rPr>
          <w:rFonts w:ascii="宋体" w:hAnsi="宋体"/>
          <w:sz w:val="24"/>
        </w:rPr>
      </w:pPr>
      <w:r>
        <w:rPr>
          <w:rFonts w:hint="eastAsia" w:ascii="宋体" w:hAnsi="宋体"/>
          <w:sz w:val="24"/>
        </w:rPr>
        <w:t>除投标文件的技术规格中另有规定外，投标文件中所使用的计量单位应为中华人民共和国法定计量单位。</w:t>
      </w:r>
    </w:p>
    <w:p>
      <w:pPr>
        <w:pStyle w:val="6"/>
        <w:numPr>
          <w:ilvl w:val="2"/>
          <w:numId w:val="0"/>
        </w:numPr>
        <w:ind w:leftChars="200"/>
      </w:pPr>
      <w:bookmarkStart w:id="107" w:name="_Toc212369513"/>
      <w:bookmarkStart w:id="108" w:name="_Toc92678114"/>
      <w:r>
        <w:rPr>
          <w:rFonts w:hint="eastAsia"/>
          <w:lang w:val="en-US" w:eastAsia="zh-CN"/>
        </w:rPr>
        <w:t>2.2.2</w:t>
      </w:r>
      <w:r>
        <w:rPr>
          <w:rFonts w:hint="eastAsia"/>
        </w:rPr>
        <w:t>投标文件组成</w:t>
      </w:r>
      <w:bookmarkEnd w:id="107"/>
      <w:bookmarkEnd w:id="108"/>
    </w:p>
    <w:p>
      <w:pPr>
        <w:spacing w:line="360" w:lineRule="auto"/>
        <w:ind w:firstLine="482" w:firstLineChars="200"/>
        <w:rPr>
          <w:rFonts w:hint="eastAsia" w:ascii="宋体" w:hAnsi="宋体" w:cs="宋体"/>
          <w:b/>
          <w:bCs/>
          <w:sz w:val="24"/>
          <w:lang w:eastAsia="zh-CN"/>
        </w:rPr>
      </w:pPr>
      <w:r>
        <w:rPr>
          <w:rFonts w:hint="eastAsia" w:ascii="宋体" w:hAnsi="宋体" w:cs="宋体"/>
          <w:b/>
          <w:bCs/>
          <w:sz w:val="24"/>
        </w:rPr>
        <w:t>投标人的投标文件由资格证明文件、商务标、开标一览表构成，如因投标文件混装等问题造成的废标等后果均由投标方承担</w:t>
      </w:r>
      <w:r>
        <w:rPr>
          <w:rFonts w:hint="eastAsia" w:ascii="宋体" w:hAnsi="宋体" w:cs="宋体"/>
          <w:b/>
          <w:bCs/>
          <w:sz w:val="24"/>
          <w:lang w:eastAsia="zh-CN"/>
        </w:rPr>
        <w:t>。</w:t>
      </w:r>
    </w:p>
    <w:p>
      <w:pPr>
        <w:pStyle w:val="6"/>
        <w:numPr>
          <w:ilvl w:val="2"/>
          <w:numId w:val="0"/>
        </w:numPr>
        <w:ind w:leftChars="200"/>
      </w:pPr>
      <w:bookmarkStart w:id="109" w:name="_Toc212369515"/>
      <w:r>
        <w:rPr>
          <w:rFonts w:hint="eastAsia"/>
          <w:lang w:val="en-US" w:eastAsia="zh-CN"/>
        </w:rPr>
        <w:t>2.2.3</w:t>
      </w:r>
      <w:r>
        <w:rPr>
          <w:rFonts w:hint="eastAsia"/>
        </w:rPr>
        <w:t>技术部分：</w:t>
      </w:r>
      <w:bookmarkEnd w:id="109"/>
      <w:r>
        <w:rPr>
          <w:rFonts w:hint="eastAsia"/>
        </w:rPr>
        <w:t>（顺序与评分办法一致）</w:t>
      </w:r>
    </w:p>
    <w:p>
      <w:pPr>
        <w:spacing w:line="360" w:lineRule="auto"/>
        <w:ind w:firstLine="480" w:firstLineChars="200"/>
        <w:rPr>
          <w:rFonts w:hint="eastAsia" w:ascii="宋体" w:hAnsi="宋体" w:cs="宋体"/>
          <w:b/>
          <w:bCs/>
          <w:sz w:val="24"/>
          <w:lang w:eastAsia="zh-CN"/>
        </w:rPr>
      </w:pPr>
      <w:r>
        <w:rPr>
          <w:rFonts w:hint="eastAsia" w:ascii="宋体" w:hAnsi="宋体"/>
          <w:sz w:val="24"/>
        </w:rPr>
        <w:t>为提高评标效率，请投标人按照技术部分所列的资料清单内容及顺序编制技术部分投标文件，如投标人未按照以下内容及顺序编制招标文件技术部分，可能会影响技术部分得分，请各投标单位务必注意。</w:t>
      </w:r>
    </w:p>
    <w:p>
      <w:pPr>
        <w:pStyle w:val="6"/>
        <w:numPr>
          <w:ilvl w:val="2"/>
          <w:numId w:val="0"/>
        </w:numPr>
        <w:ind w:leftChars="200"/>
      </w:pPr>
      <w:bookmarkStart w:id="110" w:name="_Toc212369514"/>
      <w:r>
        <w:rPr>
          <w:rFonts w:hint="eastAsia"/>
          <w:lang w:val="en-US" w:eastAsia="zh-CN"/>
        </w:rPr>
        <w:t>2.2.4</w:t>
      </w:r>
      <w:r>
        <w:rPr>
          <w:rFonts w:hint="eastAsia"/>
        </w:rPr>
        <w:t>商务部分：</w:t>
      </w:r>
      <w:bookmarkEnd w:id="110"/>
    </w:p>
    <w:p>
      <w:pPr>
        <w:numPr>
          <w:ilvl w:val="0"/>
          <w:numId w:val="5"/>
        </w:numPr>
        <w:spacing w:line="360" w:lineRule="auto"/>
        <w:ind w:firstLine="578" w:firstLineChars="241"/>
        <w:rPr>
          <w:rFonts w:ascii="宋体" w:hAnsi="宋体"/>
          <w:sz w:val="24"/>
        </w:rPr>
      </w:pPr>
      <w:r>
        <w:rPr>
          <w:rFonts w:hint="eastAsia" w:ascii="宋体" w:hAnsi="宋体"/>
          <w:sz w:val="24"/>
        </w:rPr>
        <w:t>开标一览表；</w:t>
      </w:r>
    </w:p>
    <w:p>
      <w:pPr>
        <w:numPr>
          <w:ilvl w:val="0"/>
          <w:numId w:val="5"/>
        </w:numPr>
        <w:spacing w:line="360" w:lineRule="auto"/>
        <w:ind w:firstLine="578" w:firstLineChars="241"/>
        <w:rPr>
          <w:rFonts w:ascii="宋体" w:hAnsi="宋体"/>
          <w:sz w:val="24"/>
        </w:rPr>
      </w:pPr>
      <w:r>
        <w:rPr>
          <w:rFonts w:hint="eastAsia" w:ascii="宋体" w:hAnsi="宋体"/>
          <w:sz w:val="24"/>
        </w:rPr>
        <w:t>投标函；</w:t>
      </w:r>
    </w:p>
    <w:p>
      <w:pPr>
        <w:numPr>
          <w:ilvl w:val="0"/>
          <w:numId w:val="5"/>
        </w:numPr>
        <w:spacing w:line="360" w:lineRule="auto"/>
        <w:ind w:firstLine="578" w:firstLineChars="241"/>
        <w:rPr>
          <w:rFonts w:ascii="宋体" w:hAnsi="宋体"/>
          <w:sz w:val="24"/>
        </w:rPr>
      </w:pPr>
      <w:r>
        <w:rPr>
          <w:rFonts w:hint="eastAsia" w:ascii="宋体" w:hAnsi="宋体"/>
          <w:sz w:val="24"/>
        </w:rPr>
        <w:t>承诺书；</w:t>
      </w:r>
    </w:p>
    <w:p>
      <w:pPr>
        <w:numPr>
          <w:ilvl w:val="0"/>
          <w:numId w:val="5"/>
        </w:numPr>
        <w:spacing w:line="360" w:lineRule="auto"/>
        <w:ind w:firstLine="578" w:firstLineChars="241"/>
        <w:rPr>
          <w:rFonts w:ascii="宋体" w:hAnsi="宋体"/>
          <w:sz w:val="24"/>
        </w:rPr>
      </w:pPr>
      <w:r>
        <w:rPr>
          <w:rFonts w:hint="eastAsia" w:ascii="宋体" w:hAnsi="宋体"/>
          <w:sz w:val="24"/>
        </w:rPr>
        <w:t>授权委托书；</w:t>
      </w:r>
    </w:p>
    <w:p>
      <w:pPr>
        <w:tabs>
          <w:tab w:val="left" w:pos="0"/>
        </w:tabs>
        <w:spacing w:line="360" w:lineRule="auto"/>
        <w:ind w:firstLine="480" w:firstLineChars="200"/>
        <w:rPr>
          <w:rFonts w:ascii="宋体" w:hAnsi="宋体"/>
          <w:color w:val="000000"/>
          <w:sz w:val="24"/>
        </w:rPr>
      </w:pPr>
      <w:r>
        <w:rPr>
          <w:rFonts w:hint="eastAsia" w:ascii="宋体" w:hAnsi="宋体"/>
          <w:color w:val="000000"/>
          <w:sz w:val="24"/>
        </w:rPr>
        <w:t>开标一览表</w:t>
      </w:r>
      <w:r>
        <w:rPr>
          <w:rFonts w:hint="eastAsia" w:ascii="宋体" w:hAnsi="宋体"/>
          <w:color w:val="000000"/>
          <w:sz w:val="24"/>
          <w:lang w:eastAsia="zh-CN"/>
        </w:rPr>
        <w:t>（</w:t>
      </w:r>
      <w:r>
        <w:rPr>
          <w:rFonts w:hint="eastAsia" w:ascii="宋体" w:hAnsi="宋体"/>
          <w:b/>
          <w:bCs/>
          <w:color w:val="000000"/>
          <w:sz w:val="24"/>
        </w:rPr>
        <w:t>开标一览表填写，不准删减或更改行列！！！）</w:t>
      </w:r>
    </w:p>
    <w:p>
      <w:pPr>
        <w:spacing w:line="360" w:lineRule="auto"/>
        <w:ind w:left="571"/>
        <w:rPr>
          <w:rFonts w:ascii="宋体" w:hAnsi="宋体"/>
          <w:b/>
          <w:sz w:val="24"/>
          <w:u w:val="single"/>
        </w:rPr>
      </w:pPr>
      <w:r>
        <w:rPr>
          <w:rFonts w:hint="eastAsia" w:ascii="宋体" w:hAnsi="宋体"/>
          <w:b/>
          <w:sz w:val="24"/>
          <w:u w:val="single"/>
        </w:rPr>
        <w:t>注：招标文件给定格式的按给定的格式填写，未给定格式的，由投标人自行编制，但需包含以上内容。</w:t>
      </w:r>
    </w:p>
    <w:p>
      <w:pPr>
        <w:pStyle w:val="6"/>
        <w:numPr>
          <w:ilvl w:val="2"/>
          <w:numId w:val="0"/>
        </w:numPr>
        <w:ind w:leftChars="200"/>
      </w:pPr>
      <w:bookmarkStart w:id="111" w:name="_Toc212369518"/>
      <w:r>
        <w:rPr>
          <w:rFonts w:hint="eastAsia"/>
          <w:lang w:val="en-US" w:eastAsia="zh-CN"/>
        </w:rPr>
        <w:t>2.2.5</w:t>
      </w:r>
      <w:r>
        <w:rPr>
          <w:rFonts w:hint="eastAsia"/>
        </w:rPr>
        <w:t>投标内容填写说明</w:t>
      </w:r>
      <w:bookmarkEnd w:id="111"/>
    </w:p>
    <w:p>
      <w:pPr>
        <w:numPr>
          <w:ilvl w:val="0"/>
          <w:numId w:val="6"/>
        </w:numPr>
        <w:tabs>
          <w:tab w:val="left" w:pos="0"/>
        </w:tabs>
        <w:spacing w:line="360" w:lineRule="auto"/>
        <w:ind w:firstLine="480" w:firstLineChars="200"/>
        <w:rPr>
          <w:rFonts w:ascii="宋体" w:hAnsi="宋体"/>
          <w:sz w:val="24"/>
        </w:rPr>
      </w:pPr>
      <w:r>
        <w:rPr>
          <w:rFonts w:hint="eastAsia" w:ascii="宋体" w:hAnsi="宋体"/>
          <w:sz w:val="24"/>
        </w:rPr>
        <w:t>投标文件按统一格式填写，装订成册。</w:t>
      </w:r>
    </w:p>
    <w:p>
      <w:pPr>
        <w:numPr>
          <w:ilvl w:val="0"/>
          <w:numId w:val="6"/>
        </w:numPr>
        <w:tabs>
          <w:tab w:val="left" w:pos="0"/>
        </w:tabs>
        <w:spacing w:line="360" w:lineRule="auto"/>
        <w:ind w:firstLine="480" w:firstLineChars="200"/>
        <w:rPr>
          <w:rFonts w:ascii="宋体" w:hAnsi="宋体"/>
          <w:b/>
          <w:sz w:val="24"/>
        </w:rPr>
      </w:pPr>
      <w:r>
        <w:rPr>
          <w:rFonts w:hint="eastAsia" w:ascii="宋体" w:hAnsi="宋体"/>
          <w:sz w:val="24"/>
        </w:rPr>
        <w:t>开标一览表为在开标仪式上唱标的内容，要求按格式填写、统一规范，不得自行增减内容。</w:t>
      </w:r>
    </w:p>
    <w:p>
      <w:pPr>
        <w:pStyle w:val="8"/>
        <w:spacing w:line="360" w:lineRule="auto"/>
        <w:ind w:left="0" w:leftChars="0" w:firstLine="240" w:firstLineChars="100"/>
        <w:rPr>
          <w:rFonts w:hint="eastAsia" w:ascii="Times New Roman" w:hAnsi="Times New Roman" w:eastAsia="宋体" w:cs="Times New Roman"/>
          <w:bCs/>
          <w:kern w:val="0"/>
          <w:sz w:val="24"/>
          <w:szCs w:val="32"/>
          <w:lang w:val="en-US" w:eastAsia="zh-CN" w:bidi="ar-SA"/>
        </w:rPr>
      </w:pPr>
      <w:r>
        <w:rPr>
          <w:rFonts w:hint="eastAsia" w:ascii="宋体" w:hAnsi="宋体"/>
          <w:sz w:val="24"/>
        </w:rPr>
        <w:t>（3）</w:t>
      </w:r>
      <w:r>
        <w:rPr>
          <w:rFonts w:hint="eastAsia" w:ascii="Times New Roman" w:hAnsi="Times New Roman" w:eastAsia="宋体" w:cs="Times New Roman"/>
          <w:bCs/>
          <w:kern w:val="0"/>
          <w:sz w:val="24"/>
          <w:szCs w:val="32"/>
          <w:lang w:val="en-US" w:eastAsia="zh-CN" w:bidi="ar-SA"/>
        </w:rPr>
        <w:t>因采取线上开标+线下商谈，供应商自备电脑和U盘，便于上传文件进行报价。</w:t>
      </w:r>
    </w:p>
    <w:p>
      <w:pPr>
        <w:pStyle w:val="6"/>
        <w:numPr>
          <w:ilvl w:val="2"/>
          <w:numId w:val="0"/>
        </w:numPr>
        <w:ind w:leftChars="200"/>
        <w:rPr>
          <w:rFonts w:hint="eastAsia" w:ascii="Times New Roman" w:hAnsi="Times New Roman" w:eastAsia="宋体" w:cs="Times New Roman"/>
          <w:bCs/>
          <w:kern w:val="0"/>
          <w:sz w:val="24"/>
          <w:szCs w:val="32"/>
          <w:lang w:val="en-US" w:eastAsia="zh-CN" w:bidi="ar-SA"/>
        </w:rPr>
      </w:pPr>
      <w:bookmarkStart w:id="112" w:name="_Toc212369519"/>
      <w:r>
        <w:rPr>
          <w:rFonts w:hint="eastAsia" w:cs="Times New Roman"/>
          <w:bCs/>
          <w:kern w:val="0"/>
          <w:sz w:val="24"/>
          <w:szCs w:val="32"/>
          <w:lang w:val="en-US" w:eastAsia="zh-CN" w:bidi="ar-SA"/>
        </w:rPr>
        <w:t>2.2.6</w:t>
      </w:r>
      <w:r>
        <w:rPr>
          <w:rFonts w:hint="eastAsia" w:ascii="Times New Roman" w:hAnsi="Times New Roman" w:eastAsia="宋体" w:cs="Times New Roman"/>
          <w:bCs/>
          <w:kern w:val="0"/>
          <w:sz w:val="24"/>
          <w:szCs w:val="32"/>
          <w:lang w:val="en-US" w:eastAsia="zh-CN" w:bidi="ar-SA"/>
        </w:rPr>
        <w:t>投标报价</w:t>
      </w:r>
      <w:bookmarkEnd w:id="112"/>
    </w:p>
    <w:p>
      <w:pPr>
        <w:tabs>
          <w:tab w:val="left" w:pos="0"/>
        </w:tabs>
        <w:spacing w:line="360" w:lineRule="auto"/>
        <w:ind w:left="420" w:leftChars="200" w:firstLine="480" w:firstLineChars="200"/>
        <w:rPr>
          <w:rFonts w:hint="eastAsia" w:ascii="宋体" w:hAnsi="宋体" w:eastAsia="宋体"/>
          <w:color w:val="00B0F0"/>
          <w:sz w:val="24"/>
          <w:lang w:eastAsia="zh-CN"/>
        </w:rPr>
      </w:pPr>
      <w:bookmarkStart w:id="113" w:name="_Toc346306744"/>
      <w:bookmarkStart w:id="114" w:name="_Toc346372891"/>
      <w:bookmarkStart w:id="115" w:name="_Toc352332865"/>
      <w:r>
        <w:rPr>
          <w:rFonts w:hint="eastAsia" w:ascii="宋体" w:hAnsi="宋体" w:cs="宋体"/>
          <w:color w:val="00B0F0"/>
          <w:sz w:val="24"/>
          <w:szCs w:val="24"/>
        </w:rPr>
        <w:t xml:space="preserve"> </w:t>
      </w:r>
      <w:r>
        <w:rPr>
          <w:rFonts w:hint="eastAsia" w:ascii="Times New Roman" w:hAnsi="Times New Roman" w:eastAsia="宋体" w:cs="Times New Roman"/>
          <w:bCs/>
          <w:kern w:val="0"/>
          <w:sz w:val="24"/>
          <w:szCs w:val="32"/>
          <w:lang w:val="en-US" w:eastAsia="zh-CN" w:bidi="ar-SA"/>
        </w:rPr>
        <w:t>投标单位必须对所投板块内的线路进行报价。</w:t>
      </w:r>
    </w:p>
    <w:p>
      <w:pPr>
        <w:pStyle w:val="6"/>
        <w:numPr>
          <w:ilvl w:val="2"/>
          <w:numId w:val="0"/>
        </w:numPr>
        <w:ind w:leftChars="200"/>
      </w:pPr>
      <w:r>
        <w:rPr>
          <w:rFonts w:hint="eastAsia"/>
          <w:lang w:val="en-US" w:eastAsia="zh-CN"/>
        </w:rPr>
        <w:t>2.2.7</w:t>
      </w:r>
      <w:r>
        <w:rPr>
          <w:rFonts w:hint="eastAsia"/>
        </w:rPr>
        <w:t>投标文件签署</w:t>
      </w:r>
      <w:bookmarkEnd w:id="113"/>
      <w:bookmarkEnd w:id="114"/>
      <w:bookmarkEnd w:id="115"/>
    </w:p>
    <w:p>
      <w:pPr>
        <w:numPr>
          <w:ilvl w:val="0"/>
          <w:numId w:val="7"/>
        </w:numPr>
        <w:tabs>
          <w:tab w:val="left" w:pos="0"/>
        </w:tabs>
        <w:spacing w:line="360" w:lineRule="auto"/>
        <w:ind w:firstLine="480" w:firstLineChars="200"/>
        <w:rPr>
          <w:rFonts w:ascii="宋体" w:hAnsi="宋体" w:cs="宋体"/>
          <w:sz w:val="24"/>
          <w:szCs w:val="24"/>
        </w:rPr>
      </w:pPr>
      <w:r>
        <w:rPr>
          <w:rFonts w:hint="eastAsia" w:ascii="宋体" w:hAnsi="宋体" w:cs="宋体"/>
          <w:sz w:val="24"/>
          <w:szCs w:val="24"/>
        </w:rPr>
        <w:t>投标文件应加盖投标人单位公章（不得使用其他形式如带有“专用章”等字样的印章）并经法定代表人或其委托代理人签字，</w:t>
      </w:r>
      <w:r>
        <w:rPr>
          <w:rFonts w:hint="eastAsia" w:ascii="宋体" w:hAnsi="宋体" w:cs="宋体"/>
          <w:b/>
          <w:bCs/>
          <w:sz w:val="24"/>
          <w:szCs w:val="24"/>
        </w:rPr>
        <w:t>签字须使用黑色或蓝色不可褪色签字笔，由投标单位法人或委托代理人亲自签署</w:t>
      </w:r>
      <w:r>
        <w:rPr>
          <w:rFonts w:hint="eastAsia" w:ascii="宋体" w:hAnsi="宋体" w:cs="宋体"/>
          <w:sz w:val="24"/>
          <w:szCs w:val="24"/>
        </w:rPr>
        <w:t>，由委托代理人签字的投标文件中须附授权委托书。投标人代表必须按招标文件的规定签署投标文件（正本、副本及各附件）。</w:t>
      </w:r>
      <w:r>
        <w:rPr>
          <w:rFonts w:hint="eastAsia" w:ascii="宋体" w:hAnsi="宋体" w:cs="宋体"/>
          <w:bCs/>
          <w:sz w:val="24"/>
          <w:szCs w:val="24"/>
        </w:rPr>
        <w:t>否则，其投标文件按无效投标处理</w:t>
      </w:r>
      <w:r>
        <w:rPr>
          <w:rFonts w:hint="eastAsia" w:ascii="宋体" w:hAnsi="宋体" w:cs="宋体"/>
          <w:sz w:val="24"/>
          <w:szCs w:val="24"/>
        </w:rPr>
        <w:t>。</w:t>
      </w:r>
    </w:p>
    <w:p>
      <w:pPr>
        <w:numPr>
          <w:ilvl w:val="0"/>
          <w:numId w:val="7"/>
        </w:numPr>
        <w:tabs>
          <w:tab w:val="left" w:pos="0"/>
        </w:tabs>
        <w:spacing w:line="360" w:lineRule="auto"/>
        <w:ind w:firstLine="480" w:firstLineChars="200"/>
        <w:rPr>
          <w:rFonts w:ascii="宋体" w:hAnsi="宋体" w:cs="宋体"/>
          <w:sz w:val="24"/>
          <w:szCs w:val="24"/>
        </w:rPr>
      </w:pPr>
      <w:r>
        <w:rPr>
          <w:rFonts w:hint="eastAsia" w:ascii="宋体" w:hAnsi="宋体" w:cs="宋体"/>
          <w:sz w:val="24"/>
          <w:szCs w:val="24"/>
        </w:rPr>
        <w:t>本招标文件提供的投标文件格式中，标注有盖公章、签字之处，应有投标人的盖章、委托代理人的签字或法定代表人的签字或盖章。</w:t>
      </w:r>
    </w:p>
    <w:p>
      <w:pPr>
        <w:pStyle w:val="6"/>
        <w:numPr>
          <w:ilvl w:val="2"/>
          <w:numId w:val="0"/>
        </w:numPr>
        <w:ind w:leftChars="200"/>
      </w:pPr>
      <w:bookmarkStart w:id="116" w:name="_Toc352332866"/>
      <w:bookmarkStart w:id="117" w:name="_Toc346372892"/>
      <w:bookmarkStart w:id="118" w:name="_Toc346306745"/>
      <w:r>
        <w:rPr>
          <w:rFonts w:hint="eastAsia"/>
          <w:lang w:val="en-US" w:eastAsia="zh-CN"/>
        </w:rPr>
        <w:t>2.2.8</w:t>
      </w:r>
      <w:r>
        <w:rPr>
          <w:rFonts w:hint="eastAsia"/>
        </w:rPr>
        <w:t>投标文件密封和标记</w:t>
      </w:r>
      <w:bookmarkEnd w:id="116"/>
      <w:bookmarkEnd w:id="117"/>
      <w:bookmarkEnd w:id="118"/>
    </w:p>
    <w:p>
      <w:pPr>
        <w:numPr>
          <w:ilvl w:val="0"/>
          <w:numId w:val="8"/>
        </w:numPr>
        <w:tabs>
          <w:tab w:val="left" w:pos="0"/>
        </w:tabs>
        <w:spacing w:line="360" w:lineRule="auto"/>
        <w:ind w:firstLine="480" w:firstLineChars="200"/>
        <w:rPr>
          <w:rFonts w:ascii="宋体" w:hAnsi="宋体"/>
          <w:sz w:val="24"/>
          <w:szCs w:val="24"/>
        </w:rPr>
      </w:pPr>
      <w:r>
        <w:rPr>
          <w:rFonts w:hint="eastAsia" w:ascii="宋体" w:hAnsi="宋体" w:cs="宋体"/>
          <w:sz w:val="24"/>
          <w:szCs w:val="24"/>
        </w:rPr>
        <w:t>投标人应准备的投标文件份数见投标人须知前附表第9项，投标人应在每一份投标文件上注明“正本”或“副本”字样。</w:t>
      </w:r>
    </w:p>
    <w:p>
      <w:pPr>
        <w:numPr>
          <w:ilvl w:val="0"/>
          <w:numId w:val="8"/>
        </w:numPr>
        <w:tabs>
          <w:tab w:val="left" w:pos="0"/>
        </w:tabs>
        <w:spacing w:line="360" w:lineRule="auto"/>
        <w:ind w:firstLine="480" w:firstLineChars="200"/>
        <w:rPr>
          <w:rFonts w:ascii="宋体" w:hAnsi="宋体"/>
          <w:sz w:val="24"/>
          <w:szCs w:val="24"/>
        </w:rPr>
      </w:pPr>
      <w:r>
        <w:rPr>
          <w:rFonts w:hint="eastAsia" w:ascii="宋体" w:hAnsi="宋体" w:cs="宋体"/>
          <w:sz w:val="24"/>
          <w:szCs w:val="24"/>
        </w:rPr>
        <w:t>投标文件的密封和标记详见投标人须知前附表第10项。</w:t>
      </w:r>
    </w:p>
    <w:p>
      <w:pPr>
        <w:pStyle w:val="6"/>
        <w:numPr>
          <w:ilvl w:val="2"/>
          <w:numId w:val="0"/>
        </w:numPr>
        <w:bidi w:val="0"/>
        <w:ind w:leftChars="200"/>
        <w:rPr>
          <w:rFonts w:hint="eastAsia"/>
        </w:rPr>
      </w:pPr>
      <w:bookmarkStart w:id="119" w:name="_Toc352332867"/>
      <w:bookmarkStart w:id="120" w:name="_Toc346306746"/>
      <w:bookmarkStart w:id="121" w:name="_Toc346372893"/>
      <w:r>
        <w:rPr>
          <w:rFonts w:hint="eastAsia"/>
          <w:lang w:val="en-US" w:eastAsia="zh-CN"/>
        </w:rPr>
        <w:t xml:space="preserve">2.2.9 </w:t>
      </w:r>
      <w:r>
        <w:rPr>
          <w:rFonts w:hint="eastAsia"/>
        </w:rPr>
        <w:t>投标保证金</w:t>
      </w:r>
      <w:bookmarkEnd w:id="119"/>
      <w:bookmarkEnd w:id="120"/>
      <w:bookmarkEnd w:id="121"/>
    </w:p>
    <w:p>
      <w:pPr>
        <w:pStyle w:val="6"/>
        <w:numPr>
          <w:ilvl w:val="2"/>
          <w:numId w:val="0"/>
        </w:numPr>
        <w:bidi w:val="0"/>
        <w:rPr>
          <w:rFonts w:hint="default" w:eastAsia="宋体"/>
          <w:highlight w:val="none"/>
          <w:lang w:val="en-US" w:eastAsia="zh-CN"/>
        </w:rPr>
      </w:pPr>
      <w:r>
        <w:rPr>
          <w:rFonts w:hint="eastAsia"/>
          <w:lang w:val="en-US" w:eastAsia="zh-CN"/>
        </w:rPr>
        <w:t xml:space="preserve">    </w:t>
      </w:r>
      <w:r>
        <w:rPr>
          <w:rFonts w:hint="eastAsia"/>
          <w:highlight w:val="none"/>
          <w:lang w:val="en-US" w:eastAsia="zh-CN"/>
        </w:rPr>
        <w:t>（1）新供方：</w:t>
      </w:r>
      <w:r>
        <w:rPr>
          <w:rFonts w:hint="eastAsia" w:ascii="宋体" w:hAnsi="宋体" w:cs="宋体"/>
          <w:color w:val="000000"/>
          <w:sz w:val="24"/>
          <w:szCs w:val="24"/>
          <w:highlight w:val="none"/>
        </w:rPr>
        <w:t>未中标</w:t>
      </w:r>
      <w:r>
        <w:rPr>
          <w:rFonts w:hint="eastAsia" w:ascii="宋体" w:hAnsi="宋体" w:cs="宋体"/>
          <w:color w:val="000000"/>
          <w:sz w:val="24"/>
          <w:szCs w:val="24"/>
          <w:highlight w:val="none"/>
          <w:lang w:val="en-US" w:eastAsia="zh-CN"/>
        </w:rPr>
        <w:t>单位</w:t>
      </w:r>
      <w:r>
        <w:rPr>
          <w:rFonts w:hint="eastAsia" w:ascii="宋体" w:hAnsi="宋体" w:cs="宋体"/>
          <w:color w:val="000000"/>
          <w:sz w:val="24"/>
          <w:szCs w:val="24"/>
          <w:highlight w:val="none"/>
        </w:rPr>
        <w:t>在中标通知书发出后</w:t>
      </w:r>
      <w:r>
        <w:rPr>
          <w:rFonts w:hint="eastAsia" w:ascii="宋体" w:hAnsi="宋体" w:cs="宋体"/>
          <w:color w:val="000000"/>
          <w:sz w:val="24"/>
          <w:szCs w:val="24"/>
          <w:highlight w:val="none"/>
          <w:lang w:val="en-US" w:eastAsia="zh-CN"/>
        </w:rPr>
        <w:t>次月底前</w:t>
      </w:r>
      <w:r>
        <w:rPr>
          <w:rFonts w:hint="eastAsia" w:ascii="宋体" w:hAnsi="宋体" w:cs="宋体"/>
          <w:color w:val="000000"/>
          <w:sz w:val="24"/>
          <w:szCs w:val="24"/>
          <w:highlight w:val="none"/>
        </w:rPr>
        <w:t>，退还投标保证金；中标</w:t>
      </w:r>
      <w:r>
        <w:rPr>
          <w:rFonts w:hint="eastAsia" w:ascii="宋体" w:hAnsi="宋体" w:cs="宋体"/>
          <w:color w:val="000000"/>
          <w:sz w:val="24"/>
          <w:szCs w:val="24"/>
          <w:highlight w:val="none"/>
          <w:lang w:val="en-US" w:eastAsia="zh-CN"/>
        </w:rPr>
        <w:t>单位</w:t>
      </w:r>
      <w:r>
        <w:rPr>
          <w:rFonts w:hint="eastAsia" w:ascii="宋体" w:hAnsi="宋体" w:cs="宋体"/>
          <w:color w:val="000000"/>
          <w:sz w:val="24"/>
          <w:szCs w:val="24"/>
          <w:highlight w:val="none"/>
        </w:rPr>
        <w:t>在采购合同签订后</w:t>
      </w:r>
      <w:r>
        <w:rPr>
          <w:rFonts w:hint="eastAsia" w:ascii="宋体" w:hAnsi="宋体" w:cs="宋体"/>
          <w:color w:val="000000"/>
          <w:sz w:val="24"/>
          <w:szCs w:val="24"/>
          <w:highlight w:val="none"/>
          <w:lang w:val="en-US" w:eastAsia="zh-CN"/>
        </w:rPr>
        <w:t>次月底前</w:t>
      </w:r>
      <w:r>
        <w:rPr>
          <w:rFonts w:hint="eastAsia" w:ascii="宋体" w:hAnsi="宋体" w:cs="宋体"/>
          <w:color w:val="000000"/>
          <w:sz w:val="24"/>
          <w:szCs w:val="24"/>
          <w:highlight w:val="none"/>
        </w:rPr>
        <w:t>退还投标保证金</w:t>
      </w:r>
      <w:r>
        <w:rPr>
          <w:rFonts w:hint="eastAsia"/>
          <w:highlight w:val="none"/>
          <w:lang w:val="en-US" w:eastAsia="zh-CN"/>
        </w:rPr>
        <w:t>；</w:t>
      </w:r>
    </w:p>
    <w:p>
      <w:pPr>
        <w:pStyle w:val="2"/>
        <w:numPr>
          <w:ilvl w:val="-1"/>
          <w:numId w:val="0"/>
        </w:numPr>
        <w:spacing w:after="0" w:line="360" w:lineRule="auto"/>
        <w:ind w:left="0" w:firstLine="480" w:firstLineChars="200"/>
        <w:rPr>
          <w:rFonts w:hint="default" w:ascii="宋体" w:hAnsi="宋体" w:cs="宋体"/>
          <w:sz w:val="24"/>
          <w:szCs w:val="24"/>
          <w:highlight w:val="none"/>
          <w:lang w:val="en-US"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2</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现供方：</w:t>
      </w:r>
      <w:r>
        <w:rPr>
          <w:rFonts w:hint="eastAsia" w:ascii="宋体" w:hAnsi="宋体" w:cs="宋体"/>
          <w:sz w:val="24"/>
          <w:szCs w:val="24"/>
          <w:highlight w:val="none"/>
        </w:rPr>
        <w:t>未中标</w:t>
      </w:r>
      <w:r>
        <w:rPr>
          <w:rFonts w:hint="eastAsia" w:ascii="宋体" w:hAnsi="宋体" w:cs="宋体"/>
          <w:sz w:val="24"/>
          <w:szCs w:val="24"/>
          <w:highlight w:val="none"/>
          <w:lang w:val="en-US" w:eastAsia="zh-CN"/>
        </w:rPr>
        <w:t>单位</w:t>
      </w:r>
      <w:r>
        <w:rPr>
          <w:rFonts w:hint="eastAsia" w:ascii="宋体" w:hAnsi="宋体" w:cs="宋体"/>
          <w:sz w:val="24"/>
          <w:szCs w:val="24"/>
          <w:highlight w:val="none"/>
        </w:rPr>
        <w:t>的保证金，</w:t>
      </w:r>
      <w:r>
        <w:rPr>
          <w:rFonts w:hint="eastAsia" w:ascii="宋体" w:hAnsi="宋体" w:cs="宋体"/>
          <w:sz w:val="24"/>
          <w:szCs w:val="24"/>
          <w:highlight w:val="none"/>
          <w:lang w:val="en-US" w:eastAsia="zh-CN"/>
        </w:rPr>
        <w:t>投标保证金承诺函自动失效</w:t>
      </w:r>
      <w:r>
        <w:rPr>
          <w:rFonts w:hint="eastAsia" w:ascii="宋体" w:hAnsi="宋体" w:cs="宋体"/>
          <w:sz w:val="24"/>
          <w:szCs w:val="24"/>
          <w:highlight w:val="none"/>
        </w:rPr>
        <w:t>；中标</w:t>
      </w:r>
      <w:r>
        <w:rPr>
          <w:rFonts w:hint="eastAsia" w:ascii="宋体" w:hAnsi="宋体" w:cs="宋体"/>
          <w:sz w:val="24"/>
          <w:szCs w:val="24"/>
          <w:highlight w:val="none"/>
          <w:lang w:val="en-US" w:eastAsia="zh-CN"/>
        </w:rPr>
        <w:t>单位</w:t>
      </w:r>
      <w:r>
        <w:rPr>
          <w:rFonts w:hint="eastAsia" w:ascii="宋体" w:hAnsi="宋体" w:cs="宋体"/>
          <w:sz w:val="24"/>
          <w:szCs w:val="24"/>
          <w:highlight w:val="none"/>
        </w:rPr>
        <w:t>的保证金</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投标保证金承诺函在签订合同并缴纳履约保证金后自动失效。</w:t>
      </w:r>
    </w:p>
    <w:p>
      <w:pPr>
        <w:pStyle w:val="5"/>
        <w:numPr>
          <w:ilvl w:val="1"/>
          <w:numId w:val="0"/>
        </w:numPr>
        <w:spacing w:before="0" w:beforeLines="0" w:line="360" w:lineRule="auto"/>
        <w:ind w:firstLine="562" w:firstLineChars="200"/>
        <w:rPr>
          <w:sz w:val="28"/>
          <w:szCs w:val="28"/>
        </w:rPr>
      </w:pPr>
      <w:bookmarkStart w:id="122" w:name="_Toc31358"/>
      <w:bookmarkStart w:id="123" w:name="_Toc31423"/>
      <w:bookmarkStart w:id="124" w:name="_Toc28928"/>
      <w:r>
        <w:rPr>
          <w:rFonts w:hint="eastAsia"/>
          <w:sz w:val="28"/>
          <w:szCs w:val="28"/>
          <w:lang w:val="en-US" w:eastAsia="zh-CN"/>
        </w:rPr>
        <w:t>2.3</w:t>
      </w:r>
      <w:r>
        <w:rPr>
          <w:rFonts w:hint="eastAsia"/>
          <w:sz w:val="28"/>
          <w:szCs w:val="28"/>
        </w:rPr>
        <w:t>开标与评标</w:t>
      </w:r>
      <w:bookmarkEnd w:id="122"/>
      <w:bookmarkEnd w:id="123"/>
      <w:bookmarkEnd w:id="124"/>
    </w:p>
    <w:p>
      <w:pPr>
        <w:pStyle w:val="21"/>
        <w:spacing w:beforeLines="0" w:afterLines="0"/>
      </w:pPr>
      <w:bookmarkStart w:id="125" w:name="_Toc212369527"/>
      <w:bookmarkStart w:id="126" w:name="_Toc129697466"/>
      <w:r>
        <w:rPr>
          <w:rFonts w:hint="eastAsia"/>
        </w:rPr>
        <w:t>2.3.1开标</w:t>
      </w:r>
      <w:bookmarkEnd w:id="125"/>
      <w:bookmarkEnd w:id="126"/>
    </w:p>
    <w:p>
      <w:pPr>
        <w:pStyle w:val="21"/>
        <w:spacing w:beforeLines="0" w:afterLines="0"/>
      </w:pPr>
      <w:bookmarkStart w:id="127" w:name="_Toc129697467"/>
      <w:r>
        <w:rPr>
          <w:rFonts w:hint="eastAsia"/>
        </w:rPr>
        <w:t>本次招标的开标、评标由招标人依法组织实施。</w:t>
      </w:r>
      <w:bookmarkEnd w:id="127"/>
    </w:p>
    <w:p>
      <w:pPr>
        <w:pStyle w:val="21"/>
        <w:spacing w:beforeLines="0" w:afterLines="0"/>
      </w:pPr>
      <w:bookmarkStart w:id="128" w:name="_Toc129697468"/>
      <w:bookmarkStart w:id="129" w:name="_Toc24637"/>
      <w:bookmarkStart w:id="130" w:name="_Toc3413"/>
      <w:r>
        <w:rPr>
          <w:rFonts w:hint="eastAsia"/>
        </w:rPr>
        <w:t>2.3.2本项目开标时间和地点见投标人须知前附表。开标会议由招标人组织并主持。招标人邀请各投标人派员参加开标会议。投标人未参加开标的，视同认可开标结果。</w:t>
      </w:r>
      <w:bookmarkEnd w:id="128"/>
      <w:bookmarkEnd w:id="129"/>
      <w:bookmarkEnd w:id="130"/>
    </w:p>
    <w:p>
      <w:pPr>
        <w:pStyle w:val="21"/>
        <w:spacing w:beforeLines="0" w:afterLines="0"/>
      </w:pPr>
      <w:bookmarkStart w:id="131" w:name="_Toc4395"/>
      <w:bookmarkStart w:id="132" w:name="_Toc15121"/>
      <w:bookmarkStart w:id="133" w:name="_Toc129697469"/>
      <w:r>
        <w:rPr>
          <w:rFonts w:hint="eastAsia"/>
        </w:rPr>
        <w:t>2.3.3开标程序</w:t>
      </w:r>
      <w:bookmarkEnd w:id="131"/>
      <w:bookmarkEnd w:id="132"/>
      <w:bookmarkEnd w:id="133"/>
    </w:p>
    <w:p>
      <w:pPr>
        <w:pStyle w:val="21"/>
        <w:spacing w:beforeLines="0" w:afterLines="0"/>
      </w:pPr>
      <w:r>
        <w:rPr>
          <w:rFonts w:hint="eastAsia"/>
        </w:rPr>
        <w:t>（1）宣布开标会议开始并宣读开标纪律。</w:t>
      </w:r>
    </w:p>
    <w:p>
      <w:pPr>
        <w:pStyle w:val="21"/>
        <w:spacing w:beforeLines="0" w:afterLines="0"/>
      </w:pPr>
      <w:r>
        <w:rPr>
          <w:rFonts w:hint="eastAsia"/>
        </w:rPr>
        <w:t>（2）介绍与会人员。</w:t>
      </w:r>
    </w:p>
    <w:p>
      <w:pPr>
        <w:pStyle w:val="21"/>
        <w:spacing w:beforeLines="0" w:afterLines="0"/>
        <w:rPr>
          <w:rFonts w:ascii="宋体" w:hAnsi="宋体"/>
          <w:color w:val="000000"/>
          <w:szCs w:val="24"/>
        </w:rPr>
      </w:pPr>
      <w:r>
        <w:rPr>
          <w:rFonts w:hint="eastAsia"/>
        </w:rPr>
        <w:t>（3）</w:t>
      </w:r>
      <w:r>
        <w:rPr>
          <w:rFonts w:hint="eastAsia" w:ascii="宋体" w:hAnsi="宋体"/>
          <w:color w:val="000000"/>
          <w:szCs w:val="24"/>
        </w:rPr>
        <w:t>核验投标人资格证件，内容详见投标人须知前附表。</w:t>
      </w:r>
    </w:p>
    <w:p>
      <w:pPr>
        <w:pStyle w:val="21"/>
        <w:spacing w:beforeLines="0" w:afterLines="0"/>
        <w:rPr>
          <w:rFonts w:ascii="宋体" w:hAnsi="宋体"/>
          <w:color w:val="000000"/>
          <w:szCs w:val="24"/>
        </w:rPr>
      </w:pPr>
      <w:r>
        <w:rPr>
          <w:rFonts w:hint="eastAsia" w:ascii="宋体" w:hAnsi="宋体"/>
          <w:color w:val="000000"/>
          <w:szCs w:val="24"/>
        </w:rPr>
        <w:t>（4）投标人或投标人推选的代表对投标文件进行检查（投标人未参加开标会议的，视同认可投标文件完好）。</w:t>
      </w:r>
    </w:p>
    <w:p>
      <w:pPr>
        <w:pStyle w:val="21"/>
        <w:spacing w:beforeLines="0" w:afterLines="0"/>
      </w:pPr>
      <w:r>
        <w:rPr>
          <w:rFonts w:hint="eastAsia" w:ascii="宋体" w:hAnsi="宋体"/>
          <w:color w:val="000000"/>
          <w:szCs w:val="24"/>
        </w:rPr>
        <w:t>（5）唱标结束后，由评标专家组对所有投标方的技术标部分综合评定和打分，确定进入</w:t>
      </w:r>
      <w:r>
        <w:rPr>
          <w:rFonts w:hint="eastAsia"/>
        </w:rPr>
        <w:t>商务标评比资格的投标方。</w:t>
      </w:r>
    </w:p>
    <w:p>
      <w:pPr>
        <w:pStyle w:val="21"/>
        <w:spacing w:beforeLines="0" w:afterLines="0"/>
        <w:rPr>
          <w:rFonts w:hint="eastAsia"/>
        </w:rPr>
      </w:pPr>
      <w:r>
        <w:rPr>
          <w:rFonts w:hint="eastAsia"/>
        </w:rPr>
        <w:t>（6）进行商务标的评标，招标人有权根据项目情况，采取多轮评标模式，确定中标人。</w:t>
      </w:r>
    </w:p>
    <w:p>
      <w:pPr>
        <w:pStyle w:val="21"/>
        <w:spacing w:beforeLines="0" w:afterLines="0"/>
      </w:pPr>
      <w:bookmarkStart w:id="134" w:name="_Toc32715"/>
      <w:bookmarkStart w:id="135" w:name="_Toc129697471"/>
      <w:bookmarkStart w:id="136" w:name="_Toc92678128"/>
      <w:bookmarkStart w:id="137" w:name="_Toc12777"/>
      <w:bookmarkStart w:id="138" w:name="_Toc212369528"/>
      <w:r>
        <w:rPr>
          <w:rFonts w:hint="eastAsia"/>
        </w:rPr>
        <w:t>2.3.</w:t>
      </w:r>
      <w:r>
        <w:rPr>
          <w:rFonts w:hint="eastAsia"/>
          <w:lang w:val="en-US" w:eastAsia="zh-CN"/>
        </w:rPr>
        <w:t>4</w:t>
      </w:r>
      <w:r>
        <w:rPr>
          <w:rFonts w:hint="eastAsia"/>
        </w:rPr>
        <w:t>评标原则</w:t>
      </w:r>
      <w:bookmarkEnd w:id="134"/>
      <w:bookmarkEnd w:id="135"/>
      <w:bookmarkEnd w:id="136"/>
      <w:bookmarkEnd w:id="137"/>
      <w:bookmarkEnd w:id="138"/>
    </w:p>
    <w:p>
      <w:pPr>
        <w:spacing w:line="360" w:lineRule="auto"/>
        <w:ind w:firstLine="480" w:firstLineChars="200"/>
        <w:rPr>
          <w:rFonts w:ascii="宋体" w:hAnsi="宋体"/>
          <w:sz w:val="24"/>
        </w:rPr>
      </w:pPr>
      <w:bookmarkStart w:id="139" w:name="_Toc212369529"/>
      <w:r>
        <w:rPr>
          <w:rFonts w:hint="eastAsia" w:ascii="宋体" w:hAnsi="宋体"/>
          <w:sz w:val="24"/>
        </w:rPr>
        <w:t>“公平、公正、科学、择优”为本次评标的基本原则，评标委员会按照这一原则的要求，公正、平等地对待各投标人。同时，在评标过程中恪守以下原则：</w:t>
      </w:r>
      <w:bookmarkEnd w:id="139"/>
    </w:p>
    <w:p>
      <w:pPr>
        <w:pStyle w:val="22"/>
        <w:numPr>
          <w:ilvl w:val="0"/>
          <w:numId w:val="9"/>
        </w:numPr>
        <w:ind w:left="0" w:firstLine="480"/>
      </w:pPr>
      <w:r>
        <w:rPr>
          <w:rFonts w:hint="eastAsia"/>
        </w:rPr>
        <w:t>客观性原则：评标委员会将严格按照招标文件要求的内容，对投标人的投标文件进行认真评审；评标委员会对投标文件的评审仅依据投标文件本身，而不依靠投标文件以外的任何因素；</w:t>
      </w:r>
    </w:p>
    <w:p>
      <w:pPr>
        <w:pStyle w:val="22"/>
        <w:numPr>
          <w:ilvl w:val="0"/>
          <w:numId w:val="9"/>
        </w:numPr>
        <w:ind w:left="0" w:firstLine="480"/>
      </w:pPr>
      <w:r>
        <w:rPr>
          <w:rFonts w:hint="eastAsia"/>
        </w:rPr>
        <w:t>统一性原则：评标委员会将按照统一的评标原则和评标办法，用同一标准进行评审。</w:t>
      </w:r>
    </w:p>
    <w:p>
      <w:pPr>
        <w:pStyle w:val="22"/>
        <w:numPr>
          <w:ilvl w:val="0"/>
          <w:numId w:val="9"/>
        </w:numPr>
        <w:ind w:left="0" w:firstLine="480"/>
      </w:pPr>
      <w:r>
        <w:rPr>
          <w:rFonts w:hint="eastAsia"/>
        </w:rPr>
        <w:t>独立性原则：评标工作在评标委员会内部独立进行，不受外界任何因素的干扰和影响。评标委员会成员对出具的评审意见承担个人责任。</w:t>
      </w:r>
    </w:p>
    <w:p>
      <w:pPr>
        <w:pStyle w:val="22"/>
        <w:numPr>
          <w:ilvl w:val="0"/>
          <w:numId w:val="9"/>
        </w:numPr>
        <w:ind w:left="0" w:firstLine="480"/>
      </w:pPr>
      <w:r>
        <w:rPr>
          <w:rFonts w:hint="eastAsia"/>
        </w:rPr>
        <w:t>保密性原则：招标人应当采取必要的措施，保证评标在严格保密的情况下进行。</w:t>
      </w:r>
    </w:p>
    <w:p>
      <w:pPr>
        <w:pStyle w:val="21"/>
        <w:spacing w:beforeLines="0" w:afterLines="0"/>
      </w:pPr>
      <w:bookmarkStart w:id="140" w:name="_Toc26360"/>
      <w:bookmarkStart w:id="141" w:name="_Toc129697472"/>
      <w:bookmarkStart w:id="142" w:name="_Toc7868"/>
      <w:r>
        <w:rPr>
          <w:rFonts w:hint="eastAsia"/>
        </w:rPr>
        <w:t>2.3.</w:t>
      </w:r>
      <w:r>
        <w:rPr>
          <w:rFonts w:hint="eastAsia"/>
          <w:lang w:val="en-US" w:eastAsia="zh-CN"/>
        </w:rPr>
        <w:t>5</w:t>
      </w:r>
      <w:r>
        <w:rPr>
          <w:rFonts w:hint="eastAsia"/>
        </w:rPr>
        <w:t>出现下列情形之一，招标人有权否决所有投标人的投标，并终止招标</w:t>
      </w:r>
      <w:bookmarkEnd w:id="140"/>
      <w:bookmarkEnd w:id="141"/>
      <w:bookmarkEnd w:id="142"/>
    </w:p>
    <w:p>
      <w:pPr>
        <w:pStyle w:val="21"/>
        <w:spacing w:beforeLines="0" w:afterLines="0"/>
      </w:pPr>
      <w:bookmarkStart w:id="143" w:name="_Toc5950"/>
      <w:bookmarkStart w:id="144" w:name="_Toc129697473"/>
      <w:bookmarkStart w:id="145" w:name="_Toc27893"/>
      <w:r>
        <w:rPr>
          <w:rFonts w:hint="eastAsia"/>
        </w:rPr>
        <w:t>（1）符合条件的投标人或者对招标文件做实质响应的投标人不足三家的。</w:t>
      </w:r>
    </w:p>
    <w:p>
      <w:pPr>
        <w:pStyle w:val="21"/>
        <w:spacing w:beforeLines="0" w:afterLines="0"/>
      </w:pPr>
      <w:r>
        <w:rPr>
          <w:rFonts w:hint="eastAsia"/>
        </w:rPr>
        <w:t>（2）出现影响采购公正的违法、违规行为的；</w:t>
      </w:r>
    </w:p>
    <w:p>
      <w:pPr>
        <w:pStyle w:val="21"/>
        <w:spacing w:beforeLines="0" w:afterLines="0"/>
      </w:pPr>
      <w:r>
        <w:rPr>
          <w:rFonts w:hint="eastAsia"/>
        </w:rPr>
        <w:t>（3）因重大变故，采购任务取消的；</w:t>
      </w:r>
    </w:p>
    <w:p>
      <w:pPr>
        <w:pStyle w:val="21"/>
        <w:spacing w:beforeLines="0" w:afterLines="0"/>
      </w:pPr>
      <w:r>
        <w:rPr>
          <w:rFonts w:hint="eastAsia"/>
        </w:rPr>
        <w:t>（4）评标委员会经评审，认为所有投标都不符合招标文件要求的。</w:t>
      </w:r>
    </w:p>
    <w:p>
      <w:pPr>
        <w:pStyle w:val="21"/>
        <w:spacing w:beforeLines="0" w:afterLines="0"/>
      </w:pPr>
      <w:r>
        <w:rPr>
          <w:rFonts w:hint="eastAsia"/>
        </w:rPr>
        <w:t>（5）招标人认为其他应终止招标的情形。</w:t>
      </w:r>
    </w:p>
    <w:p>
      <w:pPr>
        <w:pStyle w:val="21"/>
        <w:spacing w:beforeLines="0" w:afterLines="0"/>
      </w:pPr>
      <w:r>
        <w:rPr>
          <w:rFonts w:hint="eastAsia"/>
        </w:rPr>
        <w:t>2.3.</w:t>
      </w:r>
      <w:r>
        <w:rPr>
          <w:rFonts w:hint="eastAsia"/>
          <w:lang w:val="en-US" w:eastAsia="zh-CN"/>
        </w:rPr>
        <w:t>6</w:t>
      </w:r>
      <w:r>
        <w:rPr>
          <w:rFonts w:hint="eastAsia"/>
        </w:rPr>
        <w:t>投标人有下列情形之一，其投标将被视为废标，招标人将严格按照《中华人民共和国招标投标法》及相关法律、法规及规章制度的规定行使权利。投标人给招标人造成损失的，招标人有索赔的权利，投标人应予以赔偿。</w:t>
      </w:r>
      <w:bookmarkEnd w:id="143"/>
      <w:bookmarkEnd w:id="144"/>
      <w:bookmarkEnd w:id="145"/>
    </w:p>
    <w:p>
      <w:pPr>
        <w:spacing w:line="360" w:lineRule="auto"/>
        <w:ind w:firstLine="480" w:firstLineChars="200"/>
        <w:rPr>
          <w:kern w:val="0"/>
          <w:sz w:val="24"/>
          <w:szCs w:val="20"/>
        </w:rPr>
      </w:pPr>
      <w:r>
        <w:rPr>
          <w:rFonts w:hint="eastAsia"/>
          <w:kern w:val="0"/>
          <w:sz w:val="24"/>
          <w:szCs w:val="20"/>
        </w:rPr>
        <w:t>（1）投标人提供的有关资格、资质证明文件不合格、不真实或提供虚假投标材料；</w:t>
      </w:r>
    </w:p>
    <w:p>
      <w:pPr>
        <w:spacing w:line="360" w:lineRule="auto"/>
        <w:ind w:firstLine="480" w:firstLineChars="200"/>
        <w:rPr>
          <w:kern w:val="0"/>
          <w:sz w:val="24"/>
          <w:szCs w:val="20"/>
        </w:rPr>
      </w:pPr>
      <w:r>
        <w:rPr>
          <w:rFonts w:hint="eastAsia"/>
          <w:kern w:val="0"/>
          <w:sz w:val="24"/>
          <w:szCs w:val="20"/>
        </w:rPr>
        <w:t>（2）投标人在报价有效期内撤回投标；</w:t>
      </w:r>
    </w:p>
    <w:p>
      <w:pPr>
        <w:spacing w:line="360" w:lineRule="auto"/>
        <w:ind w:firstLine="480" w:firstLineChars="200"/>
        <w:rPr>
          <w:kern w:val="0"/>
          <w:sz w:val="24"/>
          <w:szCs w:val="20"/>
        </w:rPr>
      </w:pPr>
      <w:r>
        <w:rPr>
          <w:rFonts w:hint="eastAsia"/>
          <w:kern w:val="0"/>
          <w:sz w:val="24"/>
          <w:szCs w:val="20"/>
        </w:rPr>
        <w:t>（3）在整个评标过程中，投标人有企图影响评标结果公正性的任何活动；</w:t>
      </w:r>
    </w:p>
    <w:p>
      <w:pPr>
        <w:spacing w:line="360" w:lineRule="auto"/>
        <w:ind w:firstLine="480" w:firstLineChars="200"/>
        <w:rPr>
          <w:kern w:val="0"/>
          <w:sz w:val="24"/>
          <w:szCs w:val="20"/>
        </w:rPr>
      </w:pPr>
      <w:r>
        <w:rPr>
          <w:rFonts w:hint="eastAsia"/>
          <w:kern w:val="0"/>
          <w:sz w:val="24"/>
          <w:szCs w:val="20"/>
        </w:rPr>
        <w:t>（4）投标人以任何方式诋毁其他投标人；</w:t>
      </w:r>
    </w:p>
    <w:p>
      <w:pPr>
        <w:spacing w:line="360" w:lineRule="auto"/>
        <w:ind w:firstLine="480" w:firstLineChars="200"/>
        <w:rPr>
          <w:kern w:val="0"/>
          <w:sz w:val="24"/>
          <w:szCs w:val="20"/>
        </w:rPr>
      </w:pPr>
      <w:r>
        <w:rPr>
          <w:rFonts w:hint="eastAsia"/>
          <w:kern w:val="0"/>
          <w:sz w:val="24"/>
          <w:szCs w:val="20"/>
        </w:rPr>
        <w:t>（5）投标人串通投标；</w:t>
      </w:r>
    </w:p>
    <w:p>
      <w:pPr>
        <w:spacing w:line="360" w:lineRule="auto"/>
        <w:ind w:firstLine="480" w:firstLineChars="200"/>
        <w:rPr>
          <w:kern w:val="0"/>
          <w:sz w:val="24"/>
          <w:szCs w:val="20"/>
        </w:rPr>
      </w:pPr>
      <w:r>
        <w:rPr>
          <w:rFonts w:hint="eastAsia"/>
          <w:kern w:val="0"/>
          <w:sz w:val="24"/>
          <w:szCs w:val="20"/>
        </w:rPr>
        <w:t>（6）以他人名义投标或者以其他方式弄虚作假，骗取中标的；</w:t>
      </w:r>
    </w:p>
    <w:p>
      <w:pPr>
        <w:spacing w:line="360" w:lineRule="auto"/>
        <w:ind w:firstLine="480" w:firstLineChars="200"/>
        <w:rPr>
          <w:kern w:val="0"/>
          <w:sz w:val="24"/>
          <w:szCs w:val="20"/>
        </w:rPr>
      </w:pPr>
      <w:r>
        <w:rPr>
          <w:rFonts w:hint="eastAsia"/>
          <w:kern w:val="0"/>
          <w:sz w:val="24"/>
          <w:szCs w:val="20"/>
        </w:rPr>
        <w:t>（7）中标人不按规定签订合同；</w:t>
      </w:r>
    </w:p>
    <w:p>
      <w:pPr>
        <w:spacing w:line="360" w:lineRule="auto"/>
        <w:ind w:firstLine="480" w:firstLineChars="200"/>
        <w:rPr>
          <w:kern w:val="0"/>
          <w:sz w:val="24"/>
          <w:szCs w:val="20"/>
        </w:rPr>
      </w:pPr>
      <w:r>
        <w:rPr>
          <w:rFonts w:hint="eastAsia"/>
          <w:kern w:val="0"/>
          <w:sz w:val="24"/>
          <w:szCs w:val="20"/>
        </w:rPr>
        <w:t>（8）不同投标单位负责人为同一人或存在管理关系的；</w:t>
      </w:r>
    </w:p>
    <w:p>
      <w:pPr>
        <w:spacing w:line="360" w:lineRule="auto"/>
        <w:ind w:firstLine="480" w:firstLineChars="200"/>
        <w:rPr>
          <w:kern w:val="0"/>
          <w:sz w:val="24"/>
          <w:szCs w:val="20"/>
        </w:rPr>
      </w:pPr>
      <w:r>
        <w:rPr>
          <w:rFonts w:hint="eastAsia"/>
          <w:kern w:val="0"/>
          <w:sz w:val="24"/>
          <w:szCs w:val="20"/>
        </w:rPr>
        <w:t>（9）投标人被举报、检举，并经招标方查实无误的；</w:t>
      </w:r>
    </w:p>
    <w:p>
      <w:pPr>
        <w:pStyle w:val="8"/>
        <w:spacing w:line="360" w:lineRule="auto"/>
        <w:ind w:firstLine="480"/>
      </w:pPr>
      <w:r>
        <w:rPr>
          <w:rFonts w:hint="eastAsia"/>
          <w:sz w:val="24"/>
          <w:szCs w:val="20"/>
        </w:rPr>
        <w:t>（10）技术标出现报价的；</w:t>
      </w:r>
    </w:p>
    <w:p>
      <w:pPr>
        <w:pStyle w:val="8"/>
        <w:spacing w:line="360" w:lineRule="auto"/>
        <w:ind w:firstLine="480"/>
        <w:rPr>
          <w:color w:val="FF0000"/>
        </w:rPr>
      </w:pPr>
      <w:r>
        <w:rPr>
          <w:rFonts w:hint="eastAsia"/>
          <w:sz w:val="24"/>
          <w:szCs w:val="20"/>
        </w:rPr>
        <w:t>（11）不同投标人投标文件异常一致或报价程差异性变化；</w:t>
      </w:r>
    </w:p>
    <w:p>
      <w:pPr>
        <w:spacing w:line="360" w:lineRule="auto"/>
        <w:ind w:firstLine="480" w:firstLineChars="200"/>
        <w:rPr>
          <w:kern w:val="0"/>
          <w:sz w:val="24"/>
          <w:szCs w:val="20"/>
        </w:rPr>
      </w:pPr>
      <w:r>
        <w:rPr>
          <w:rFonts w:hint="eastAsia"/>
          <w:kern w:val="0"/>
          <w:sz w:val="24"/>
          <w:szCs w:val="20"/>
        </w:rPr>
        <w:t>（12）法律、法规规定的其他情况。</w:t>
      </w:r>
    </w:p>
    <w:p>
      <w:pPr>
        <w:pStyle w:val="8"/>
      </w:pPr>
    </w:p>
    <w:p>
      <w:pPr>
        <w:pStyle w:val="16"/>
        <w:ind w:left="420"/>
      </w:pPr>
      <w:bookmarkStart w:id="146" w:name="_Toc451"/>
      <w:bookmarkStart w:id="147" w:name="_Toc17296"/>
      <w:bookmarkStart w:id="148" w:name="_Toc9606"/>
      <w:bookmarkStart w:id="149" w:name="_Toc14379"/>
      <w:bookmarkStart w:id="150" w:name="_Toc500420375"/>
      <w:bookmarkStart w:id="151" w:name="_Toc500420293"/>
      <w:r>
        <w:rPr>
          <w:rFonts w:hint="eastAsia"/>
        </w:rPr>
        <w:t>招标项目内容及运输费用标准</w:t>
      </w:r>
      <w:bookmarkEnd w:id="146"/>
      <w:bookmarkEnd w:id="147"/>
      <w:bookmarkEnd w:id="148"/>
      <w:bookmarkEnd w:id="149"/>
    </w:p>
    <w:p>
      <w:pPr>
        <w:pStyle w:val="5"/>
        <w:numPr>
          <w:ilvl w:val="0"/>
          <w:numId w:val="0"/>
        </w:numPr>
        <w:spacing w:before="0" w:beforeLines="0" w:line="360" w:lineRule="auto"/>
        <w:ind w:left="0" w:leftChars="0" w:firstLine="562" w:firstLineChars="200"/>
        <w:rPr>
          <w:sz w:val="22"/>
          <w:szCs w:val="22"/>
        </w:rPr>
      </w:pPr>
      <w:bookmarkStart w:id="152" w:name="_Toc29707"/>
      <w:bookmarkStart w:id="153" w:name="_Toc12948"/>
      <w:bookmarkStart w:id="154" w:name="_Toc32438"/>
      <w:bookmarkStart w:id="155" w:name="_Toc11209"/>
      <w:r>
        <w:rPr>
          <w:rFonts w:hint="eastAsia"/>
          <w:sz w:val="28"/>
          <w:szCs w:val="28"/>
        </w:rPr>
        <w:t>3.1项目内容</w:t>
      </w:r>
      <w:bookmarkEnd w:id="152"/>
      <w:bookmarkEnd w:id="153"/>
      <w:bookmarkEnd w:id="154"/>
      <w:bookmarkEnd w:id="155"/>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highlight w:val="none"/>
          <w:lang w:val="en-US" w:eastAsia="zh-CN"/>
        </w:rPr>
        <w:t>中标结果发布之日起至</w:t>
      </w:r>
      <w:r>
        <w:rPr>
          <w:rFonts w:hint="eastAsia" w:ascii="宋体" w:hAnsi="宋体" w:cs="宋体"/>
          <w:color w:val="00B0F0"/>
          <w:sz w:val="24"/>
          <w:szCs w:val="24"/>
          <w:highlight w:val="none"/>
          <w:lang w:val="en-US" w:eastAsia="zh-CN"/>
        </w:rPr>
        <w:t>2026年6月30日</w:t>
      </w:r>
      <w:r>
        <w:rPr>
          <w:rFonts w:hint="eastAsia" w:ascii="宋体" w:hAnsi="宋体" w:cs="宋体"/>
          <w:color w:val="000000"/>
          <w:sz w:val="24"/>
          <w:szCs w:val="24"/>
          <w:highlight w:val="none"/>
        </w:rPr>
        <w:t>中国重</w:t>
      </w:r>
      <w:r>
        <w:rPr>
          <w:rFonts w:hint="eastAsia" w:ascii="宋体" w:hAnsi="宋体" w:cs="宋体"/>
          <w:color w:val="000000"/>
          <w:sz w:val="24"/>
          <w:szCs w:val="24"/>
        </w:rPr>
        <w:t>汽集团销售的</w:t>
      </w:r>
      <w:r>
        <w:rPr>
          <w:rFonts w:hint="eastAsia" w:ascii="宋体" w:hAnsi="宋体" w:cs="宋体"/>
          <w:color w:val="00B0F0"/>
          <w:sz w:val="24"/>
          <w:szCs w:val="24"/>
          <w:lang w:val="en-US" w:eastAsia="zh-CN"/>
        </w:rPr>
        <w:t>商用车E线路</w:t>
      </w:r>
      <w:r>
        <w:rPr>
          <w:rFonts w:hint="eastAsia" w:ascii="宋体" w:hAnsi="宋体" w:cs="宋体"/>
          <w:color w:val="000000"/>
          <w:sz w:val="24"/>
          <w:szCs w:val="24"/>
        </w:rPr>
        <w:t>商品车运输；公告申报车辆、展会参展车辆以及区间调拨车辆的运输。</w:t>
      </w:r>
    </w:p>
    <w:p>
      <w:pPr>
        <w:pStyle w:val="5"/>
        <w:numPr>
          <w:ilvl w:val="0"/>
          <w:numId w:val="0"/>
        </w:numPr>
        <w:spacing w:before="120" w:line="360" w:lineRule="auto"/>
        <w:ind w:firstLine="548" w:firstLineChars="195"/>
      </w:pPr>
      <w:bookmarkStart w:id="156" w:name="_Toc13864"/>
      <w:bookmarkStart w:id="157" w:name="_Toc9825"/>
      <w:bookmarkStart w:id="158" w:name="_Toc32191"/>
      <w:bookmarkStart w:id="159" w:name="_Toc30575"/>
      <w:r>
        <w:rPr>
          <w:rFonts w:hint="eastAsia"/>
          <w:sz w:val="28"/>
          <w:szCs w:val="28"/>
        </w:rPr>
        <w:t>3.2项目路线划分</w:t>
      </w:r>
      <w:bookmarkEnd w:id="156"/>
      <w:bookmarkEnd w:id="157"/>
      <w:bookmarkEnd w:id="158"/>
      <w:bookmarkEnd w:id="159"/>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项目路线划分（</w:t>
      </w:r>
      <w:r>
        <w:rPr>
          <w:rFonts w:hint="eastAsia" w:ascii="宋体" w:hAnsi="宋体" w:cs="宋体"/>
          <w:color w:val="000000"/>
          <w:sz w:val="24"/>
          <w:szCs w:val="24"/>
          <w:highlight w:val="none"/>
          <w:lang w:val="en-US" w:eastAsia="zh-CN"/>
        </w:rPr>
        <w:t>发运数量</w:t>
      </w:r>
      <w:r>
        <w:rPr>
          <w:rFonts w:hint="eastAsia" w:ascii="宋体" w:hAnsi="宋体" w:cs="宋体"/>
          <w:color w:val="000000"/>
          <w:sz w:val="24"/>
          <w:szCs w:val="24"/>
        </w:rPr>
        <w:t>仅供参考，具体应以实际销售数量为准）：</w:t>
      </w:r>
    </w:p>
    <w:p>
      <w:pPr>
        <w:spacing w:line="360" w:lineRule="auto"/>
        <w:ind w:firstLine="482" w:firstLineChars="200"/>
        <w:rPr>
          <w:rFonts w:hint="default" w:ascii="宋体" w:hAnsi="宋体" w:eastAsia="宋体" w:cs="宋体"/>
          <w:b/>
          <w:bCs/>
          <w:color w:val="auto"/>
          <w:sz w:val="24"/>
          <w:szCs w:val="24"/>
          <w:lang w:val="en-US" w:eastAsia="zh-CN"/>
        </w:rPr>
      </w:pPr>
      <w:r>
        <w:rPr>
          <w:rFonts w:hint="eastAsia" w:ascii="宋体" w:hAnsi="宋体" w:cs="宋体"/>
          <w:b/>
          <w:bCs/>
          <w:color w:val="000000"/>
          <w:sz w:val="24"/>
          <w:szCs w:val="24"/>
          <w:lang w:val="en-US" w:eastAsia="zh-CN"/>
        </w:rPr>
        <w:t>重卡板块</w:t>
      </w:r>
      <w:r>
        <w:rPr>
          <w:rFonts w:hint="eastAsia" w:ascii="宋体" w:hAnsi="宋体" w:cs="宋体"/>
          <w:b/>
          <w:bCs/>
          <w:color w:val="000000"/>
          <w:sz w:val="24"/>
          <w:szCs w:val="24"/>
        </w:rPr>
        <w:t>：</w:t>
      </w:r>
      <w:r>
        <w:rPr>
          <w:rFonts w:hint="eastAsia" w:ascii="宋体" w:hAnsi="宋体" w:cs="宋体"/>
          <w:color w:val="auto"/>
          <w:sz w:val="24"/>
          <w:szCs w:val="24"/>
        </w:rPr>
        <w:t>中国重汽集团济南商用车有限公司商用车销售部销售的</w:t>
      </w:r>
      <w:r>
        <w:rPr>
          <w:rFonts w:hint="eastAsia" w:ascii="宋体" w:hAnsi="宋体" w:cs="宋体"/>
          <w:color w:val="auto"/>
          <w:sz w:val="24"/>
          <w:szCs w:val="24"/>
          <w:lang w:val="en-US" w:eastAsia="zh-CN"/>
        </w:rPr>
        <w:t>商用车E线路</w:t>
      </w:r>
      <w:r>
        <w:rPr>
          <w:rFonts w:hint="eastAsia" w:ascii="宋体" w:hAnsi="宋体" w:cs="宋体"/>
          <w:color w:val="auto"/>
          <w:sz w:val="24"/>
          <w:szCs w:val="24"/>
        </w:rPr>
        <w:t>商品车、调剂车的运输</w:t>
      </w:r>
      <w:r>
        <w:rPr>
          <w:rFonts w:hint="eastAsia" w:ascii="宋体" w:hAnsi="宋体" w:cs="宋体"/>
          <w:color w:val="auto"/>
          <w:sz w:val="24"/>
          <w:szCs w:val="24"/>
          <w:lang w:eastAsia="zh-CN"/>
        </w:rPr>
        <w:t>；</w:t>
      </w:r>
    </w:p>
    <w:p>
      <w:pPr>
        <w:pStyle w:val="8"/>
        <w:spacing w:line="360" w:lineRule="auto"/>
        <w:ind w:firstLine="442"/>
        <w:rPr>
          <w:b/>
          <w:bCs/>
          <w:sz w:val="22"/>
          <w:szCs w:val="22"/>
        </w:rPr>
      </w:pPr>
      <w:r>
        <w:rPr>
          <w:rFonts w:hint="eastAsia"/>
          <w:b/>
          <w:bCs/>
          <w:sz w:val="22"/>
          <w:szCs w:val="22"/>
        </w:rPr>
        <w:t>注：集团用户订单、战略客户订单按照送达地点分配给对应中标承运单位；</w:t>
      </w:r>
    </w:p>
    <w:p>
      <w:pPr>
        <w:spacing w:line="360" w:lineRule="auto"/>
        <w:ind w:firstLine="883" w:firstLineChars="400"/>
        <w:rPr>
          <w:b/>
          <w:bCs/>
          <w:kern w:val="0"/>
          <w:sz w:val="22"/>
          <w:szCs w:val="22"/>
        </w:rPr>
      </w:pPr>
      <w:r>
        <w:rPr>
          <w:b/>
          <w:bCs/>
          <w:kern w:val="0"/>
          <w:sz w:val="22"/>
          <w:szCs w:val="22"/>
        </w:rPr>
        <w:t>公告试验车、展车按照送达终点所属分公司区域进行制单</w:t>
      </w:r>
      <w:r>
        <w:rPr>
          <w:rFonts w:hint="eastAsia"/>
          <w:b/>
          <w:bCs/>
          <w:kern w:val="0"/>
          <w:sz w:val="22"/>
          <w:szCs w:val="22"/>
        </w:rPr>
        <w:t>；</w:t>
      </w:r>
    </w:p>
    <w:p>
      <w:pPr>
        <w:spacing w:line="360" w:lineRule="auto"/>
        <w:ind w:left="437" w:leftChars="208" w:firstLine="442" w:firstLineChars="200"/>
        <w:rPr>
          <w:rFonts w:hint="eastAsia"/>
          <w:b/>
          <w:bCs/>
          <w:kern w:val="0"/>
          <w:sz w:val="22"/>
          <w:szCs w:val="22"/>
          <w:highlight w:val="none"/>
          <w:lang w:val="en-US" w:eastAsia="zh-CN"/>
        </w:rPr>
      </w:pPr>
      <w:r>
        <w:rPr>
          <w:rFonts w:hint="eastAsia"/>
          <w:b/>
          <w:bCs/>
          <w:kern w:val="0"/>
          <w:sz w:val="22"/>
          <w:szCs w:val="22"/>
          <w:highlight w:val="none"/>
          <w:lang w:val="en-US" w:eastAsia="zh-CN"/>
        </w:rPr>
        <w:t>调剂调拨车辆按调剂起点、终点制单；</w:t>
      </w:r>
      <w:bookmarkStart w:id="160" w:name="_Toc21304"/>
    </w:p>
    <w:p>
      <w:pPr>
        <w:ind w:firstLine="964" w:firstLineChars="400"/>
        <w:rPr>
          <w:rFonts w:hint="eastAsia" w:ascii="宋体" w:hAnsi="宋体" w:cs="宋体"/>
          <w:b/>
          <w:bCs/>
          <w:color w:val="0070C0"/>
          <w:sz w:val="24"/>
          <w:szCs w:val="24"/>
          <w:highlight w:val="none"/>
        </w:rPr>
      </w:pPr>
      <w:r>
        <w:rPr>
          <w:rFonts w:hint="eastAsia" w:ascii="宋体" w:hAnsi="宋体" w:cs="宋体"/>
          <w:b/>
          <w:bCs/>
          <w:color w:val="0070C0"/>
          <w:sz w:val="24"/>
          <w:szCs w:val="24"/>
          <w:highlight w:val="none"/>
        </w:rPr>
        <w:t>具体</w:t>
      </w:r>
      <w:r>
        <w:rPr>
          <w:rFonts w:hint="eastAsia" w:ascii="宋体" w:hAnsi="宋体" w:cs="宋体"/>
          <w:b/>
          <w:bCs/>
          <w:color w:val="0070C0"/>
          <w:sz w:val="24"/>
          <w:szCs w:val="24"/>
          <w:highlight w:val="none"/>
          <w:lang w:val="en-US" w:eastAsia="zh-CN"/>
        </w:rPr>
        <w:t>板块</w:t>
      </w:r>
      <w:r>
        <w:rPr>
          <w:rFonts w:hint="eastAsia" w:ascii="宋体" w:hAnsi="宋体" w:cs="宋体"/>
          <w:b/>
          <w:bCs/>
          <w:color w:val="0070C0"/>
          <w:sz w:val="24"/>
          <w:szCs w:val="24"/>
          <w:highlight w:val="none"/>
        </w:rPr>
        <w:t>线路如下（预估量为根据</w:t>
      </w:r>
      <w:r>
        <w:rPr>
          <w:rFonts w:hint="eastAsia" w:ascii="宋体" w:hAnsi="宋体" w:cs="宋体"/>
          <w:b/>
          <w:bCs/>
          <w:color w:val="0070C0"/>
          <w:sz w:val="24"/>
          <w:szCs w:val="24"/>
          <w:highlight w:val="none"/>
          <w:lang w:val="en-US" w:eastAsia="zh-CN"/>
        </w:rPr>
        <w:t>2025年</w:t>
      </w:r>
      <w:r>
        <w:rPr>
          <w:rFonts w:hint="eastAsia" w:ascii="宋体" w:hAnsi="宋体" w:cs="宋体"/>
          <w:b/>
          <w:bCs/>
          <w:color w:val="0070C0"/>
          <w:sz w:val="24"/>
          <w:szCs w:val="24"/>
          <w:highlight w:val="none"/>
        </w:rPr>
        <w:t>年</w:t>
      </w:r>
      <w:r>
        <w:rPr>
          <w:rFonts w:hint="eastAsia" w:ascii="宋体" w:hAnsi="宋体" w:cs="宋体"/>
          <w:b/>
          <w:bCs/>
          <w:color w:val="0070C0"/>
          <w:sz w:val="24"/>
          <w:szCs w:val="24"/>
          <w:highlight w:val="none"/>
          <w:lang w:val="en-US" w:eastAsia="zh-CN"/>
        </w:rPr>
        <w:t>度</w:t>
      </w:r>
      <w:r>
        <w:rPr>
          <w:rFonts w:hint="eastAsia" w:ascii="宋体" w:hAnsi="宋体" w:cs="宋体"/>
          <w:b/>
          <w:bCs/>
          <w:color w:val="0070C0"/>
          <w:sz w:val="24"/>
          <w:szCs w:val="24"/>
          <w:highlight w:val="none"/>
        </w:rPr>
        <w:t>任务分解预估的</w:t>
      </w:r>
      <w:r>
        <w:rPr>
          <w:rFonts w:hint="eastAsia" w:ascii="宋体" w:hAnsi="宋体" w:cs="宋体"/>
          <w:b/>
          <w:bCs/>
          <w:color w:val="0070C0"/>
          <w:sz w:val="24"/>
          <w:szCs w:val="24"/>
          <w:highlight w:val="none"/>
          <w:lang w:val="en-US" w:eastAsia="zh-CN"/>
        </w:rPr>
        <w:t>2025年12月-2026年6月</w:t>
      </w:r>
      <w:r>
        <w:rPr>
          <w:rFonts w:hint="eastAsia" w:ascii="宋体" w:hAnsi="宋体" w:cs="宋体"/>
          <w:b/>
          <w:bCs/>
          <w:color w:val="0070C0"/>
          <w:sz w:val="24"/>
          <w:szCs w:val="24"/>
          <w:highlight w:val="none"/>
        </w:rPr>
        <w:t>发运量</w:t>
      </w:r>
      <w:r>
        <w:rPr>
          <w:rFonts w:hint="eastAsia" w:ascii="宋体" w:hAnsi="宋体" w:cs="宋体"/>
          <w:b/>
          <w:bCs/>
          <w:color w:val="0070C0"/>
          <w:sz w:val="24"/>
          <w:szCs w:val="24"/>
          <w:highlight w:val="none"/>
          <w:lang w:eastAsia="zh-CN"/>
        </w:rPr>
        <w:t>，</w:t>
      </w:r>
      <w:r>
        <w:rPr>
          <w:rFonts w:hint="eastAsia" w:ascii="宋体" w:hAnsi="宋体" w:cs="宋体"/>
          <w:b/>
          <w:bCs/>
          <w:color w:val="0070C0"/>
          <w:sz w:val="24"/>
          <w:szCs w:val="24"/>
          <w:highlight w:val="none"/>
          <w:lang w:val="en-US" w:eastAsia="zh-CN"/>
        </w:rPr>
        <w:t>具体以实际发运数量为准</w:t>
      </w:r>
      <w:r>
        <w:rPr>
          <w:rFonts w:hint="eastAsia" w:ascii="宋体" w:hAnsi="宋体" w:cs="宋体"/>
          <w:b/>
          <w:bCs/>
          <w:color w:val="0070C0"/>
          <w:sz w:val="24"/>
          <w:szCs w:val="24"/>
          <w:highlight w:val="none"/>
        </w:rPr>
        <w:t>）</w:t>
      </w:r>
      <w:bookmarkEnd w:id="160"/>
    </w:p>
    <w:p>
      <w:pPr>
        <w:pStyle w:val="8"/>
        <w:rPr>
          <w:rFonts w:hint="eastAsia"/>
        </w:rPr>
      </w:pPr>
    </w:p>
    <w:tbl>
      <w:tblPr>
        <w:tblStyle w:val="17"/>
        <w:tblW w:w="93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04"/>
        <w:gridCol w:w="1136"/>
        <w:gridCol w:w="1136"/>
        <w:gridCol w:w="1136"/>
        <w:gridCol w:w="1136"/>
        <w:gridCol w:w="1136"/>
        <w:gridCol w:w="1136"/>
        <w:gridCol w:w="11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14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商用车E线</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分公司</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安徽   分公司</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江西   分公司</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福建   分公司</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广东   分公司</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广西    分公司</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1517</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350</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292</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1190</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3664</w:t>
            </w:r>
          </w:p>
        </w:tc>
      </w:tr>
    </w:tbl>
    <w:p>
      <w:pPr>
        <w:pStyle w:val="8"/>
        <w:rPr>
          <w:rFonts w:hint="eastAsia"/>
        </w:rPr>
      </w:pPr>
    </w:p>
    <w:p>
      <w:pPr>
        <w:pStyle w:val="8"/>
        <w:rPr>
          <w:highlight w:val="red"/>
        </w:rPr>
      </w:pPr>
    </w:p>
    <w:p>
      <w:pPr>
        <w:pStyle w:val="5"/>
        <w:numPr>
          <w:ilvl w:val="0"/>
          <w:numId w:val="0"/>
        </w:numPr>
        <w:spacing w:before="0" w:beforeLines="0" w:line="360" w:lineRule="auto"/>
        <w:ind w:left="420" w:leftChars="200"/>
        <w:rPr>
          <w:sz w:val="24"/>
          <w:szCs w:val="24"/>
        </w:rPr>
      </w:pPr>
      <w:bookmarkStart w:id="161" w:name="_Toc18109"/>
      <w:r>
        <w:rPr>
          <w:rFonts w:hint="eastAsia"/>
          <w:sz w:val="28"/>
          <w:szCs w:val="28"/>
        </w:rPr>
        <w:t>3.3限达时间</w:t>
      </w:r>
      <w:bookmarkEnd w:id="161"/>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送车里程/</w:t>
      </w:r>
      <w:r>
        <w:rPr>
          <w:rFonts w:hint="eastAsia" w:ascii="宋体" w:hAnsi="宋体" w:cs="宋体"/>
          <w:color w:val="000000"/>
          <w:sz w:val="24"/>
          <w:szCs w:val="24"/>
          <w:lang w:val="en-US" w:eastAsia="zh-CN"/>
        </w:rPr>
        <w:t>日行驶里程要求</w:t>
      </w:r>
      <w:r>
        <w:rPr>
          <w:rFonts w:hint="eastAsia" w:ascii="宋体" w:hAnsi="宋体" w:cs="宋体"/>
          <w:color w:val="000000"/>
          <w:sz w:val="24"/>
          <w:szCs w:val="24"/>
        </w:rPr>
        <w:t>+提车及办手续 2 日+异地提车坐车时间（每 1000 公里加 1 日），限达时间以出库扫描时间起算，出库扫描时间在 17：00 到次日早 8：30 的，按次日 8：30 起算。限达时间按以下规则计算：</w:t>
      </w:r>
    </w:p>
    <w:p>
      <w:pPr>
        <w:spacing w:line="360" w:lineRule="auto"/>
        <w:ind w:firstLine="482" w:firstLineChars="200"/>
        <w:rPr>
          <w:rFonts w:hint="eastAsia" w:ascii="宋体" w:hAnsi="宋体" w:eastAsia="宋体" w:cs="宋体"/>
          <w:color w:val="000000"/>
          <w:sz w:val="24"/>
          <w:szCs w:val="24"/>
          <w:highlight w:val="none"/>
          <w:lang w:eastAsia="zh-CN"/>
        </w:rPr>
      </w:pPr>
      <w:bookmarkStart w:id="162" w:name="_Toc30775"/>
      <w:bookmarkStart w:id="163" w:name="_Toc8100"/>
      <w:bookmarkStart w:id="164" w:name="_Toc21459"/>
      <w:r>
        <w:rPr>
          <w:rFonts w:hint="eastAsia" w:ascii="宋体" w:hAnsi="宋体" w:cs="宋体"/>
          <w:b/>
          <w:bCs/>
          <w:color w:val="000000"/>
          <w:sz w:val="24"/>
          <w:szCs w:val="24"/>
        </w:rPr>
        <w:t>牵引车按照每日行驶500公里计算限达时间</w:t>
      </w:r>
      <w:r>
        <w:rPr>
          <w:rFonts w:hint="eastAsia" w:ascii="宋体" w:hAnsi="宋体" w:cs="宋体"/>
          <w:color w:val="000000"/>
          <w:sz w:val="24"/>
          <w:szCs w:val="24"/>
        </w:rPr>
        <w:t>（接车地点不足500公里的按1日计算）</w:t>
      </w:r>
      <w:r>
        <w:rPr>
          <w:rFonts w:hint="eastAsia" w:ascii="宋体" w:hAnsi="宋体" w:cs="宋体"/>
          <w:color w:val="000000"/>
          <w:sz w:val="24"/>
          <w:szCs w:val="24"/>
          <w:lang w:eastAsia="zh-CN"/>
        </w:rPr>
        <w:t>；</w:t>
      </w:r>
      <w:r>
        <w:rPr>
          <w:rFonts w:hint="eastAsia" w:ascii="宋体" w:hAnsi="宋体" w:cs="宋体"/>
          <w:b/>
          <w:bCs/>
          <w:color w:val="000000"/>
          <w:sz w:val="24"/>
          <w:szCs w:val="24"/>
        </w:rPr>
        <w:t>牵引车</w:t>
      </w:r>
      <w:r>
        <w:rPr>
          <w:rFonts w:hint="eastAsia" w:ascii="宋体" w:hAnsi="宋体" w:cs="宋体"/>
          <w:color w:val="000000"/>
          <w:sz w:val="24"/>
          <w:szCs w:val="24"/>
          <w:lang w:val="en-US" w:eastAsia="zh-CN"/>
        </w:rPr>
        <w:t>加急按照</w:t>
      </w:r>
      <w:r>
        <w:rPr>
          <w:rFonts w:hint="eastAsia" w:ascii="宋体" w:hAnsi="宋体" w:cs="宋体"/>
          <w:b/>
          <w:bCs/>
          <w:color w:val="000000"/>
          <w:sz w:val="24"/>
          <w:szCs w:val="24"/>
        </w:rPr>
        <w:t>每日行驶</w:t>
      </w:r>
      <w:r>
        <w:rPr>
          <w:rFonts w:hint="eastAsia" w:ascii="宋体" w:hAnsi="宋体" w:cs="宋体"/>
          <w:b/>
          <w:bCs/>
          <w:color w:val="000000"/>
          <w:sz w:val="24"/>
          <w:szCs w:val="24"/>
          <w:lang w:val="en-US" w:eastAsia="zh-CN"/>
        </w:rPr>
        <w:t>8</w:t>
      </w:r>
      <w:r>
        <w:rPr>
          <w:rFonts w:hint="eastAsia" w:ascii="宋体" w:hAnsi="宋体" w:cs="宋体"/>
          <w:b/>
          <w:bCs/>
          <w:color w:val="000000"/>
          <w:sz w:val="24"/>
          <w:szCs w:val="24"/>
        </w:rPr>
        <w:t>00公里计算限达时间</w:t>
      </w:r>
      <w:r>
        <w:rPr>
          <w:rFonts w:hint="eastAsia" w:ascii="宋体" w:hAnsi="宋体" w:cs="宋体"/>
          <w:b/>
          <w:bCs/>
          <w:color w:val="000000"/>
          <w:sz w:val="24"/>
          <w:szCs w:val="24"/>
          <w:lang w:eastAsia="zh-CN"/>
        </w:rPr>
        <w:t>；</w:t>
      </w:r>
      <w:r>
        <w:rPr>
          <w:rFonts w:hint="eastAsia" w:ascii="宋体" w:hAnsi="宋体" w:cs="宋体"/>
          <w:b/>
          <w:bCs/>
          <w:color w:val="000000"/>
          <w:sz w:val="24"/>
          <w:szCs w:val="24"/>
          <w:highlight w:val="none"/>
          <w:lang w:val="en-US" w:eastAsia="zh-CN"/>
        </w:rPr>
        <w:t>其他车型按400公里计算</w:t>
      </w:r>
      <w:r>
        <w:rPr>
          <w:rFonts w:hint="eastAsia" w:ascii="宋体" w:hAnsi="宋体" w:cs="宋体"/>
          <w:b/>
          <w:bCs/>
          <w:color w:val="000000"/>
          <w:sz w:val="24"/>
          <w:szCs w:val="24"/>
          <w:highlight w:val="none"/>
        </w:rPr>
        <w:t>限达时间</w:t>
      </w:r>
      <w:r>
        <w:rPr>
          <w:rFonts w:hint="eastAsia" w:ascii="宋体" w:hAnsi="宋体" w:cs="宋体"/>
          <w:b/>
          <w:bCs/>
          <w:color w:val="000000"/>
          <w:sz w:val="24"/>
          <w:szCs w:val="24"/>
          <w:highlight w:val="none"/>
          <w:lang w:eastAsia="zh-CN"/>
        </w:rPr>
        <w:t>，</w:t>
      </w:r>
      <w:r>
        <w:rPr>
          <w:rFonts w:hint="eastAsia" w:ascii="宋体" w:hAnsi="宋体" w:cs="宋体"/>
          <w:b/>
          <w:bCs/>
          <w:color w:val="000000"/>
          <w:sz w:val="24"/>
          <w:szCs w:val="24"/>
          <w:highlight w:val="none"/>
          <w:lang w:val="en-US" w:eastAsia="zh-CN"/>
        </w:rPr>
        <w:t>加急按照</w:t>
      </w:r>
      <w:r>
        <w:rPr>
          <w:rFonts w:hint="eastAsia" w:ascii="宋体" w:hAnsi="宋体" w:cs="宋体"/>
          <w:b/>
          <w:bCs/>
          <w:color w:val="000000"/>
          <w:sz w:val="24"/>
          <w:szCs w:val="24"/>
          <w:highlight w:val="none"/>
        </w:rPr>
        <w:t>每日行驶</w:t>
      </w:r>
      <w:r>
        <w:rPr>
          <w:rFonts w:hint="eastAsia" w:ascii="宋体" w:hAnsi="宋体" w:cs="宋体"/>
          <w:b/>
          <w:bCs/>
          <w:color w:val="000000"/>
          <w:sz w:val="24"/>
          <w:szCs w:val="24"/>
          <w:highlight w:val="none"/>
          <w:lang w:val="en-US" w:eastAsia="zh-CN"/>
        </w:rPr>
        <w:t>6</w:t>
      </w:r>
      <w:r>
        <w:rPr>
          <w:rFonts w:hint="eastAsia" w:ascii="宋体" w:hAnsi="宋体" w:cs="宋体"/>
          <w:b/>
          <w:bCs/>
          <w:color w:val="000000"/>
          <w:sz w:val="24"/>
          <w:szCs w:val="24"/>
          <w:highlight w:val="none"/>
        </w:rPr>
        <w:t>00公里计算限达时间</w:t>
      </w:r>
      <w:r>
        <w:rPr>
          <w:rFonts w:hint="eastAsia" w:ascii="宋体" w:hAnsi="宋体" w:cs="宋体"/>
          <w:b/>
          <w:bCs/>
          <w:color w:val="000000"/>
          <w:sz w:val="24"/>
          <w:szCs w:val="24"/>
          <w:highlight w:val="none"/>
          <w:lang w:val="en-US" w:eastAsia="zh-CN"/>
        </w:rPr>
        <w:t>。</w:t>
      </w:r>
    </w:p>
    <w:p>
      <w:pPr>
        <w:pStyle w:val="5"/>
        <w:numPr>
          <w:ilvl w:val="0"/>
          <w:numId w:val="0"/>
        </w:numPr>
        <w:spacing w:before="0" w:beforeLines="0" w:line="360" w:lineRule="auto"/>
        <w:ind w:left="420" w:leftChars="200"/>
        <w:rPr>
          <w:sz w:val="28"/>
          <w:szCs w:val="28"/>
        </w:rPr>
      </w:pPr>
      <w:r>
        <w:rPr>
          <w:rFonts w:hint="eastAsia"/>
          <w:sz w:val="28"/>
          <w:szCs w:val="28"/>
        </w:rPr>
        <w:t>3.4</w:t>
      </w:r>
      <w:bookmarkEnd w:id="162"/>
      <w:bookmarkEnd w:id="163"/>
      <w:r>
        <w:rPr>
          <w:rFonts w:hint="eastAsia"/>
          <w:sz w:val="28"/>
          <w:szCs w:val="28"/>
          <w:lang w:val="en-US" w:eastAsia="zh-CN"/>
        </w:rPr>
        <w:t>送达</w:t>
      </w:r>
      <w:r>
        <w:rPr>
          <w:rFonts w:hint="eastAsia"/>
          <w:sz w:val="28"/>
          <w:szCs w:val="28"/>
        </w:rPr>
        <w:t>及时率</w:t>
      </w:r>
      <w:bookmarkEnd w:id="164"/>
    </w:p>
    <w:p>
      <w:pPr>
        <w:spacing w:line="360" w:lineRule="auto"/>
        <w:ind w:firstLine="480" w:firstLineChars="200"/>
        <w:rPr>
          <w:rFonts w:ascii="宋体" w:hAnsi="宋体" w:cs="宋体"/>
          <w:color w:val="000000"/>
          <w:sz w:val="24"/>
          <w:szCs w:val="24"/>
        </w:rPr>
      </w:pPr>
      <w:bookmarkStart w:id="165" w:name="_Toc7831"/>
      <w:bookmarkStart w:id="166" w:name="_Toc17024"/>
      <w:bookmarkStart w:id="167" w:name="_Toc21381"/>
      <w:bookmarkStart w:id="168" w:name="_Toc3949"/>
      <w:r>
        <w:rPr>
          <w:rFonts w:hint="eastAsia" w:ascii="宋体" w:hAnsi="宋体" w:cs="宋体"/>
          <w:color w:val="000000"/>
          <w:sz w:val="24"/>
          <w:szCs w:val="24"/>
          <w:lang w:val="en-US" w:eastAsia="zh-CN"/>
        </w:rPr>
        <w:t>统计周期内</w:t>
      </w:r>
      <w:r>
        <w:rPr>
          <w:rFonts w:hint="eastAsia" w:ascii="宋体" w:hAnsi="宋体" w:cs="宋体"/>
          <w:color w:val="000000"/>
          <w:sz w:val="24"/>
          <w:szCs w:val="24"/>
        </w:rPr>
        <w:t>按</w:t>
      </w:r>
      <w:r>
        <w:rPr>
          <w:rFonts w:hint="eastAsia" w:ascii="宋体" w:hAnsi="宋体" w:cs="宋体"/>
          <w:color w:val="000000"/>
          <w:sz w:val="24"/>
          <w:szCs w:val="24"/>
          <w:lang w:val="en-US" w:eastAsia="zh-CN"/>
        </w:rPr>
        <w:t>时</w:t>
      </w:r>
      <w:r>
        <w:rPr>
          <w:rFonts w:hint="eastAsia" w:ascii="宋体" w:hAnsi="宋体" w:cs="宋体"/>
          <w:color w:val="000000"/>
          <w:sz w:val="24"/>
          <w:szCs w:val="24"/>
        </w:rPr>
        <w:t>送达</w:t>
      </w:r>
      <w:r>
        <w:rPr>
          <w:rFonts w:hint="eastAsia" w:ascii="宋体" w:hAnsi="宋体" w:cs="宋体"/>
          <w:color w:val="000000"/>
          <w:sz w:val="24"/>
          <w:szCs w:val="24"/>
          <w:lang w:val="en-US" w:eastAsia="zh-CN"/>
        </w:rPr>
        <w:t>车辆数</w:t>
      </w:r>
      <w:r>
        <w:rPr>
          <w:rFonts w:hint="eastAsia" w:ascii="宋体" w:hAnsi="宋体" w:cs="宋体"/>
          <w:color w:val="000000"/>
          <w:sz w:val="24"/>
          <w:szCs w:val="24"/>
        </w:rPr>
        <w:t>/</w:t>
      </w:r>
      <w:r>
        <w:rPr>
          <w:rFonts w:hint="eastAsia" w:ascii="宋体" w:hAnsi="宋体" w:cs="宋体"/>
          <w:color w:val="000000"/>
          <w:sz w:val="24"/>
          <w:szCs w:val="24"/>
          <w:lang w:val="en-US" w:eastAsia="zh-CN"/>
        </w:rPr>
        <w:t>统计周期内应</w:t>
      </w:r>
      <w:r>
        <w:rPr>
          <w:rFonts w:hint="eastAsia" w:ascii="宋体" w:hAnsi="宋体" w:cs="宋体"/>
          <w:color w:val="000000"/>
          <w:sz w:val="24"/>
          <w:szCs w:val="24"/>
        </w:rPr>
        <w:t>送达</w:t>
      </w:r>
      <w:r>
        <w:rPr>
          <w:rFonts w:hint="eastAsia" w:ascii="宋体" w:hAnsi="宋体" w:cs="宋体"/>
          <w:color w:val="000000"/>
          <w:sz w:val="24"/>
          <w:szCs w:val="24"/>
          <w:lang w:val="en-US" w:eastAsia="zh-CN"/>
        </w:rPr>
        <w:t>车辆</w:t>
      </w:r>
      <w:r>
        <w:rPr>
          <w:rFonts w:hint="eastAsia" w:ascii="宋体" w:hAnsi="宋体" w:cs="宋体"/>
          <w:color w:val="000000"/>
          <w:sz w:val="24"/>
          <w:szCs w:val="24"/>
        </w:rPr>
        <w:t>数*100%。</w:t>
      </w:r>
      <w:bookmarkEnd w:id="165"/>
      <w:bookmarkEnd w:id="166"/>
      <w:bookmarkEnd w:id="167"/>
      <w:bookmarkEnd w:id="168"/>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发生事故经销商无法接车的最长买断周期为自发生事故起30个自然日内。</w:t>
      </w:r>
    </w:p>
    <w:p>
      <w:pPr>
        <w:pStyle w:val="5"/>
        <w:numPr>
          <w:ilvl w:val="0"/>
          <w:numId w:val="0"/>
        </w:numPr>
        <w:spacing w:before="0" w:beforeLines="0" w:line="360" w:lineRule="auto"/>
        <w:ind w:left="420" w:leftChars="200"/>
        <w:rPr>
          <w:rFonts w:ascii="宋体" w:hAnsi="宋体" w:cs="宋体"/>
          <w:sz w:val="28"/>
          <w:szCs w:val="28"/>
        </w:rPr>
      </w:pPr>
      <w:bookmarkStart w:id="169" w:name="_Toc11639"/>
      <w:bookmarkStart w:id="170" w:name="_Toc25924"/>
      <w:bookmarkStart w:id="171" w:name="_Toc1774"/>
      <w:r>
        <w:rPr>
          <w:rFonts w:hint="eastAsia"/>
          <w:sz w:val="28"/>
          <w:szCs w:val="28"/>
        </w:rPr>
        <w:t>3.5项目运输费用标准</w:t>
      </w:r>
      <w:bookmarkEnd w:id="169"/>
      <w:bookmarkEnd w:id="170"/>
      <w:bookmarkEnd w:id="171"/>
    </w:p>
    <w:p>
      <w:pPr>
        <w:spacing w:line="360" w:lineRule="auto"/>
        <w:ind w:firstLine="480" w:firstLineChars="200"/>
        <w:rPr>
          <w:rFonts w:hint="default" w:ascii="宋体" w:hAnsi="宋体" w:cs="宋体"/>
          <w:color w:val="000000"/>
          <w:sz w:val="24"/>
          <w:szCs w:val="24"/>
          <w:lang w:val="en-US" w:eastAsia="zh-CN"/>
        </w:rPr>
      </w:pPr>
      <w:r>
        <w:rPr>
          <w:rFonts w:hint="eastAsia" w:ascii="宋体" w:hAnsi="宋体" w:cs="宋体"/>
          <w:color w:val="000000"/>
          <w:sz w:val="24"/>
          <w:szCs w:val="24"/>
        </w:rPr>
        <w:t>3.5.1 运输费用指送车公司根据中国重汽集团的要求办理商品车临牌、商业险及商品车安全及时送达指定地点后，中国重汽支付给送车公司的费用，此费用不包含交强险费用。</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3.5.</w:t>
      </w:r>
      <w:r>
        <w:rPr>
          <w:rFonts w:hint="eastAsia" w:ascii="宋体" w:hAnsi="宋体" w:cs="宋体"/>
          <w:color w:val="000000"/>
          <w:sz w:val="24"/>
          <w:szCs w:val="24"/>
          <w:lang w:val="en-US" w:eastAsia="zh-CN"/>
        </w:rPr>
        <w:t>2</w:t>
      </w:r>
      <w:r>
        <w:rPr>
          <w:rFonts w:hint="eastAsia" w:ascii="宋体" w:hAnsi="宋体" w:cs="宋体"/>
          <w:color w:val="000000"/>
          <w:sz w:val="24"/>
          <w:szCs w:val="24"/>
        </w:rPr>
        <w:t>付款方式：运输费由招标方下属二级单位支付，付款方式为当月挂账次月付款(电汇)。</w:t>
      </w:r>
    </w:p>
    <w:p>
      <w:pPr>
        <w:spacing w:line="360" w:lineRule="auto"/>
        <w:ind w:firstLine="480" w:firstLineChars="200"/>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rPr>
        <w:t>3.5.</w:t>
      </w:r>
      <w:r>
        <w:rPr>
          <w:rFonts w:hint="eastAsia" w:ascii="宋体" w:hAnsi="宋体" w:cs="宋体"/>
          <w:color w:val="000000"/>
          <w:sz w:val="24"/>
          <w:szCs w:val="24"/>
          <w:highlight w:val="none"/>
          <w:lang w:val="en-US" w:eastAsia="zh-CN"/>
        </w:rPr>
        <w:t>6</w:t>
      </w: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lang w:val="en-US" w:eastAsia="zh-CN"/>
        </w:rPr>
        <w:t>商用车E线路</w:t>
      </w:r>
      <w:r>
        <w:rPr>
          <w:rFonts w:hint="eastAsia" w:ascii="宋体" w:hAnsi="宋体" w:cs="宋体"/>
          <w:color w:val="000000"/>
          <w:sz w:val="24"/>
          <w:szCs w:val="24"/>
          <w:highlight w:val="none"/>
        </w:rPr>
        <w:t>基价表</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见附件：2025年商用车E线路商品车驾送执行价（投标基价）</w:t>
      </w:r>
      <w:r>
        <w:rPr>
          <w:rFonts w:hint="eastAsia" w:ascii="宋体" w:hAnsi="宋体" w:cs="宋体"/>
          <w:color w:val="000000"/>
          <w:sz w:val="24"/>
          <w:szCs w:val="24"/>
          <w:highlight w:val="none"/>
          <w:lang w:eastAsia="zh-CN"/>
        </w:rPr>
        <w:t>）</w:t>
      </w:r>
    </w:p>
    <w:p/>
    <w:p>
      <w:pPr>
        <w:pStyle w:val="16"/>
        <w:spacing w:line="360" w:lineRule="auto"/>
        <w:ind w:left="420"/>
      </w:pPr>
      <w:bookmarkStart w:id="172" w:name="_Toc31141"/>
      <w:bookmarkStart w:id="173" w:name="_Toc22956"/>
      <w:bookmarkStart w:id="174" w:name="_Toc18885"/>
      <w:bookmarkStart w:id="175" w:name="_Toc26576"/>
      <w:r>
        <w:rPr>
          <w:rFonts w:hint="eastAsia"/>
        </w:rPr>
        <w:t>报价及</w:t>
      </w:r>
      <w:r>
        <w:rPr>
          <w:rFonts w:hint="eastAsia"/>
          <w:lang w:val="en-US" w:eastAsia="zh-CN"/>
        </w:rPr>
        <w:t>管理履约</w:t>
      </w:r>
      <w:r>
        <w:rPr>
          <w:rFonts w:hint="eastAsia"/>
        </w:rPr>
        <w:t>要求</w:t>
      </w:r>
      <w:bookmarkEnd w:id="172"/>
      <w:bookmarkEnd w:id="173"/>
      <w:bookmarkEnd w:id="174"/>
      <w:bookmarkEnd w:id="175"/>
    </w:p>
    <w:p>
      <w:pPr>
        <w:pStyle w:val="5"/>
        <w:numPr>
          <w:ilvl w:val="0"/>
          <w:numId w:val="0"/>
        </w:numPr>
        <w:spacing w:before="0" w:beforeLines="0" w:line="360" w:lineRule="auto"/>
        <w:ind w:left="420" w:leftChars="200"/>
        <w:rPr>
          <w:rFonts w:ascii="宋体" w:hAnsi="宋体" w:cs="宋体"/>
          <w:color w:val="000000"/>
          <w:sz w:val="24"/>
          <w:szCs w:val="32"/>
        </w:rPr>
      </w:pPr>
      <w:bookmarkStart w:id="176" w:name="_Toc9575"/>
      <w:bookmarkStart w:id="177" w:name="_Toc18679"/>
      <w:bookmarkStart w:id="178" w:name="_Toc9114"/>
      <w:r>
        <w:rPr>
          <w:rFonts w:hint="eastAsia"/>
          <w:sz w:val="28"/>
          <w:szCs w:val="28"/>
        </w:rPr>
        <w:t xml:space="preserve">4.1 </w:t>
      </w:r>
      <w:r>
        <w:rPr>
          <w:rFonts w:hint="eastAsia" w:ascii="宋体" w:hAnsi="宋体" w:cs="宋体"/>
          <w:color w:val="000000"/>
          <w:sz w:val="28"/>
          <w:szCs w:val="28"/>
        </w:rPr>
        <w:t>报价要求</w:t>
      </w:r>
      <w:bookmarkEnd w:id="176"/>
      <w:bookmarkEnd w:id="177"/>
      <w:bookmarkEnd w:id="178"/>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4.1.1 投标单位按照《开标一览表》</w:t>
      </w:r>
      <w:r>
        <w:rPr>
          <w:rFonts w:hint="eastAsia" w:ascii="宋体" w:hAnsi="宋体" w:cs="宋体"/>
          <w:b/>
          <w:bCs/>
          <w:color w:val="FF0000"/>
          <w:sz w:val="24"/>
          <w:szCs w:val="24"/>
        </w:rPr>
        <w:t>在</w:t>
      </w:r>
      <w:r>
        <w:rPr>
          <w:rFonts w:hint="eastAsia" w:ascii="宋体" w:hAnsi="宋体" w:cs="宋体"/>
          <w:b/>
          <w:bCs/>
          <w:color w:val="FF0000"/>
          <w:sz w:val="24"/>
          <w:szCs w:val="24"/>
          <w:lang w:val="en-US" w:eastAsia="zh-CN"/>
        </w:rPr>
        <w:t>基价表</w:t>
      </w:r>
      <w:r>
        <w:rPr>
          <w:rFonts w:hint="eastAsia" w:ascii="宋体" w:hAnsi="宋体" w:cs="宋体"/>
          <w:b/>
          <w:bCs/>
          <w:color w:val="FF0000"/>
          <w:sz w:val="24"/>
          <w:szCs w:val="24"/>
        </w:rPr>
        <w:t>价格基础上执行折扣（%）进行报价，不能直接报降幅</w:t>
      </w:r>
      <w:r>
        <w:rPr>
          <w:rFonts w:hint="eastAsia" w:ascii="宋体" w:hAnsi="宋体" w:cs="宋体"/>
          <w:color w:val="000000"/>
          <w:sz w:val="24"/>
          <w:szCs w:val="24"/>
        </w:rPr>
        <w:t xml:space="preserve">（百分比保留小数点后2位）。 </w:t>
      </w:r>
    </w:p>
    <w:p>
      <w:pPr>
        <w:spacing w:line="360" w:lineRule="auto"/>
        <w:ind w:firstLine="480" w:firstLineChars="200"/>
        <w:rPr>
          <w:rFonts w:ascii="宋体" w:hAnsi="宋体" w:cs="宋体"/>
          <w:color w:val="0070C0"/>
          <w:sz w:val="24"/>
          <w:szCs w:val="24"/>
        </w:rPr>
      </w:pPr>
      <w:r>
        <w:rPr>
          <w:rFonts w:hint="eastAsia" w:ascii="宋体" w:hAnsi="宋体" w:cs="宋体"/>
          <w:color w:val="000000"/>
          <w:sz w:val="24"/>
          <w:szCs w:val="24"/>
        </w:rPr>
        <w:t>4.</w:t>
      </w:r>
      <w:r>
        <w:rPr>
          <w:rFonts w:hint="eastAsia" w:ascii="宋体" w:hAnsi="宋体" w:cs="宋体"/>
          <w:color w:val="000000"/>
          <w:sz w:val="24"/>
          <w:szCs w:val="24"/>
          <w:lang w:val="en-US" w:eastAsia="zh-CN"/>
        </w:rPr>
        <w:t>1</w:t>
      </w:r>
      <w:r>
        <w:rPr>
          <w:rFonts w:hint="eastAsia" w:ascii="宋体" w:hAnsi="宋体" w:cs="宋体"/>
          <w:color w:val="000000"/>
          <w:sz w:val="24"/>
          <w:szCs w:val="24"/>
        </w:rPr>
        <w:t>.2 投标单位必须</w:t>
      </w:r>
      <w:r>
        <w:rPr>
          <w:rFonts w:hint="eastAsia" w:ascii="宋体" w:hAnsi="宋体" w:cs="宋体"/>
          <w:color w:val="000000"/>
          <w:sz w:val="24"/>
          <w:szCs w:val="24"/>
          <w:lang w:val="en-US" w:eastAsia="zh-CN"/>
        </w:rPr>
        <w:t>严格按照报价要求进行报价。</w:t>
      </w:r>
      <w:r>
        <w:rPr>
          <w:rFonts w:hint="eastAsia" w:ascii="宋体" w:hAnsi="宋体" w:cs="宋体"/>
          <w:color w:val="000000"/>
          <w:sz w:val="24"/>
          <w:szCs w:val="24"/>
        </w:rPr>
        <w:t xml:space="preserve">  </w:t>
      </w:r>
      <w:r>
        <w:rPr>
          <w:rFonts w:hint="eastAsia" w:ascii="宋体" w:hAnsi="宋体" w:cs="宋体"/>
          <w:color w:val="0070C0"/>
          <w:sz w:val="24"/>
          <w:szCs w:val="24"/>
        </w:rPr>
        <w:t xml:space="preserve">         </w:t>
      </w:r>
    </w:p>
    <w:p>
      <w:pPr>
        <w:spacing w:line="360" w:lineRule="auto"/>
        <w:ind w:firstLine="554" w:firstLineChars="231"/>
        <w:rPr>
          <w:rFonts w:hint="eastAsia" w:ascii="宋体" w:hAnsi="宋体" w:cs="宋体"/>
          <w:color w:val="000000"/>
          <w:sz w:val="24"/>
          <w:szCs w:val="24"/>
          <w:highlight w:val="none"/>
        </w:rPr>
      </w:pPr>
      <w:r>
        <w:rPr>
          <w:rFonts w:hint="eastAsia" w:ascii="宋体" w:hAnsi="宋体" w:cs="宋体"/>
          <w:color w:val="000000"/>
          <w:sz w:val="24"/>
          <w:szCs w:val="24"/>
        </w:rPr>
        <w:t>4.</w:t>
      </w:r>
      <w:r>
        <w:rPr>
          <w:rFonts w:hint="eastAsia" w:ascii="宋体" w:hAnsi="宋体" w:cs="宋体"/>
          <w:color w:val="000000"/>
          <w:sz w:val="24"/>
          <w:szCs w:val="24"/>
          <w:lang w:val="en-US" w:eastAsia="zh-CN"/>
        </w:rPr>
        <w:t>1</w:t>
      </w:r>
      <w:r>
        <w:rPr>
          <w:rFonts w:hint="eastAsia" w:ascii="宋体" w:hAnsi="宋体" w:cs="宋体"/>
          <w:color w:val="000000"/>
          <w:sz w:val="24"/>
          <w:szCs w:val="24"/>
        </w:rPr>
        <w:t>.</w:t>
      </w:r>
      <w:r>
        <w:rPr>
          <w:rFonts w:hint="eastAsia" w:ascii="宋体" w:hAnsi="宋体" w:cs="宋体"/>
          <w:color w:val="000000"/>
          <w:sz w:val="24"/>
          <w:szCs w:val="24"/>
          <w:lang w:val="en-US" w:eastAsia="zh-CN"/>
        </w:rPr>
        <w:t xml:space="preserve">3 </w:t>
      </w:r>
      <w:r>
        <w:rPr>
          <w:rFonts w:hint="eastAsia" w:ascii="宋体" w:hAnsi="宋体" w:cs="宋体"/>
          <w:color w:val="000000"/>
          <w:sz w:val="24"/>
          <w:szCs w:val="24"/>
        </w:rPr>
        <w:t>中标人根据招标人指令将商品车安全及时送达指定地点，招标人（下属的二级公司，下同）签约的接车单位接车后，将签收的运转单交回招标人处，</w:t>
      </w:r>
      <w:r>
        <w:rPr>
          <w:rFonts w:hint="eastAsia" w:ascii="宋体" w:hAnsi="宋体" w:cs="宋体"/>
          <w:color w:val="000000"/>
          <w:sz w:val="24"/>
          <w:szCs w:val="24"/>
          <w:highlight w:val="none"/>
        </w:rPr>
        <w:t>招标人按照合同</w:t>
      </w:r>
      <w:r>
        <w:rPr>
          <w:rFonts w:hint="eastAsia" w:ascii="宋体" w:hAnsi="宋体" w:cs="宋体"/>
          <w:color w:val="000000"/>
          <w:sz w:val="24"/>
          <w:szCs w:val="24"/>
          <w:highlight w:val="none"/>
          <w:lang w:val="en-US" w:eastAsia="zh-CN"/>
        </w:rPr>
        <w:t>约定结算费用</w:t>
      </w:r>
      <w:r>
        <w:rPr>
          <w:rFonts w:hint="eastAsia" w:ascii="宋体" w:hAnsi="宋体" w:cs="宋体"/>
          <w:color w:val="000000"/>
          <w:sz w:val="24"/>
          <w:szCs w:val="24"/>
          <w:highlight w:val="none"/>
          <w:lang w:eastAsia="zh-CN"/>
        </w:rPr>
        <w:t>。</w:t>
      </w:r>
    </w:p>
    <w:p>
      <w:pPr>
        <w:spacing w:line="360" w:lineRule="auto"/>
        <w:ind w:firstLine="630"/>
        <w:rPr>
          <w:rFonts w:hint="eastAsia" w:ascii="宋体" w:hAnsi="宋体" w:cs="宋体"/>
          <w:color w:val="000000"/>
          <w:sz w:val="24"/>
          <w:szCs w:val="24"/>
          <w:highlight w:val="none"/>
        </w:rPr>
      </w:pPr>
      <w:r>
        <w:rPr>
          <w:rFonts w:hint="eastAsia" w:ascii="宋体" w:hAnsi="宋体" w:cs="宋体"/>
          <w:color w:val="000000"/>
          <w:sz w:val="24"/>
          <w:szCs w:val="24"/>
          <w:highlight w:val="none"/>
        </w:rPr>
        <w:t>4.</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 xml:space="preserve">4 </w:t>
      </w:r>
      <w:r>
        <w:rPr>
          <w:rFonts w:hint="eastAsia" w:ascii="宋体" w:hAnsi="宋体" w:cs="宋体"/>
          <w:color w:val="000000"/>
          <w:sz w:val="24"/>
          <w:szCs w:val="24"/>
          <w:highlight w:val="none"/>
        </w:rPr>
        <w:t>与招标人签署《商品车运输合同》，合同有效期</w:t>
      </w:r>
      <w:r>
        <w:rPr>
          <w:rFonts w:hint="eastAsia" w:ascii="宋体" w:hAnsi="宋体" w:cs="宋体"/>
          <w:color w:val="000000"/>
          <w:sz w:val="24"/>
          <w:szCs w:val="24"/>
          <w:highlight w:val="none"/>
          <w:lang w:val="en-US" w:eastAsia="zh-CN"/>
        </w:rPr>
        <w:t>自中标通知下发之日</w:t>
      </w:r>
      <w:r>
        <w:rPr>
          <w:rFonts w:hint="eastAsia" w:ascii="宋体" w:hAnsi="宋体" w:cs="宋体"/>
          <w:color w:val="000000"/>
          <w:sz w:val="24"/>
          <w:szCs w:val="24"/>
          <w:highlight w:val="none"/>
        </w:rPr>
        <w:t>起至202</w:t>
      </w:r>
      <w:r>
        <w:rPr>
          <w:rFonts w:hint="eastAsia" w:ascii="宋体" w:hAnsi="宋体" w:cs="宋体"/>
          <w:color w:val="000000"/>
          <w:sz w:val="24"/>
          <w:szCs w:val="24"/>
          <w:highlight w:val="none"/>
          <w:lang w:val="en-US" w:eastAsia="zh-CN"/>
        </w:rPr>
        <w:t>6</w:t>
      </w:r>
      <w:r>
        <w:rPr>
          <w:rFonts w:hint="eastAsia" w:ascii="宋体" w:hAnsi="宋体" w:cs="宋体"/>
          <w:color w:val="000000"/>
          <w:sz w:val="24"/>
          <w:szCs w:val="24"/>
          <w:highlight w:val="none"/>
        </w:rPr>
        <w:t>年</w:t>
      </w:r>
      <w:r>
        <w:rPr>
          <w:rFonts w:hint="eastAsia" w:ascii="宋体" w:hAnsi="宋体" w:cs="宋体"/>
          <w:color w:val="000000"/>
          <w:sz w:val="24"/>
          <w:szCs w:val="24"/>
          <w:highlight w:val="none"/>
          <w:lang w:val="en-US" w:eastAsia="zh-CN"/>
        </w:rPr>
        <w:t>6</w:t>
      </w:r>
      <w:r>
        <w:rPr>
          <w:rFonts w:hint="eastAsia" w:ascii="宋体" w:hAnsi="宋体" w:cs="宋体"/>
          <w:color w:val="000000"/>
          <w:sz w:val="24"/>
          <w:szCs w:val="24"/>
          <w:highlight w:val="none"/>
        </w:rPr>
        <w:t>月3</w:t>
      </w:r>
      <w:r>
        <w:rPr>
          <w:rFonts w:hint="eastAsia" w:ascii="宋体" w:hAnsi="宋体" w:cs="宋体"/>
          <w:color w:val="000000"/>
          <w:sz w:val="24"/>
          <w:szCs w:val="24"/>
          <w:highlight w:val="none"/>
          <w:lang w:val="en-US" w:eastAsia="zh-CN"/>
        </w:rPr>
        <w:t>0</w:t>
      </w:r>
      <w:r>
        <w:rPr>
          <w:rFonts w:hint="eastAsia" w:ascii="宋体" w:hAnsi="宋体" w:cs="宋体"/>
          <w:color w:val="000000"/>
          <w:sz w:val="24"/>
          <w:szCs w:val="24"/>
          <w:highlight w:val="none"/>
        </w:rPr>
        <w:t>日。由于中标人的原因不能按规定签署或履行合同的，招标人将取消中标资格。</w:t>
      </w:r>
    </w:p>
    <w:p>
      <w:pPr>
        <w:spacing w:line="360" w:lineRule="auto"/>
        <w:ind w:firstLine="630"/>
        <w:rPr>
          <w:rFonts w:hint="eastAsia"/>
          <w:highlight w:val="none"/>
        </w:rPr>
      </w:pPr>
      <w:r>
        <w:rPr>
          <w:rFonts w:hint="eastAsia" w:ascii="宋体" w:hAnsi="宋体" w:cs="宋体"/>
          <w:color w:val="000000"/>
          <w:sz w:val="24"/>
          <w:szCs w:val="24"/>
          <w:highlight w:val="none"/>
        </w:rPr>
        <w:t>4.</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rPr>
        <w:t>.本招标书涉及的</w:t>
      </w:r>
      <w:r>
        <w:rPr>
          <w:rFonts w:hint="eastAsia" w:ascii="宋体" w:hAnsi="宋体" w:cs="宋体"/>
          <w:color w:val="000000"/>
          <w:sz w:val="24"/>
          <w:szCs w:val="24"/>
          <w:highlight w:val="none"/>
          <w:lang w:val="en-US" w:eastAsia="zh-CN"/>
        </w:rPr>
        <w:t>基</w:t>
      </w:r>
      <w:r>
        <w:rPr>
          <w:rFonts w:hint="eastAsia" w:ascii="宋体" w:hAnsi="宋体" w:cs="宋体"/>
          <w:color w:val="000000"/>
          <w:sz w:val="24"/>
          <w:szCs w:val="24"/>
          <w:highlight w:val="none"/>
        </w:rPr>
        <w:t>价为</w:t>
      </w:r>
      <w:r>
        <w:rPr>
          <w:rFonts w:hint="eastAsia" w:ascii="宋体" w:hAnsi="宋体" w:cs="宋体"/>
          <w:color w:val="000000"/>
          <w:sz w:val="24"/>
          <w:szCs w:val="24"/>
          <w:highlight w:val="none"/>
          <w:lang w:val="en-US" w:eastAsia="zh-CN"/>
        </w:rPr>
        <w:t>不含税</w:t>
      </w:r>
      <w:r>
        <w:rPr>
          <w:rFonts w:hint="eastAsia" w:ascii="宋体" w:hAnsi="宋体" w:cs="宋体"/>
          <w:color w:val="000000"/>
          <w:sz w:val="24"/>
          <w:szCs w:val="24"/>
          <w:highlight w:val="none"/>
        </w:rPr>
        <w:t>9%的价格，</w:t>
      </w:r>
      <w:r>
        <w:rPr>
          <w:rFonts w:hint="eastAsia" w:ascii="宋体" w:hAnsi="宋体" w:cs="宋体"/>
          <w:color w:val="000000"/>
          <w:sz w:val="24"/>
          <w:szCs w:val="24"/>
          <w:highlight w:val="none"/>
          <w:lang w:val="en-US" w:eastAsia="zh-CN"/>
        </w:rPr>
        <w:t>特殊业务场景费用为含税9%的价格。</w:t>
      </w:r>
      <w:r>
        <w:rPr>
          <w:rFonts w:hint="eastAsia" w:ascii="宋体" w:hAnsi="宋体" w:cs="宋体"/>
          <w:color w:val="000000"/>
          <w:sz w:val="24"/>
          <w:szCs w:val="24"/>
          <w:highlight w:val="none"/>
        </w:rPr>
        <w:t>若遇国家增值税税率调整，应按调整后最新税率的金额调整相应的支付款项，</w:t>
      </w:r>
      <w:r>
        <w:rPr>
          <w:rFonts w:hint="eastAsia" w:ascii="宋体" w:hAnsi="宋体" w:cs="宋体"/>
          <w:sz w:val="24"/>
          <w:szCs w:val="24"/>
          <w:highlight w:val="none"/>
        </w:rPr>
        <w:t>即合同含税价格不受国家增值税税率调整的影响。</w:t>
      </w:r>
    </w:p>
    <w:p>
      <w:pPr>
        <w:pStyle w:val="5"/>
        <w:numPr>
          <w:ilvl w:val="0"/>
          <w:numId w:val="0"/>
        </w:numPr>
        <w:spacing w:before="0" w:beforeLines="0" w:line="360" w:lineRule="auto"/>
        <w:ind w:left="420" w:leftChars="200"/>
        <w:rPr>
          <w:rFonts w:hint="default" w:ascii="宋体" w:hAnsi="宋体" w:eastAsia="宋体" w:cs="宋体"/>
          <w:color w:val="000000"/>
          <w:sz w:val="24"/>
          <w:szCs w:val="32"/>
          <w:highlight w:val="none"/>
          <w:lang w:val="en-US" w:eastAsia="zh-CN"/>
        </w:rPr>
      </w:pPr>
      <w:bookmarkStart w:id="179" w:name="_Toc8116"/>
      <w:r>
        <w:rPr>
          <w:rFonts w:hint="eastAsia"/>
          <w:sz w:val="28"/>
          <w:szCs w:val="28"/>
          <w:highlight w:val="none"/>
        </w:rPr>
        <w:t>4.</w:t>
      </w:r>
      <w:r>
        <w:rPr>
          <w:rFonts w:hint="eastAsia"/>
          <w:sz w:val="28"/>
          <w:szCs w:val="28"/>
          <w:highlight w:val="none"/>
          <w:lang w:val="en-US" w:eastAsia="zh-CN"/>
        </w:rPr>
        <w:t>2</w:t>
      </w:r>
      <w:r>
        <w:rPr>
          <w:rFonts w:hint="eastAsia" w:ascii="宋体" w:hAnsi="宋体" w:cs="宋体"/>
          <w:color w:val="000000"/>
          <w:sz w:val="28"/>
          <w:szCs w:val="28"/>
          <w:highlight w:val="none"/>
          <w:lang w:val="en-US" w:eastAsia="zh-CN"/>
        </w:rPr>
        <w:t>管理和履约</w:t>
      </w:r>
      <w:r>
        <w:rPr>
          <w:rFonts w:hint="eastAsia" w:ascii="宋体" w:hAnsi="宋体" w:cs="宋体"/>
          <w:color w:val="000000"/>
          <w:sz w:val="28"/>
          <w:szCs w:val="28"/>
          <w:highlight w:val="none"/>
        </w:rPr>
        <w:t>要求</w:t>
      </w:r>
      <w:bookmarkEnd w:id="179"/>
      <w:r>
        <w:rPr>
          <w:rFonts w:hint="eastAsia" w:ascii="宋体" w:hAnsi="宋体" w:cs="宋体"/>
          <w:color w:val="000000"/>
          <w:sz w:val="28"/>
          <w:szCs w:val="28"/>
          <w:highlight w:val="none"/>
          <w:lang w:val="en-US" w:eastAsia="zh-CN"/>
        </w:rPr>
        <w:t>(见附件《整车发运违约追责和评价管理办法》)</w:t>
      </w:r>
    </w:p>
    <w:p/>
    <w:p>
      <w:pPr>
        <w:pStyle w:val="16"/>
        <w:spacing w:line="360" w:lineRule="auto"/>
        <w:ind w:left="420"/>
        <w:rPr>
          <w:rFonts w:hint="eastAsia"/>
        </w:rPr>
      </w:pPr>
      <w:bookmarkStart w:id="180" w:name="_Toc13602"/>
      <w:bookmarkStart w:id="181" w:name="_Toc21399"/>
      <w:bookmarkStart w:id="182" w:name="_Toc30089"/>
      <w:bookmarkStart w:id="183" w:name="_Toc5933"/>
      <w:r>
        <w:rPr>
          <w:rFonts w:hint="eastAsia"/>
        </w:rPr>
        <w:t>评分标准</w:t>
      </w:r>
      <w:bookmarkEnd w:id="180"/>
      <w:bookmarkEnd w:id="181"/>
      <w:bookmarkEnd w:id="182"/>
      <w:bookmarkEnd w:id="183"/>
    </w:p>
    <w:p>
      <w:pPr>
        <w:spacing w:line="360" w:lineRule="auto"/>
        <w:ind w:firstLine="482"/>
        <w:rPr>
          <w:rFonts w:hint="eastAsia" w:ascii="宋体" w:hAnsi="宋体" w:cs="宋体"/>
          <w:kern w:val="2"/>
          <w:sz w:val="24"/>
          <w:highlight w:val="none"/>
        </w:rPr>
      </w:pPr>
      <w:r>
        <w:rPr>
          <w:rFonts w:hint="eastAsia" w:ascii="宋体" w:hAnsi="宋体" w:cs="宋体"/>
          <w:kern w:val="2"/>
          <w:sz w:val="24"/>
        </w:rPr>
        <w:t>本次评标采用资质审查、商务唱标、技术评标、商务</w:t>
      </w:r>
      <w:r>
        <w:rPr>
          <w:rFonts w:hint="eastAsia" w:ascii="宋体" w:hAnsi="宋体" w:cs="宋体"/>
          <w:kern w:val="2"/>
          <w:sz w:val="24"/>
          <w:lang w:val="en-US" w:eastAsia="zh-CN"/>
        </w:rPr>
        <w:t>竞价</w:t>
      </w:r>
      <w:r>
        <w:rPr>
          <w:rFonts w:hint="eastAsia" w:ascii="宋体" w:hAnsi="宋体" w:cs="宋体"/>
          <w:kern w:val="2"/>
          <w:sz w:val="24"/>
        </w:rPr>
        <w:t>四个阶段开标模式。首先进行资质审查，符合资质的投标方进入</w:t>
      </w:r>
      <w:r>
        <w:rPr>
          <w:rFonts w:hint="eastAsia" w:ascii="宋体" w:hAnsi="宋体" w:cs="宋体"/>
          <w:kern w:val="2"/>
          <w:sz w:val="24"/>
          <w:lang w:val="en-US" w:eastAsia="zh-CN"/>
        </w:rPr>
        <w:t>技术标评价</w:t>
      </w:r>
      <w:r>
        <w:rPr>
          <w:rFonts w:hint="eastAsia" w:ascii="宋体" w:hAnsi="宋体" w:cs="宋体"/>
          <w:kern w:val="2"/>
          <w:sz w:val="24"/>
        </w:rPr>
        <w:t>，技术标评审由技术评标专家组对所有投标方的技术标部分综合评定和打分，技术标满分100分</w:t>
      </w:r>
      <w:r>
        <w:rPr>
          <w:rFonts w:hint="eastAsia" w:ascii="宋体" w:hAnsi="宋体" w:cs="宋体"/>
          <w:kern w:val="2"/>
          <w:sz w:val="24"/>
          <w:lang w:eastAsia="zh-CN"/>
        </w:rPr>
        <w:t>，</w:t>
      </w:r>
      <w:r>
        <w:rPr>
          <w:rFonts w:hint="eastAsia" w:ascii="宋体" w:hAnsi="宋体" w:cs="宋体"/>
          <w:kern w:val="2"/>
          <w:sz w:val="24"/>
          <w:lang w:val="en-US" w:eastAsia="zh-CN"/>
        </w:rPr>
        <w:t>60分为最低入围标准</w:t>
      </w:r>
      <w:r>
        <w:rPr>
          <w:rFonts w:hint="eastAsia" w:ascii="宋体" w:hAnsi="宋体" w:cs="宋体"/>
          <w:kern w:val="2"/>
          <w:sz w:val="24"/>
          <w:lang w:eastAsia="zh-CN"/>
        </w:rPr>
        <w:t>，</w:t>
      </w:r>
      <w:r>
        <w:rPr>
          <w:rFonts w:hint="eastAsia" w:ascii="宋体" w:hAnsi="宋体" w:cs="宋体"/>
          <w:kern w:val="2"/>
          <w:sz w:val="24"/>
          <w:lang w:val="en-US" w:eastAsia="zh-CN"/>
        </w:rPr>
        <w:t>根据评标现场情况由评标专家组确定入围名单（</w:t>
      </w:r>
      <w:r>
        <w:rPr>
          <w:rFonts w:hint="eastAsia" w:ascii="宋体" w:hAnsi="宋体" w:cs="宋体"/>
          <w:kern w:val="2"/>
          <w:sz w:val="24"/>
          <w:highlight w:val="yellow"/>
          <w:lang w:val="en-US" w:eastAsia="zh-CN"/>
        </w:rPr>
        <w:t>技术标中的运营得分按照新驾送合同期（7-10月）的得分计算，新供方运营评价不得分</w:t>
      </w:r>
      <w:r>
        <w:rPr>
          <w:rFonts w:hint="eastAsia" w:ascii="宋体" w:hAnsi="宋体" w:cs="宋体"/>
          <w:kern w:val="2"/>
          <w:sz w:val="24"/>
          <w:lang w:val="en-US" w:eastAsia="zh-CN"/>
        </w:rPr>
        <w:t>）；商务标每轮至少淘汰一家报价最高的投标方，最终轮次每条线路保留报价最低的2家投标方</w:t>
      </w:r>
      <w:r>
        <w:rPr>
          <w:rFonts w:hint="eastAsia" w:ascii="宋体" w:hAnsi="宋体" w:cs="宋体"/>
          <w:kern w:val="2"/>
          <w:sz w:val="24"/>
        </w:rPr>
        <w:t>。招标人有权根据项目情况，采取多轮评标模式，最终根据</w:t>
      </w:r>
      <w:r>
        <w:rPr>
          <w:rFonts w:hint="eastAsia" w:ascii="宋体" w:hAnsi="宋体" w:cs="宋体"/>
          <w:kern w:val="2"/>
          <w:sz w:val="24"/>
          <w:lang w:val="en-US" w:eastAsia="zh-CN"/>
        </w:rPr>
        <w:t>商务标报价</w:t>
      </w:r>
      <w:r>
        <w:rPr>
          <w:rFonts w:hint="eastAsia" w:ascii="宋体" w:hAnsi="宋体" w:cs="宋体"/>
          <w:kern w:val="2"/>
          <w:sz w:val="24"/>
        </w:rPr>
        <w:t>确定中标方和备用方</w:t>
      </w:r>
      <w:r>
        <w:rPr>
          <w:rFonts w:hint="eastAsia" w:ascii="宋体" w:hAnsi="宋体" w:cs="宋体"/>
          <w:kern w:val="2"/>
          <w:sz w:val="24"/>
          <w:lang w:eastAsia="zh-CN"/>
        </w:rPr>
        <w:t>（</w:t>
      </w:r>
      <w:r>
        <w:rPr>
          <w:rFonts w:hint="eastAsia" w:ascii="宋体" w:hAnsi="宋体" w:cs="宋体"/>
          <w:kern w:val="2"/>
          <w:sz w:val="24"/>
          <w:lang w:val="en-US" w:eastAsia="zh-CN"/>
        </w:rPr>
        <w:t>商务标报价相同时，优先选用技术标得分高的投标方）备选方签备选合同，当第一中标人无法按照约定执行时，由备选方履约，价格执行第一中标人价格</w:t>
      </w:r>
      <w:r>
        <w:rPr>
          <w:rFonts w:hint="eastAsia" w:ascii="宋体" w:hAnsi="宋体" w:cs="宋体"/>
          <w:kern w:val="2"/>
          <w:sz w:val="24"/>
        </w:rPr>
        <w:t>，对未中标人不做任何解释。</w:t>
      </w:r>
    </w:p>
    <w:p>
      <w:pPr>
        <w:spacing w:line="360" w:lineRule="auto"/>
        <w:ind w:firstLine="482"/>
        <w:rPr>
          <w:rFonts w:hint="eastAsia"/>
          <w:sz w:val="24"/>
          <w:szCs w:val="24"/>
        </w:rPr>
      </w:pPr>
      <w:r>
        <w:rPr>
          <w:rFonts w:hint="eastAsia"/>
          <w:kern w:val="2"/>
          <w:sz w:val="24"/>
          <w:szCs w:val="24"/>
          <w:lang w:val="en-US" w:eastAsia="zh-CN"/>
        </w:rPr>
        <w:t xml:space="preserve"> </w:t>
      </w:r>
      <w:r>
        <w:rPr>
          <w:rFonts w:hint="eastAsia" w:ascii="宋体" w:hAnsi="宋体"/>
          <w:b/>
          <w:bCs/>
          <w:sz w:val="24"/>
          <w:szCs w:val="24"/>
        </w:rPr>
        <w:t>注：</w:t>
      </w:r>
      <w:r>
        <w:rPr>
          <w:rFonts w:hint="eastAsia"/>
          <w:sz w:val="24"/>
          <w:szCs w:val="24"/>
        </w:rPr>
        <w:t>本招标文件的最终解释权归招标人，当对一个问题有多种解释时以招标人的书面解释为准。招标文件未做须知明示，而又有相关法律、法规规定的，招标人对此所做解释以相关的法律、法规规定为依据。</w:t>
      </w:r>
    </w:p>
    <w:p/>
    <w:bookmarkEnd w:id="150"/>
    <w:bookmarkEnd w:id="151"/>
    <w:p>
      <w:pPr>
        <w:pStyle w:val="16"/>
        <w:spacing w:line="360" w:lineRule="auto"/>
        <w:ind w:left="420"/>
        <w:rPr>
          <w:rFonts w:hint="eastAsia"/>
        </w:rPr>
      </w:pPr>
      <w:bookmarkStart w:id="184" w:name="_Toc142749695"/>
      <w:bookmarkStart w:id="185" w:name="_Toc12492"/>
      <w:r>
        <w:rPr>
          <w:rFonts w:hint="eastAsia"/>
        </w:rPr>
        <w:t>合同签订</w:t>
      </w:r>
      <w:bookmarkEnd w:id="184"/>
      <w:bookmarkEnd w:id="185"/>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w:t>
      </w:r>
      <w:r>
        <w:rPr>
          <w:rFonts w:hint="eastAsia" w:ascii="宋体" w:hAnsi="宋体" w:cs="宋体"/>
          <w:color w:val="000000"/>
          <w:sz w:val="24"/>
          <w:szCs w:val="24"/>
          <w:lang w:eastAsia="zh-CN"/>
        </w:rPr>
        <w:t>.</w:t>
      </w:r>
      <w:r>
        <w:rPr>
          <w:rFonts w:hint="eastAsia" w:ascii="宋体" w:hAnsi="宋体" w:cs="宋体"/>
          <w:color w:val="000000"/>
          <w:sz w:val="24"/>
          <w:szCs w:val="24"/>
        </w:rPr>
        <w:t>根据评标工作小组的评标结果并按相关法律法规的规定及公司相关制度要求，确定中标人。中标人承诺无条件服从招标人针对该项目的后续所有安排。招标人不承诺将合同授予报价最低的投标人，也不对未中标人做任何解释。</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w:t>
      </w:r>
      <w:r>
        <w:rPr>
          <w:rFonts w:hint="eastAsia" w:ascii="宋体" w:hAnsi="宋体" w:cs="宋体"/>
          <w:color w:val="000000"/>
          <w:sz w:val="24"/>
          <w:szCs w:val="24"/>
          <w:lang w:eastAsia="zh-CN"/>
        </w:rPr>
        <w:t>.</w:t>
      </w:r>
      <w:r>
        <w:rPr>
          <w:rFonts w:hint="eastAsia" w:ascii="宋体" w:hAnsi="宋体" w:cs="宋体"/>
          <w:color w:val="000000"/>
          <w:sz w:val="24"/>
          <w:szCs w:val="24"/>
        </w:rPr>
        <w:t>招标人发送《中标通知书》给中标人，中标人应及时与招标人联系，在招标人要求的时间内完成合同签订，如果中标人接到《中标通知书》后，无正当理由拒绝按其规定的期限与相关单位签订合同或在签订合同时向招标人或相关单位提出附加条件或者更改合同实质性内容的，投标保证金不予返还，招标人有权取消其中标资格，招标人将从剩余投标人中依序重新确定中标人，或重新组织招标。</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eastAsia="zh-CN"/>
        </w:rPr>
        <w:t>.</w:t>
      </w:r>
      <w:r>
        <w:rPr>
          <w:rFonts w:hint="eastAsia" w:ascii="宋体" w:hAnsi="宋体" w:cs="宋体"/>
          <w:color w:val="000000"/>
          <w:sz w:val="24"/>
          <w:szCs w:val="24"/>
        </w:rPr>
        <w:t>中标人应当按照合同约定的履约责任，向招标人指定的合同签订单位缴纳履约保证金/万元（具体数额以合同约定为准），如中标人未按合同及其附件约定履行应承担的责任，招标人或招标人指定的合同签订单位有权扣除其履约保证金。</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4</w:t>
      </w:r>
      <w:r>
        <w:rPr>
          <w:rFonts w:hint="eastAsia" w:ascii="宋体" w:hAnsi="宋体" w:cs="宋体"/>
          <w:color w:val="000000"/>
          <w:sz w:val="24"/>
          <w:szCs w:val="24"/>
          <w:lang w:eastAsia="zh-CN"/>
        </w:rPr>
        <w:t>.</w:t>
      </w:r>
      <w:r>
        <w:rPr>
          <w:rFonts w:hint="eastAsia" w:ascii="宋体" w:hAnsi="宋体" w:cs="宋体"/>
          <w:color w:val="000000"/>
          <w:sz w:val="24"/>
          <w:szCs w:val="24"/>
        </w:rPr>
        <w:t>中标人应在保证质量的前提下完成中标项目，不得将中标项目转包或分包给他人，否则视为违约，招标人或相关单位有权解除合同。</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5</w:t>
      </w:r>
      <w:r>
        <w:rPr>
          <w:rFonts w:hint="eastAsia" w:ascii="宋体" w:hAnsi="宋体" w:cs="宋体"/>
          <w:color w:val="000000"/>
          <w:sz w:val="24"/>
          <w:szCs w:val="24"/>
          <w:lang w:eastAsia="zh-CN"/>
        </w:rPr>
        <w:t>.</w:t>
      </w:r>
      <w:r>
        <w:rPr>
          <w:rFonts w:hint="eastAsia" w:ascii="宋体" w:hAnsi="宋体" w:cs="宋体"/>
          <w:color w:val="000000"/>
          <w:sz w:val="24"/>
          <w:szCs w:val="24"/>
        </w:rPr>
        <w:t>中标人由于履行义务的能力或信用有严重缺陷，招标人有权取消其中标资格，招标人将从剩余投标人中依序重新确定中标人，或重新组织招标。</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6</w:t>
      </w:r>
      <w:r>
        <w:rPr>
          <w:rFonts w:hint="eastAsia" w:ascii="宋体" w:hAnsi="宋体" w:cs="宋体"/>
          <w:color w:val="000000"/>
          <w:sz w:val="24"/>
          <w:szCs w:val="24"/>
          <w:lang w:eastAsia="zh-CN"/>
        </w:rPr>
        <w:t>.</w:t>
      </w:r>
      <w:r>
        <w:rPr>
          <w:rFonts w:hint="eastAsia" w:ascii="宋体" w:hAnsi="宋体" w:cs="宋体"/>
          <w:color w:val="000000"/>
          <w:sz w:val="24"/>
          <w:szCs w:val="24"/>
        </w:rPr>
        <w:t>招标人有权指定招标人的关联单位作为合同签订人，与中标人签署相关合同，且具体权利义务以双方最终签署的合同为准。</w:t>
      </w:r>
    </w:p>
    <w:p>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rPr>
        <w:t>7</w:t>
      </w:r>
      <w:r>
        <w:rPr>
          <w:rFonts w:hint="eastAsia" w:ascii="宋体" w:hAnsi="宋体" w:cs="宋体"/>
          <w:color w:val="000000"/>
          <w:sz w:val="24"/>
          <w:szCs w:val="24"/>
          <w:lang w:eastAsia="zh-CN"/>
        </w:rPr>
        <w:t>.</w:t>
      </w:r>
      <w:r>
        <w:rPr>
          <w:rFonts w:hint="eastAsia" w:ascii="宋体" w:hAnsi="宋体" w:cs="宋体"/>
          <w:color w:val="000000"/>
          <w:sz w:val="24"/>
          <w:szCs w:val="24"/>
          <w:highlight w:val="none"/>
        </w:rPr>
        <w:t>中标人须认可由于招标人上级集团公司政策变化引起的合同签订前终止项目的要求。</w:t>
      </w:r>
    </w:p>
    <w:p>
      <w:pPr>
        <w:rPr>
          <w:rFonts w:hint="eastAsia" w:ascii="宋体" w:hAnsi="宋体" w:cs="宋体"/>
          <w:color w:val="000000"/>
          <w:sz w:val="24"/>
          <w:szCs w:val="24"/>
          <w:highlight w:val="none"/>
        </w:rPr>
      </w:pPr>
    </w:p>
    <w:p>
      <w:pPr>
        <w:pStyle w:val="8"/>
        <w:rPr>
          <w:rFonts w:hint="eastAsia" w:ascii="宋体" w:hAnsi="宋体" w:cs="宋体"/>
          <w:color w:val="000000"/>
          <w:sz w:val="24"/>
          <w:szCs w:val="24"/>
          <w:highlight w:val="none"/>
        </w:rPr>
      </w:pPr>
    </w:p>
    <w:p>
      <w:pPr>
        <w:rPr>
          <w:rFonts w:hint="eastAsia" w:ascii="宋体" w:hAnsi="宋体" w:cs="宋体"/>
          <w:color w:val="000000"/>
          <w:sz w:val="24"/>
          <w:szCs w:val="24"/>
          <w:highlight w:val="none"/>
        </w:rPr>
      </w:pPr>
    </w:p>
    <w:p>
      <w:pPr>
        <w:pStyle w:val="8"/>
        <w:rPr>
          <w:rFonts w:hint="eastAsia" w:ascii="宋体" w:hAnsi="宋体" w:cs="宋体"/>
          <w:color w:val="000000"/>
          <w:sz w:val="24"/>
          <w:szCs w:val="24"/>
          <w:highlight w:val="none"/>
        </w:rPr>
      </w:pPr>
    </w:p>
    <w:p>
      <w:pPr>
        <w:rPr>
          <w:rFonts w:hint="eastAsia" w:ascii="宋体" w:hAnsi="宋体" w:cs="宋体"/>
          <w:color w:val="000000"/>
          <w:sz w:val="24"/>
          <w:szCs w:val="24"/>
          <w:highlight w:val="none"/>
        </w:rPr>
      </w:pPr>
    </w:p>
    <w:p>
      <w:pPr>
        <w:pStyle w:val="8"/>
        <w:rPr>
          <w:rFonts w:hint="eastAsia"/>
        </w:rPr>
      </w:pPr>
    </w:p>
    <w:p>
      <w:pPr>
        <w:rPr>
          <w:rFonts w:hint="eastAsia"/>
        </w:rPr>
      </w:pPr>
    </w:p>
    <w:p>
      <w:pPr>
        <w:rPr>
          <w:rFonts w:hint="eastAsia"/>
        </w:rPr>
      </w:pPr>
    </w:p>
    <w:p>
      <w:pPr>
        <w:pStyle w:val="8"/>
        <w:rPr>
          <w:rFonts w:hint="eastAsia"/>
        </w:rPr>
      </w:pPr>
    </w:p>
    <w:p>
      <w:pPr>
        <w:pStyle w:val="16"/>
        <w:numPr>
          <w:ilvl w:val="0"/>
          <w:numId w:val="0"/>
        </w:numPr>
        <w:ind w:firstLine="3534" w:firstLineChars="1100"/>
        <w:jc w:val="both"/>
        <w:rPr>
          <w:rFonts w:hint="eastAsia"/>
        </w:rPr>
      </w:pPr>
      <w:bookmarkStart w:id="186" w:name="_Toc17414"/>
      <w:r>
        <w:rPr>
          <w:rFonts w:hint="eastAsia"/>
        </w:rPr>
        <w:t>第</w:t>
      </w:r>
      <w:r>
        <w:rPr>
          <w:rFonts w:hint="eastAsia"/>
          <w:lang w:val="en-US" w:eastAsia="zh-CN"/>
        </w:rPr>
        <w:t>7</w:t>
      </w:r>
      <w:r>
        <w:rPr>
          <w:rFonts w:hint="eastAsia"/>
        </w:rPr>
        <w:t>章  附件</w:t>
      </w:r>
      <w:bookmarkEnd w:id="186"/>
    </w:p>
    <w:p>
      <w:pPr>
        <w:pStyle w:val="14"/>
        <w:ind w:right="210" w:firstLine="480"/>
        <w:rPr>
          <w:rFonts w:hint="default" w:ascii="宋体" w:hAnsi="宋体"/>
          <w:lang w:val="en-US" w:eastAsia="zh-CN"/>
        </w:rPr>
      </w:pPr>
      <w:r>
        <w:rPr>
          <w:rFonts w:hint="eastAsia" w:ascii="宋体" w:hAnsi="宋体"/>
          <w:lang w:val="en-US" w:eastAsia="zh-CN"/>
        </w:rPr>
        <w:t>附件1：技术标评分表</w:t>
      </w:r>
    </w:p>
    <w:p>
      <w:pPr>
        <w:pStyle w:val="14"/>
        <w:ind w:right="210" w:firstLine="480"/>
        <w:rPr>
          <w:rFonts w:hint="default" w:ascii="宋体" w:hAnsi="宋体"/>
          <w:lang w:val="en-US" w:eastAsia="zh-CN"/>
        </w:rPr>
      </w:pPr>
      <w:r>
        <w:rPr>
          <w:rFonts w:hint="eastAsia" w:ascii="宋体" w:hAnsi="宋体"/>
          <w:lang w:val="en-US" w:eastAsia="zh-CN"/>
        </w:rPr>
        <w:t>附件2：2025年商品车驾送里程数据</w:t>
      </w:r>
    </w:p>
    <w:p>
      <w:pPr>
        <w:pStyle w:val="14"/>
        <w:ind w:right="210" w:firstLine="480"/>
        <w:rPr>
          <w:rFonts w:hint="eastAsia" w:ascii="宋体" w:hAnsi="宋体"/>
          <w:lang w:val="en-US" w:eastAsia="zh-CN"/>
        </w:rPr>
      </w:pPr>
      <w:r>
        <w:rPr>
          <w:rFonts w:hint="eastAsia" w:ascii="宋体" w:hAnsi="宋体"/>
          <w:lang w:val="en-US" w:eastAsia="zh-CN"/>
        </w:rPr>
        <w:t>附件3：特殊业务场景项目和费用标准</w:t>
      </w:r>
    </w:p>
    <w:p>
      <w:pPr>
        <w:pStyle w:val="14"/>
        <w:ind w:right="210" w:firstLine="480"/>
        <w:rPr>
          <w:rFonts w:hint="default" w:ascii="宋体" w:hAnsi="宋体"/>
          <w:lang w:val="en-US" w:eastAsia="zh-CN"/>
        </w:rPr>
      </w:pPr>
      <w:r>
        <w:rPr>
          <w:rFonts w:hint="eastAsia" w:ascii="宋体" w:hAnsi="宋体"/>
          <w:lang w:val="en-US" w:eastAsia="zh-CN"/>
        </w:rPr>
        <w:t>附件4：整车发运违约追责和评价管理办法</w:t>
      </w:r>
    </w:p>
    <w:p>
      <w:pPr>
        <w:pStyle w:val="14"/>
        <w:ind w:right="210" w:firstLine="480"/>
        <w:rPr>
          <w:rFonts w:hint="eastAsia" w:ascii="宋体" w:hAnsi="宋体"/>
          <w:lang w:val="en-US" w:eastAsia="zh-CN"/>
        </w:rPr>
      </w:pPr>
      <w:r>
        <w:rPr>
          <w:rFonts w:hint="eastAsia" w:ascii="宋体" w:hAnsi="宋体"/>
          <w:lang w:val="en-US" w:eastAsia="zh-CN"/>
        </w:rPr>
        <w:t>附件5：开标一览表（单独下载，必须是EXCEL格式，各项内容和顺序不允许改动）</w:t>
      </w:r>
    </w:p>
    <w:p>
      <w:pPr>
        <w:pStyle w:val="14"/>
        <w:ind w:right="210" w:firstLine="480"/>
        <w:rPr>
          <w:rFonts w:hint="eastAsia" w:ascii="宋体" w:hAnsi="宋体"/>
          <w:lang w:val="en-US" w:eastAsia="zh-CN"/>
        </w:rPr>
      </w:pPr>
      <w:r>
        <w:rPr>
          <w:rFonts w:hint="eastAsia" w:ascii="宋体" w:hAnsi="宋体"/>
          <w:lang w:val="en-US" w:eastAsia="zh-CN"/>
        </w:rPr>
        <w:t>附件6：投标保证金承诺函</w:t>
      </w:r>
    </w:p>
    <w:p>
      <w:pPr>
        <w:pStyle w:val="14"/>
        <w:ind w:right="210" w:firstLine="480"/>
        <w:rPr>
          <w:rFonts w:hint="default" w:ascii="宋体" w:hAnsi="宋体"/>
          <w:lang w:val="en-US" w:eastAsia="zh-CN"/>
        </w:rPr>
      </w:pPr>
      <w:r>
        <w:rPr>
          <w:rFonts w:hint="eastAsia" w:ascii="宋体" w:hAnsi="宋体"/>
          <w:lang w:val="en-US" w:eastAsia="zh-CN"/>
        </w:rPr>
        <w:t>附件7：投标函</w:t>
      </w:r>
    </w:p>
    <w:p>
      <w:pPr>
        <w:pStyle w:val="14"/>
        <w:ind w:right="210" w:firstLine="480"/>
        <w:rPr>
          <w:rFonts w:hint="eastAsia" w:ascii="宋体" w:hAnsi="宋体"/>
          <w:lang w:val="en-US" w:eastAsia="zh-CN"/>
        </w:rPr>
      </w:pPr>
      <w:r>
        <w:rPr>
          <w:rFonts w:hint="eastAsia" w:ascii="宋体" w:hAnsi="宋体"/>
          <w:lang w:val="en-US" w:eastAsia="zh-CN"/>
        </w:rPr>
        <w:t>附件8：授权委托书</w:t>
      </w:r>
    </w:p>
    <w:p>
      <w:pPr>
        <w:pStyle w:val="14"/>
        <w:ind w:right="210" w:firstLine="480"/>
        <w:rPr>
          <w:rFonts w:hint="default" w:ascii="宋体" w:hAnsi="宋体"/>
          <w:lang w:val="en-US" w:eastAsia="zh-CN"/>
        </w:rPr>
      </w:pPr>
      <w:r>
        <w:rPr>
          <w:rFonts w:hint="eastAsia" w:ascii="宋体" w:hAnsi="宋体"/>
          <w:lang w:val="en-US" w:eastAsia="zh-CN"/>
        </w:rPr>
        <w:t>附件9：承诺函</w:t>
      </w:r>
    </w:p>
    <w:p>
      <w:pPr>
        <w:pStyle w:val="14"/>
        <w:ind w:right="210" w:firstLine="480"/>
        <w:rPr>
          <w:rFonts w:hint="default" w:ascii="宋体" w:hAnsi="宋体"/>
          <w:lang w:val="en-US" w:eastAsia="zh-CN"/>
        </w:rPr>
      </w:pPr>
      <w:r>
        <w:rPr>
          <w:rFonts w:hint="eastAsia" w:ascii="宋体" w:hAnsi="宋体"/>
          <w:lang w:val="en-US" w:eastAsia="zh-CN"/>
        </w:rPr>
        <w:t>附件10：2025年商用车E线路商品车投标基价</w:t>
      </w:r>
    </w:p>
    <w:p>
      <w:pPr>
        <w:pStyle w:val="14"/>
        <w:ind w:right="210" w:firstLine="480"/>
        <w:rPr>
          <w:rFonts w:hint="default" w:ascii="宋体" w:hAnsi="宋体"/>
          <w:lang w:val="en-US" w:eastAsia="zh-CN"/>
        </w:rPr>
      </w:pPr>
      <w:r>
        <w:rPr>
          <w:rFonts w:hint="eastAsia" w:ascii="宋体" w:hAnsi="宋体"/>
          <w:lang w:val="en-US" w:eastAsia="zh-CN"/>
        </w:rPr>
        <w:t xml:space="preserve"> </w:t>
      </w:r>
    </w:p>
    <w:p/>
    <w:p>
      <w:pPr>
        <w:pStyle w:val="14"/>
        <w:ind w:right="210" w:firstLine="480"/>
        <w:rPr>
          <w:rFonts w:ascii="宋体" w:hAnsi="宋体"/>
        </w:rPr>
      </w:pPr>
      <w:r>
        <w:rPr>
          <w:rFonts w:hint="eastAsia" w:ascii="宋体" w:hAnsi="宋体"/>
        </w:rPr>
        <w:t>说明：</w:t>
      </w:r>
    </w:p>
    <w:p>
      <w:pPr>
        <w:spacing w:line="360" w:lineRule="auto"/>
        <w:ind w:firstLine="480" w:firstLineChars="200"/>
        <w:rPr>
          <w:rFonts w:ascii="宋体" w:hAnsi="宋体"/>
          <w:sz w:val="24"/>
        </w:rPr>
      </w:pPr>
      <w:r>
        <w:rPr>
          <w:rFonts w:hint="eastAsia" w:ascii="宋体" w:hAnsi="宋体"/>
          <w:sz w:val="24"/>
        </w:rPr>
        <w:t>1、投标人须认真填写和提交本部分中的附件文件；</w:t>
      </w:r>
    </w:p>
    <w:p>
      <w:pPr>
        <w:spacing w:line="360" w:lineRule="auto"/>
        <w:ind w:firstLine="480" w:firstLineChars="200"/>
        <w:rPr>
          <w:rFonts w:ascii="宋体" w:hAnsi="宋体"/>
          <w:sz w:val="24"/>
        </w:rPr>
      </w:pPr>
      <w:r>
        <w:rPr>
          <w:rFonts w:hint="eastAsia" w:ascii="宋体" w:hAnsi="宋体"/>
          <w:sz w:val="24"/>
        </w:rPr>
        <w:t>2、对附件文件中所要求的内容应给予明确的答复；</w:t>
      </w:r>
    </w:p>
    <w:p>
      <w:pPr>
        <w:spacing w:line="360" w:lineRule="auto"/>
        <w:ind w:firstLine="480" w:firstLineChars="200"/>
        <w:rPr>
          <w:rFonts w:ascii="宋体" w:hAnsi="宋体"/>
          <w:sz w:val="24"/>
        </w:rPr>
      </w:pPr>
      <w:r>
        <w:rPr>
          <w:rFonts w:hint="eastAsia" w:ascii="宋体" w:hAnsi="宋体"/>
          <w:sz w:val="24"/>
        </w:rPr>
        <w:t>3、附件文件的签字人应保证其对一切问题的答复、所做的声明及出具的资格资质文件、资料等具有真实性和准确性；</w:t>
      </w:r>
    </w:p>
    <w:p>
      <w:pPr>
        <w:spacing w:line="360" w:lineRule="auto"/>
        <w:ind w:firstLine="480" w:firstLineChars="200"/>
        <w:rPr>
          <w:rFonts w:ascii="宋体" w:hAnsi="宋体"/>
          <w:sz w:val="24"/>
        </w:rPr>
      </w:pPr>
      <w:r>
        <w:rPr>
          <w:rFonts w:hint="eastAsia" w:ascii="宋体" w:hAnsi="宋体"/>
          <w:sz w:val="24"/>
        </w:rPr>
        <w:t>4、招标人将对投标人提交的文件、资料等内容予以保密，但不退还；</w:t>
      </w:r>
    </w:p>
    <w:p>
      <w:pPr>
        <w:spacing w:line="360" w:lineRule="auto"/>
        <w:ind w:firstLine="480" w:firstLineChars="200"/>
        <w:rPr>
          <w:rFonts w:ascii="宋体" w:hAnsi="宋体"/>
          <w:sz w:val="24"/>
        </w:rPr>
      </w:pPr>
      <w:r>
        <w:rPr>
          <w:rFonts w:hint="eastAsia" w:ascii="宋体" w:hAnsi="宋体"/>
          <w:sz w:val="24"/>
        </w:rPr>
        <w:t>5、所有附件文件应以中文书写，作为投标文件的组成部分。</w:t>
      </w:r>
    </w:p>
    <w:p>
      <w:pPr>
        <w:spacing w:line="360" w:lineRule="auto"/>
        <w:jc w:val="left"/>
        <w:rPr>
          <w:rFonts w:hint="eastAsia" w:ascii="Times New Roman" w:hAnsi="Times New Roman" w:eastAsia="宋体" w:cs="Times New Roman"/>
          <w:b/>
          <w:kern w:val="2"/>
          <w:sz w:val="22"/>
          <w:szCs w:val="22"/>
          <w:lang w:val="en-US" w:eastAsia="zh-CN" w:bidi="ar-SA"/>
        </w:rPr>
      </w:pPr>
    </w:p>
    <w:p>
      <w:pPr>
        <w:pStyle w:val="8"/>
      </w:pPr>
      <w:bookmarkStart w:id="187" w:name="_Toc28039"/>
      <w:bookmarkStart w:id="188" w:name="_Toc31101"/>
    </w:p>
    <w:bookmarkEnd w:id="187"/>
    <w:bookmarkEnd w:id="188"/>
    <w:p>
      <w:pPr>
        <w:pStyle w:val="2"/>
        <w:spacing w:after="0" w:line="360" w:lineRule="auto"/>
      </w:pPr>
    </w:p>
    <w:sectPr>
      <w:footerReference r:id="rId5" w:type="default"/>
      <w:pgSz w:w="11907" w:h="16840"/>
      <w:pgMar w:top="1025" w:right="1418" w:bottom="1418" w:left="1418" w:header="724" w:footer="851" w:gutter="0"/>
      <w:pgNumType w:fmt="decimal" w:start="1"/>
      <w:cols w:space="720" w:num="1"/>
      <w:docGrid w:linePitch="290" w:charSpace="-39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rPr>
        <w:rFonts w:hint="default"/>
        <w:lang w:val="en-US"/>
      </w:rPr>
    </w:pPr>
  </w:p>
  <w:p>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sdt>
      <w:sdtPr>
        <w:rPr>
          <w:rFonts w:hint="default"/>
          <w:lang w:val="en-US"/>
        </w:rPr>
        <w:id w:val="147468749"/>
        <w:showingPlcHdr/>
        <w:docPartObj>
          <w:docPartGallery w:val="autotext"/>
        </w:docPartObj>
      </w:sdtPr>
      <w:sdtEndPr>
        <w:rPr>
          <w:rFonts w:hint="default"/>
          <w:lang w:val="en-US"/>
        </w:rPr>
      </w:sdtEndPr>
      <w:sdtContent/>
    </w:sdt>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7933AF"/>
    <w:multiLevelType w:val="multilevel"/>
    <w:tmpl w:val="047933AF"/>
    <w:lvl w:ilvl="0" w:tentative="0">
      <w:start w:val="1"/>
      <w:numFmt w:val="decimal"/>
      <w:pStyle w:val="16"/>
      <w:lvlText w:val="第%1章"/>
      <w:lvlJc w:val="left"/>
      <w:pPr>
        <w:ind w:left="5382"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6071288"/>
    <w:multiLevelType w:val="multilevel"/>
    <w:tmpl w:val="26071288"/>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default"/>
        <w:sz w:val="28"/>
        <w:szCs w:val="28"/>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28E554A9"/>
    <w:multiLevelType w:val="singleLevel"/>
    <w:tmpl w:val="28E554A9"/>
    <w:lvl w:ilvl="0" w:tentative="0">
      <w:start w:val="1"/>
      <w:numFmt w:val="decimal"/>
      <w:suff w:val="space"/>
      <w:lvlText w:val="(%1)"/>
      <w:lvlJc w:val="left"/>
      <w:pPr>
        <w:tabs>
          <w:tab w:val="left" w:pos="0"/>
        </w:tabs>
        <w:ind w:left="0" w:firstLine="0"/>
      </w:pPr>
      <w:rPr>
        <w:rFonts w:hint="default"/>
        <w:b w:val="0"/>
        <w:bCs/>
      </w:rPr>
    </w:lvl>
  </w:abstractNum>
  <w:abstractNum w:abstractNumId="3">
    <w:nsid w:val="32D71598"/>
    <w:multiLevelType w:val="multilevel"/>
    <w:tmpl w:val="32D71598"/>
    <w:lvl w:ilvl="0" w:tentative="0">
      <w:start w:val="1"/>
      <w:numFmt w:val="decimal"/>
      <w:pStyle w:val="4"/>
      <w:lvlText w:val="%1"/>
      <w:lvlJc w:val="left"/>
      <w:pPr>
        <w:ind w:left="432" w:hanging="432"/>
      </w:pPr>
      <w:rPr>
        <w:rFonts w:hint="eastAsia"/>
      </w:rPr>
    </w:lvl>
    <w:lvl w:ilvl="1" w:tentative="0">
      <w:start w:val="1"/>
      <w:numFmt w:val="decimal"/>
      <w:pStyle w:val="5"/>
      <w:lvlText w:val="%1.%2"/>
      <w:lvlJc w:val="left"/>
      <w:pPr>
        <w:ind w:left="576" w:hanging="576"/>
      </w:pPr>
      <w:rPr>
        <w:rFonts w:hint="default"/>
        <w:i w:val="0"/>
        <w:iCs w:val="0"/>
        <w:sz w:val="28"/>
        <w:szCs w:val="28"/>
      </w:rPr>
    </w:lvl>
    <w:lvl w:ilvl="2" w:tentative="0">
      <w:start w:val="1"/>
      <w:numFmt w:val="decimal"/>
      <w:pStyle w:val="6"/>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4">
    <w:nsid w:val="5A023BC0"/>
    <w:multiLevelType w:val="multilevel"/>
    <w:tmpl w:val="5A023BC0"/>
    <w:lvl w:ilvl="0" w:tentative="0">
      <w:start w:val="1"/>
      <w:numFmt w:val="decimal"/>
      <w:suff w:val="space"/>
      <w:lvlText w:val="(%1)"/>
      <w:lvlJc w:val="left"/>
      <w:pPr>
        <w:ind w:left="0" w:firstLine="0"/>
      </w:pPr>
      <w:rPr>
        <w:rFonts w:hint="default"/>
        <w:b w:val="0"/>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61A0A72"/>
    <w:multiLevelType w:val="multilevel"/>
    <w:tmpl w:val="761A0A72"/>
    <w:lvl w:ilvl="0" w:tentative="0">
      <w:start w:val="1"/>
      <w:numFmt w:val="decimal"/>
      <w:suff w:val="nothing"/>
      <w:lvlText w:val="(%1)"/>
      <w:lvlJc w:val="left"/>
      <w:pPr>
        <w:ind w:left="1696" w:hanging="420"/>
      </w:pPr>
      <w:rPr>
        <w:rFonts w:hint="default"/>
        <w:b w:val="0"/>
        <w:bCs/>
      </w:rPr>
    </w:lvl>
    <w:lvl w:ilvl="1" w:tentative="0">
      <w:start w:val="1"/>
      <w:numFmt w:val="lowerLetter"/>
      <w:lvlText w:val="%2)"/>
      <w:lvlJc w:val="left"/>
      <w:pPr>
        <w:ind w:left="2596" w:hanging="420"/>
      </w:pPr>
    </w:lvl>
    <w:lvl w:ilvl="2" w:tentative="0">
      <w:start w:val="1"/>
      <w:numFmt w:val="lowerRoman"/>
      <w:lvlText w:val="%3."/>
      <w:lvlJc w:val="right"/>
      <w:pPr>
        <w:ind w:left="3016" w:hanging="420"/>
      </w:pPr>
    </w:lvl>
    <w:lvl w:ilvl="3" w:tentative="0">
      <w:start w:val="1"/>
      <w:numFmt w:val="decimal"/>
      <w:lvlText w:val="%4."/>
      <w:lvlJc w:val="left"/>
      <w:pPr>
        <w:ind w:left="3436" w:hanging="420"/>
      </w:pPr>
    </w:lvl>
    <w:lvl w:ilvl="4" w:tentative="0">
      <w:start w:val="1"/>
      <w:numFmt w:val="lowerLetter"/>
      <w:lvlText w:val="%5)"/>
      <w:lvlJc w:val="left"/>
      <w:pPr>
        <w:ind w:left="3856" w:hanging="420"/>
      </w:pPr>
    </w:lvl>
    <w:lvl w:ilvl="5" w:tentative="0">
      <w:start w:val="1"/>
      <w:numFmt w:val="lowerRoman"/>
      <w:lvlText w:val="%6."/>
      <w:lvlJc w:val="right"/>
      <w:pPr>
        <w:ind w:left="4276" w:hanging="420"/>
      </w:pPr>
    </w:lvl>
    <w:lvl w:ilvl="6" w:tentative="0">
      <w:start w:val="1"/>
      <w:numFmt w:val="decimal"/>
      <w:lvlText w:val="%7."/>
      <w:lvlJc w:val="left"/>
      <w:pPr>
        <w:ind w:left="4696" w:hanging="420"/>
      </w:pPr>
    </w:lvl>
    <w:lvl w:ilvl="7" w:tentative="0">
      <w:start w:val="1"/>
      <w:numFmt w:val="lowerLetter"/>
      <w:lvlText w:val="%8)"/>
      <w:lvlJc w:val="left"/>
      <w:pPr>
        <w:ind w:left="5116" w:hanging="420"/>
      </w:pPr>
    </w:lvl>
    <w:lvl w:ilvl="8" w:tentative="0">
      <w:start w:val="1"/>
      <w:numFmt w:val="lowerRoman"/>
      <w:lvlText w:val="%9."/>
      <w:lvlJc w:val="right"/>
      <w:pPr>
        <w:ind w:left="5536" w:hanging="420"/>
      </w:pPr>
    </w:lvl>
  </w:abstractNum>
  <w:abstractNum w:abstractNumId="6">
    <w:nsid w:val="777478E6"/>
    <w:multiLevelType w:val="multilevel"/>
    <w:tmpl w:val="777478E6"/>
    <w:lvl w:ilvl="0" w:tentative="0">
      <w:start w:val="1"/>
      <w:numFmt w:val="decimal"/>
      <w:suff w:val="space"/>
      <w:lvlText w:val="(%1)"/>
      <w:lvlJc w:val="left"/>
      <w:pPr>
        <w:ind w:left="0" w:firstLine="0"/>
      </w:pPr>
      <w:rPr>
        <w:rFonts w:hint="default"/>
        <w:b w:val="0"/>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F982BE3"/>
    <w:multiLevelType w:val="multilevel"/>
    <w:tmpl w:val="7F982BE3"/>
    <w:lvl w:ilvl="0" w:tentative="0">
      <w:start w:val="1"/>
      <w:numFmt w:val="decimal"/>
      <w:suff w:val="space"/>
      <w:lvlText w:val="(%1)"/>
      <w:lvlJc w:val="left"/>
      <w:pPr>
        <w:ind w:left="0" w:firstLine="0"/>
      </w:pPr>
      <w:rPr>
        <w:rFonts w:hint="default"/>
        <w:b w:val="0"/>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7"/>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iNGI0YjIyZDU4ZDBiYmZlNGQ3ODcwMWU5NGJhMGQifQ=="/>
  </w:docVars>
  <w:rsids>
    <w:rsidRoot w:val="00000000"/>
    <w:rsid w:val="007256D8"/>
    <w:rsid w:val="01273E3B"/>
    <w:rsid w:val="01CE678B"/>
    <w:rsid w:val="02411159"/>
    <w:rsid w:val="025B7E7E"/>
    <w:rsid w:val="026106C4"/>
    <w:rsid w:val="02BC6F2C"/>
    <w:rsid w:val="02F15A49"/>
    <w:rsid w:val="02F474A0"/>
    <w:rsid w:val="030376E3"/>
    <w:rsid w:val="03045CB8"/>
    <w:rsid w:val="033C405D"/>
    <w:rsid w:val="0385459C"/>
    <w:rsid w:val="039856CE"/>
    <w:rsid w:val="03F84D6E"/>
    <w:rsid w:val="045B44B4"/>
    <w:rsid w:val="046B474E"/>
    <w:rsid w:val="04A0155B"/>
    <w:rsid w:val="050634BB"/>
    <w:rsid w:val="050D5D23"/>
    <w:rsid w:val="05214592"/>
    <w:rsid w:val="059C373C"/>
    <w:rsid w:val="05BA70B7"/>
    <w:rsid w:val="05C649F8"/>
    <w:rsid w:val="05D728EE"/>
    <w:rsid w:val="05EB5EC4"/>
    <w:rsid w:val="05ED74FC"/>
    <w:rsid w:val="05FB6F31"/>
    <w:rsid w:val="061A6F88"/>
    <w:rsid w:val="06262826"/>
    <w:rsid w:val="06B74E72"/>
    <w:rsid w:val="06F9344F"/>
    <w:rsid w:val="077302C8"/>
    <w:rsid w:val="079F5ED6"/>
    <w:rsid w:val="07CC1ED0"/>
    <w:rsid w:val="07DE24CD"/>
    <w:rsid w:val="07F863A6"/>
    <w:rsid w:val="08964B56"/>
    <w:rsid w:val="08A0788D"/>
    <w:rsid w:val="08DD4532"/>
    <w:rsid w:val="091837BC"/>
    <w:rsid w:val="0926237D"/>
    <w:rsid w:val="09A3577C"/>
    <w:rsid w:val="0A243FB0"/>
    <w:rsid w:val="0A3864D3"/>
    <w:rsid w:val="0A553843"/>
    <w:rsid w:val="0A6855DF"/>
    <w:rsid w:val="0AB8072D"/>
    <w:rsid w:val="0AD61B81"/>
    <w:rsid w:val="0AFD0EBC"/>
    <w:rsid w:val="0B124E21"/>
    <w:rsid w:val="0B3465A6"/>
    <w:rsid w:val="0B3D750A"/>
    <w:rsid w:val="0B64718D"/>
    <w:rsid w:val="0B8E7D66"/>
    <w:rsid w:val="0BB377CC"/>
    <w:rsid w:val="0BB9501C"/>
    <w:rsid w:val="0BD848FB"/>
    <w:rsid w:val="0C4219C8"/>
    <w:rsid w:val="0C51444C"/>
    <w:rsid w:val="0C594818"/>
    <w:rsid w:val="0C5F7F8E"/>
    <w:rsid w:val="0C6649C2"/>
    <w:rsid w:val="0C8A7DF1"/>
    <w:rsid w:val="0DB937C0"/>
    <w:rsid w:val="0DF108BC"/>
    <w:rsid w:val="0E596F18"/>
    <w:rsid w:val="0E9B0BEE"/>
    <w:rsid w:val="0F4D5DDE"/>
    <w:rsid w:val="0F600071"/>
    <w:rsid w:val="0FDC2E8C"/>
    <w:rsid w:val="10702130"/>
    <w:rsid w:val="10F20D97"/>
    <w:rsid w:val="112C24FB"/>
    <w:rsid w:val="113F222E"/>
    <w:rsid w:val="118440E5"/>
    <w:rsid w:val="118934A9"/>
    <w:rsid w:val="11DA0292"/>
    <w:rsid w:val="11FB44A8"/>
    <w:rsid w:val="120506DE"/>
    <w:rsid w:val="120E5CA1"/>
    <w:rsid w:val="121F3E0E"/>
    <w:rsid w:val="124F64A1"/>
    <w:rsid w:val="12AC4556"/>
    <w:rsid w:val="12B94041"/>
    <w:rsid w:val="12BE787A"/>
    <w:rsid w:val="12DE6E2F"/>
    <w:rsid w:val="12ED0C16"/>
    <w:rsid w:val="13615C6C"/>
    <w:rsid w:val="13D8078E"/>
    <w:rsid w:val="14977C8B"/>
    <w:rsid w:val="14F80546"/>
    <w:rsid w:val="1548169E"/>
    <w:rsid w:val="15973978"/>
    <w:rsid w:val="15A90C96"/>
    <w:rsid w:val="15B900D5"/>
    <w:rsid w:val="165305B2"/>
    <w:rsid w:val="16546478"/>
    <w:rsid w:val="16FC29C4"/>
    <w:rsid w:val="17736445"/>
    <w:rsid w:val="17CB05F3"/>
    <w:rsid w:val="18452129"/>
    <w:rsid w:val="1894253D"/>
    <w:rsid w:val="189C4C61"/>
    <w:rsid w:val="1925154B"/>
    <w:rsid w:val="19C21C4E"/>
    <w:rsid w:val="1A085187"/>
    <w:rsid w:val="1A166F21"/>
    <w:rsid w:val="1A3366A8"/>
    <w:rsid w:val="1B9C19EA"/>
    <w:rsid w:val="1C36341E"/>
    <w:rsid w:val="1D152095"/>
    <w:rsid w:val="1DA022A7"/>
    <w:rsid w:val="1DE1641B"/>
    <w:rsid w:val="1EF232D1"/>
    <w:rsid w:val="1F0A2A78"/>
    <w:rsid w:val="1F195869"/>
    <w:rsid w:val="1F5B3666"/>
    <w:rsid w:val="1F6C01BD"/>
    <w:rsid w:val="1FA834FD"/>
    <w:rsid w:val="1FEE1FD4"/>
    <w:rsid w:val="2020181C"/>
    <w:rsid w:val="205D1405"/>
    <w:rsid w:val="208109CC"/>
    <w:rsid w:val="20A57A23"/>
    <w:rsid w:val="20D02E38"/>
    <w:rsid w:val="213F79BD"/>
    <w:rsid w:val="21CA5B44"/>
    <w:rsid w:val="21EF6C3A"/>
    <w:rsid w:val="223013B2"/>
    <w:rsid w:val="223D2DA4"/>
    <w:rsid w:val="225828E3"/>
    <w:rsid w:val="227C4964"/>
    <w:rsid w:val="228A52D3"/>
    <w:rsid w:val="22A04AF7"/>
    <w:rsid w:val="22AD6605"/>
    <w:rsid w:val="22C33DF0"/>
    <w:rsid w:val="22CF2015"/>
    <w:rsid w:val="22FA66EE"/>
    <w:rsid w:val="231D324D"/>
    <w:rsid w:val="23DD7177"/>
    <w:rsid w:val="24091EFB"/>
    <w:rsid w:val="24226A4A"/>
    <w:rsid w:val="243C084F"/>
    <w:rsid w:val="2492221D"/>
    <w:rsid w:val="24F24FEE"/>
    <w:rsid w:val="2511775C"/>
    <w:rsid w:val="25551BC9"/>
    <w:rsid w:val="255E30DE"/>
    <w:rsid w:val="25711518"/>
    <w:rsid w:val="26C568DA"/>
    <w:rsid w:val="27EB2370"/>
    <w:rsid w:val="281D3443"/>
    <w:rsid w:val="285F2236"/>
    <w:rsid w:val="29894432"/>
    <w:rsid w:val="2A0B4F8D"/>
    <w:rsid w:val="2A0B61F2"/>
    <w:rsid w:val="2A202A0F"/>
    <w:rsid w:val="2A9C0A77"/>
    <w:rsid w:val="2B0772DE"/>
    <w:rsid w:val="2B18643C"/>
    <w:rsid w:val="2B18774E"/>
    <w:rsid w:val="2BFF63EA"/>
    <w:rsid w:val="2C8E6CA9"/>
    <w:rsid w:val="2CCE31D2"/>
    <w:rsid w:val="2D3227EF"/>
    <w:rsid w:val="2D660F0B"/>
    <w:rsid w:val="2D984D48"/>
    <w:rsid w:val="2DC07A83"/>
    <w:rsid w:val="2E141EF5"/>
    <w:rsid w:val="2E496043"/>
    <w:rsid w:val="2E6F0050"/>
    <w:rsid w:val="2E764972"/>
    <w:rsid w:val="2EEA2F03"/>
    <w:rsid w:val="2F2616D7"/>
    <w:rsid w:val="2F4F7441"/>
    <w:rsid w:val="2FAB43B4"/>
    <w:rsid w:val="2FB579C7"/>
    <w:rsid w:val="2FCE34B7"/>
    <w:rsid w:val="2FE3129F"/>
    <w:rsid w:val="3013343D"/>
    <w:rsid w:val="304F63CF"/>
    <w:rsid w:val="30711881"/>
    <w:rsid w:val="30850E88"/>
    <w:rsid w:val="3104250D"/>
    <w:rsid w:val="3148438F"/>
    <w:rsid w:val="3163258B"/>
    <w:rsid w:val="326B7E02"/>
    <w:rsid w:val="32FF4F22"/>
    <w:rsid w:val="3345384E"/>
    <w:rsid w:val="339C4E66"/>
    <w:rsid w:val="33A45A46"/>
    <w:rsid w:val="33D34C71"/>
    <w:rsid w:val="34777CE2"/>
    <w:rsid w:val="34A75871"/>
    <w:rsid w:val="34C46423"/>
    <w:rsid w:val="351E50D1"/>
    <w:rsid w:val="35251912"/>
    <w:rsid w:val="35771BC5"/>
    <w:rsid w:val="35BC70FA"/>
    <w:rsid w:val="35C42453"/>
    <w:rsid w:val="36183502"/>
    <w:rsid w:val="36687282"/>
    <w:rsid w:val="37AA4C1A"/>
    <w:rsid w:val="37FF425B"/>
    <w:rsid w:val="384C25B1"/>
    <w:rsid w:val="38617CAB"/>
    <w:rsid w:val="38B93DC5"/>
    <w:rsid w:val="38E16A91"/>
    <w:rsid w:val="39EE64D0"/>
    <w:rsid w:val="39FF69C5"/>
    <w:rsid w:val="3A250F74"/>
    <w:rsid w:val="3A427935"/>
    <w:rsid w:val="3A86417A"/>
    <w:rsid w:val="3AFF6407"/>
    <w:rsid w:val="3B070FC8"/>
    <w:rsid w:val="3B134A1E"/>
    <w:rsid w:val="3B2B37AE"/>
    <w:rsid w:val="3B8F1FE2"/>
    <w:rsid w:val="3B9259C0"/>
    <w:rsid w:val="3BE6503C"/>
    <w:rsid w:val="3C2F000E"/>
    <w:rsid w:val="3C594094"/>
    <w:rsid w:val="3CF43EAD"/>
    <w:rsid w:val="3D2869B6"/>
    <w:rsid w:val="3D2E7899"/>
    <w:rsid w:val="3D494544"/>
    <w:rsid w:val="3D497FDD"/>
    <w:rsid w:val="3D8B5619"/>
    <w:rsid w:val="3DAD1660"/>
    <w:rsid w:val="3DC90D6A"/>
    <w:rsid w:val="3DE75487"/>
    <w:rsid w:val="3DEB454B"/>
    <w:rsid w:val="3E326533"/>
    <w:rsid w:val="3E655F10"/>
    <w:rsid w:val="3EBB63A3"/>
    <w:rsid w:val="3EF06066"/>
    <w:rsid w:val="3F4F492A"/>
    <w:rsid w:val="3F8C20F5"/>
    <w:rsid w:val="3FC574F3"/>
    <w:rsid w:val="404A3387"/>
    <w:rsid w:val="409619DD"/>
    <w:rsid w:val="40FC7A22"/>
    <w:rsid w:val="41023096"/>
    <w:rsid w:val="416729BB"/>
    <w:rsid w:val="41807B75"/>
    <w:rsid w:val="41854851"/>
    <w:rsid w:val="4199716A"/>
    <w:rsid w:val="41BF5E34"/>
    <w:rsid w:val="42075BA1"/>
    <w:rsid w:val="421F113C"/>
    <w:rsid w:val="426052B1"/>
    <w:rsid w:val="42BC0C0E"/>
    <w:rsid w:val="42D57A4D"/>
    <w:rsid w:val="42F519CE"/>
    <w:rsid w:val="43274DD5"/>
    <w:rsid w:val="433F4FDC"/>
    <w:rsid w:val="434D1CD9"/>
    <w:rsid w:val="439D0AC1"/>
    <w:rsid w:val="4413072B"/>
    <w:rsid w:val="44727FC9"/>
    <w:rsid w:val="447D40A7"/>
    <w:rsid w:val="44846CF0"/>
    <w:rsid w:val="44CF4FA2"/>
    <w:rsid w:val="45534CCD"/>
    <w:rsid w:val="45773005"/>
    <w:rsid w:val="458B70C4"/>
    <w:rsid w:val="459667BD"/>
    <w:rsid w:val="45B778DE"/>
    <w:rsid w:val="463616F2"/>
    <w:rsid w:val="464E341B"/>
    <w:rsid w:val="46954459"/>
    <w:rsid w:val="46987301"/>
    <w:rsid w:val="46C93299"/>
    <w:rsid w:val="46F04E55"/>
    <w:rsid w:val="471B1570"/>
    <w:rsid w:val="479B5ECC"/>
    <w:rsid w:val="47BC567F"/>
    <w:rsid w:val="484440CC"/>
    <w:rsid w:val="48835206"/>
    <w:rsid w:val="48D93A13"/>
    <w:rsid w:val="48E1779E"/>
    <w:rsid w:val="49240008"/>
    <w:rsid w:val="493279A7"/>
    <w:rsid w:val="49941F24"/>
    <w:rsid w:val="49ED38CE"/>
    <w:rsid w:val="49F30DE4"/>
    <w:rsid w:val="4A412C94"/>
    <w:rsid w:val="4AC76815"/>
    <w:rsid w:val="4AE40A60"/>
    <w:rsid w:val="4B3726A8"/>
    <w:rsid w:val="4B4B41DB"/>
    <w:rsid w:val="4BCC5D64"/>
    <w:rsid w:val="4BFD21B6"/>
    <w:rsid w:val="4CBB28BC"/>
    <w:rsid w:val="4CBE26CD"/>
    <w:rsid w:val="4CEE2A3C"/>
    <w:rsid w:val="4CF74DF1"/>
    <w:rsid w:val="4D0549EA"/>
    <w:rsid w:val="4D163C3E"/>
    <w:rsid w:val="4D1D265B"/>
    <w:rsid w:val="4D7C105A"/>
    <w:rsid w:val="4DB304D7"/>
    <w:rsid w:val="4EAC1FAA"/>
    <w:rsid w:val="4FAF0E71"/>
    <w:rsid w:val="50804CA1"/>
    <w:rsid w:val="508927CE"/>
    <w:rsid w:val="50BF52B7"/>
    <w:rsid w:val="50C96CF3"/>
    <w:rsid w:val="5151220A"/>
    <w:rsid w:val="51BC69A8"/>
    <w:rsid w:val="51E732F9"/>
    <w:rsid w:val="525564B4"/>
    <w:rsid w:val="528767A6"/>
    <w:rsid w:val="529F7950"/>
    <w:rsid w:val="531B2103"/>
    <w:rsid w:val="53635C0A"/>
    <w:rsid w:val="539B5198"/>
    <w:rsid w:val="543851AD"/>
    <w:rsid w:val="543A1E06"/>
    <w:rsid w:val="54831E37"/>
    <w:rsid w:val="549F173E"/>
    <w:rsid w:val="54B33CE6"/>
    <w:rsid w:val="550614EE"/>
    <w:rsid w:val="552A3C28"/>
    <w:rsid w:val="5536601F"/>
    <w:rsid w:val="55D168DE"/>
    <w:rsid w:val="55FF3167"/>
    <w:rsid w:val="560713A1"/>
    <w:rsid w:val="566E223B"/>
    <w:rsid w:val="5729257C"/>
    <w:rsid w:val="5815308E"/>
    <w:rsid w:val="581B0800"/>
    <w:rsid w:val="581E5EEA"/>
    <w:rsid w:val="58627B7D"/>
    <w:rsid w:val="587E07BE"/>
    <w:rsid w:val="588A01CF"/>
    <w:rsid w:val="589C4E3D"/>
    <w:rsid w:val="58FC2CF1"/>
    <w:rsid w:val="595C1ADA"/>
    <w:rsid w:val="59637709"/>
    <w:rsid w:val="5990437C"/>
    <w:rsid w:val="5A114B53"/>
    <w:rsid w:val="5A2C3F9F"/>
    <w:rsid w:val="5A7A601D"/>
    <w:rsid w:val="5AC671DB"/>
    <w:rsid w:val="5AE03F27"/>
    <w:rsid w:val="5AFB3C21"/>
    <w:rsid w:val="5B115748"/>
    <w:rsid w:val="5B2D7AB3"/>
    <w:rsid w:val="5B3F7D02"/>
    <w:rsid w:val="5C5C0E94"/>
    <w:rsid w:val="5C5C1331"/>
    <w:rsid w:val="5C7211A8"/>
    <w:rsid w:val="5CA778E0"/>
    <w:rsid w:val="5CC934CD"/>
    <w:rsid w:val="5CE9174A"/>
    <w:rsid w:val="5D0B433F"/>
    <w:rsid w:val="5D79219C"/>
    <w:rsid w:val="5DAF73C1"/>
    <w:rsid w:val="5E114DA5"/>
    <w:rsid w:val="5E2928CC"/>
    <w:rsid w:val="5ED12224"/>
    <w:rsid w:val="5ED2780B"/>
    <w:rsid w:val="5EE17A4E"/>
    <w:rsid w:val="5EE27322"/>
    <w:rsid w:val="5F131BD1"/>
    <w:rsid w:val="604364E6"/>
    <w:rsid w:val="60BD1C95"/>
    <w:rsid w:val="60E43D80"/>
    <w:rsid w:val="61B20240"/>
    <w:rsid w:val="61E139F4"/>
    <w:rsid w:val="620852FA"/>
    <w:rsid w:val="62486413"/>
    <w:rsid w:val="63520F1A"/>
    <w:rsid w:val="638135AD"/>
    <w:rsid w:val="63C274B8"/>
    <w:rsid w:val="63C72943"/>
    <w:rsid w:val="63CD67F3"/>
    <w:rsid w:val="63D456C1"/>
    <w:rsid w:val="649E4FF6"/>
    <w:rsid w:val="6563304C"/>
    <w:rsid w:val="656C5937"/>
    <w:rsid w:val="67B10EDE"/>
    <w:rsid w:val="68201038"/>
    <w:rsid w:val="68D61B92"/>
    <w:rsid w:val="690D0A0C"/>
    <w:rsid w:val="6A865BFA"/>
    <w:rsid w:val="6A974F0E"/>
    <w:rsid w:val="6A9C0CCD"/>
    <w:rsid w:val="6AAE53DB"/>
    <w:rsid w:val="6AF53260"/>
    <w:rsid w:val="6B064398"/>
    <w:rsid w:val="6B3E1D84"/>
    <w:rsid w:val="6BFB6DB8"/>
    <w:rsid w:val="6D6261FE"/>
    <w:rsid w:val="6DC96FAF"/>
    <w:rsid w:val="6E0127B0"/>
    <w:rsid w:val="6E222AF0"/>
    <w:rsid w:val="6E494CC8"/>
    <w:rsid w:val="6E795D9A"/>
    <w:rsid w:val="6E940155"/>
    <w:rsid w:val="6EAF37ED"/>
    <w:rsid w:val="6EC13D39"/>
    <w:rsid w:val="6F076528"/>
    <w:rsid w:val="6F3E1611"/>
    <w:rsid w:val="6F701FAE"/>
    <w:rsid w:val="6F810B92"/>
    <w:rsid w:val="6F854443"/>
    <w:rsid w:val="702267B1"/>
    <w:rsid w:val="702D7525"/>
    <w:rsid w:val="706743F9"/>
    <w:rsid w:val="70956D9D"/>
    <w:rsid w:val="70A46C08"/>
    <w:rsid w:val="71280976"/>
    <w:rsid w:val="71450956"/>
    <w:rsid w:val="71755DD4"/>
    <w:rsid w:val="718A18F9"/>
    <w:rsid w:val="72542850"/>
    <w:rsid w:val="7305449F"/>
    <w:rsid w:val="736519FB"/>
    <w:rsid w:val="744639CC"/>
    <w:rsid w:val="747C7EE5"/>
    <w:rsid w:val="748702F8"/>
    <w:rsid w:val="74B529DF"/>
    <w:rsid w:val="74BC3B37"/>
    <w:rsid w:val="759904FE"/>
    <w:rsid w:val="75DF38FA"/>
    <w:rsid w:val="764B7DA3"/>
    <w:rsid w:val="76AD2208"/>
    <w:rsid w:val="76E43A77"/>
    <w:rsid w:val="772571F2"/>
    <w:rsid w:val="77463171"/>
    <w:rsid w:val="77B91682"/>
    <w:rsid w:val="77BB478C"/>
    <w:rsid w:val="782013CC"/>
    <w:rsid w:val="78627CF8"/>
    <w:rsid w:val="78703A71"/>
    <w:rsid w:val="78AE5CFE"/>
    <w:rsid w:val="78CC5E92"/>
    <w:rsid w:val="78E9549E"/>
    <w:rsid w:val="78F4247E"/>
    <w:rsid w:val="79291C4C"/>
    <w:rsid w:val="79673F3D"/>
    <w:rsid w:val="7A613399"/>
    <w:rsid w:val="7CF74440"/>
    <w:rsid w:val="7D9F358B"/>
    <w:rsid w:val="7D9F4904"/>
    <w:rsid w:val="7E1F77F3"/>
    <w:rsid w:val="7E5C22A5"/>
    <w:rsid w:val="7E5D7B42"/>
    <w:rsid w:val="7E6478FC"/>
    <w:rsid w:val="7E7062A0"/>
    <w:rsid w:val="7E7A711F"/>
    <w:rsid w:val="7EB037B2"/>
    <w:rsid w:val="7ED33124"/>
    <w:rsid w:val="7EE03046"/>
    <w:rsid w:val="7F2F76E5"/>
    <w:rsid w:val="7F5C116A"/>
    <w:rsid w:val="7F670538"/>
    <w:rsid w:val="7FA112F3"/>
    <w:rsid w:val="7FCE01BF"/>
    <w:rsid w:val="7FE201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99"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99"/>
    <w:pPr>
      <w:numPr>
        <w:ilvl w:val="0"/>
        <w:numId w:val="1"/>
      </w:numPr>
      <w:tabs>
        <w:tab w:val="right" w:leader="dot" w:pos="9061"/>
      </w:tabs>
      <w:spacing w:line="360" w:lineRule="auto"/>
      <w:jc w:val="center"/>
      <w:outlineLvl w:val="0"/>
    </w:pPr>
    <w:rPr>
      <w:b/>
      <w:iCs/>
      <w:sz w:val="36"/>
      <w:szCs w:val="20"/>
    </w:rPr>
  </w:style>
  <w:style w:type="paragraph" w:styleId="5">
    <w:name w:val="heading 2"/>
    <w:basedOn w:val="1"/>
    <w:next w:val="1"/>
    <w:link w:val="23"/>
    <w:qFormat/>
    <w:uiPriority w:val="0"/>
    <w:pPr>
      <w:numPr>
        <w:ilvl w:val="1"/>
        <w:numId w:val="1"/>
      </w:numPr>
      <w:spacing w:before="50" w:beforeLines="50"/>
      <w:outlineLvl w:val="1"/>
    </w:pPr>
    <w:rPr>
      <w:b/>
    </w:rPr>
  </w:style>
  <w:style w:type="paragraph" w:styleId="6">
    <w:name w:val="heading 3"/>
    <w:basedOn w:val="1"/>
    <w:next w:val="1"/>
    <w:link w:val="26"/>
    <w:qFormat/>
    <w:uiPriority w:val="99"/>
    <w:pPr>
      <w:keepNext/>
      <w:keepLines/>
      <w:numPr>
        <w:ilvl w:val="2"/>
        <w:numId w:val="1"/>
      </w:numPr>
      <w:spacing w:line="360" w:lineRule="auto"/>
      <w:ind w:left="0" w:firstLine="200" w:firstLineChars="200"/>
      <w:jc w:val="left"/>
      <w:outlineLvl w:val="2"/>
    </w:pPr>
    <w:rPr>
      <w:bCs/>
      <w:kern w:val="0"/>
      <w:sz w:val="24"/>
      <w:szCs w:val="32"/>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rPr>
      <w:kern w:val="0"/>
    </w:rPr>
  </w:style>
  <w:style w:type="paragraph" w:customStyle="1" w:styleId="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7">
    <w:name w:val="List 3"/>
    <w:basedOn w:val="1"/>
    <w:qFormat/>
    <w:uiPriority w:val="99"/>
    <w:pPr>
      <w:ind w:left="100" w:leftChars="400" w:hanging="200" w:hangingChars="200"/>
    </w:pPr>
  </w:style>
  <w:style w:type="paragraph" w:styleId="8">
    <w:name w:val="Normal Indent"/>
    <w:basedOn w:val="1"/>
    <w:next w:val="1"/>
    <w:qFormat/>
    <w:uiPriority w:val="99"/>
    <w:pPr>
      <w:ind w:firstLine="420" w:firstLineChars="200"/>
    </w:pPr>
    <w:rPr>
      <w:kern w:val="0"/>
    </w:rPr>
  </w:style>
  <w:style w:type="paragraph" w:styleId="9">
    <w:name w:val="annotation text"/>
    <w:basedOn w:val="1"/>
    <w:qFormat/>
    <w:uiPriority w:val="99"/>
    <w:pPr>
      <w:spacing w:after="200" w:line="276" w:lineRule="auto"/>
      <w:jc w:val="left"/>
    </w:pPr>
    <w:rPr>
      <w:kern w:val="0"/>
    </w:rPr>
  </w:style>
  <w:style w:type="paragraph" w:styleId="10">
    <w:name w:val="Plain Text"/>
    <w:basedOn w:val="1"/>
    <w:qFormat/>
    <w:uiPriority w:val="0"/>
    <w:rPr>
      <w:rFonts w:ascii="宋体" w:hAnsi="Courier New"/>
      <w:kern w:val="0"/>
    </w:rPr>
  </w:style>
  <w:style w:type="paragraph" w:styleId="11">
    <w:name w:val="footer"/>
    <w:basedOn w:val="1"/>
    <w:qFormat/>
    <w:uiPriority w:val="99"/>
    <w:pPr>
      <w:tabs>
        <w:tab w:val="center" w:pos="4153"/>
        <w:tab w:val="right" w:pos="8306"/>
      </w:tabs>
      <w:snapToGrid w:val="0"/>
      <w:jc w:val="left"/>
    </w:pPr>
    <w:rPr>
      <w:kern w:val="0"/>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styleId="13">
    <w:name w:val="toc 1"/>
    <w:basedOn w:val="1"/>
    <w:next w:val="1"/>
    <w:qFormat/>
    <w:uiPriority w:val="39"/>
    <w:pPr>
      <w:spacing w:before="120" w:after="120"/>
      <w:jc w:val="left"/>
    </w:pPr>
    <w:rPr>
      <w:b/>
      <w:bCs/>
      <w:caps/>
      <w:sz w:val="24"/>
      <w:szCs w:val="20"/>
    </w:rPr>
  </w:style>
  <w:style w:type="paragraph" w:styleId="14">
    <w:name w:val="toc 2"/>
    <w:basedOn w:val="1"/>
    <w:next w:val="1"/>
    <w:qFormat/>
    <w:uiPriority w:val="39"/>
    <w:pPr>
      <w:spacing w:line="360" w:lineRule="auto"/>
      <w:ind w:left="210"/>
      <w:jc w:val="left"/>
    </w:pPr>
    <w:rPr>
      <w:smallCaps/>
      <w:sz w:val="24"/>
      <w:szCs w:val="20"/>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Title"/>
    <w:basedOn w:val="1"/>
    <w:qFormat/>
    <w:uiPriority w:val="0"/>
    <w:pPr>
      <w:numPr>
        <w:ilvl w:val="0"/>
        <w:numId w:val="2"/>
      </w:numPr>
      <w:spacing w:before="240" w:after="60" w:line="276" w:lineRule="auto"/>
      <w:jc w:val="center"/>
      <w:outlineLvl w:val="0"/>
    </w:pPr>
    <w:rPr>
      <w:b/>
      <w:bCs/>
      <w:kern w:val="0"/>
      <w:sz w:val="32"/>
      <w:szCs w:val="32"/>
    </w:rPr>
  </w:style>
  <w:style w:type="character" w:styleId="19">
    <w:name w:val="Hyperlink"/>
    <w:qFormat/>
    <w:uiPriority w:val="99"/>
    <w:rPr>
      <w:rFonts w:cs="Times New Roman"/>
      <w:color w:val="1F4F88"/>
      <w:u w:val="none"/>
    </w:rPr>
  </w:style>
  <w:style w:type="paragraph" w:styleId="20">
    <w:name w:val="List Paragraph"/>
    <w:basedOn w:val="1"/>
    <w:qFormat/>
    <w:uiPriority w:val="99"/>
    <w:pPr>
      <w:ind w:firstLine="420" w:firstLineChars="200"/>
    </w:pPr>
    <w:rPr>
      <w:szCs w:val="24"/>
    </w:rPr>
  </w:style>
  <w:style w:type="paragraph" w:customStyle="1" w:styleId="21">
    <w:name w:val="正文（缩进）"/>
    <w:basedOn w:val="1"/>
    <w:semiHidden/>
    <w:qFormat/>
    <w:uiPriority w:val="99"/>
    <w:pPr>
      <w:spacing w:beforeLines="50" w:afterLines="50" w:line="360" w:lineRule="auto"/>
      <w:ind w:firstLine="480" w:firstLineChars="200"/>
    </w:pPr>
    <w:rPr>
      <w:kern w:val="0"/>
      <w:sz w:val="24"/>
      <w:szCs w:val="20"/>
    </w:rPr>
  </w:style>
  <w:style w:type="paragraph" w:customStyle="1" w:styleId="22">
    <w:name w:val="标书正文格式"/>
    <w:basedOn w:val="10"/>
    <w:qFormat/>
    <w:uiPriority w:val="0"/>
    <w:pPr>
      <w:spacing w:line="360" w:lineRule="auto"/>
      <w:ind w:firstLine="200" w:firstLineChars="200"/>
    </w:pPr>
    <w:rPr>
      <w:rFonts w:hAnsi="宋体"/>
      <w:color w:val="000000"/>
      <w:sz w:val="24"/>
      <w:szCs w:val="24"/>
    </w:rPr>
  </w:style>
  <w:style w:type="character" w:customStyle="1" w:styleId="23">
    <w:name w:val="标题 2 字符"/>
    <w:link w:val="5"/>
    <w:qFormat/>
    <w:locked/>
    <w:uiPriority w:val="0"/>
    <w:rPr>
      <w:b/>
    </w:rPr>
  </w:style>
  <w:style w:type="character" w:customStyle="1" w:styleId="24">
    <w:name w:val="font11"/>
    <w:basedOn w:val="18"/>
    <w:qFormat/>
    <w:uiPriority w:val="0"/>
    <w:rPr>
      <w:rFonts w:hint="eastAsia" w:ascii="微软雅黑" w:hAnsi="微软雅黑" w:eastAsia="微软雅黑" w:cs="微软雅黑"/>
      <w:b/>
      <w:bCs/>
      <w:color w:val="000000"/>
      <w:sz w:val="21"/>
      <w:szCs w:val="21"/>
      <w:u w:val="none"/>
    </w:rPr>
  </w:style>
  <w:style w:type="character" w:customStyle="1" w:styleId="25">
    <w:name w:val="font21"/>
    <w:basedOn w:val="18"/>
    <w:qFormat/>
    <w:uiPriority w:val="0"/>
    <w:rPr>
      <w:rFonts w:hint="eastAsia" w:ascii="微软雅黑" w:hAnsi="微软雅黑" w:eastAsia="微软雅黑" w:cs="微软雅黑"/>
      <w:color w:val="000000"/>
      <w:sz w:val="21"/>
      <w:szCs w:val="21"/>
      <w:u w:val="none"/>
    </w:rPr>
  </w:style>
  <w:style w:type="character" w:customStyle="1" w:styleId="26">
    <w:name w:val="标题 3 Char"/>
    <w:link w:val="6"/>
    <w:qFormat/>
    <w:uiPriority w:val="99"/>
    <w:rPr>
      <w:bCs/>
      <w:kern w:val="0"/>
      <w:sz w:val="24"/>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9303</Words>
  <Characters>10016</Characters>
  <Lines>0</Lines>
  <Paragraphs>0</Paragraphs>
  <TotalTime>1</TotalTime>
  <ScaleCrop>false</ScaleCrop>
  <LinksUpToDate>false</LinksUpToDate>
  <CharactersWithSpaces>10298</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2024-04-02T03:23:00Z</dcterms:created>
  <dc:creator>Lenovo</dc:creator>
  <cp:lastModifiedBy>轻途</cp:lastModifiedBy>
  <dcterms:modified xsi:type="dcterms:W3CDTF">2025-11-27T03:06:13Z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5BF8E1A507F5470681E107CD618C64F4_13</vt:lpwstr>
  </property>
  <property fmtid="{D5CDD505-2E9C-101B-9397-08002B2CF9AE}" pid="4" name="KSOTemplateDocerSaveRecord">
    <vt:lpwstr>eyJoZGlkIjoiMTk4MTRiYTVkZjRkNzdkNTkyOWI1MjY2Njg4YThiYzQiLCJ1c2VySWQiOiIzMTE2NDE0MjYifQ==</vt:lpwstr>
  </property>
</Properties>
</file>