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A5154">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t xml:space="preserve">                                </w:t>
      </w:r>
      <w:r>
        <w:rPr>
          <w:rFonts w:hint="eastAsia" w:ascii="宋体" w:hAnsi="宋体"/>
          <w:color w:val="000000" w:themeColor="text1"/>
          <w:sz w:val="20"/>
          <w:highlight w:val="none"/>
          <w14:textFill>
            <w14:solidFill>
              <w14:schemeClr w14:val="tx1"/>
            </w14:solidFill>
          </w14:textFill>
        </w:rPr>
        <w:t xml:space="preserve">  </w:t>
      </w:r>
    </w:p>
    <w:p w14:paraId="4DC9E553">
      <w:pPr>
        <w:wordWrap w:val="0"/>
        <w:adjustRightInd w:val="0"/>
        <w:snapToGrid w:val="0"/>
        <w:spacing w:line="360" w:lineRule="auto"/>
        <w:ind w:left="5780" w:firstLine="10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2312A8AF">
      <w:pPr>
        <w:adjustRightInd w:val="0"/>
        <w:snapToGrid w:val="0"/>
        <w:spacing w:line="360" w:lineRule="auto"/>
        <w:ind w:left="5973" w:leftChars="3095" w:firstLine="21" w:firstLineChars="8"/>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13E927D4">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7117B7C2">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56A02A84">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271197A0">
      <w:pPr>
        <w:adjustRightInd w:val="0"/>
        <w:snapToGrid w:val="0"/>
        <w:spacing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48"/>
          <w:szCs w:val="48"/>
          <w:highlight w:val="none"/>
          <w14:textFill>
            <w14:solidFill>
              <w14:schemeClr w14:val="tx1"/>
            </w14:solidFill>
          </w14:textFill>
        </w:rPr>
        <w:t>中通客车股份有限公司</w:t>
      </w:r>
      <w:r>
        <w:rPr>
          <w:rFonts w:hint="eastAsia" w:ascii="宋体" w:hAnsi="宋体"/>
          <w:b/>
          <w:bCs/>
          <w:color w:val="000000" w:themeColor="text1"/>
          <w:sz w:val="48"/>
          <w:szCs w:val="48"/>
          <w:highlight w:val="none"/>
          <w:lang w:val="en-US" w:eastAsia="zh-CN"/>
          <w14:textFill>
            <w14:solidFill>
              <w14:schemeClr w14:val="tx1"/>
            </w14:solidFill>
          </w14:textFill>
        </w:rPr>
        <w:t>制焊车间制件单元</w:t>
      </w:r>
    </w:p>
    <w:p w14:paraId="5698F53B">
      <w:pPr>
        <w:adjustRightInd w:val="0"/>
        <w:snapToGrid w:val="0"/>
        <w:spacing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数控开卷校平下料线电源采购及安装项目</w:t>
      </w:r>
    </w:p>
    <w:p w14:paraId="1DA191CB">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r>
        <w:rPr>
          <w:rFonts w:hint="eastAsia" w:ascii="宋体" w:hAnsi="宋体"/>
          <w:b/>
          <w:bCs/>
          <w:color w:val="000000" w:themeColor="text1"/>
          <w:sz w:val="52"/>
          <w:szCs w:val="36"/>
          <w:highlight w:val="none"/>
          <w14:textFill>
            <w14:solidFill>
              <w14:schemeClr w14:val="tx1"/>
            </w14:solidFill>
          </w14:textFill>
        </w:rPr>
        <w:t>施工</w:t>
      </w:r>
      <w:r>
        <w:rPr>
          <w:rFonts w:ascii="宋体" w:hAnsi="宋体"/>
          <w:b/>
          <w:bCs/>
          <w:color w:val="000000" w:themeColor="text1"/>
          <w:sz w:val="52"/>
          <w:szCs w:val="36"/>
          <w:highlight w:val="none"/>
          <w14:textFill>
            <w14:solidFill>
              <w14:schemeClr w14:val="tx1"/>
            </w14:solidFill>
          </w14:textFill>
        </w:rPr>
        <w:t>合同</w:t>
      </w:r>
    </w:p>
    <w:p w14:paraId="04CE2E0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1424E509">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5137BA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56543FFD">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D29CD0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F09D249">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8E2D019">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DF36F6C">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2BEB16E2">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094FD3F9">
      <w:pPr>
        <w:adjustRightInd w:val="0"/>
        <w:snapToGrid w:val="0"/>
        <w:spacing w:line="360" w:lineRule="auto"/>
        <w:ind w:firstLine="1052" w:firstLineChars="400"/>
        <w:jc w:val="left"/>
        <w:rPr>
          <w:rFonts w:ascii="宋体" w:hAnsi="宋体"/>
          <w:b/>
          <w:color w:val="000000" w:themeColor="text1"/>
          <w:sz w:val="28"/>
          <w:szCs w:val="36"/>
          <w:highlight w:val="none"/>
          <w14:textFill>
            <w14:solidFill>
              <w14:schemeClr w14:val="tx1"/>
            </w14:solidFill>
          </w14:textFill>
        </w:rPr>
      </w:pPr>
    </w:p>
    <w:p w14:paraId="751EAA6A">
      <w:pPr>
        <w:spacing w:line="360" w:lineRule="auto"/>
        <w:rPr>
          <w:color w:val="000000" w:themeColor="text1"/>
          <w:highlight w:val="none"/>
          <w14:textFill>
            <w14:solidFill>
              <w14:schemeClr w14:val="tx1"/>
            </w14:solidFill>
          </w14:textFill>
        </w:rPr>
      </w:pPr>
    </w:p>
    <w:p w14:paraId="2A133591">
      <w:pPr>
        <w:spacing w:line="360" w:lineRule="auto"/>
        <w:rPr>
          <w:color w:val="000000" w:themeColor="text1"/>
          <w:highlight w:val="none"/>
          <w14:textFill>
            <w14:solidFill>
              <w14:schemeClr w14:val="tx1"/>
            </w14:solidFill>
          </w14:textFill>
        </w:rPr>
      </w:pPr>
    </w:p>
    <w:p w14:paraId="1EED12E0">
      <w:pPr>
        <w:spacing w:line="360" w:lineRule="auto"/>
        <w:rPr>
          <w:color w:val="000000" w:themeColor="text1"/>
          <w:highlight w:val="none"/>
          <w14:textFill>
            <w14:solidFill>
              <w14:schemeClr w14:val="tx1"/>
            </w14:solidFill>
          </w14:textFill>
        </w:rPr>
      </w:pPr>
    </w:p>
    <w:p w14:paraId="756F1230">
      <w:pPr>
        <w:spacing w:line="360" w:lineRule="auto"/>
        <w:rPr>
          <w:rFonts w:ascii="宋体" w:hAnsi="宋体" w:cs="宋体"/>
          <w:bCs/>
          <w:color w:val="000000" w:themeColor="text1"/>
          <w:sz w:val="22"/>
          <w:szCs w:val="22"/>
          <w:highlight w:val="none"/>
          <w14:textFill>
            <w14:solidFill>
              <w14:schemeClr w14:val="tx1"/>
            </w14:solidFill>
          </w14:textFill>
        </w:rPr>
      </w:pPr>
    </w:p>
    <w:p w14:paraId="26410A96">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甲方（委托方）：</w:t>
      </w:r>
      <w:r>
        <w:rPr>
          <w:rFonts w:hint="eastAsia" w:ascii="宋体" w:hAnsi="宋体"/>
          <w:bCs/>
          <w:color w:val="000000" w:themeColor="text1"/>
          <w:sz w:val="22"/>
          <w:szCs w:val="22"/>
          <w:highlight w:val="none"/>
          <w14:textFill>
            <w14:solidFill>
              <w14:schemeClr w14:val="tx1"/>
            </w14:solidFill>
          </w14:textFill>
        </w:rPr>
        <w:t>中通客车股份有限公司</w:t>
      </w:r>
    </w:p>
    <w:p w14:paraId="38CB8934">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乙方（承揽方）：</w:t>
      </w:r>
    </w:p>
    <w:p w14:paraId="162E354C">
      <w:pPr>
        <w:spacing w:line="360" w:lineRule="auto"/>
        <w:rPr>
          <w:rFonts w:ascii="宋体" w:hAnsi="宋体" w:cs="宋体"/>
          <w:bCs/>
          <w:color w:val="000000" w:themeColor="text1"/>
          <w:sz w:val="22"/>
          <w:szCs w:val="22"/>
          <w:highlight w:val="none"/>
          <w14:textFill>
            <w14:solidFill>
              <w14:schemeClr w14:val="tx1"/>
            </w14:solidFill>
          </w14:textFill>
        </w:rPr>
      </w:pPr>
    </w:p>
    <w:p w14:paraId="39E750CC">
      <w:pPr>
        <w:adjustRightInd w:val="0"/>
        <w:snapToGrid w:val="0"/>
        <w:spacing w:line="360" w:lineRule="auto"/>
        <w:ind w:left="0" w:leftChars="0" w:firstLine="380" w:firstLineChars="187"/>
        <w:jc w:val="left"/>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根据中华人民共和国相关法律、法规及有关规定，为明确双方的权利义务关系，甲方委托乙方进行制件单元数控开卷校平下料线电源采购及安装项目</w:t>
      </w:r>
      <w:bookmarkStart w:id="0" w:name="_GoBack"/>
      <w:bookmarkEnd w:id="0"/>
      <w:r>
        <w:rPr>
          <w:rFonts w:hint="eastAsia" w:ascii="宋体" w:hAnsi="宋体" w:cs="宋体"/>
          <w:color w:val="000000" w:themeColor="text1"/>
          <w:sz w:val="22"/>
          <w:szCs w:val="22"/>
          <w:highlight w:val="none"/>
          <w14:textFill>
            <w14:solidFill>
              <w14:schemeClr w14:val="tx1"/>
            </w14:solidFill>
          </w14:textFill>
        </w:rPr>
        <w:t>施工，经双方充分协商，订立本合同，以便共同遵守。</w:t>
      </w:r>
    </w:p>
    <w:p w14:paraId="5BA3A243">
      <w:pPr>
        <w:numPr>
          <w:ilvl w:val="0"/>
          <w:numId w:val="1"/>
        </w:num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工程明细：</w:t>
      </w:r>
    </w:p>
    <w:tbl>
      <w:tblPr>
        <w:tblStyle w:val="12"/>
        <w:tblW w:w="96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5"/>
        <w:gridCol w:w="1715"/>
        <w:gridCol w:w="768"/>
        <w:gridCol w:w="592"/>
        <w:gridCol w:w="840"/>
        <w:gridCol w:w="900"/>
        <w:gridCol w:w="932"/>
        <w:gridCol w:w="762"/>
        <w:gridCol w:w="377"/>
        <w:gridCol w:w="1044"/>
        <w:gridCol w:w="1120"/>
      </w:tblGrid>
      <w:tr w14:paraId="7B6A6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6" w:hRule="atLeast"/>
        </w:trPr>
        <w:tc>
          <w:tcPr>
            <w:tcW w:w="585" w:type="dxa"/>
            <w:tcBorders>
              <w:top w:val="single" w:color="000000" w:sz="4" w:space="0"/>
              <w:left w:val="single" w:color="000000" w:sz="4" w:space="0"/>
              <w:bottom w:val="single" w:color="000000" w:sz="4" w:space="0"/>
              <w:right w:val="single" w:color="000000" w:sz="4" w:space="0"/>
            </w:tcBorders>
            <w:vAlign w:val="center"/>
          </w:tcPr>
          <w:p w14:paraId="3A678B5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序号</w:t>
            </w:r>
          </w:p>
        </w:tc>
        <w:tc>
          <w:tcPr>
            <w:tcW w:w="1715" w:type="dxa"/>
            <w:tcBorders>
              <w:top w:val="single" w:color="000000" w:sz="4" w:space="0"/>
              <w:left w:val="single" w:color="000000" w:sz="4" w:space="0"/>
              <w:bottom w:val="single" w:color="000000" w:sz="4" w:space="0"/>
              <w:right w:val="single" w:color="000000" w:sz="4" w:space="0"/>
            </w:tcBorders>
            <w:vAlign w:val="center"/>
          </w:tcPr>
          <w:p w14:paraId="649887A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名称</w:t>
            </w:r>
          </w:p>
        </w:tc>
        <w:tc>
          <w:tcPr>
            <w:tcW w:w="1360" w:type="dxa"/>
            <w:gridSpan w:val="2"/>
            <w:tcBorders>
              <w:top w:val="single" w:color="000000" w:sz="4" w:space="0"/>
              <w:left w:val="single" w:color="000000" w:sz="4" w:space="0"/>
              <w:bottom w:val="single" w:color="000000" w:sz="4" w:space="0"/>
              <w:right w:val="single" w:color="000000" w:sz="4" w:space="0"/>
            </w:tcBorders>
            <w:vAlign w:val="center"/>
          </w:tcPr>
          <w:p w14:paraId="0060CEC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规格型号</w:t>
            </w:r>
          </w:p>
        </w:tc>
        <w:tc>
          <w:tcPr>
            <w:tcW w:w="840" w:type="dxa"/>
            <w:tcBorders>
              <w:top w:val="single" w:color="000000" w:sz="4" w:space="0"/>
              <w:left w:val="single" w:color="000000" w:sz="4" w:space="0"/>
              <w:bottom w:val="single" w:color="000000" w:sz="4" w:space="0"/>
              <w:right w:val="single" w:color="000000" w:sz="4" w:space="0"/>
            </w:tcBorders>
            <w:vAlign w:val="center"/>
          </w:tcPr>
          <w:p w14:paraId="4A63A94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w:t>
            </w:r>
          </w:p>
        </w:tc>
        <w:tc>
          <w:tcPr>
            <w:tcW w:w="900" w:type="dxa"/>
            <w:tcBorders>
              <w:top w:val="single" w:color="000000" w:sz="4" w:space="0"/>
              <w:left w:val="single" w:color="000000" w:sz="4" w:space="0"/>
              <w:bottom w:val="single" w:color="000000" w:sz="4" w:space="0"/>
              <w:right w:val="single" w:color="000000" w:sz="4" w:space="0"/>
            </w:tcBorders>
            <w:vAlign w:val="center"/>
          </w:tcPr>
          <w:p w14:paraId="1E80414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数量</w:t>
            </w:r>
          </w:p>
        </w:tc>
        <w:tc>
          <w:tcPr>
            <w:tcW w:w="932" w:type="dxa"/>
            <w:tcBorders>
              <w:top w:val="single" w:color="000000" w:sz="4" w:space="0"/>
              <w:left w:val="single" w:color="000000" w:sz="4" w:space="0"/>
              <w:bottom w:val="single" w:color="000000" w:sz="4" w:space="0"/>
              <w:right w:val="single" w:color="000000" w:sz="4" w:space="0"/>
            </w:tcBorders>
            <w:vAlign w:val="center"/>
          </w:tcPr>
          <w:p w14:paraId="23DA8A4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 价</w:t>
            </w:r>
          </w:p>
        </w:tc>
        <w:tc>
          <w:tcPr>
            <w:tcW w:w="1139" w:type="dxa"/>
            <w:gridSpan w:val="2"/>
            <w:tcBorders>
              <w:top w:val="single" w:color="000000" w:sz="4" w:space="0"/>
              <w:left w:val="single" w:color="000000" w:sz="4" w:space="0"/>
              <w:bottom w:val="single" w:color="000000" w:sz="4" w:space="0"/>
              <w:right w:val="single" w:color="000000" w:sz="4" w:space="0"/>
            </w:tcBorders>
            <w:vAlign w:val="center"/>
          </w:tcPr>
          <w:p w14:paraId="418BC35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合计</w:t>
            </w:r>
          </w:p>
        </w:tc>
        <w:tc>
          <w:tcPr>
            <w:tcW w:w="1044" w:type="dxa"/>
            <w:tcBorders>
              <w:top w:val="single" w:color="000000" w:sz="4" w:space="0"/>
              <w:left w:val="single" w:color="000000" w:sz="4" w:space="0"/>
              <w:bottom w:val="single" w:color="000000" w:sz="4" w:space="0"/>
              <w:right w:val="single" w:color="000000" w:sz="4" w:space="0"/>
            </w:tcBorders>
            <w:vAlign w:val="center"/>
          </w:tcPr>
          <w:p w14:paraId="7A67CC55">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品牌</w:t>
            </w:r>
          </w:p>
        </w:tc>
        <w:tc>
          <w:tcPr>
            <w:tcW w:w="1120" w:type="dxa"/>
            <w:tcBorders>
              <w:top w:val="single" w:color="000000" w:sz="4" w:space="0"/>
              <w:left w:val="single" w:color="000000" w:sz="4" w:space="0"/>
              <w:bottom w:val="single" w:color="000000" w:sz="4" w:space="0"/>
              <w:right w:val="single" w:color="000000" w:sz="4" w:space="0"/>
            </w:tcBorders>
            <w:vAlign w:val="center"/>
          </w:tcPr>
          <w:p w14:paraId="393CDC1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备</w:t>
            </w:r>
            <w:r>
              <w:rPr>
                <w:rStyle w:val="24"/>
                <w:rFonts w:hint="eastAsia" w:asciiTheme="minorEastAsia" w:hAnsiTheme="minorEastAsia" w:eastAsiaTheme="minorEastAsia" w:cstheme="minorEastAsia"/>
                <w:sz w:val="24"/>
                <w:szCs w:val="24"/>
                <w:lang w:val="en-US" w:eastAsia="zh-CN" w:bidi="ar"/>
              </w:rPr>
              <w:t xml:space="preserve"> </w:t>
            </w:r>
            <w:r>
              <w:rPr>
                <w:rStyle w:val="25"/>
                <w:rFonts w:hint="eastAsia" w:asciiTheme="minorEastAsia" w:hAnsiTheme="minorEastAsia" w:eastAsiaTheme="minorEastAsia" w:cstheme="minorEastAsia"/>
                <w:sz w:val="24"/>
                <w:szCs w:val="24"/>
                <w:lang w:val="en-US" w:eastAsia="zh-CN" w:bidi="ar"/>
              </w:rPr>
              <w:t>注</w:t>
            </w:r>
          </w:p>
        </w:tc>
      </w:tr>
      <w:tr w14:paraId="27DE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E64C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0CBF7">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密集型铜母线槽的采购及安装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CBFB44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Style w:val="21"/>
                <w:rFonts w:hint="eastAsia" w:asciiTheme="minorEastAsia" w:hAnsiTheme="minorEastAsia" w:eastAsiaTheme="minorEastAsia" w:cstheme="minorEastAsia"/>
                <w:sz w:val="24"/>
                <w:szCs w:val="24"/>
                <w:lang w:val="en-US" w:eastAsia="zh-CN" w:bidi="ar"/>
              </w:rPr>
              <w:t>LCMX-630A/5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02A0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949E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B9234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7A592F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1FEC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191B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配备2个插接箱插口</w:t>
            </w:r>
          </w:p>
        </w:tc>
      </w:tr>
      <w:tr w14:paraId="64BC9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AF1B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532B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插接箱的采购及安装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E6D54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TM30S-400W/3300 Ie=315A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1A91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FCF8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EAFF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BF1C3C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1851D">
            <w:pPr>
              <w:jc w:val="center"/>
              <w:rPr>
                <w:rFonts w:hint="eastAsia" w:asciiTheme="minorEastAsia" w:hAnsiTheme="minorEastAsia" w:eastAsiaTheme="minorEastAsia" w:cstheme="minorEastAsia"/>
                <w:b/>
                <w:bCs/>
                <w:i w:val="0"/>
                <w:iCs w:val="0"/>
                <w:color w:val="000000"/>
                <w:sz w:val="24"/>
                <w:szCs w:val="24"/>
                <w:u w:val="none"/>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04AB8">
            <w:pPr>
              <w:jc w:val="center"/>
              <w:rPr>
                <w:rFonts w:hint="eastAsia" w:asciiTheme="minorEastAsia" w:hAnsiTheme="minorEastAsia" w:eastAsiaTheme="minorEastAsia" w:cstheme="minorEastAsia"/>
                <w:b/>
                <w:bCs/>
                <w:i w:val="0"/>
                <w:iCs w:val="0"/>
                <w:color w:val="000000"/>
                <w:sz w:val="24"/>
                <w:szCs w:val="24"/>
                <w:u w:val="none"/>
              </w:rPr>
            </w:pPr>
          </w:p>
        </w:tc>
      </w:tr>
      <w:tr w14:paraId="646CB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D8B9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3</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30E4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A2077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YJV 3*185+2*95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B4C5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CFBF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10</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A52B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C5D24A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95AD2">
            <w:pPr>
              <w:jc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9BC1F">
            <w:pPr>
              <w:jc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24E35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5660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4</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ADF4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4B5FCD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185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1DC6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F381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3</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31AF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EF4DB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5C9F0">
            <w:pPr>
              <w:jc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BA2C5">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3115E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DF0A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5</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A430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26C7E4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1D1D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4FB5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E977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B20D5E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26369">
            <w:pPr>
              <w:jc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CA9DF">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1C9A3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5185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79C2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镀锌钢管的采购及安装</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6641E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DN100</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D9AB4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E59DD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6E23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386281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10C7E">
            <w:pPr>
              <w:jc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A046F">
            <w:pPr>
              <w:jc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61E74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34673">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7</w:t>
            </w:r>
          </w:p>
        </w:tc>
        <w:tc>
          <w:tcPr>
            <w:tcW w:w="17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309D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原密集型铜母线槽的拆除</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22F98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Style w:val="21"/>
                <w:rFonts w:hint="eastAsia" w:asciiTheme="minorEastAsia" w:hAnsiTheme="minorEastAsia" w:eastAsiaTheme="minorEastAsia" w:cstheme="minorEastAsia"/>
                <w:sz w:val="24"/>
                <w:szCs w:val="24"/>
                <w:lang w:val="en-US" w:eastAsia="zh-CN" w:bidi="ar"/>
              </w:rPr>
              <w:t>LCMX-630A/5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20FA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37C1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D318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AA242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3818E">
            <w:pPr>
              <w:jc w:val="center"/>
              <w:rPr>
                <w:rFonts w:hint="eastAsia" w:asciiTheme="minorEastAsia" w:hAnsiTheme="minorEastAsia" w:eastAsiaTheme="minorEastAsia" w:cstheme="minorEastAsia"/>
                <w:b/>
                <w:bCs/>
                <w:i w:val="0"/>
                <w:iCs w:val="0"/>
                <w:color w:val="000000"/>
                <w:sz w:val="24"/>
                <w:szCs w:val="24"/>
                <w:u w:val="none"/>
                <w:lang w:val="en-US" w:eastAsia="zh-CN"/>
              </w:rPr>
            </w:pPr>
          </w:p>
        </w:tc>
        <w:tc>
          <w:tcPr>
            <w:tcW w:w="1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C2955">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2089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3068" w:type="dxa"/>
            <w:gridSpan w:val="3"/>
            <w:vAlign w:val="center"/>
          </w:tcPr>
          <w:p w14:paraId="5B9FBAE3">
            <w:pPr>
              <w:keepNext w:val="0"/>
              <w:keepLines w:val="0"/>
              <w:widowControl/>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sz w:val="24"/>
                <w:szCs w:val="24"/>
              </w:rPr>
              <w:t>合计（元，不含税）</w:t>
            </w:r>
          </w:p>
        </w:tc>
        <w:tc>
          <w:tcPr>
            <w:tcW w:w="4026" w:type="dxa"/>
            <w:gridSpan w:val="5"/>
            <w:vAlign w:val="center"/>
          </w:tcPr>
          <w:p w14:paraId="52214FCE">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sz w:val="24"/>
                <w:szCs w:val="24"/>
              </w:rPr>
              <w:t>（小写）￥</w:t>
            </w:r>
          </w:p>
        </w:tc>
        <w:tc>
          <w:tcPr>
            <w:tcW w:w="2541" w:type="dxa"/>
            <w:gridSpan w:val="3"/>
            <w:vAlign w:val="center"/>
          </w:tcPr>
          <w:p w14:paraId="7A2815FE">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sz w:val="24"/>
                <w:szCs w:val="24"/>
              </w:rPr>
              <w:t xml:space="preserve">（大写）     </w:t>
            </w:r>
          </w:p>
        </w:tc>
      </w:tr>
      <w:tr w14:paraId="5A3F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3068" w:type="dxa"/>
            <w:gridSpan w:val="3"/>
            <w:vAlign w:val="center"/>
          </w:tcPr>
          <w:p w14:paraId="11E58F30">
            <w:pPr>
              <w:keepNext w:val="0"/>
              <w:keepLines w:val="0"/>
              <w:widowControl/>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sz w:val="24"/>
                <w:szCs w:val="24"/>
              </w:rPr>
              <w:t>合计（圆，含13%增值税）</w:t>
            </w:r>
          </w:p>
        </w:tc>
        <w:tc>
          <w:tcPr>
            <w:tcW w:w="4026" w:type="dxa"/>
            <w:gridSpan w:val="5"/>
            <w:shd w:val="clear" w:color="auto" w:fill="auto"/>
            <w:vAlign w:val="center"/>
          </w:tcPr>
          <w:p w14:paraId="57CD2DF9">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sz w:val="24"/>
                <w:szCs w:val="24"/>
              </w:rPr>
              <w:t>（小写）￥</w:t>
            </w:r>
          </w:p>
        </w:tc>
        <w:tc>
          <w:tcPr>
            <w:tcW w:w="2541" w:type="dxa"/>
            <w:gridSpan w:val="3"/>
            <w:shd w:val="clear" w:color="auto" w:fill="auto"/>
            <w:vAlign w:val="center"/>
          </w:tcPr>
          <w:p w14:paraId="2443928E">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sz w:val="24"/>
                <w:szCs w:val="24"/>
              </w:rPr>
              <w:t xml:space="preserve">（大写）     </w:t>
            </w:r>
          </w:p>
        </w:tc>
      </w:tr>
    </w:tbl>
    <w:p w14:paraId="6C266E02">
      <w:pPr>
        <w:spacing w:line="360" w:lineRule="auto"/>
        <w:rPr>
          <w:rFonts w:hint="eastAsia"/>
          <w:b/>
          <w:bCs/>
          <w:sz w:val="24"/>
          <w:szCs w:val="24"/>
          <w:highlight w:val="none"/>
          <w:lang w:val="en-US" w:eastAsia="zh-CN"/>
        </w:rPr>
      </w:pPr>
      <w:r>
        <w:rPr>
          <w:rFonts w:hint="eastAsia"/>
          <w:b/>
          <w:bCs/>
          <w:sz w:val="24"/>
          <w:szCs w:val="24"/>
          <w:highlight w:val="none"/>
          <w:lang w:val="en-US" w:eastAsia="zh-CN"/>
        </w:rPr>
        <w:t>母线、插接箱防护等级IP55,插接箱内断路器品牌可选择上联、正泰、德力西等主流品牌，电缆选择鑫日辉、齐鲁、上上等知名品牌国标电缆</w:t>
      </w:r>
    </w:p>
    <w:p w14:paraId="44623704">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二、施工工程内容</w:t>
      </w:r>
    </w:p>
    <w:p w14:paraId="3543E9F5">
      <w:pPr>
        <w:spacing w:line="360" w:lineRule="auto"/>
        <w:ind w:firstLine="406" w:firstLineChars="200"/>
        <w:rPr>
          <w:rFonts w:hint="eastAsia"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1、施工方式：按双方签订的合同工程明细进行施工。</w:t>
      </w:r>
    </w:p>
    <w:p w14:paraId="474DB0E4">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2、施工地点： 在甲方</w:t>
      </w:r>
      <w:r>
        <w:rPr>
          <w:rFonts w:hint="eastAsia" w:ascii="宋体" w:hAnsi="宋体" w:cs="宋体"/>
          <w:color w:val="000000" w:themeColor="text1"/>
          <w:sz w:val="22"/>
          <w:szCs w:val="22"/>
          <w:highlight w:val="none"/>
          <w:lang w:val="en-US" w:eastAsia="zh-CN"/>
          <w14:textFill>
            <w14:solidFill>
              <w14:schemeClr w14:val="tx1"/>
            </w14:solidFill>
          </w14:textFill>
        </w:rPr>
        <w:t>制件单元</w:t>
      </w:r>
      <w:r>
        <w:rPr>
          <w:rFonts w:hint="eastAsia" w:ascii="宋体" w:hAnsi="宋体" w:cs="宋体"/>
          <w:color w:val="000000" w:themeColor="text1"/>
          <w:sz w:val="22"/>
          <w:szCs w:val="22"/>
          <w:highlight w:val="none"/>
          <w14:textFill>
            <w14:solidFill>
              <w14:schemeClr w14:val="tx1"/>
            </w14:solidFill>
          </w14:textFill>
        </w:rPr>
        <w:t>进行施工。</w:t>
      </w:r>
    </w:p>
    <w:p w14:paraId="281CE342">
      <w:pPr>
        <w:spacing w:line="360" w:lineRule="auto"/>
        <w:ind w:firstLine="406" w:firstLineChars="200"/>
        <w:rPr>
          <w:rFonts w:ascii="宋体" w:hAnsi="宋体" w:cs="宋体"/>
          <w:color w:val="000000" w:themeColor="text1"/>
          <w:sz w:val="22"/>
          <w:szCs w:val="22"/>
          <w:highlight w:val="none"/>
          <w:u w:val="singl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3、施工工期：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20日历日</w:t>
      </w:r>
      <w:r>
        <w:rPr>
          <w:rFonts w:hint="eastAsia" w:ascii="宋体" w:hAnsi="宋体" w:cs="宋体"/>
          <w:color w:val="000000" w:themeColor="text1"/>
          <w:sz w:val="22"/>
          <w:szCs w:val="22"/>
          <w:highlight w:val="none"/>
          <w:u w:val="single"/>
          <w14:textFill>
            <w14:solidFill>
              <w14:schemeClr w14:val="tx1"/>
            </w14:solidFill>
          </w14:textFill>
        </w:rPr>
        <w:t xml:space="preserve"> </w:t>
      </w:r>
    </w:p>
    <w:p w14:paraId="0231BB30">
      <w:pPr>
        <w:spacing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三、验收标准和方法：</w:t>
      </w:r>
    </w:p>
    <w:p w14:paraId="1D5E946B">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1</w:t>
      </w:r>
      <w:r>
        <w:rPr>
          <w:rFonts w:hint="eastAsia" w:ascii="宋体" w:hAnsi="宋体" w:cs="宋体"/>
          <w:color w:val="000000" w:themeColor="text1"/>
          <w:sz w:val="22"/>
          <w:szCs w:val="22"/>
          <w:highlight w:val="none"/>
          <w14:textFill>
            <w14:solidFill>
              <w14:schemeClr w14:val="tx1"/>
            </w14:solidFill>
          </w14:textFill>
        </w:rPr>
        <w:t>、按双方签订的技术协议相关内容验收。</w:t>
      </w:r>
    </w:p>
    <w:p w14:paraId="4912283C">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2</w:t>
      </w:r>
      <w:r>
        <w:rPr>
          <w:rFonts w:hint="eastAsia" w:ascii="宋体" w:hAnsi="宋体" w:cs="宋体"/>
          <w:color w:val="000000" w:themeColor="text1"/>
          <w:sz w:val="22"/>
          <w:szCs w:val="22"/>
          <w:highlight w:val="none"/>
          <w14:textFill>
            <w14:solidFill>
              <w14:schemeClr w14:val="tx1"/>
            </w14:solidFill>
          </w14:textFill>
        </w:rPr>
        <w:t>、各项技术性能指标达到国家、行业标准和技术规范，以及合同和相关技术要求后；出具书面验收报告，双方签署验收证明。</w:t>
      </w:r>
    </w:p>
    <w:p w14:paraId="177E2DD0">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四、结算及付款方式：</w:t>
      </w:r>
    </w:p>
    <w:p w14:paraId="3FFA9EE5">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1、合同不含税总价为人民币</w:t>
      </w:r>
      <w:r>
        <w:rPr>
          <w:rFonts w:hint="eastAsia" w:ascii="宋体" w:hAnsi="宋体" w:cs="宋体"/>
          <w:color w:val="000000" w:themeColor="text1"/>
          <w:sz w:val="22"/>
          <w:szCs w:val="22"/>
          <w:highlight w:val="none"/>
          <w:u w:val="single"/>
          <w14:textFill>
            <w14:solidFill>
              <w14:schemeClr w14:val="tx1"/>
            </w14:solidFill>
          </w14:textFill>
        </w:rPr>
        <w:t>¥</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元（大写：</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），增值税税率</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13</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%，税额</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元，含税总价</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元人民币（大写：</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），如国家出台新政策对增值税率进行了调整，则不含税价款不变，本合同含税总价在不含税价基础上根据国家最新税法进行相应的调整。</w:t>
      </w:r>
    </w:p>
    <w:p w14:paraId="57188620">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该价格包括</w:t>
      </w:r>
      <w:r>
        <w:rPr>
          <w:rFonts w:ascii="宋体" w:hAnsi="宋体" w:cs="宋体"/>
          <w:color w:val="000000" w:themeColor="text1"/>
          <w:sz w:val="22"/>
          <w:szCs w:val="22"/>
          <w:highlight w:val="none"/>
          <w14:textFill>
            <w14:solidFill>
              <w14:schemeClr w14:val="tx1"/>
            </w14:solidFill>
          </w14:textFill>
        </w:rPr>
        <w:t>运费、</w:t>
      </w:r>
      <w:r>
        <w:rPr>
          <w:rFonts w:hint="eastAsia" w:ascii="宋体" w:hAnsi="宋体" w:cs="宋体"/>
          <w:color w:val="000000" w:themeColor="text1"/>
          <w:sz w:val="22"/>
          <w:szCs w:val="22"/>
          <w:highlight w:val="none"/>
          <w14:textFill>
            <w14:solidFill>
              <w14:schemeClr w14:val="tx1"/>
            </w14:solidFill>
          </w14:textFill>
        </w:rPr>
        <w:t>施工</w:t>
      </w:r>
      <w:r>
        <w:rPr>
          <w:rFonts w:ascii="宋体" w:hAnsi="宋体" w:cs="宋体"/>
          <w:color w:val="000000" w:themeColor="text1"/>
          <w:sz w:val="22"/>
          <w:szCs w:val="22"/>
          <w:highlight w:val="none"/>
          <w14:textFill>
            <w14:solidFill>
              <w14:schemeClr w14:val="tx1"/>
            </w14:solidFill>
          </w14:textFill>
        </w:rPr>
        <w:t>、配件、税费和人员费用</w:t>
      </w:r>
      <w:r>
        <w:rPr>
          <w:rFonts w:hint="eastAsia" w:ascii="宋体" w:hAnsi="宋体" w:cs="宋体"/>
          <w:color w:val="000000" w:themeColor="text1"/>
          <w:sz w:val="22"/>
          <w:szCs w:val="22"/>
          <w:highlight w:val="none"/>
          <w14:textFill>
            <w14:solidFill>
              <w14:schemeClr w14:val="tx1"/>
            </w14:solidFill>
          </w14:textFill>
        </w:rPr>
        <w:t>。</w:t>
      </w:r>
    </w:p>
    <w:p w14:paraId="720D1D4B">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2、付款方式为：</w:t>
      </w:r>
      <w:r>
        <w:rPr>
          <w:rFonts w:hint="eastAsia" w:ascii="宋体" w:hAnsi="宋体" w:cs="宋体"/>
          <w:color w:val="000000" w:themeColor="text1"/>
          <w:sz w:val="22"/>
          <w:szCs w:val="22"/>
          <w:highlight w:val="none"/>
          <w:u w:val="single"/>
          <w14:textFill>
            <w14:solidFill>
              <w14:schemeClr w14:val="tx1"/>
            </w14:solidFill>
          </w14:textFill>
        </w:rPr>
        <w:t xml:space="preserve"> 半年期商业汇票 </w:t>
      </w:r>
      <w:r>
        <w:rPr>
          <w:rFonts w:hint="eastAsia" w:ascii="宋体" w:hAnsi="宋体" w:cs="宋体"/>
          <w:color w:val="000000" w:themeColor="text1"/>
          <w:sz w:val="22"/>
          <w:szCs w:val="22"/>
          <w:highlight w:val="none"/>
          <w14:textFill>
            <w14:solidFill>
              <w14:schemeClr w14:val="tx1"/>
            </w14:solidFill>
          </w14:textFill>
        </w:rPr>
        <w:t>。</w:t>
      </w:r>
    </w:p>
    <w:p w14:paraId="342AEB37">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3、合同价款的支付：</w:t>
      </w:r>
    </w:p>
    <w:p w14:paraId="37F6AF0C">
      <w:pPr>
        <w:spacing w:line="360" w:lineRule="auto"/>
        <w:ind w:left="-96" w:leftChars="-50" w:right="-96" w:rightChars="-50" w:firstLine="508" w:firstLineChars="250"/>
        <w:jc w:val="left"/>
        <w:rPr>
          <w:rFonts w:ascii="宋体" w:hAnsi="宋体"/>
          <w:color w:val="auto"/>
          <w:szCs w:val="21"/>
          <w:highlight w:val="none"/>
        </w:rPr>
      </w:pPr>
      <w:r>
        <w:rPr>
          <w:rFonts w:hint="eastAsia" w:ascii="宋体" w:hAnsi="宋体" w:cs="宋体"/>
          <w:color w:val="auto"/>
          <w:sz w:val="22"/>
          <w:szCs w:val="22"/>
          <w:highlight w:val="none"/>
        </w:rPr>
        <w:t>3.1</w:t>
      </w:r>
      <w:r>
        <w:rPr>
          <w:rFonts w:hint="eastAsia" w:ascii="宋体" w:hAnsi="宋体" w:cs="宋体"/>
          <w:color w:val="auto"/>
          <w:sz w:val="22"/>
          <w:szCs w:val="22"/>
          <w:highlight w:val="none"/>
          <w:lang w:val="en-US" w:eastAsia="zh-CN"/>
        </w:rPr>
        <w:t>双方</w:t>
      </w:r>
      <w:r>
        <w:rPr>
          <w:rFonts w:hint="eastAsia" w:ascii="宋体" w:hAnsi="宋体"/>
          <w:color w:val="auto"/>
          <w:szCs w:val="21"/>
          <w:highlight w:val="none"/>
        </w:rPr>
        <w:t>签订合同</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乙方施工完毕</w:t>
      </w:r>
      <w:r>
        <w:rPr>
          <w:rFonts w:hint="eastAsia" w:ascii="宋体" w:hAnsi="宋体"/>
          <w:color w:val="auto"/>
          <w:szCs w:val="21"/>
          <w:highlight w:val="none"/>
        </w:rPr>
        <w:t xml:space="preserve"> </w:t>
      </w:r>
      <w:r>
        <w:rPr>
          <w:rFonts w:ascii="宋体" w:hAnsi="宋体"/>
          <w:color w:val="auto"/>
          <w:szCs w:val="21"/>
          <w:highlight w:val="none"/>
        </w:rPr>
        <w:t>达到可使用状态，</w:t>
      </w:r>
      <w:r>
        <w:rPr>
          <w:rFonts w:hint="eastAsia" w:ascii="宋体" w:hAnsi="宋体"/>
          <w:color w:val="auto"/>
          <w:szCs w:val="21"/>
          <w:highlight w:val="none"/>
        </w:rPr>
        <w:t>出具调试合格报告，乙方开具</w:t>
      </w:r>
      <w:r>
        <w:rPr>
          <w:rFonts w:hint="eastAsia" w:ascii="宋体" w:hAnsi="宋体"/>
          <w:color w:val="auto"/>
          <w:szCs w:val="21"/>
          <w:highlight w:val="none"/>
          <w:lang w:val="en-US" w:eastAsia="zh-CN"/>
        </w:rPr>
        <w:t>合同全额</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圆的增值税专用发票（税率</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13</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val="en-US" w:eastAsia="zh-CN"/>
        </w:rPr>
        <w:t>甲</w:t>
      </w:r>
      <w:r>
        <w:rPr>
          <w:rFonts w:hint="eastAsia" w:ascii="宋体" w:hAnsi="宋体"/>
          <w:color w:val="auto"/>
          <w:szCs w:val="21"/>
          <w:highlight w:val="none"/>
        </w:rPr>
        <w:t>方试运行</w:t>
      </w:r>
      <w:r>
        <w:rPr>
          <w:rFonts w:hint="eastAsia" w:ascii="宋体" w:hAnsi="宋体"/>
          <w:color w:val="auto"/>
          <w:szCs w:val="21"/>
          <w:highlight w:val="none"/>
          <w:lang w:val="en-US" w:eastAsia="zh-CN"/>
        </w:rPr>
        <w:t>1</w:t>
      </w:r>
      <w:r>
        <w:rPr>
          <w:rFonts w:hint="eastAsia" w:ascii="宋体" w:hAnsi="宋体"/>
          <w:color w:val="auto"/>
          <w:szCs w:val="21"/>
          <w:highlight w:val="none"/>
        </w:rPr>
        <w:t>个月后验收合格，出具验收合格报告书后，</w:t>
      </w:r>
      <w:r>
        <w:rPr>
          <w:rFonts w:hint="eastAsia" w:ascii="宋体" w:hAnsi="宋体" w:cs="宋体"/>
          <w:color w:val="auto"/>
          <w:sz w:val="22"/>
          <w:szCs w:val="22"/>
          <w:highlight w:val="none"/>
        </w:rPr>
        <w:t>甲方依照财务制度审核无误后次月</w:t>
      </w:r>
      <w:r>
        <w:rPr>
          <w:rFonts w:hint="eastAsia" w:ascii="宋体" w:hAnsi="宋体"/>
          <w:color w:val="auto"/>
          <w:szCs w:val="21"/>
          <w:highlight w:val="none"/>
        </w:rPr>
        <w:t>向乙方支付合同金额的</w:t>
      </w:r>
      <w:r>
        <w:rPr>
          <w:rFonts w:hint="eastAsia" w:ascii="宋体" w:hAnsi="宋体"/>
          <w:color w:val="auto"/>
          <w:szCs w:val="21"/>
          <w:highlight w:val="none"/>
          <w:lang w:val="en-US" w:eastAsia="zh-CN"/>
        </w:rPr>
        <w:t>9</w:t>
      </w:r>
      <w:r>
        <w:rPr>
          <w:rFonts w:hint="eastAsia" w:ascii="宋体" w:hAnsi="宋体"/>
          <w:color w:val="auto"/>
          <w:szCs w:val="21"/>
          <w:highlight w:val="none"/>
        </w:rPr>
        <w:t>0%，即（小写）￥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圆； </w:t>
      </w:r>
    </w:p>
    <w:p w14:paraId="51EB76D2">
      <w:pPr>
        <w:spacing w:line="360" w:lineRule="auto"/>
        <w:ind w:left="-96" w:leftChars="-50" w:right="-96" w:rightChars="-50" w:firstLine="483" w:firstLineChars="250"/>
        <w:rPr>
          <w:rFonts w:ascii="宋体" w:hAnsi="宋体" w:cs="宋体"/>
          <w:color w:val="auto"/>
          <w:sz w:val="22"/>
          <w:szCs w:val="22"/>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2</w:t>
      </w:r>
      <w:r>
        <w:rPr>
          <w:rFonts w:hint="eastAsia" w:ascii="宋体" w:hAnsi="宋体" w:cs="宋体"/>
          <w:color w:val="auto"/>
          <w:sz w:val="22"/>
          <w:szCs w:val="22"/>
          <w:highlight w:val="none"/>
        </w:rPr>
        <w:t>合同总价款的10 %即</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w:t>
      </w:r>
      <w:r>
        <w:rPr>
          <w:rFonts w:hint="eastAsia" w:ascii="宋体" w:hAnsi="宋体" w:cs="宋体"/>
          <w:color w:val="auto"/>
          <w:sz w:val="22"/>
          <w:szCs w:val="22"/>
          <w:highlight w:val="none"/>
        </w:rPr>
        <w:t>作为本合同约定的质量保证金，质量保证金在本合同约定的质量保证期内不计利息，待设备质量保证期满后，甲方质保期满验收确认无质量问题后</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日内支付；如有质量问题，质量保证金予以扣除。</w:t>
      </w:r>
    </w:p>
    <w:p w14:paraId="37039B54">
      <w:pPr>
        <w:spacing w:line="360" w:lineRule="auto"/>
        <w:ind w:left="-96" w:leftChars="-50" w:right="-96" w:rightChars="-50"/>
        <w:rPr>
          <w:rFonts w:ascii="宋体" w:hAnsi="宋体" w:cs="宋体"/>
          <w:b/>
          <w:bCs/>
          <w:color w:val="auto"/>
          <w:sz w:val="22"/>
          <w:szCs w:val="22"/>
          <w:highlight w:val="none"/>
        </w:rPr>
      </w:pPr>
      <w:r>
        <w:rPr>
          <w:rFonts w:hint="eastAsia" w:ascii="宋体" w:hAnsi="宋体" w:cs="宋体"/>
          <w:b/>
          <w:color w:val="auto"/>
          <w:sz w:val="22"/>
          <w:szCs w:val="22"/>
          <w:highlight w:val="none"/>
        </w:rPr>
        <w:t>五、</w:t>
      </w:r>
      <w:r>
        <w:rPr>
          <w:rFonts w:hint="eastAsia" w:ascii="宋体" w:hAnsi="宋体" w:cs="宋体"/>
          <w:b/>
          <w:bCs/>
          <w:color w:val="auto"/>
          <w:sz w:val="22"/>
          <w:szCs w:val="22"/>
          <w:highlight w:val="none"/>
        </w:rPr>
        <w:t>质量保证期及质量保证金</w:t>
      </w:r>
    </w:p>
    <w:p w14:paraId="30312AD0">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1、本合同工程及设备的质量保证期限为最终验收报告签署之日（以签署日期最晚者为准）起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个月。</w:t>
      </w:r>
    </w:p>
    <w:p w14:paraId="4553E15A">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2、若在质量保证期内该设备出现质量问题，乙方须应根据甲方的要求在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小时内答复或</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小时内派员现场服务，费用由乙方承担。</w:t>
      </w:r>
    </w:p>
    <w:p w14:paraId="630A89C3">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3、质量保证期届满后，</w:t>
      </w:r>
      <w:r>
        <w:rPr>
          <w:rFonts w:hint="eastAsia" w:ascii="宋体" w:hAnsi="宋体" w:cs="宋体"/>
          <w:color w:val="auto"/>
          <w:sz w:val="22"/>
          <w:szCs w:val="22"/>
          <w:highlight w:val="none"/>
          <w:lang w:val="en-US" w:eastAsia="zh-CN"/>
        </w:rPr>
        <w:t xml:space="preserve">乙方承诺继续提供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lang w:val="en-US" w:eastAsia="zh-CN"/>
        </w:rPr>
        <w:t>个月无偿技术服务。</w:t>
      </w:r>
      <w:r>
        <w:rPr>
          <w:rFonts w:hint="eastAsia" w:ascii="宋体" w:hAnsi="宋体" w:cs="宋体"/>
          <w:color w:val="auto"/>
          <w:sz w:val="22"/>
          <w:szCs w:val="22"/>
          <w:highlight w:val="none"/>
        </w:rPr>
        <w:t>如甲方需要乙方提供技术服务，乙方应在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小时内进行答复，如需到现场解决问题的，乙方应</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小时内派服务人员到达甲方现场提供服务。</w:t>
      </w:r>
    </w:p>
    <w:p w14:paraId="67BFB613">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4、乙方保证其提供的合同设备是全新的、未使用的、未经改装的、包装完好的、原厂正品，采用最佳材料和一流工艺的，并在各个方面符合本合同规定的质量、规格和性能要求。乙方保证其合同设备经过正确安装、合理操作和维护保养，在合同设备寿命期内运转良好。</w:t>
      </w:r>
    </w:p>
    <w:p w14:paraId="471B30F9">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5、</w:t>
      </w:r>
      <w:r>
        <w:rPr>
          <w:rFonts w:hint="eastAsia" w:ascii="宋体" w:hAnsi="宋体" w:cs="宋体"/>
          <w:bCs/>
          <w:sz w:val="22"/>
          <w:szCs w:val="22"/>
        </w:rPr>
        <w:t>乙方承诺其提供的设备不存在任何产品缺陷</w:t>
      </w:r>
      <w:r>
        <w:rPr>
          <w:rFonts w:hint="eastAsia" w:ascii="宋体" w:hAnsi="宋体" w:cs="宋体"/>
          <w:bCs/>
          <w:color w:val="auto"/>
          <w:sz w:val="22"/>
          <w:szCs w:val="22"/>
        </w:rPr>
        <w:t>及工程质量不存在任何瑕疵，否则因乙方提供的设备及工程质量存在产品瑕疵而给甲方造成的一切后果和损失由乙方承担。</w:t>
      </w:r>
    </w:p>
    <w:p w14:paraId="359A843C">
      <w:pPr>
        <w:spacing w:line="360" w:lineRule="auto"/>
        <w:ind w:firstLine="406" w:firstLineChars="200"/>
        <w:rPr>
          <w:rFonts w:hint="eastAsia" w:ascii="宋体" w:hAnsi="宋体" w:cs="宋体"/>
          <w:bCs/>
          <w:color w:val="auto"/>
          <w:sz w:val="22"/>
          <w:szCs w:val="22"/>
          <w:highlight w:val="none"/>
        </w:rPr>
      </w:pPr>
      <w:r>
        <w:rPr>
          <w:rFonts w:hint="eastAsia" w:ascii="宋体" w:hAnsi="宋体" w:cs="宋体"/>
          <w:bCs/>
          <w:color w:val="auto"/>
          <w:sz w:val="22"/>
          <w:szCs w:val="22"/>
          <w:highlight w:val="none"/>
        </w:rPr>
        <w:t>6、</w:t>
      </w:r>
      <w:r>
        <w:rPr>
          <w:rFonts w:hint="eastAsia" w:ascii="宋体" w:hAnsi="宋体" w:cs="宋体"/>
          <w:bCs/>
          <w:sz w:val="22"/>
          <w:szCs w:val="22"/>
        </w:rPr>
        <w:t>乙方承诺因其提供的设</w:t>
      </w:r>
      <w:r>
        <w:rPr>
          <w:rFonts w:hint="eastAsia" w:ascii="宋体" w:hAnsi="宋体" w:cs="宋体"/>
          <w:bCs/>
          <w:color w:val="auto"/>
          <w:sz w:val="22"/>
          <w:szCs w:val="22"/>
        </w:rPr>
        <w:t>备及工程质量</w:t>
      </w:r>
      <w:r>
        <w:rPr>
          <w:rFonts w:hint="eastAsia" w:ascii="宋体" w:hAnsi="宋体" w:cs="宋体"/>
          <w:bCs/>
          <w:sz w:val="22"/>
          <w:szCs w:val="22"/>
        </w:rPr>
        <w:t>存在瑕疵或产品缺陷而导致第三方向甲方主张权利或提起诉讼的，乙方应积极配合甲方进行解决或应诉，因此而发生的一切费用（包括但不限于诉讼费、仲裁费、律师费、交通费、通讯费、住宿费、餐饮费、调查取证费等）由乙方承担。</w:t>
      </w:r>
    </w:p>
    <w:p w14:paraId="1FA37123">
      <w:pPr>
        <w:spacing w:line="360" w:lineRule="auto"/>
        <w:ind w:right="-96" w:rightChars="-50"/>
        <w:rPr>
          <w:rFonts w:ascii="宋体" w:hAnsi="宋体" w:cs="宋体"/>
          <w:b/>
          <w:color w:val="auto"/>
          <w:sz w:val="22"/>
          <w:szCs w:val="22"/>
          <w:highlight w:val="none"/>
        </w:rPr>
      </w:pPr>
      <w:r>
        <w:rPr>
          <w:rFonts w:hint="eastAsia" w:ascii="宋体" w:hAnsi="宋体" w:cs="宋体"/>
          <w:b/>
          <w:color w:val="auto"/>
          <w:sz w:val="22"/>
          <w:szCs w:val="22"/>
          <w:highlight w:val="none"/>
        </w:rPr>
        <w:t>六、保密条款</w:t>
      </w:r>
    </w:p>
    <w:p w14:paraId="0E0F8D5D">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 xml:space="preserve">乙方在施工过程中掌握的甲方的业务、产品、程序、研究或与之有关的一切数据、工艺、配方、图纸等，均属于甲方的商业秘密，未经甲方书面允许，乙方不得披露给任何第三人。施工完成后，乙方须将掌握的上述商业秘密全部返还给甲方，不得以任何形式和载体备份自留。 </w:t>
      </w:r>
    </w:p>
    <w:p w14:paraId="7C14FC3D">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七、其它约定</w:t>
      </w:r>
    </w:p>
    <w:p w14:paraId="2BB03CE5">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乙方应安排具备相关资质的施工人员在甲方现场施工，遵守甲方现场安全生产有关管理规定,严格按照安全标准组织施工，并随时接受甲方安全管理人员的监督检查，乙方需采取必要的安全防护措施，消除安全隐患。由于乙方安全措施不利造成事故的责任和因此发生的一切费用均由乙方承担。</w:t>
      </w:r>
    </w:p>
    <w:p w14:paraId="41E888D8">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 乙方人员在甲方厂区内必须遵守甲方的有关管理制度，服从甲方人员的安排。乙方在甲方现场进行工作时，发生的一切人身伤害和财产损失，由乙方自行负完全责任。上述因乙方责任行为导致甲方或第三人发生损失时，乙方须对甲方或第三人因此造成的损失负全部责任并给予赔偿。</w:t>
      </w:r>
    </w:p>
    <w:p w14:paraId="230D8416">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 施工期间，乙方应保持甲方现场的清洁，负责清理工作，并服从甲方的组织协调。</w:t>
      </w:r>
    </w:p>
    <w:p w14:paraId="0E311483">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4、工程物资从运输、安装至调试完成期间所发生的毁损风险及责任全部由乙方承担。</w:t>
      </w:r>
    </w:p>
    <w:p w14:paraId="27DF7D03">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5、乙方确认本合同中的地址为其可以接收到函件的有效送达地址，如有变更应在三日内以书面形式告知甲方。否则，甲方依本合同中的乙方地址寄发函件即视为送达。</w:t>
      </w:r>
    </w:p>
    <w:p w14:paraId="2C9D3D07">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八、违约责任</w:t>
      </w:r>
    </w:p>
    <w:p w14:paraId="52C5E1C2">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乙方未按合同的约定完成改造工作的，甲方有权按照以下一种或多种方式要求乙方赔偿：</w:t>
      </w:r>
    </w:p>
    <w:p w14:paraId="0C0E45BE">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1、乙方逾期交付工作成果的，每逾期一天，应当向甲方支付合同总价款</w:t>
      </w:r>
      <w:r>
        <w:rPr>
          <w:rFonts w:hint="eastAsia" w:ascii="宋体" w:hAnsi="宋体" w:cs="宋体"/>
          <w:color w:val="auto"/>
          <w:sz w:val="22"/>
          <w:szCs w:val="22"/>
          <w:highlight w:val="none"/>
          <w:u w:val="single"/>
        </w:rPr>
        <w:t xml:space="preserve"> 1 </w:t>
      </w:r>
      <w:r>
        <w:rPr>
          <w:rFonts w:hint="eastAsia" w:ascii="宋体" w:hAnsi="宋体" w:cs="宋体"/>
          <w:color w:val="auto"/>
          <w:sz w:val="22"/>
          <w:szCs w:val="22"/>
          <w:highlight w:val="none"/>
        </w:rPr>
        <w:t>%的违约金。当违约金超过设备合同总金额的</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%时，甲方有权解除本合同，且乙方应当向甲方支付上述违约金，并赔偿由此给甲方造成的一切损失和费用。</w:t>
      </w:r>
    </w:p>
    <w:p w14:paraId="65D5F3D9">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rPr>
        <w:t>、擅自调换甲方认可的工程物资，甲方有权拒收，乙方应赔偿甲方因此造成的损失。如甲方要求更换，应当按甲方要求办理，并承担逾期交付的责任。</w:t>
      </w:r>
    </w:p>
    <w:p w14:paraId="36F6FCAB">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、乙方擅自使用有缺陷的工程物资或通过修理缺陷部分以使施工达到合同规定的规格、质量和性能，乙方应承担一切费用和风险并负担甲方遭受的一切损失，乙方</w:t>
      </w:r>
      <w:r>
        <w:rPr>
          <w:rFonts w:hint="eastAsia" w:ascii="宋体" w:hAnsi="宋体" w:cs="宋体"/>
          <w:color w:val="auto"/>
          <w:sz w:val="22"/>
          <w:szCs w:val="22"/>
          <w:highlight w:val="none"/>
          <w:lang w:val="en-US" w:eastAsia="zh-CN"/>
        </w:rPr>
        <w:t>应自更换工程物资</w:t>
      </w:r>
      <w:r>
        <w:rPr>
          <w:rFonts w:hint="eastAsia" w:ascii="宋体" w:hAnsi="宋体" w:cs="宋体"/>
          <w:color w:val="auto"/>
          <w:sz w:val="22"/>
          <w:szCs w:val="22"/>
          <w:highlight w:val="none"/>
        </w:rPr>
        <w:t>重新维修验收合格后</w:t>
      </w:r>
      <w:r>
        <w:rPr>
          <w:rFonts w:hint="eastAsia" w:ascii="宋体" w:hAnsi="宋体" w:cs="宋体"/>
          <w:color w:val="auto"/>
          <w:sz w:val="22"/>
          <w:szCs w:val="22"/>
          <w:highlight w:val="none"/>
          <w:lang w:val="en-US" w:eastAsia="zh-CN"/>
        </w:rPr>
        <w:t>重新计算质量保证</w:t>
      </w:r>
      <w:r>
        <w:rPr>
          <w:rFonts w:hint="eastAsia" w:ascii="宋体" w:hAnsi="宋体" w:cs="宋体"/>
          <w:color w:val="auto"/>
          <w:sz w:val="22"/>
          <w:szCs w:val="22"/>
          <w:highlight w:val="none"/>
        </w:rPr>
        <w:t>期。</w:t>
      </w:r>
    </w:p>
    <w:p w14:paraId="01998663">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隐瞒工程物资的缺陷或使用不符合规定的工程物资而影响质量时，甲方有权要求重新施工、减少价款或不付款。如因乙方提供的工程物资出现质量问题或其他任何归责于乙方的原因造成甲方的设备出现毁损的，乙方应当赔偿甲方因此造成的损失，赔偿金额应视施工内容的损坏程度及价值而定。</w:t>
      </w:r>
    </w:p>
    <w:p w14:paraId="7F49146E">
      <w:pPr>
        <w:spacing w:line="360" w:lineRule="auto"/>
        <w:ind w:firstLine="383" w:firstLineChars="189"/>
        <w:rPr>
          <w:rFonts w:hint="eastAsia" w:cs="宋体" w:asciiTheme="minorEastAsia" w:hAnsiTheme="minorEastAsia" w:eastAsiaTheme="minorEastAsia"/>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w:t>
      </w:r>
      <w:r>
        <w:rPr>
          <w:rFonts w:hint="eastAsia" w:cs="宋体" w:asciiTheme="minorEastAsia" w:hAnsiTheme="minorEastAsia" w:eastAsiaTheme="minorEastAsia"/>
          <w:sz w:val="22"/>
          <w:szCs w:val="22"/>
        </w:rPr>
        <w:t>乙方对提供的工程材</w:t>
      </w:r>
      <w:r>
        <w:rPr>
          <w:rFonts w:hint="eastAsia" w:cs="宋体" w:asciiTheme="minorEastAsia" w:hAnsiTheme="minorEastAsia" w:eastAsiaTheme="minorEastAsia"/>
          <w:color w:val="auto"/>
          <w:sz w:val="22"/>
          <w:szCs w:val="22"/>
        </w:rPr>
        <w:t>料、设备及工程质量承担责任，如工程质量与本合同约定不符，</w:t>
      </w:r>
      <w:r>
        <w:rPr>
          <w:rFonts w:hint="eastAsia" w:cs="宋体" w:asciiTheme="minorEastAsia" w:hAnsiTheme="minorEastAsia" w:eastAsiaTheme="minorEastAsia"/>
          <w:sz w:val="22"/>
          <w:szCs w:val="22"/>
        </w:rPr>
        <w:t>甲方有权在检验、安装、调试、验收测试期限内、质量保证期内等任何时间提出索赔，甲方有权按下述一种或多种方法要求乙方赔偿：</w:t>
      </w:r>
    </w:p>
    <w:p w14:paraId="2DA025C3">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.1乙方同意甲方拒收工程材料、设备并把被与拒收工程材料、设备等值的价款在甲方要求的时间内以本合同规定的货币付给甲方，</w:t>
      </w:r>
      <w:r>
        <w:rPr>
          <w:rFonts w:hint="eastAsia" w:cs="宋体" w:asciiTheme="minorEastAsia" w:hAnsiTheme="minorEastAsia" w:eastAsiaTheme="minorEastAsia"/>
          <w:color w:val="auto"/>
          <w:sz w:val="22"/>
          <w:szCs w:val="22"/>
          <w:highlight w:val="none"/>
          <w:lang w:val="en-US" w:eastAsia="zh-CN"/>
        </w:rPr>
        <w:t>乙</w:t>
      </w:r>
      <w:r>
        <w:rPr>
          <w:rFonts w:hint="eastAsia" w:cs="宋体" w:asciiTheme="minorEastAsia" w:hAnsiTheme="minorEastAsia" w:eastAsiaTheme="minorEastAsia"/>
          <w:color w:val="auto"/>
          <w:sz w:val="22"/>
          <w:szCs w:val="22"/>
          <w:highlight w:val="none"/>
        </w:rPr>
        <w:t>方承担因此而发生的一切损失和费用，包括但不限于同期银行贷款利息、银行费用、运输和保险费、检验费、仓储和装卸费以及为保管和保护被拒绝工程材料、设备所需要的其他必需的费用，并赔偿因此给甲方造成的损失。</w:t>
      </w:r>
    </w:p>
    <w:p w14:paraId="6AD20648">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.2根据工程材料、设备的瑕疵和受损程度以及甲方遭受损失的金额，经甲方同意降低工程材料、设备价格。</w:t>
      </w:r>
    </w:p>
    <w:p w14:paraId="5F42C4FE">
      <w:pPr>
        <w:spacing w:line="360" w:lineRule="auto"/>
        <w:ind w:firstLine="383" w:firstLineChars="189"/>
        <w:rPr>
          <w:rFonts w:hint="eastAsia" w:cs="宋体" w:asciiTheme="minorEastAsia" w:hAnsiTheme="minorEastAsia" w:eastAsiaTheme="minorEastAsia"/>
          <w:color w:val="FF0000"/>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.3</w:t>
      </w:r>
      <w:r>
        <w:rPr>
          <w:rFonts w:hint="eastAsia" w:cs="宋体" w:asciiTheme="minorEastAsia" w:hAnsiTheme="minorEastAsia" w:eastAsiaTheme="minorEastAsia"/>
          <w:color w:val="auto"/>
          <w:sz w:val="22"/>
          <w:szCs w:val="22"/>
        </w:rPr>
        <w:t>更换有缺陷的工程材料、零件、部件、设备或修理缺陷部分，以达到本合同规定的规格、质量和性能，乙方承担一切费用和风险并负担甲方遭受的一切损失，同时乙方应相应延长被修理或更换工程材料、设备的质量保证期但不延长工程周期，逾期交付的乙方需承担本条第1款违约责任，更换后仍无法满足国家、行业及合同约定的标准，甲方有权单方解除合同，并</w:t>
      </w:r>
      <w:r>
        <w:rPr>
          <w:rFonts w:hint="eastAsia" w:ascii="宋体" w:hAnsi="宋体" w:cs="宋体"/>
          <w:color w:val="auto"/>
          <w:sz w:val="22"/>
          <w:szCs w:val="22"/>
        </w:rPr>
        <w:t>拒付合同款，乙方除退还甲方已付款项外还须赔偿由此给甲方造成的一切损失</w:t>
      </w:r>
      <w:r>
        <w:rPr>
          <w:rFonts w:hint="eastAsia" w:cs="宋体" w:asciiTheme="minorEastAsia" w:hAnsiTheme="minorEastAsia" w:eastAsiaTheme="minorEastAsia"/>
          <w:color w:val="auto"/>
          <w:sz w:val="22"/>
          <w:szCs w:val="22"/>
        </w:rPr>
        <w:t>。</w:t>
      </w:r>
    </w:p>
    <w:p w14:paraId="550477DF">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6</w:t>
      </w:r>
      <w:r>
        <w:rPr>
          <w:rFonts w:hint="eastAsia" w:cs="宋体" w:asciiTheme="minorEastAsia" w:hAnsiTheme="minorEastAsia" w:eastAsiaTheme="minorEastAsia"/>
          <w:color w:val="auto"/>
          <w:sz w:val="22"/>
          <w:szCs w:val="22"/>
          <w:highlight w:val="none"/>
        </w:rPr>
        <w:t>、如果甲方就乙方的工程材料、设备质量问题提出索赔通知后 10 日内乙方未能予以答复，该索赔视为已被乙方接受。若乙方未能在甲方提出索赔通知后 10 日内或甲方同意的更长一些的时间内，按甲方同意的上述任何一种方式处理索赔事宜，甲方将从货款中扣回索赔金额，同时保留进一步要求赔偿的权利。</w:t>
      </w:r>
    </w:p>
    <w:p w14:paraId="1541F60D">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7</w:t>
      </w:r>
      <w:r>
        <w:rPr>
          <w:rFonts w:hint="eastAsia" w:cs="宋体" w:asciiTheme="minorEastAsia" w:hAnsiTheme="minorEastAsia" w:eastAsiaTheme="minorEastAsia"/>
          <w:color w:val="auto"/>
          <w:sz w:val="22"/>
          <w:szCs w:val="22"/>
          <w:highlight w:val="none"/>
        </w:rPr>
        <w:t>、如乙方违反本合同质量保证条款，则甲方有权视情况扣除部分或全部质量保证金作为甲方的违约金，并且乙方应赔偿因此给甲方造成的一切损失。乙方不能及时到现场履行质量维修义务，每延迟一天应承担合同价款20 ‰的违约金（合同额不足10万元按照2000元/天计取），且不免除维修的责任。违约金在质保金中扣除。</w:t>
      </w:r>
    </w:p>
    <w:p w14:paraId="3C5BBC6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8</w:t>
      </w:r>
      <w:r>
        <w:rPr>
          <w:rFonts w:hint="eastAsia" w:ascii="宋体" w:hAnsi="宋体" w:cs="宋体"/>
          <w:color w:val="auto"/>
          <w:sz w:val="22"/>
          <w:szCs w:val="22"/>
          <w:highlight w:val="none"/>
        </w:rPr>
        <w:t>、</w:t>
      </w:r>
      <w:r>
        <w:rPr>
          <w:color w:val="auto"/>
          <w:highlight w:val="none"/>
        </w:rPr>
        <w:t>因</w:t>
      </w:r>
      <w:r>
        <w:rPr>
          <w:rFonts w:hint="eastAsia"/>
          <w:color w:val="auto"/>
          <w:highlight w:val="none"/>
        </w:rPr>
        <w:t>乙方</w:t>
      </w:r>
      <w:r>
        <w:rPr>
          <w:color w:val="auto"/>
          <w:highlight w:val="none"/>
        </w:rPr>
        <w:t>发票违规给</w:t>
      </w:r>
      <w:r>
        <w:rPr>
          <w:rFonts w:hint="eastAsia"/>
          <w:color w:val="auto"/>
          <w:highlight w:val="none"/>
        </w:rPr>
        <w:t>甲</w:t>
      </w:r>
      <w:r>
        <w:rPr>
          <w:color w:val="auto"/>
          <w:highlight w:val="none"/>
        </w:rPr>
        <w:t>方造成的增值税、所得税等损失，由</w:t>
      </w:r>
      <w:r>
        <w:rPr>
          <w:rFonts w:hint="eastAsia"/>
          <w:color w:val="auto"/>
          <w:highlight w:val="none"/>
        </w:rPr>
        <w:t>乙</w:t>
      </w:r>
      <w:r>
        <w:rPr>
          <w:color w:val="auto"/>
          <w:highlight w:val="none"/>
        </w:rPr>
        <w:t>方承担相关责任，包括但不限于税款、滞纳金、罚款及其它相关损失</w:t>
      </w:r>
      <w:r>
        <w:rPr>
          <w:rFonts w:hint="eastAsia"/>
          <w:color w:val="auto"/>
          <w:highlight w:val="none"/>
        </w:rPr>
        <w:t>。</w:t>
      </w:r>
    </w:p>
    <w:p w14:paraId="14C12EF5">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9</w:t>
      </w:r>
      <w:r>
        <w:rPr>
          <w:rFonts w:hint="eastAsia" w:ascii="宋体" w:hAnsi="宋体" w:cs="宋体"/>
          <w:color w:val="auto"/>
          <w:sz w:val="22"/>
          <w:szCs w:val="22"/>
          <w:highlight w:val="none"/>
        </w:rPr>
        <w:t>、如果乙方违反本合同其他约定（包括本合同及所有附件），应赔偿因此给甲方造成的一切损失。</w:t>
      </w:r>
    </w:p>
    <w:p w14:paraId="57D78C24">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九、纠纷的处理</w:t>
      </w:r>
    </w:p>
    <w:p w14:paraId="45A114BC">
      <w:pPr>
        <w:spacing w:line="360" w:lineRule="auto"/>
        <w:ind w:firstLine="508" w:firstLineChars="250"/>
        <w:rPr>
          <w:rFonts w:ascii="宋体" w:hAnsi="宋体" w:cs="宋体"/>
          <w:b/>
          <w:color w:val="auto"/>
          <w:sz w:val="22"/>
          <w:szCs w:val="22"/>
          <w:highlight w:val="none"/>
        </w:rPr>
      </w:pPr>
      <w:r>
        <w:rPr>
          <w:rFonts w:hint="eastAsia" w:ascii="宋体" w:hAnsi="宋体" w:cs="宋体"/>
          <w:color w:val="auto"/>
          <w:sz w:val="22"/>
          <w:szCs w:val="22"/>
          <w:highlight w:val="none"/>
        </w:rPr>
        <w:t>解决合同纠纷的方式：双方协商解决，如双方协商解决不成，向甲方所在地人民法院提起诉讼。</w:t>
      </w:r>
    </w:p>
    <w:p w14:paraId="56DCED6F">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十、附件</w:t>
      </w:r>
    </w:p>
    <w:p w14:paraId="27B3D8AE">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1、双方签订的技术协议作为本合同的附件，具有与合同相同的法律效力。</w:t>
      </w:r>
    </w:p>
    <w:p w14:paraId="7D52CFF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2、合同未尽事宜，须经双方共同协商，做出补充协议，补充协议与本合同具有同等效力。本合同附件均为本合同的组成部分，具有同等的法律效力。</w:t>
      </w:r>
    </w:p>
    <w:p w14:paraId="4CB8802E">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3、本合同自双方签署之日起生效。本合同一式五份，甲方四份，乙方一份。</w:t>
      </w:r>
    </w:p>
    <w:p w14:paraId="1CC02CB9">
      <w:pPr>
        <w:widowControl/>
        <w:adjustRightInd w:val="0"/>
        <w:snapToGrid w:val="0"/>
        <w:spacing w:line="360" w:lineRule="auto"/>
        <w:jc w:val="left"/>
        <w:rPr>
          <w:rFonts w:ascii="宋体" w:hAnsi="宋体"/>
          <w:snapToGrid w:val="0"/>
          <w:color w:val="auto"/>
          <w:kern w:val="0"/>
          <w:sz w:val="22"/>
          <w:szCs w:val="22"/>
          <w:highlight w:val="none"/>
          <w:lang w:eastAsia="zh-Hans"/>
        </w:rPr>
      </w:pPr>
      <w:r>
        <w:rPr>
          <w:rFonts w:hint="eastAsia" w:ascii="宋体" w:hAnsi="宋体"/>
          <w:snapToGrid w:val="0"/>
          <w:color w:val="auto"/>
          <w:kern w:val="0"/>
          <w:sz w:val="22"/>
          <w:szCs w:val="22"/>
          <w:highlight w:val="none"/>
          <w:lang w:eastAsia="zh-Hans"/>
        </w:rPr>
        <w:t>甲方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 xml:space="preserve">：                    </w:t>
      </w:r>
      <w:r>
        <w:rPr>
          <w:rFonts w:hint="eastAsia" w:ascii="宋体" w:hAnsi="宋体"/>
          <w:snapToGrid w:val="0"/>
          <w:color w:val="auto"/>
          <w:kern w:val="0"/>
          <w:sz w:val="22"/>
          <w:szCs w:val="22"/>
          <w:highlight w:val="none"/>
        </w:rPr>
        <w:t xml:space="preserve">           </w:t>
      </w:r>
      <w:r>
        <w:rPr>
          <w:rFonts w:hint="eastAsia" w:ascii="宋体" w:hAnsi="宋体"/>
          <w:snapToGrid w:val="0"/>
          <w:color w:val="auto"/>
          <w:kern w:val="0"/>
          <w:sz w:val="22"/>
          <w:szCs w:val="22"/>
          <w:highlight w:val="none"/>
          <w:lang w:eastAsia="zh-Hans"/>
        </w:rPr>
        <w:t>乙方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w:t>
      </w:r>
    </w:p>
    <w:p w14:paraId="3068B5A4">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法定代表人或代理人（签字）：                 法定代表人或代理人（签字）：</w:t>
      </w:r>
    </w:p>
    <w:p w14:paraId="1BCA31D1">
      <w:pPr>
        <w:widowControl/>
        <w:adjustRightInd w:val="0"/>
        <w:snapToGrid w:val="0"/>
        <w:spacing w:line="360" w:lineRule="auto"/>
        <w:ind w:left="5468" w:hanging="5481" w:hangingChars="2700"/>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 xml:space="preserve">地  址： </w:t>
      </w:r>
      <w:r>
        <w:rPr>
          <w:rFonts w:hint="eastAsia" w:ascii="宋体" w:hAnsi="宋体" w:cs="宋体"/>
          <w:color w:val="auto"/>
          <w:sz w:val="22"/>
          <w:szCs w:val="22"/>
          <w:highlight w:val="none"/>
        </w:rPr>
        <w:t>聊城市经济开发区黄河路261号</w:t>
      </w:r>
      <w:r>
        <w:rPr>
          <w:rFonts w:hint="eastAsia" w:ascii="宋体" w:hAnsi="宋体" w:cs="宋体"/>
          <w:snapToGrid w:val="0"/>
          <w:color w:val="auto"/>
          <w:kern w:val="0"/>
          <w:sz w:val="22"/>
          <w:szCs w:val="22"/>
          <w:highlight w:val="none"/>
          <w:lang w:eastAsia="zh-Hans"/>
        </w:rPr>
        <w:t xml:space="preserve">        地  址：</w:t>
      </w:r>
      <w:r>
        <w:rPr>
          <w:rFonts w:hint="eastAsia" w:ascii="宋体" w:hAnsi="宋体" w:cs="宋体"/>
          <w:snapToGrid w:val="0"/>
          <w:color w:val="auto"/>
          <w:kern w:val="0"/>
          <w:sz w:val="22"/>
          <w:szCs w:val="22"/>
          <w:highlight w:val="none"/>
          <w:lang w:val="en-US" w:eastAsia="zh-CN"/>
        </w:rPr>
        <w:t xml:space="preserve"> </w:t>
      </w:r>
    </w:p>
    <w:p w14:paraId="199A8632">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电话：</w:t>
      </w:r>
      <w:r>
        <w:rPr>
          <w:rFonts w:hint="eastAsia" w:ascii="宋体" w:hAnsi="宋体" w:cs="宋体"/>
          <w:color w:val="auto"/>
          <w:sz w:val="22"/>
          <w:szCs w:val="22"/>
          <w:highlight w:val="none"/>
        </w:rPr>
        <w:t>0635——8322161</w:t>
      </w:r>
      <w:r>
        <w:rPr>
          <w:rFonts w:hint="eastAsia" w:ascii="宋体" w:hAnsi="宋体" w:cs="宋体"/>
          <w:snapToGrid w:val="0"/>
          <w:color w:val="auto"/>
          <w:kern w:val="0"/>
          <w:sz w:val="22"/>
          <w:szCs w:val="22"/>
          <w:highlight w:val="none"/>
          <w:lang w:eastAsia="zh-Hans"/>
        </w:rPr>
        <w:t xml:space="preserve">                       </w:t>
      </w:r>
      <w:r>
        <w:rPr>
          <w:rFonts w:hint="eastAsia" w:ascii="宋体" w:hAnsi="宋体" w:cs="宋体"/>
          <w:snapToGrid w:val="0"/>
          <w:color w:val="auto"/>
          <w:kern w:val="0"/>
          <w:sz w:val="22"/>
          <w:szCs w:val="22"/>
          <w:highlight w:val="none"/>
        </w:rPr>
        <w:t xml:space="preserve"> </w:t>
      </w:r>
      <w:r>
        <w:rPr>
          <w:rFonts w:hint="eastAsia" w:ascii="宋体" w:hAnsi="宋体" w:cs="宋体"/>
          <w:snapToGrid w:val="0"/>
          <w:color w:val="auto"/>
          <w:kern w:val="0"/>
          <w:sz w:val="22"/>
          <w:szCs w:val="22"/>
          <w:highlight w:val="none"/>
          <w:lang w:eastAsia="zh-Hans"/>
        </w:rPr>
        <w:t>电话：</w:t>
      </w:r>
      <w:r>
        <w:rPr>
          <w:rFonts w:hint="eastAsia" w:ascii="宋体" w:hAnsi="宋体" w:cs="宋体"/>
          <w:snapToGrid w:val="0"/>
          <w:color w:val="auto"/>
          <w:kern w:val="0"/>
          <w:sz w:val="22"/>
          <w:szCs w:val="22"/>
          <w:highlight w:val="none"/>
          <w:lang w:val="en-US" w:eastAsia="zh-CN"/>
        </w:rPr>
        <w:t xml:space="preserve"> </w:t>
      </w:r>
    </w:p>
    <w:p w14:paraId="0778C1A4">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传真：</w:t>
      </w:r>
      <w:r>
        <w:rPr>
          <w:rFonts w:hint="eastAsia" w:ascii="宋体" w:hAnsi="宋体" w:cs="宋体"/>
          <w:color w:val="auto"/>
          <w:sz w:val="22"/>
          <w:szCs w:val="22"/>
          <w:highlight w:val="none"/>
        </w:rPr>
        <w:t>0635——8322557</w:t>
      </w:r>
      <w:r>
        <w:rPr>
          <w:rFonts w:hint="eastAsia" w:ascii="宋体" w:hAnsi="宋体" w:cs="宋体"/>
          <w:snapToGrid w:val="0"/>
          <w:color w:val="auto"/>
          <w:kern w:val="0"/>
          <w:sz w:val="22"/>
          <w:szCs w:val="22"/>
          <w:highlight w:val="none"/>
          <w:lang w:eastAsia="zh-Hans"/>
        </w:rPr>
        <w:t xml:space="preserve">                        传真： </w:t>
      </w:r>
    </w:p>
    <w:p w14:paraId="6565F1FC">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开户银行：</w:t>
      </w:r>
      <w:r>
        <w:rPr>
          <w:rFonts w:hint="eastAsia" w:ascii="宋体" w:hAnsi="宋体" w:cs="宋体"/>
          <w:color w:val="auto"/>
          <w:sz w:val="22"/>
          <w:szCs w:val="22"/>
          <w:highlight w:val="none"/>
        </w:rPr>
        <w:t>中国工商银行聊城振兴路支行</w:t>
      </w:r>
      <w:r>
        <w:rPr>
          <w:rFonts w:hint="eastAsia" w:ascii="宋体" w:hAnsi="宋体" w:cs="宋体"/>
          <w:snapToGrid w:val="0"/>
          <w:color w:val="auto"/>
          <w:kern w:val="0"/>
          <w:sz w:val="22"/>
          <w:szCs w:val="22"/>
          <w:highlight w:val="none"/>
          <w:lang w:eastAsia="zh-Hans"/>
        </w:rPr>
        <w:t xml:space="preserve">         开户银行：</w:t>
      </w:r>
      <w:r>
        <w:rPr>
          <w:rFonts w:hint="eastAsia" w:ascii="宋体" w:hAnsi="宋体" w:cs="宋体"/>
          <w:snapToGrid w:val="0"/>
          <w:color w:val="auto"/>
          <w:kern w:val="0"/>
          <w:sz w:val="22"/>
          <w:szCs w:val="22"/>
          <w:highlight w:val="none"/>
          <w:lang w:val="en-US" w:eastAsia="zh-CN"/>
        </w:rPr>
        <w:t xml:space="preserve"> </w:t>
      </w:r>
    </w:p>
    <w:p w14:paraId="3C5B25CE">
      <w:pPr>
        <w:widowControl/>
        <w:adjustRightInd w:val="0"/>
        <w:snapToGrid w:val="0"/>
        <w:spacing w:line="360" w:lineRule="auto"/>
        <w:jc w:val="left"/>
        <w:rPr>
          <w:rFonts w:hint="default" w:ascii="宋体" w:hAnsi="宋体" w:eastAsia="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账  号：</w:t>
      </w:r>
      <w:r>
        <w:rPr>
          <w:rFonts w:hint="eastAsia" w:ascii="宋体" w:hAnsi="宋体" w:cs="宋体"/>
          <w:color w:val="auto"/>
          <w:sz w:val="22"/>
          <w:szCs w:val="22"/>
          <w:highlight w:val="none"/>
        </w:rPr>
        <w:t>1611002309022106210</w:t>
      </w:r>
      <w:r>
        <w:rPr>
          <w:rFonts w:hint="eastAsia" w:ascii="宋体" w:hAnsi="宋体" w:cs="宋体"/>
          <w:snapToGrid w:val="0"/>
          <w:color w:val="auto"/>
          <w:kern w:val="0"/>
          <w:sz w:val="22"/>
          <w:szCs w:val="22"/>
          <w:highlight w:val="none"/>
          <w:lang w:eastAsia="zh-Hans"/>
        </w:rPr>
        <w:t xml:space="preserve">     </w:t>
      </w:r>
      <w:r>
        <w:rPr>
          <w:rFonts w:ascii="宋体" w:hAnsi="宋体"/>
          <w:snapToGrid w:val="0"/>
          <w:color w:val="auto"/>
          <w:kern w:val="0"/>
          <w:sz w:val="22"/>
          <w:szCs w:val="22"/>
          <w:highlight w:val="none"/>
          <w:lang w:eastAsia="zh-Hans"/>
        </w:rPr>
        <w:t xml:space="preserve">             账 号：</w:t>
      </w:r>
      <w:r>
        <w:rPr>
          <w:rFonts w:hint="eastAsia" w:ascii="宋体" w:hAnsi="宋体"/>
          <w:snapToGrid w:val="0"/>
          <w:color w:val="auto"/>
          <w:kern w:val="0"/>
          <w:sz w:val="22"/>
          <w:szCs w:val="22"/>
          <w:highlight w:val="none"/>
          <w:lang w:val="en-US" w:eastAsia="zh-CN"/>
        </w:rPr>
        <w:t xml:space="preserve"> </w:t>
      </w:r>
    </w:p>
    <w:p w14:paraId="683A34C4">
      <w:pPr>
        <w:spacing w:line="360" w:lineRule="auto"/>
        <w:rPr>
          <w:rFonts w:ascii="宋体" w:hAnsi="宋体" w:cs="宋体"/>
          <w:b/>
          <w:bCs/>
          <w:color w:val="000000" w:themeColor="text1"/>
          <w:sz w:val="22"/>
          <w:szCs w:val="22"/>
          <w:highlight w:val="none"/>
          <w14:textFill>
            <w14:solidFill>
              <w14:schemeClr w14:val="tx1"/>
            </w14:solidFill>
          </w14:textFill>
        </w:rPr>
      </w:pPr>
    </w:p>
    <w:p w14:paraId="137BC6DD">
      <w:pPr>
        <w:spacing w:line="360" w:lineRule="auto"/>
        <w:rPr>
          <w:rFonts w:ascii="宋体" w:hAnsi="宋体" w:cs="宋体"/>
          <w:b/>
          <w:bCs/>
          <w:color w:val="000000" w:themeColor="text1"/>
          <w:sz w:val="22"/>
          <w:szCs w:val="22"/>
          <w:highlight w:val="none"/>
          <w14:textFill>
            <w14:solidFill>
              <w14:schemeClr w14:val="tx1"/>
            </w14:solidFill>
          </w14:textFill>
        </w:rPr>
      </w:pPr>
    </w:p>
    <w:p w14:paraId="442F3887">
      <w:pPr>
        <w:spacing w:line="360" w:lineRule="auto"/>
        <w:rPr>
          <w:rFonts w:ascii="宋体" w:hAnsi="宋体" w:cs="宋体"/>
          <w:b/>
          <w:bCs/>
          <w:color w:val="000000" w:themeColor="text1"/>
          <w:sz w:val="22"/>
          <w:szCs w:val="22"/>
          <w:highlight w:val="none"/>
          <w14:textFill>
            <w14:solidFill>
              <w14:schemeClr w14:val="tx1"/>
            </w14:solidFill>
          </w14:textFill>
        </w:rPr>
      </w:pPr>
    </w:p>
    <w:p w14:paraId="2520EB15">
      <w:pPr>
        <w:rPr>
          <w:color w:val="000000" w:themeColor="text1"/>
          <w:highlight w:val="none"/>
          <w14:textFill>
            <w14:solidFill>
              <w14:schemeClr w14:val="tx1"/>
            </w14:solidFill>
          </w14:textFill>
        </w:rPr>
      </w:pPr>
    </w:p>
    <w:sectPr>
      <w:pgSz w:w="11906" w:h="16838"/>
      <w:pgMar w:top="1091" w:right="1075" w:bottom="851" w:left="1231" w:header="851" w:footer="992" w:gutter="0"/>
      <w:cols w:space="720" w:num="1"/>
      <w:docGrid w:type="linesAndChars" w:linePitch="286" w:charSpace="-35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5C60E"/>
    <w:multiLevelType w:val="singleLevel"/>
    <w:tmpl w:val="BC95C6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93"/>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lODQyNTdhOTllNjNjYmNhMDE5YjBmYzhlZWRjYTcifQ=="/>
    <w:docVar w:name="KSO_WPS_MARK_KEY" w:val="69b6fac0-90de-4490-b127-16610a94593f"/>
  </w:docVars>
  <w:rsids>
    <w:rsidRoot w:val="00172A27"/>
    <w:rsid w:val="00003621"/>
    <w:rsid w:val="001163E0"/>
    <w:rsid w:val="00126194"/>
    <w:rsid w:val="00151D03"/>
    <w:rsid w:val="00172A27"/>
    <w:rsid w:val="00186F0A"/>
    <w:rsid w:val="001B5ED0"/>
    <w:rsid w:val="00307062"/>
    <w:rsid w:val="004547BE"/>
    <w:rsid w:val="00473506"/>
    <w:rsid w:val="005673BE"/>
    <w:rsid w:val="005C109E"/>
    <w:rsid w:val="005E1990"/>
    <w:rsid w:val="00760BE5"/>
    <w:rsid w:val="0079332F"/>
    <w:rsid w:val="007A3ABD"/>
    <w:rsid w:val="00816582"/>
    <w:rsid w:val="0083247E"/>
    <w:rsid w:val="00877D2F"/>
    <w:rsid w:val="008C6F08"/>
    <w:rsid w:val="008D589B"/>
    <w:rsid w:val="008F6BB0"/>
    <w:rsid w:val="00947398"/>
    <w:rsid w:val="00950F33"/>
    <w:rsid w:val="009A3D96"/>
    <w:rsid w:val="009D3985"/>
    <w:rsid w:val="00A0596E"/>
    <w:rsid w:val="00A75B41"/>
    <w:rsid w:val="00B048FE"/>
    <w:rsid w:val="00B15C53"/>
    <w:rsid w:val="00B86A97"/>
    <w:rsid w:val="00C25666"/>
    <w:rsid w:val="00C4384F"/>
    <w:rsid w:val="00CE320B"/>
    <w:rsid w:val="00CE409E"/>
    <w:rsid w:val="00CE6A16"/>
    <w:rsid w:val="00D16E04"/>
    <w:rsid w:val="00DF395A"/>
    <w:rsid w:val="00E377A6"/>
    <w:rsid w:val="00EF3ADA"/>
    <w:rsid w:val="00F124FB"/>
    <w:rsid w:val="00F717E8"/>
    <w:rsid w:val="00FC6D0D"/>
    <w:rsid w:val="028D1ABB"/>
    <w:rsid w:val="03437A38"/>
    <w:rsid w:val="03460A8A"/>
    <w:rsid w:val="03CA4F28"/>
    <w:rsid w:val="04B41875"/>
    <w:rsid w:val="052509C4"/>
    <w:rsid w:val="087560D3"/>
    <w:rsid w:val="08D74EE3"/>
    <w:rsid w:val="0983332C"/>
    <w:rsid w:val="0B546B15"/>
    <w:rsid w:val="0C8022ED"/>
    <w:rsid w:val="0D2C5F1B"/>
    <w:rsid w:val="0E05674D"/>
    <w:rsid w:val="101B5EBF"/>
    <w:rsid w:val="10430161"/>
    <w:rsid w:val="10F42ADB"/>
    <w:rsid w:val="11E9635C"/>
    <w:rsid w:val="12EB6E75"/>
    <w:rsid w:val="1D3B52ED"/>
    <w:rsid w:val="1E3D3802"/>
    <w:rsid w:val="21D96FBD"/>
    <w:rsid w:val="22106E74"/>
    <w:rsid w:val="228F2438"/>
    <w:rsid w:val="23156B4A"/>
    <w:rsid w:val="24214636"/>
    <w:rsid w:val="24314E17"/>
    <w:rsid w:val="24785240"/>
    <w:rsid w:val="24C80AFE"/>
    <w:rsid w:val="25AF61EB"/>
    <w:rsid w:val="28B16F58"/>
    <w:rsid w:val="2A4E41D6"/>
    <w:rsid w:val="2AAB021D"/>
    <w:rsid w:val="2B596D81"/>
    <w:rsid w:val="2C480245"/>
    <w:rsid w:val="2C485E82"/>
    <w:rsid w:val="2C512F2C"/>
    <w:rsid w:val="2DA71E7E"/>
    <w:rsid w:val="2DF612B8"/>
    <w:rsid w:val="2DFF191A"/>
    <w:rsid w:val="31192ABB"/>
    <w:rsid w:val="313C5590"/>
    <w:rsid w:val="31983706"/>
    <w:rsid w:val="32377528"/>
    <w:rsid w:val="33D977BE"/>
    <w:rsid w:val="340E7224"/>
    <w:rsid w:val="348D1FF9"/>
    <w:rsid w:val="3C870B09"/>
    <w:rsid w:val="40AE71E6"/>
    <w:rsid w:val="41395966"/>
    <w:rsid w:val="41E03B96"/>
    <w:rsid w:val="423F0BEC"/>
    <w:rsid w:val="4358271C"/>
    <w:rsid w:val="439365B6"/>
    <w:rsid w:val="44E558C5"/>
    <w:rsid w:val="45B065EF"/>
    <w:rsid w:val="47DC50DA"/>
    <w:rsid w:val="4B8E2DA7"/>
    <w:rsid w:val="4BDF0E8E"/>
    <w:rsid w:val="51F2634E"/>
    <w:rsid w:val="54E20A6D"/>
    <w:rsid w:val="554B42B1"/>
    <w:rsid w:val="55ED0E82"/>
    <w:rsid w:val="574056B7"/>
    <w:rsid w:val="5AB1182F"/>
    <w:rsid w:val="5AD065AC"/>
    <w:rsid w:val="5B576CF3"/>
    <w:rsid w:val="5B651C25"/>
    <w:rsid w:val="5B99040B"/>
    <w:rsid w:val="5D175A8D"/>
    <w:rsid w:val="5E0823E7"/>
    <w:rsid w:val="5E2C2251"/>
    <w:rsid w:val="5EFD6173"/>
    <w:rsid w:val="629D22BB"/>
    <w:rsid w:val="63CB605E"/>
    <w:rsid w:val="65A2451E"/>
    <w:rsid w:val="65BF298A"/>
    <w:rsid w:val="66A735AD"/>
    <w:rsid w:val="677A2341"/>
    <w:rsid w:val="6A042CDE"/>
    <w:rsid w:val="6A520259"/>
    <w:rsid w:val="6A5434B4"/>
    <w:rsid w:val="6B722993"/>
    <w:rsid w:val="6DCA5D9A"/>
    <w:rsid w:val="722638CF"/>
    <w:rsid w:val="76D020C0"/>
    <w:rsid w:val="78CB4CE6"/>
    <w:rsid w:val="78D66693"/>
    <w:rsid w:val="79C05F9F"/>
    <w:rsid w:val="7C475310"/>
    <w:rsid w:val="7F3A0620"/>
    <w:rsid w:val="FFEE9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3">
    <w:name w:val="annotation text"/>
    <w:basedOn w:val="1"/>
    <w:link w:val="17"/>
    <w:qFormat/>
    <w:uiPriority w:val="0"/>
    <w:pPr>
      <w:jc w:val="left"/>
    </w:pPr>
  </w:style>
  <w:style w:type="paragraph" w:styleId="4">
    <w:name w:val="Salutation"/>
    <w:basedOn w:val="1"/>
    <w:next w:val="1"/>
    <w:qFormat/>
    <w:uiPriority w:val="0"/>
    <w:rPr>
      <w:sz w:val="24"/>
    </w:rPr>
  </w:style>
  <w:style w:type="paragraph" w:styleId="5">
    <w:name w:val="Block Text"/>
    <w:basedOn w:val="1"/>
    <w:qFormat/>
    <w:uiPriority w:val="0"/>
    <w:pPr>
      <w:spacing w:after="120"/>
      <w:ind w:left="1440" w:leftChars="700" w:right="1440" w:rightChars="700"/>
    </w:pPr>
  </w:style>
  <w:style w:type="paragraph" w:styleId="6">
    <w:name w:val="Date"/>
    <w:basedOn w:val="1"/>
    <w:next w:val="1"/>
    <w:qFormat/>
    <w:uiPriority w:val="0"/>
    <w:pPr>
      <w:ind w:left="100" w:leftChars="2500"/>
    </w:pPr>
    <w:rPr>
      <w:sz w:val="24"/>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3"/>
    <w:next w:val="3"/>
    <w:link w:val="18"/>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批注文字 字符"/>
    <w:link w:val="3"/>
    <w:qFormat/>
    <w:uiPriority w:val="0"/>
    <w:rPr>
      <w:kern w:val="2"/>
      <w:sz w:val="21"/>
      <w:szCs w:val="24"/>
    </w:rPr>
  </w:style>
  <w:style w:type="character" w:customStyle="1" w:styleId="18">
    <w:name w:val="批注主题 字符"/>
    <w:link w:val="11"/>
    <w:qFormat/>
    <w:uiPriority w:val="0"/>
    <w:rPr>
      <w:b/>
      <w:bCs/>
      <w:kern w:val="2"/>
      <w:sz w:val="21"/>
      <w:szCs w:val="24"/>
    </w:rPr>
  </w:style>
  <w:style w:type="character" w:customStyle="1" w:styleId="19">
    <w:name w:val="wyg"/>
    <w:basedOn w:val="13"/>
    <w:qFormat/>
    <w:uiPriority w:val="0"/>
  </w:style>
  <w:style w:type="paragraph" w:customStyle="1" w:styleId="20">
    <w:name w:val="_Style 3"/>
    <w:basedOn w:val="1"/>
    <w:next w:val="5"/>
    <w:qFormat/>
    <w:uiPriority w:val="0"/>
    <w:pPr>
      <w:tabs>
        <w:tab w:val="left" w:pos="540"/>
      </w:tabs>
      <w:spacing w:line="300" w:lineRule="exact"/>
      <w:ind w:left="527" w:leftChars="114" w:right="69" w:rightChars="33" w:hanging="288" w:hangingChars="131"/>
    </w:pPr>
    <w:rPr>
      <w:rFonts w:ascii="华文中宋" w:hAnsi="华文中宋" w:eastAsia="华文中宋"/>
      <w:sz w:val="22"/>
    </w:rPr>
  </w:style>
  <w:style w:type="character" w:customStyle="1" w:styleId="21">
    <w:name w:val="font11"/>
    <w:basedOn w:val="13"/>
    <w:qFormat/>
    <w:uiPriority w:val="0"/>
    <w:rPr>
      <w:rFonts w:hint="eastAsia" w:ascii="宋体" w:hAnsi="宋体" w:eastAsia="宋体" w:cs="宋体"/>
      <w:color w:val="000000"/>
      <w:sz w:val="24"/>
      <w:szCs w:val="24"/>
      <w:u w:val="none"/>
    </w:rPr>
  </w:style>
  <w:style w:type="character" w:customStyle="1" w:styleId="22">
    <w:name w:val="font141"/>
    <w:basedOn w:val="13"/>
    <w:qFormat/>
    <w:uiPriority w:val="0"/>
    <w:rPr>
      <w:rFonts w:hint="eastAsia" w:ascii="宋体" w:hAnsi="宋体" w:eastAsia="宋体" w:cs="宋体"/>
      <w:b/>
      <w:bCs/>
      <w:color w:val="000000"/>
      <w:sz w:val="24"/>
      <w:szCs w:val="24"/>
      <w:u w:val="none"/>
    </w:rPr>
  </w:style>
  <w:style w:type="character" w:customStyle="1" w:styleId="23">
    <w:name w:val="font21"/>
    <w:basedOn w:val="13"/>
    <w:qFormat/>
    <w:uiPriority w:val="0"/>
    <w:rPr>
      <w:rFonts w:hint="eastAsia" w:ascii="仿宋" w:hAnsi="仿宋" w:eastAsia="仿宋" w:cs="仿宋"/>
      <w:color w:val="000000"/>
      <w:sz w:val="24"/>
      <w:szCs w:val="24"/>
      <w:u w:val="none"/>
    </w:rPr>
  </w:style>
  <w:style w:type="character" w:customStyle="1" w:styleId="24">
    <w:name w:val="font31"/>
    <w:basedOn w:val="13"/>
    <w:qFormat/>
    <w:uiPriority w:val="0"/>
    <w:rPr>
      <w:rFonts w:hint="default" w:ascii="Times New Roman" w:hAnsi="Times New Roman" w:cs="Times New Roman"/>
      <w:b/>
      <w:bCs/>
      <w:color w:val="000000"/>
      <w:sz w:val="24"/>
      <w:szCs w:val="24"/>
      <w:u w:val="none"/>
    </w:rPr>
  </w:style>
  <w:style w:type="character" w:customStyle="1" w:styleId="25">
    <w:name w:val="font01"/>
    <w:basedOn w:val="13"/>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3642</Words>
  <Characters>3773</Characters>
  <Lines>36</Lines>
  <Paragraphs>10</Paragraphs>
  <TotalTime>0</TotalTime>
  <ScaleCrop>false</ScaleCrop>
  <LinksUpToDate>false</LinksUpToDate>
  <CharactersWithSpaces>4260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2024-05-15T00:47:00Z</dcterms:created>
  <dc:creator>friend</dc:creator>
  <cp:lastModifiedBy>刘国斌</cp:lastModifiedBy>
  <cp:lastPrinted>2013-08-09T11:11:00Z</cp:lastPrinted>
  <dcterms:modified xsi:type="dcterms:W3CDTF">2025-09-28T01:00:11Z</dcterms:modified>
  <dc:title>工业品买卖合同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96625FC387F346A2A9D428A5118CC684</vt:lpwstr>
  </property>
  <property fmtid="{D5CDD505-2E9C-101B-9397-08002B2CF9AE}" pid="4" name="KSOTemplateDocerSaveRecord">
    <vt:lpwstr>eyJoZGlkIjoiYmFlODQyNTdhOTllNjNjYmNhMDE5YjBmYzhlZWRjYTciLCJ1c2VySWQiOiIxNzE4MzAzODM3In0=</vt:lpwstr>
  </property>
</Properties>
</file>