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DB874">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r>
        <w:rPr>
          <w:rFonts w:ascii="宋体" w:hAnsi="宋体"/>
          <w:color w:val="000000" w:themeColor="text1"/>
          <w:sz w:val="20"/>
          <w:highlight w:val="none"/>
          <w14:textFill>
            <w14:solidFill>
              <w14:schemeClr w14:val="tx1"/>
            </w14:solidFill>
          </w14:textFill>
        </w:rPr>
        <w:t xml:space="preserve">                                </w:t>
      </w:r>
      <w:r>
        <w:rPr>
          <w:rFonts w:hint="eastAsia" w:ascii="宋体" w:hAnsi="宋体"/>
          <w:color w:val="000000" w:themeColor="text1"/>
          <w:sz w:val="20"/>
          <w:highlight w:val="none"/>
          <w14:textFill>
            <w14:solidFill>
              <w14:schemeClr w14:val="tx1"/>
            </w14:solidFill>
          </w14:textFill>
        </w:rPr>
        <w:t xml:space="preserve">  </w:t>
      </w:r>
    </w:p>
    <w:p w14:paraId="3E8DF950">
      <w:pPr>
        <w:wordWrap w:val="0"/>
        <w:adjustRightInd w:val="0"/>
        <w:snapToGrid w:val="0"/>
        <w:spacing w:line="360" w:lineRule="auto"/>
        <w:ind w:left="5780" w:firstLine="100"/>
        <w:jc w:val="center"/>
        <w:rPr>
          <w:rFonts w:ascii="宋体" w:hAnsi="宋体"/>
          <w:b/>
          <w:color w:val="000000" w:themeColor="text1"/>
          <w:sz w:val="28"/>
          <w:szCs w:val="28"/>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编</w:t>
      </w:r>
      <w:r>
        <w:rPr>
          <w:rFonts w:hint="eastAsia" w:ascii="宋体" w:hAnsi="宋体"/>
          <w:b/>
          <w:color w:val="000000" w:themeColor="text1"/>
          <w:sz w:val="28"/>
          <w:szCs w:val="28"/>
          <w:highlight w:val="none"/>
          <w14:textFill>
            <w14:solidFill>
              <w14:schemeClr w14:val="tx1"/>
            </w14:solidFill>
          </w14:textFill>
        </w:rPr>
        <w:t xml:space="preserve">     </w:t>
      </w:r>
      <w:r>
        <w:rPr>
          <w:rFonts w:ascii="宋体" w:hAnsi="宋体"/>
          <w:b/>
          <w:color w:val="000000" w:themeColor="text1"/>
          <w:sz w:val="28"/>
          <w:szCs w:val="28"/>
          <w:highlight w:val="none"/>
          <w14:textFill>
            <w14:solidFill>
              <w14:schemeClr w14:val="tx1"/>
            </w14:solidFill>
          </w14:textFill>
        </w:rPr>
        <w:t>号：</w:t>
      </w:r>
      <w:r>
        <w:rPr>
          <w:rFonts w:ascii="宋体" w:hAnsi="宋体"/>
          <w:b/>
          <w:color w:val="000000" w:themeColor="text1"/>
          <w:sz w:val="28"/>
          <w:szCs w:val="28"/>
          <w:highlight w:val="none"/>
          <w:u w:val="thick"/>
          <w14:textFill>
            <w14:solidFill>
              <w14:schemeClr w14:val="tx1"/>
            </w14:solidFill>
          </w14:textFill>
        </w:rPr>
        <w:t xml:space="preserve">                 </w:t>
      </w:r>
    </w:p>
    <w:p w14:paraId="22640C9B">
      <w:pPr>
        <w:adjustRightInd w:val="0"/>
        <w:snapToGrid w:val="0"/>
        <w:spacing w:line="360" w:lineRule="auto"/>
        <w:ind w:left="5973" w:leftChars="3095" w:firstLine="21" w:firstLineChars="8"/>
        <w:jc w:val="left"/>
        <w:rPr>
          <w:rFonts w:ascii="宋体" w:hAnsi="宋体"/>
          <w:color w:val="000000" w:themeColor="text1"/>
          <w:sz w:val="20"/>
          <w:highlight w:val="none"/>
          <w:u w:val="thick"/>
          <w14:textFill>
            <w14:solidFill>
              <w14:schemeClr w14:val="tx1"/>
            </w14:solidFill>
          </w14:textFill>
        </w:rPr>
      </w:pPr>
      <w:r>
        <w:rPr>
          <w:rFonts w:hint="eastAsia" w:ascii="宋体" w:hAnsi="宋体"/>
          <w:b/>
          <w:bCs/>
          <w:color w:val="000000" w:themeColor="text1"/>
          <w:sz w:val="28"/>
          <w:szCs w:val="28"/>
          <w:highlight w:val="none"/>
          <w14:textFill>
            <w14:solidFill>
              <w14:schemeClr w14:val="tx1"/>
            </w14:solidFill>
          </w14:textFill>
        </w:rPr>
        <w:t>签订时间：</w:t>
      </w:r>
      <w:r>
        <w:rPr>
          <w:rFonts w:hint="eastAsia" w:ascii="宋体" w:hAnsi="宋体"/>
          <w:b/>
          <w:bCs/>
          <w:color w:val="000000" w:themeColor="text1"/>
          <w:sz w:val="28"/>
          <w:szCs w:val="28"/>
          <w:highlight w:val="none"/>
          <w:u w:val="thick"/>
          <w14:textFill>
            <w14:solidFill>
              <w14:schemeClr w14:val="tx1"/>
            </w14:solidFill>
          </w14:textFill>
        </w:rPr>
        <w:t xml:space="preserve">                  </w:t>
      </w:r>
    </w:p>
    <w:p w14:paraId="38C0AB54">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p>
    <w:p w14:paraId="3B886D18">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0AD8F63D">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27E64CC4">
      <w:pPr>
        <w:adjustRightInd w:val="0"/>
        <w:snapToGrid w:val="0"/>
        <w:spacing w:line="360" w:lineRule="auto"/>
        <w:jc w:val="center"/>
        <w:rPr>
          <w:rFonts w:hint="eastAsia" w:ascii="宋体" w:hAnsi="宋体"/>
          <w:b/>
          <w:bCs/>
          <w:color w:val="000000" w:themeColor="text1"/>
          <w:sz w:val="52"/>
          <w:szCs w:val="36"/>
          <w:highlight w:val="none"/>
          <w14:textFill>
            <w14:solidFill>
              <w14:schemeClr w14:val="tx1"/>
            </w14:solidFill>
          </w14:textFill>
        </w:rPr>
      </w:pPr>
      <w:r>
        <w:rPr>
          <w:rFonts w:hint="eastAsia" w:ascii="宋体" w:hAnsi="宋体"/>
          <w:b/>
          <w:bCs/>
          <w:color w:val="000000" w:themeColor="text1"/>
          <w:sz w:val="52"/>
          <w:szCs w:val="36"/>
          <w:highlight w:val="none"/>
          <w14:textFill>
            <w14:solidFill>
              <w14:schemeClr w14:val="tx1"/>
            </w14:solidFill>
          </w14:textFill>
        </w:rPr>
        <w:t>中通客车股份有限公司</w:t>
      </w:r>
      <w:r>
        <w:rPr>
          <w:rFonts w:hint="eastAsia" w:ascii="宋体" w:hAnsi="宋体"/>
          <w:b/>
          <w:bCs/>
          <w:color w:val="000000" w:themeColor="text1"/>
          <w:sz w:val="52"/>
          <w:szCs w:val="36"/>
          <w:highlight w:val="none"/>
          <w:lang w:val="en-US" w:eastAsia="zh-CN"/>
          <w14:textFill>
            <w14:solidFill>
              <w14:schemeClr w14:val="tx1"/>
            </w14:solidFill>
          </w14:textFill>
        </w:rPr>
        <w:t>制焊车间</w:t>
      </w:r>
      <w:r>
        <w:rPr>
          <w:rFonts w:hint="eastAsia" w:ascii="宋体" w:hAnsi="宋体"/>
          <w:b/>
          <w:bCs/>
          <w:color w:val="000000" w:themeColor="text1"/>
          <w:sz w:val="52"/>
          <w:szCs w:val="36"/>
          <w:highlight w:val="none"/>
          <w14:textFill>
            <w14:solidFill>
              <w14:schemeClr w14:val="tx1"/>
            </w14:solidFill>
          </w14:textFill>
        </w:rPr>
        <w:t>制件单元</w:t>
      </w:r>
    </w:p>
    <w:p w14:paraId="4B7E1DC0">
      <w:pPr>
        <w:adjustRightInd w:val="0"/>
        <w:snapToGrid w:val="0"/>
        <w:spacing w:line="360" w:lineRule="auto"/>
        <w:jc w:val="center"/>
        <w:rPr>
          <w:rFonts w:hint="eastAsia" w:ascii="宋体" w:hAnsi="宋体"/>
          <w:b/>
          <w:bCs/>
          <w:color w:val="000000" w:themeColor="text1"/>
          <w:sz w:val="32"/>
          <w:szCs w:val="32"/>
          <w:highlight w:val="none"/>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2000T压力机（含自动上料机械手）电源采购及安装项目</w:t>
      </w:r>
    </w:p>
    <w:p w14:paraId="4E1D640F">
      <w:pPr>
        <w:adjustRightInd w:val="0"/>
        <w:snapToGrid w:val="0"/>
        <w:spacing w:line="360" w:lineRule="auto"/>
        <w:jc w:val="center"/>
        <w:rPr>
          <w:rFonts w:ascii="宋体" w:hAnsi="宋体"/>
          <w:b/>
          <w:color w:val="000000" w:themeColor="text1"/>
          <w:sz w:val="52"/>
          <w:szCs w:val="36"/>
          <w:highlight w:val="none"/>
          <w14:textFill>
            <w14:solidFill>
              <w14:schemeClr w14:val="tx1"/>
            </w14:solidFill>
          </w14:textFill>
        </w:rPr>
      </w:pPr>
      <w:r>
        <w:rPr>
          <w:rFonts w:hint="eastAsia" w:ascii="宋体" w:hAnsi="宋体"/>
          <w:b/>
          <w:bCs/>
          <w:color w:val="000000" w:themeColor="text1"/>
          <w:sz w:val="52"/>
          <w:szCs w:val="36"/>
          <w:highlight w:val="none"/>
          <w14:textFill>
            <w14:solidFill>
              <w14:schemeClr w14:val="tx1"/>
            </w14:solidFill>
          </w14:textFill>
        </w:rPr>
        <w:t>施工</w:t>
      </w:r>
      <w:r>
        <w:rPr>
          <w:rFonts w:ascii="宋体" w:hAnsi="宋体"/>
          <w:b/>
          <w:bCs/>
          <w:color w:val="000000" w:themeColor="text1"/>
          <w:sz w:val="52"/>
          <w:szCs w:val="36"/>
          <w:highlight w:val="none"/>
          <w14:textFill>
            <w14:solidFill>
              <w14:schemeClr w14:val="tx1"/>
            </w14:solidFill>
          </w14:textFill>
        </w:rPr>
        <w:t>合同</w:t>
      </w:r>
    </w:p>
    <w:p w14:paraId="76DB08D2">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2778FEE6">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71AF439B">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7E57D00D">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3149A890">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0E700C86">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0ED856EE">
      <w:pPr>
        <w:adjustRightInd w:val="0"/>
        <w:snapToGrid w:val="0"/>
        <w:spacing w:line="360" w:lineRule="auto"/>
        <w:ind w:firstLine="1578"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甲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中通客车股份有限公司</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p>
    <w:p w14:paraId="67FFDBAE">
      <w:pPr>
        <w:adjustRightInd w:val="0"/>
        <w:snapToGrid w:val="0"/>
        <w:spacing w:line="360" w:lineRule="auto"/>
        <w:jc w:val="left"/>
        <w:rPr>
          <w:rFonts w:ascii="宋体" w:hAnsi="宋体"/>
          <w:b/>
          <w:color w:val="000000" w:themeColor="text1"/>
          <w:sz w:val="28"/>
          <w:szCs w:val="36"/>
          <w:highlight w:val="none"/>
          <w14:textFill>
            <w14:solidFill>
              <w14:schemeClr w14:val="tx1"/>
            </w14:solidFill>
          </w14:textFill>
        </w:rPr>
      </w:pPr>
    </w:p>
    <w:p w14:paraId="0929DB1E">
      <w:pPr>
        <w:adjustRightInd w:val="0"/>
        <w:snapToGrid w:val="0"/>
        <w:spacing w:line="360" w:lineRule="auto"/>
        <w:ind w:firstLine="1578"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乙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lang w:val="en-US" w:eastAsia="zh-CN"/>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p>
    <w:p w14:paraId="53DCF909">
      <w:pPr>
        <w:adjustRightInd w:val="0"/>
        <w:snapToGrid w:val="0"/>
        <w:spacing w:line="360" w:lineRule="auto"/>
        <w:ind w:firstLine="1052" w:firstLineChars="400"/>
        <w:jc w:val="left"/>
        <w:rPr>
          <w:rFonts w:ascii="宋体" w:hAnsi="宋体"/>
          <w:b/>
          <w:color w:val="000000" w:themeColor="text1"/>
          <w:sz w:val="28"/>
          <w:szCs w:val="36"/>
          <w:highlight w:val="none"/>
          <w14:textFill>
            <w14:solidFill>
              <w14:schemeClr w14:val="tx1"/>
            </w14:solidFill>
          </w14:textFill>
        </w:rPr>
      </w:pPr>
    </w:p>
    <w:p w14:paraId="1405030E">
      <w:pPr>
        <w:spacing w:line="360" w:lineRule="auto"/>
        <w:rPr>
          <w:color w:val="000000" w:themeColor="text1"/>
          <w:highlight w:val="none"/>
          <w14:textFill>
            <w14:solidFill>
              <w14:schemeClr w14:val="tx1"/>
            </w14:solidFill>
          </w14:textFill>
        </w:rPr>
      </w:pPr>
    </w:p>
    <w:p w14:paraId="70AB227A">
      <w:pPr>
        <w:spacing w:line="360" w:lineRule="auto"/>
        <w:rPr>
          <w:color w:val="000000" w:themeColor="text1"/>
          <w:highlight w:val="none"/>
          <w14:textFill>
            <w14:solidFill>
              <w14:schemeClr w14:val="tx1"/>
            </w14:solidFill>
          </w14:textFill>
        </w:rPr>
      </w:pPr>
    </w:p>
    <w:p w14:paraId="05184322">
      <w:pPr>
        <w:spacing w:line="360" w:lineRule="auto"/>
        <w:rPr>
          <w:color w:val="000000" w:themeColor="text1"/>
          <w:highlight w:val="none"/>
          <w14:textFill>
            <w14:solidFill>
              <w14:schemeClr w14:val="tx1"/>
            </w14:solidFill>
          </w14:textFill>
        </w:rPr>
      </w:pPr>
    </w:p>
    <w:p w14:paraId="35389AD6">
      <w:pPr>
        <w:spacing w:line="360" w:lineRule="auto"/>
        <w:rPr>
          <w:rFonts w:ascii="宋体" w:hAnsi="宋体" w:cs="宋体"/>
          <w:bCs/>
          <w:color w:val="000000" w:themeColor="text1"/>
          <w:sz w:val="22"/>
          <w:szCs w:val="22"/>
          <w:highlight w:val="none"/>
          <w14:textFill>
            <w14:solidFill>
              <w14:schemeClr w14:val="tx1"/>
            </w14:solidFill>
          </w14:textFill>
        </w:rPr>
      </w:pPr>
    </w:p>
    <w:p w14:paraId="3F8AF65B">
      <w:pPr>
        <w:spacing w:line="360" w:lineRule="auto"/>
        <w:rPr>
          <w:rFonts w:ascii="宋体" w:hAnsi="宋体" w:cs="宋体"/>
          <w:bCs/>
          <w:color w:val="000000" w:themeColor="text1"/>
          <w:sz w:val="22"/>
          <w:szCs w:val="22"/>
          <w:highlight w:val="none"/>
          <w14:textFill>
            <w14:solidFill>
              <w14:schemeClr w14:val="tx1"/>
            </w14:solidFill>
          </w14:textFill>
        </w:rPr>
      </w:pPr>
      <w:r>
        <w:rPr>
          <w:rFonts w:hint="eastAsia" w:ascii="宋体" w:hAnsi="宋体" w:cs="宋体"/>
          <w:bCs/>
          <w:color w:val="000000" w:themeColor="text1"/>
          <w:sz w:val="22"/>
          <w:szCs w:val="22"/>
          <w:highlight w:val="none"/>
          <w14:textFill>
            <w14:solidFill>
              <w14:schemeClr w14:val="tx1"/>
            </w14:solidFill>
          </w14:textFill>
        </w:rPr>
        <w:t>甲方（委托方）：</w:t>
      </w:r>
      <w:r>
        <w:rPr>
          <w:rFonts w:hint="eastAsia" w:ascii="宋体" w:hAnsi="宋体"/>
          <w:bCs/>
          <w:color w:val="000000" w:themeColor="text1"/>
          <w:sz w:val="22"/>
          <w:szCs w:val="22"/>
          <w:highlight w:val="none"/>
          <w14:textFill>
            <w14:solidFill>
              <w14:schemeClr w14:val="tx1"/>
            </w14:solidFill>
          </w14:textFill>
        </w:rPr>
        <w:t>中通客车股份有限公司</w:t>
      </w:r>
    </w:p>
    <w:p w14:paraId="7AF26E1D">
      <w:pPr>
        <w:spacing w:line="360" w:lineRule="auto"/>
        <w:rPr>
          <w:rFonts w:ascii="宋体" w:hAnsi="宋体" w:cs="宋体"/>
          <w:bCs/>
          <w:color w:val="000000" w:themeColor="text1"/>
          <w:sz w:val="22"/>
          <w:szCs w:val="22"/>
          <w:highlight w:val="none"/>
          <w14:textFill>
            <w14:solidFill>
              <w14:schemeClr w14:val="tx1"/>
            </w14:solidFill>
          </w14:textFill>
        </w:rPr>
      </w:pPr>
      <w:r>
        <w:rPr>
          <w:rFonts w:hint="eastAsia" w:ascii="宋体" w:hAnsi="宋体" w:cs="宋体"/>
          <w:bCs/>
          <w:color w:val="000000" w:themeColor="text1"/>
          <w:sz w:val="22"/>
          <w:szCs w:val="22"/>
          <w:highlight w:val="none"/>
          <w14:textFill>
            <w14:solidFill>
              <w14:schemeClr w14:val="tx1"/>
            </w14:solidFill>
          </w14:textFill>
        </w:rPr>
        <w:t>乙方（承揽方）：</w:t>
      </w:r>
    </w:p>
    <w:p w14:paraId="091AA9E4">
      <w:pPr>
        <w:spacing w:line="360" w:lineRule="auto"/>
        <w:rPr>
          <w:rFonts w:ascii="宋体" w:hAnsi="宋体" w:cs="宋体"/>
          <w:bCs/>
          <w:color w:val="000000" w:themeColor="text1"/>
          <w:sz w:val="22"/>
          <w:szCs w:val="22"/>
          <w:highlight w:val="none"/>
          <w14:textFill>
            <w14:solidFill>
              <w14:schemeClr w14:val="tx1"/>
            </w14:solidFill>
          </w14:textFill>
        </w:rPr>
      </w:pPr>
    </w:p>
    <w:p w14:paraId="24CE6FED">
      <w:pPr>
        <w:adjustRightInd w:val="0"/>
        <w:snapToGrid w:val="0"/>
        <w:spacing w:line="360" w:lineRule="auto"/>
        <w:ind w:left="0" w:leftChars="0" w:firstLine="380" w:firstLineChars="187"/>
        <w:jc w:val="left"/>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根据中华人民共和国相关法律、法规及有关规定，为明确双方的权利义务关系，甲方委托乙方进行</w:t>
      </w:r>
      <w:r>
        <w:rPr>
          <w:rFonts w:hint="eastAsia" w:ascii="宋体" w:hAnsi="宋体" w:cs="宋体"/>
          <w:color w:val="000000" w:themeColor="text1"/>
          <w:sz w:val="22"/>
          <w:szCs w:val="22"/>
          <w:highlight w:val="none"/>
          <w:lang w:val="en-US" w:eastAsia="zh-CN"/>
          <w14:textFill>
            <w14:solidFill>
              <w14:schemeClr w14:val="tx1"/>
            </w14:solidFill>
          </w14:textFill>
        </w:rPr>
        <w:t>制焊车间</w:t>
      </w:r>
      <w:r>
        <w:rPr>
          <w:rFonts w:hint="eastAsia" w:ascii="宋体" w:hAnsi="宋体" w:cs="宋体"/>
          <w:color w:val="000000" w:themeColor="text1"/>
          <w:sz w:val="22"/>
          <w:szCs w:val="22"/>
          <w:highlight w:val="none"/>
          <w14:textFill>
            <w14:solidFill>
              <w14:schemeClr w14:val="tx1"/>
            </w14:solidFill>
          </w14:textFill>
        </w:rPr>
        <w:t>制件单元2000T压力机（含自动上料机械手）电源采购及安装项目施工，经双方充分协商，订立本合同，以便共同遵守。</w:t>
      </w:r>
    </w:p>
    <w:p w14:paraId="0B764EEA">
      <w:pPr>
        <w:numPr>
          <w:ilvl w:val="0"/>
          <w:numId w:val="1"/>
        </w:numPr>
        <w:spacing w:line="360" w:lineRule="auto"/>
        <w:rPr>
          <w:rFonts w:ascii="宋体" w:hAnsi="宋体" w:cs="宋体"/>
          <w:b/>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14:textFill>
            <w14:solidFill>
              <w14:schemeClr w14:val="tx1"/>
            </w14:solidFill>
          </w14:textFill>
        </w:rPr>
        <w:t>工程明细：</w:t>
      </w:r>
    </w:p>
    <w:tbl>
      <w:tblPr>
        <w:tblStyle w:val="12"/>
        <w:tblW w:w="985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5"/>
        <w:gridCol w:w="1298"/>
        <w:gridCol w:w="1185"/>
        <w:gridCol w:w="215"/>
        <w:gridCol w:w="840"/>
        <w:gridCol w:w="900"/>
        <w:gridCol w:w="932"/>
        <w:gridCol w:w="211"/>
        <w:gridCol w:w="745"/>
        <w:gridCol w:w="1345"/>
        <w:gridCol w:w="1601"/>
      </w:tblGrid>
      <w:tr w14:paraId="0E5B2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0" w:hRule="atLeast"/>
          <w:jc w:val="center"/>
        </w:trPr>
        <w:tc>
          <w:tcPr>
            <w:tcW w:w="585" w:type="dxa"/>
            <w:tcBorders>
              <w:top w:val="single" w:color="000000" w:sz="4" w:space="0"/>
              <w:left w:val="single" w:color="000000" w:sz="4" w:space="0"/>
              <w:bottom w:val="single" w:color="000000" w:sz="4" w:space="0"/>
              <w:right w:val="single" w:color="000000" w:sz="4" w:space="0"/>
            </w:tcBorders>
            <w:vAlign w:val="center"/>
          </w:tcPr>
          <w:p w14:paraId="69BAB61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序号</w:t>
            </w:r>
          </w:p>
        </w:tc>
        <w:tc>
          <w:tcPr>
            <w:tcW w:w="1298" w:type="dxa"/>
            <w:tcBorders>
              <w:top w:val="single" w:color="000000" w:sz="4" w:space="0"/>
              <w:left w:val="single" w:color="000000" w:sz="4" w:space="0"/>
              <w:bottom w:val="single" w:color="000000" w:sz="4" w:space="0"/>
              <w:right w:val="single" w:color="000000" w:sz="4" w:space="0"/>
            </w:tcBorders>
            <w:vAlign w:val="center"/>
          </w:tcPr>
          <w:p w14:paraId="3DB91E75">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名称</w:t>
            </w:r>
          </w:p>
        </w:tc>
        <w:tc>
          <w:tcPr>
            <w:tcW w:w="1400" w:type="dxa"/>
            <w:gridSpan w:val="2"/>
            <w:tcBorders>
              <w:top w:val="single" w:color="000000" w:sz="4" w:space="0"/>
              <w:left w:val="single" w:color="000000" w:sz="4" w:space="0"/>
              <w:bottom w:val="single" w:color="000000" w:sz="4" w:space="0"/>
              <w:right w:val="single" w:color="000000" w:sz="4" w:space="0"/>
            </w:tcBorders>
            <w:vAlign w:val="center"/>
          </w:tcPr>
          <w:p w14:paraId="2977025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规格型号</w:t>
            </w:r>
          </w:p>
        </w:tc>
        <w:tc>
          <w:tcPr>
            <w:tcW w:w="840" w:type="dxa"/>
            <w:tcBorders>
              <w:top w:val="single" w:color="000000" w:sz="4" w:space="0"/>
              <w:left w:val="single" w:color="000000" w:sz="4" w:space="0"/>
              <w:bottom w:val="single" w:color="000000" w:sz="4" w:space="0"/>
              <w:right w:val="single" w:color="000000" w:sz="4" w:space="0"/>
            </w:tcBorders>
            <w:vAlign w:val="center"/>
          </w:tcPr>
          <w:p w14:paraId="207B3DA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单位</w:t>
            </w:r>
          </w:p>
        </w:tc>
        <w:tc>
          <w:tcPr>
            <w:tcW w:w="900" w:type="dxa"/>
            <w:tcBorders>
              <w:top w:val="single" w:color="000000" w:sz="4" w:space="0"/>
              <w:left w:val="single" w:color="000000" w:sz="4" w:space="0"/>
              <w:bottom w:val="single" w:color="000000" w:sz="4" w:space="0"/>
              <w:right w:val="single" w:color="000000" w:sz="4" w:space="0"/>
            </w:tcBorders>
            <w:vAlign w:val="center"/>
          </w:tcPr>
          <w:p w14:paraId="6B0E218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数量</w:t>
            </w:r>
          </w:p>
        </w:tc>
        <w:tc>
          <w:tcPr>
            <w:tcW w:w="932" w:type="dxa"/>
            <w:tcBorders>
              <w:top w:val="single" w:color="000000" w:sz="4" w:space="0"/>
              <w:left w:val="single" w:color="000000" w:sz="4" w:space="0"/>
              <w:bottom w:val="single" w:color="000000" w:sz="4" w:space="0"/>
              <w:right w:val="single" w:color="000000" w:sz="4" w:space="0"/>
            </w:tcBorders>
            <w:vAlign w:val="center"/>
          </w:tcPr>
          <w:p w14:paraId="03A02E2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单 价</w:t>
            </w:r>
          </w:p>
        </w:tc>
        <w:tc>
          <w:tcPr>
            <w:tcW w:w="956" w:type="dxa"/>
            <w:gridSpan w:val="2"/>
            <w:tcBorders>
              <w:top w:val="single" w:color="000000" w:sz="4" w:space="0"/>
              <w:left w:val="single" w:color="000000" w:sz="4" w:space="0"/>
              <w:bottom w:val="single" w:color="000000" w:sz="4" w:space="0"/>
              <w:right w:val="single" w:color="000000" w:sz="4" w:space="0"/>
            </w:tcBorders>
            <w:vAlign w:val="center"/>
          </w:tcPr>
          <w:p w14:paraId="1E7D4931">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品牌</w:t>
            </w:r>
          </w:p>
        </w:tc>
        <w:tc>
          <w:tcPr>
            <w:tcW w:w="1345" w:type="dxa"/>
            <w:tcBorders>
              <w:top w:val="single" w:color="000000" w:sz="4" w:space="0"/>
              <w:left w:val="single" w:color="000000" w:sz="4" w:space="0"/>
              <w:bottom w:val="single" w:color="000000" w:sz="4" w:space="0"/>
              <w:right w:val="single" w:color="000000" w:sz="4" w:space="0"/>
            </w:tcBorders>
            <w:vAlign w:val="center"/>
          </w:tcPr>
          <w:p w14:paraId="7DCC019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合计</w:t>
            </w:r>
          </w:p>
        </w:tc>
        <w:tc>
          <w:tcPr>
            <w:tcW w:w="1601" w:type="dxa"/>
            <w:tcBorders>
              <w:top w:val="single" w:color="000000" w:sz="4" w:space="0"/>
              <w:left w:val="single" w:color="000000" w:sz="4" w:space="0"/>
              <w:bottom w:val="single" w:color="000000" w:sz="4" w:space="0"/>
              <w:right w:val="single" w:color="000000" w:sz="4" w:space="0"/>
            </w:tcBorders>
            <w:vAlign w:val="center"/>
          </w:tcPr>
          <w:p w14:paraId="37C72EB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备</w:t>
            </w:r>
            <w:r>
              <w:rPr>
                <w:rStyle w:val="24"/>
                <w:rFonts w:hint="eastAsia" w:asciiTheme="minorEastAsia" w:hAnsiTheme="minorEastAsia" w:eastAsiaTheme="minorEastAsia" w:cstheme="minorEastAsia"/>
                <w:sz w:val="24"/>
                <w:szCs w:val="24"/>
                <w:lang w:val="en-US" w:eastAsia="zh-CN" w:bidi="ar"/>
              </w:rPr>
              <w:t xml:space="preserve"> </w:t>
            </w:r>
            <w:r>
              <w:rPr>
                <w:rStyle w:val="25"/>
                <w:rFonts w:hint="eastAsia" w:asciiTheme="minorEastAsia" w:hAnsiTheme="minorEastAsia" w:eastAsiaTheme="minorEastAsia" w:cstheme="minorEastAsia"/>
                <w:sz w:val="24"/>
                <w:szCs w:val="24"/>
                <w:lang w:val="en-US" w:eastAsia="zh-CN" w:bidi="ar"/>
              </w:rPr>
              <w:t>注</w:t>
            </w:r>
          </w:p>
        </w:tc>
      </w:tr>
      <w:tr w14:paraId="4E613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38296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F1DCF3">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sz w:val="24"/>
                <w:szCs w:val="24"/>
                <w:u w:val="none"/>
                <w:lang w:val="en-US"/>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密集型铜母线槽的采购及安装</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217A00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Style w:val="21"/>
                <w:rFonts w:hint="eastAsia" w:asciiTheme="minorEastAsia" w:hAnsiTheme="minorEastAsia" w:eastAsiaTheme="minorEastAsia" w:cstheme="minorEastAsia"/>
                <w:sz w:val="24"/>
                <w:szCs w:val="24"/>
                <w:lang w:val="en-US" w:eastAsia="zh-CN" w:bidi="ar"/>
              </w:rPr>
              <w:t>LCMX-2000A/5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36C23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578A2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6</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C23B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F9B6962">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B91F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E81E3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eastAsia="zh-CN"/>
              </w:rPr>
            </w:pPr>
            <w:r>
              <w:rPr>
                <w:rFonts w:hint="eastAsia" w:asciiTheme="minorEastAsia" w:hAnsiTheme="minorEastAsia" w:eastAsiaTheme="minorEastAsia" w:cstheme="minorEastAsia"/>
                <w:b/>
                <w:bCs/>
                <w:i w:val="0"/>
                <w:iCs w:val="0"/>
                <w:color w:val="000000"/>
                <w:sz w:val="24"/>
                <w:szCs w:val="24"/>
                <w:u w:val="none"/>
                <w:lang w:val="en-US" w:eastAsia="zh-CN"/>
              </w:rPr>
              <w:t>配备2个插接箱插口及第二项硬连接插接箱（单独报价）</w:t>
            </w:r>
          </w:p>
        </w:tc>
      </w:tr>
      <w:tr w14:paraId="4116D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E4E3E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2</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84599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eastAsia="zh-CN"/>
              </w:rPr>
            </w:pPr>
            <w:r>
              <w:rPr>
                <w:rFonts w:hint="eastAsia" w:asciiTheme="minorEastAsia" w:hAnsiTheme="minorEastAsia" w:eastAsiaTheme="minorEastAsia" w:cstheme="minorEastAsia"/>
                <w:b/>
                <w:bCs/>
                <w:i w:val="0"/>
                <w:iCs w:val="0"/>
                <w:color w:val="000000"/>
                <w:sz w:val="24"/>
                <w:szCs w:val="24"/>
                <w:u w:val="none"/>
                <w:lang w:val="en-US" w:eastAsia="zh-CN"/>
              </w:rPr>
              <w:t>硬连接插接箱</w:t>
            </w:r>
            <w:r>
              <w:rPr>
                <w:rFonts w:hint="eastAsia" w:asciiTheme="minorEastAsia" w:hAnsiTheme="minorEastAsia" w:eastAsiaTheme="minorEastAsia" w:cstheme="minorEastAsia"/>
                <w:b/>
                <w:bCs/>
                <w:i w:val="0"/>
                <w:iCs w:val="0"/>
                <w:color w:val="000000"/>
                <w:kern w:val="0"/>
                <w:sz w:val="24"/>
                <w:szCs w:val="24"/>
                <w:u w:val="none"/>
                <w:lang w:val="en-US" w:eastAsia="zh-CN" w:bidi="ar"/>
              </w:rPr>
              <w:t>的采购及安装</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A1F9AD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NS 1250N/3P MIC2.0 带电动操作</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1DDA6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套</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ACA6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2D87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F9FA39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FF63B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7E92EC">
            <w:pPr>
              <w:jc w:val="center"/>
              <w:rPr>
                <w:rFonts w:hint="eastAsia" w:asciiTheme="minorEastAsia" w:hAnsiTheme="minorEastAsia" w:eastAsiaTheme="minorEastAsia" w:cstheme="minorEastAsia"/>
                <w:b/>
                <w:bCs/>
                <w:i w:val="0"/>
                <w:iCs w:val="0"/>
                <w:color w:val="000000"/>
                <w:sz w:val="24"/>
                <w:szCs w:val="24"/>
                <w:u w:val="none"/>
                <w:lang w:val="en-US" w:eastAsia="zh-CN"/>
              </w:rPr>
            </w:pPr>
          </w:p>
        </w:tc>
      </w:tr>
      <w:tr w14:paraId="3C3F7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17010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3</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0F57F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插接箱的采购及安装</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A3E358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TM30S-100W/3300 Ie=63A</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24708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F3185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2</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32BD4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744CEF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2EF98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67254D">
            <w:pPr>
              <w:jc w:val="center"/>
              <w:rPr>
                <w:rFonts w:hint="eastAsia" w:asciiTheme="minorEastAsia" w:hAnsiTheme="minorEastAsia" w:eastAsiaTheme="minorEastAsia" w:cstheme="minorEastAsia"/>
                <w:b/>
                <w:bCs/>
                <w:i w:val="0"/>
                <w:iCs w:val="0"/>
                <w:color w:val="000000"/>
                <w:sz w:val="24"/>
                <w:szCs w:val="24"/>
                <w:u w:val="none"/>
              </w:rPr>
            </w:pPr>
          </w:p>
        </w:tc>
      </w:tr>
      <w:tr w14:paraId="6FCC5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2CB8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4</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9BC29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电缆的采购及安装</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B70153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YJV 3*185+2*95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B81C6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eastAsia="zh-CN"/>
              </w:rPr>
            </w:pPr>
            <w:r>
              <w:rPr>
                <w:rFonts w:hint="eastAsia" w:asciiTheme="minorEastAsia" w:hAnsiTheme="minorEastAsia" w:eastAsiaTheme="minorEastAsia" w:cstheme="minorEastAsia"/>
                <w:b/>
                <w:bCs/>
                <w:i w:val="0"/>
                <w:iCs w:val="0"/>
                <w:color w:val="000000"/>
                <w:sz w:val="24"/>
                <w:szCs w:val="24"/>
                <w:u w:val="none"/>
                <w:lang w:val="en-US" w:eastAsia="zh-CN"/>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13E7A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rPr>
            </w:pPr>
            <w:r>
              <w:rPr>
                <w:rFonts w:hint="eastAsia" w:asciiTheme="minorEastAsia" w:hAnsiTheme="minorEastAsia" w:eastAsiaTheme="minorEastAsia" w:cstheme="minorEastAsia"/>
                <w:b/>
                <w:bCs/>
                <w:i w:val="0"/>
                <w:iCs w:val="0"/>
                <w:color w:val="000000"/>
                <w:kern w:val="0"/>
                <w:sz w:val="24"/>
                <w:szCs w:val="24"/>
                <w:u w:val="none"/>
                <w:lang w:val="en-US" w:eastAsia="zh-CN" w:bidi="ar"/>
              </w:rPr>
              <w:t>50</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04210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89CE6B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A5EB6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EEBDFF">
            <w:pPr>
              <w:jc w:val="center"/>
              <w:rPr>
                <w:rFonts w:hint="eastAsia" w:asciiTheme="minorEastAsia" w:hAnsiTheme="minorEastAsia" w:eastAsiaTheme="minorEastAsia" w:cstheme="minorEastAsia"/>
                <w:b/>
                <w:bCs/>
                <w:i w:val="0"/>
                <w:iCs w:val="0"/>
                <w:color w:val="000000"/>
                <w:sz w:val="24"/>
                <w:szCs w:val="24"/>
                <w:u w:val="none"/>
                <w:lang w:val="en-US" w:eastAsia="zh-CN"/>
              </w:rPr>
            </w:pPr>
            <w:r>
              <w:rPr>
                <w:rFonts w:hint="eastAsia" w:asciiTheme="minorEastAsia" w:hAnsiTheme="minorEastAsia" w:eastAsiaTheme="minorEastAsia" w:cstheme="minorEastAsia"/>
                <w:b/>
                <w:bCs/>
                <w:i w:val="0"/>
                <w:iCs w:val="0"/>
                <w:color w:val="000000"/>
                <w:sz w:val="24"/>
                <w:szCs w:val="24"/>
                <w:u w:val="none"/>
                <w:lang w:val="en-US" w:eastAsia="zh-CN"/>
              </w:rPr>
              <w:t>以实际踏勘为准</w:t>
            </w:r>
          </w:p>
        </w:tc>
      </w:tr>
      <w:tr w14:paraId="2052E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89AA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5</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95944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电缆端子的采购及安装</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9F473A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185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609EE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eastAsia="zh-CN"/>
              </w:rPr>
            </w:pPr>
            <w:r>
              <w:rPr>
                <w:rFonts w:hint="eastAsia" w:asciiTheme="minorEastAsia" w:hAnsiTheme="minorEastAsia" w:eastAsiaTheme="minorEastAsia" w:cstheme="minorEastAsia"/>
                <w:b/>
                <w:bCs/>
                <w:i w:val="0"/>
                <w:iCs w:val="0"/>
                <w:color w:val="000000"/>
                <w:sz w:val="24"/>
                <w:szCs w:val="24"/>
                <w:u w:val="none"/>
                <w:lang w:val="en-US" w:eastAsia="zh-CN"/>
              </w:rPr>
              <w:t>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66863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24</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36328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BEC1D2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6F02E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3EB4EF">
            <w:pPr>
              <w:jc w:val="center"/>
              <w:rPr>
                <w:rFonts w:hint="eastAsia" w:asciiTheme="minorEastAsia" w:hAnsiTheme="minorEastAsia" w:eastAsiaTheme="minorEastAsia" w:cstheme="minorEastAsia"/>
                <w:b/>
                <w:bCs/>
                <w:i w:val="0"/>
                <w:iCs w:val="0"/>
                <w:color w:val="000000"/>
                <w:sz w:val="24"/>
                <w:szCs w:val="24"/>
                <w:u w:val="none"/>
                <w:lang w:val="en-US" w:eastAsia="zh-CN"/>
              </w:rPr>
            </w:pPr>
          </w:p>
        </w:tc>
      </w:tr>
      <w:tr w14:paraId="60A87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9C97D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6</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0DCF8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电缆端子的采购及安装</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16FDF1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95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FCB78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sz w:val="24"/>
                <w:szCs w:val="24"/>
                <w:u w:val="none"/>
                <w:lang w:val="en-US" w:eastAsia="zh-CN"/>
              </w:rPr>
              <w:t>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0D64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16</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521BB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3623D3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37368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9F580C">
            <w:pPr>
              <w:jc w:val="center"/>
              <w:rPr>
                <w:rFonts w:hint="eastAsia" w:asciiTheme="minorEastAsia" w:hAnsiTheme="minorEastAsia" w:eastAsiaTheme="minorEastAsia" w:cstheme="minorEastAsia"/>
                <w:b/>
                <w:bCs/>
                <w:i w:val="0"/>
                <w:iCs w:val="0"/>
                <w:color w:val="000000"/>
                <w:sz w:val="24"/>
                <w:szCs w:val="24"/>
                <w:u w:val="none"/>
                <w:lang w:val="en-US" w:eastAsia="zh-CN"/>
              </w:rPr>
            </w:pPr>
          </w:p>
        </w:tc>
      </w:tr>
      <w:tr w14:paraId="716BB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05159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7</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F0A50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镀锌电缆桥架的采购及安装</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2D3D7C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400*150</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ABBF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eastAsia="zh-CN"/>
              </w:rPr>
            </w:pPr>
            <w:r>
              <w:rPr>
                <w:rFonts w:hint="eastAsia" w:asciiTheme="minorEastAsia" w:hAnsiTheme="minorEastAsia" w:eastAsiaTheme="minorEastAsia" w:cstheme="minorEastAsia"/>
                <w:b/>
                <w:bCs/>
                <w:i w:val="0"/>
                <w:iCs w:val="0"/>
                <w:color w:val="000000"/>
                <w:sz w:val="24"/>
                <w:szCs w:val="24"/>
                <w:u w:val="none"/>
                <w:lang w:val="en-US" w:eastAsia="zh-CN"/>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CF424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6</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8CCB3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4E4377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E6C1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6116E7">
            <w:pPr>
              <w:jc w:val="center"/>
              <w:rPr>
                <w:rFonts w:hint="eastAsia" w:asciiTheme="minorEastAsia" w:hAnsiTheme="minorEastAsia" w:eastAsiaTheme="minorEastAsia" w:cstheme="minorEastAsia"/>
                <w:b/>
                <w:bCs/>
                <w:i w:val="0"/>
                <w:iCs w:val="0"/>
                <w:color w:val="000000"/>
                <w:sz w:val="24"/>
                <w:szCs w:val="24"/>
                <w:u w:val="none"/>
                <w:lang w:val="en-US" w:eastAsia="zh-CN"/>
              </w:rPr>
            </w:pPr>
            <w:r>
              <w:rPr>
                <w:rFonts w:hint="eastAsia" w:asciiTheme="minorEastAsia" w:hAnsiTheme="minorEastAsia" w:eastAsiaTheme="minorEastAsia" w:cstheme="minorEastAsia"/>
                <w:b/>
                <w:bCs/>
                <w:i w:val="0"/>
                <w:iCs w:val="0"/>
                <w:color w:val="000000"/>
                <w:sz w:val="24"/>
                <w:szCs w:val="24"/>
                <w:u w:val="none"/>
                <w:lang w:val="en-US" w:eastAsia="zh-CN"/>
              </w:rPr>
              <w:t>以实际踏勘为准</w:t>
            </w:r>
          </w:p>
        </w:tc>
      </w:tr>
      <w:tr w14:paraId="4749E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027571">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8</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8440A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原密集型铜母线槽的拆除</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935CBD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Style w:val="21"/>
                <w:rFonts w:hint="eastAsia" w:asciiTheme="minorEastAsia" w:hAnsiTheme="minorEastAsia" w:eastAsiaTheme="minorEastAsia" w:cstheme="minorEastAsia"/>
                <w:sz w:val="24"/>
                <w:szCs w:val="24"/>
                <w:lang w:val="en-US" w:eastAsia="zh-CN" w:bidi="ar"/>
              </w:rPr>
              <w:t>LCMX-2000A/5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C581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135CF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6</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812B8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86A57D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D0C00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360187">
            <w:pPr>
              <w:jc w:val="center"/>
              <w:rPr>
                <w:rFonts w:hint="eastAsia" w:asciiTheme="minorEastAsia" w:hAnsiTheme="minorEastAsia" w:eastAsiaTheme="minorEastAsia" w:cstheme="minorEastAsia"/>
                <w:b/>
                <w:bCs/>
                <w:i w:val="0"/>
                <w:iCs w:val="0"/>
                <w:color w:val="000000"/>
                <w:sz w:val="24"/>
                <w:szCs w:val="24"/>
                <w:u w:val="none"/>
                <w:lang w:val="en-US" w:eastAsia="zh-CN"/>
              </w:rPr>
            </w:pPr>
          </w:p>
        </w:tc>
      </w:tr>
      <w:tr w14:paraId="22EA4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3BBC29">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9</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D0A72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原插接箱的拆除</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472E78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TM30S-100W/3300 Ie=63A</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16741F">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355AE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2</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96A95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E488C2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63769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0FAC5D">
            <w:pPr>
              <w:jc w:val="center"/>
              <w:rPr>
                <w:rFonts w:hint="eastAsia" w:asciiTheme="minorEastAsia" w:hAnsiTheme="minorEastAsia" w:eastAsiaTheme="minorEastAsia" w:cstheme="minorEastAsia"/>
                <w:b/>
                <w:bCs/>
                <w:i w:val="0"/>
                <w:iCs w:val="0"/>
                <w:color w:val="000000"/>
                <w:sz w:val="24"/>
                <w:szCs w:val="24"/>
                <w:u w:val="none"/>
                <w:lang w:val="en-US" w:eastAsia="zh-CN"/>
              </w:rPr>
            </w:pPr>
          </w:p>
        </w:tc>
      </w:tr>
      <w:tr w14:paraId="5973F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469DB1">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sz w:val="24"/>
                <w:szCs w:val="24"/>
                <w:u w:val="none"/>
                <w:lang w:val="en-US"/>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23BAD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密集型铜母线槽的采购及安装</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786664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Style w:val="21"/>
                <w:rFonts w:hint="eastAsia" w:asciiTheme="minorEastAsia" w:hAnsiTheme="minorEastAsia" w:eastAsiaTheme="minorEastAsia" w:cstheme="minorEastAsia"/>
                <w:sz w:val="24"/>
                <w:szCs w:val="24"/>
                <w:lang w:val="en-US" w:eastAsia="zh-CN" w:bidi="ar"/>
              </w:rPr>
              <w:t>LCMX-830A/5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C3310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95052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6</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ECEE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BA33C6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C1948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7C62A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sz w:val="24"/>
                <w:szCs w:val="24"/>
                <w:u w:val="none"/>
                <w:lang w:val="en-US" w:eastAsia="zh-CN"/>
              </w:rPr>
              <w:t>配备2个插接箱插口</w:t>
            </w:r>
          </w:p>
        </w:tc>
      </w:tr>
      <w:tr w14:paraId="15F21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953FEE">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sz w:val="24"/>
                <w:szCs w:val="24"/>
                <w:u w:val="none"/>
                <w:lang w:val="en-US"/>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1E5CB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插接箱的采购及安装</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287B70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TM30S-400W/3300 Ie=400A</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36989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5521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E041FF">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E0A0B1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78D61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2A0570">
            <w:pPr>
              <w:jc w:val="center"/>
              <w:rPr>
                <w:rFonts w:hint="eastAsia" w:asciiTheme="minorEastAsia" w:hAnsiTheme="minorEastAsia" w:eastAsiaTheme="minorEastAsia" w:cstheme="minorEastAsia"/>
                <w:b/>
                <w:bCs/>
                <w:i w:val="0"/>
                <w:iCs w:val="0"/>
                <w:color w:val="000000"/>
                <w:sz w:val="24"/>
                <w:szCs w:val="24"/>
                <w:u w:val="none"/>
              </w:rPr>
            </w:pPr>
          </w:p>
        </w:tc>
      </w:tr>
      <w:tr w14:paraId="62814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D2E93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12</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7260E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电缆的采购及安装</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90D8C6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YJV 3*185+2*95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55102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sz w:val="24"/>
                <w:szCs w:val="24"/>
                <w:u w:val="none"/>
                <w:lang w:val="en-US" w:eastAsia="zh-CN"/>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E9D4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10</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3E7A2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50B82A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CDB2A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D1764C">
            <w:pPr>
              <w:jc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sz w:val="24"/>
                <w:szCs w:val="24"/>
                <w:u w:val="none"/>
                <w:lang w:val="en-US" w:eastAsia="zh-CN"/>
              </w:rPr>
              <w:t>以实际踏勘为准</w:t>
            </w:r>
          </w:p>
        </w:tc>
      </w:tr>
      <w:tr w14:paraId="6D287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5E36A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p>
          <w:p w14:paraId="11C0BEAA">
            <w:pPr>
              <w:pStyle w:val="2"/>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13</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6A128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电缆端子</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39EC2C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185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15E76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sz w:val="24"/>
                <w:szCs w:val="24"/>
                <w:u w:val="none"/>
                <w:lang w:val="en-US" w:eastAsia="zh-CN"/>
              </w:rPr>
              <w:t>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321DC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3</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681AD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8296FD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EE410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0F77E">
            <w:pPr>
              <w:jc w:val="center"/>
              <w:rPr>
                <w:rFonts w:hint="eastAsia" w:asciiTheme="minorEastAsia" w:hAnsiTheme="minorEastAsia" w:eastAsiaTheme="minorEastAsia" w:cstheme="minorEastAsia"/>
                <w:b/>
                <w:bCs/>
                <w:i w:val="0"/>
                <w:iCs w:val="0"/>
                <w:color w:val="000000"/>
                <w:sz w:val="24"/>
                <w:szCs w:val="24"/>
                <w:u w:val="none"/>
                <w:lang w:val="en-US" w:eastAsia="zh-CN"/>
              </w:rPr>
            </w:pPr>
          </w:p>
        </w:tc>
      </w:tr>
      <w:tr w14:paraId="33167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361E0D">
            <w:pPr>
              <w:pStyle w:val="2"/>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14</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6914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电缆端子的采购及安装</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B4D180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95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F2D13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sz w:val="24"/>
                <w:szCs w:val="24"/>
                <w:u w:val="none"/>
                <w:lang w:val="en-US" w:eastAsia="zh-CN"/>
              </w:rPr>
              <w:t>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E1E059">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2</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CDFE1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86CDFE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06819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4D8BA4">
            <w:pPr>
              <w:jc w:val="center"/>
              <w:rPr>
                <w:rFonts w:hint="eastAsia" w:asciiTheme="minorEastAsia" w:hAnsiTheme="minorEastAsia" w:eastAsiaTheme="minorEastAsia" w:cstheme="minorEastAsia"/>
                <w:b/>
                <w:bCs/>
                <w:i w:val="0"/>
                <w:iCs w:val="0"/>
                <w:color w:val="000000"/>
                <w:sz w:val="24"/>
                <w:szCs w:val="24"/>
                <w:u w:val="none"/>
                <w:lang w:val="en-US" w:eastAsia="zh-CN"/>
              </w:rPr>
            </w:pPr>
          </w:p>
        </w:tc>
      </w:tr>
      <w:tr w14:paraId="0ADF2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95490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lang w:val="en-US"/>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15</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CDC1D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镀锌钢管的采购及安装</w:t>
            </w:r>
            <w:bookmarkStart w:id="0" w:name="_GoBack"/>
            <w:bookmarkEnd w:id="0"/>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4D0102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DN100</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F15DB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sz w:val="24"/>
                <w:szCs w:val="24"/>
                <w:u w:val="none"/>
                <w:lang w:val="en-US" w:eastAsia="zh-CN"/>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F34C3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kern w:val="0"/>
                <w:sz w:val="24"/>
                <w:szCs w:val="24"/>
                <w:u w:val="none"/>
                <w:lang w:val="en-US" w:eastAsia="zh-CN" w:bidi="ar"/>
              </w:rPr>
              <w:t>6</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1F949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A6B32A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086B0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u w:val="none"/>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4F44F6">
            <w:pPr>
              <w:jc w:val="center"/>
              <w:rPr>
                <w:rFonts w:hint="eastAsia" w:asciiTheme="minorEastAsia" w:hAnsiTheme="minorEastAsia" w:eastAsiaTheme="minorEastAsia" w:cstheme="minorEastAsia"/>
                <w:b/>
                <w:bCs/>
                <w:i w:val="0"/>
                <w:iCs w:val="0"/>
                <w:color w:val="000000"/>
                <w:sz w:val="24"/>
                <w:szCs w:val="24"/>
                <w:u w:val="none"/>
              </w:rPr>
            </w:pPr>
            <w:r>
              <w:rPr>
                <w:rFonts w:hint="eastAsia" w:asciiTheme="minorEastAsia" w:hAnsiTheme="minorEastAsia" w:eastAsiaTheme="minorEastAsia" w:cstheme="minorEastAsia"/>
                <w:b/>
                <w:bCs/>
                <w:i w:val="0"/>
                <w:iCs w:val="0"/>
                <w:color w:val="000000"/>
                <w:sz w:val="24"/>
                <w:szCs w:val="24"/>
                <w:u w:val="none"/>
                <w:lang w:val="en-US" w:eastAsia="zh-CN"/>
              </w:rPr>
              <w:t>以实际踏勘为准</w:t>
            </w:r>
          </w:p>
        </w:tc>
      </w:tr>
      <w:tr w14:paraId="3E802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A9E570">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16</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1BD08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原密集型铜母线槽的拆除</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827C38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Style w:val="21"/>
                <w:rFonts w:hint="eastAsia" w:asciiTheme="minorEastAsia" w:hAnsiTheme="minorEastAsia" w:eastAsiaTheme="minorEastAsia" w:cstheme="minorEastAsia"/>
                <w:sz w:val="24"/>
                <w:szCs w:val="24"/>
                <w:lang w:val="en-US" w:eastAsia="zh-CN" w:bidi="ar"/>
              </w:rPr>
              <w:t>LCMX-800A/5/5</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42083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米</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C9D5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6</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8ABCB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BB6235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9E06D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6B9546">
            <w:pPr>
              <w:jc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p>
        </w:tc>
      </w:tr>
      <w:tr w14:paraId="42E35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950817">
            <w:pPr>
              <w:keepNext w:val="0"/>
              <w:keepLines w:val="0"/>
              <w:widowControl/>
              <w:suppressLineNumbers w:val="0"/>
              <w:jc w:val="center"/>
              <w:textAlignment w:val="center"/>
              <w:rPr>
                <w:rFonts w:hint="default"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17</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A73F7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原插接箱的拆除</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6D2B1DF">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TM30S-100W/3300 Ie=63A</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14BD2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05579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B01A4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2CD9A3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DC25C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053973">
            <w:pPr>
              <w:jc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p>
        </w:tc>
      </w:tr>
      <w:tr w14:paraId="5BB25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9840B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18</w:t>
            </w:r>
          </w:p>
        </w:tc>
        <w:tc>
          <w:tcPr>
            <w:tcW w:w="12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D01C4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原插接箱的拆除</w:t>
            </w:r>
          </w:p>
        </w:tc>
        <w:tc>
          <w:tcPr>
            <w:tcW w:w="140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1DE93C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TM30S-225W/3300 Ie=125A</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55C86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个</w:t>
            </w:r>
          </w:p>
        </w:tc>
        <w:tc>
          <w:tcPr>
            <w:tcW w:w="9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001B6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0"/>
                <w:sz w:val="24"/>
                <w:szCs w:val="24"/>
                <w:u w:val="none"/>
                <w:lang w:val="en-US" w:eastAsia="zh-CN" w:bidi="ar"/>
              </w:rPr>
            </w:pPr>
            <w:r>
              <w:rPr>
                <w:rFonts w:hint="eastAsia" w:asciiTheme="minorEastAsia" w:hAnsiTheme="minorEastAsia" w:eastAsiaTheme="minorEastAsia" w:cstheme="minorEastAsia"/>
                <w:b/>
                <w:bCs/>
                <w:i w:val="0"/>
                <w:iCs w:val="0"/>
                <w:color w:val="000000"/>
                <w:kern w:val="0"/>
                <w:sz w:val="24"/>
                <w:szCs w:val="24"/>
                <w:u w:val="none"/>
                <w:lang w:val="en-US" w:eastAsia="zh-CN" w:bidi="ar"/>
              </w:rPr>
              <w:t>1</w:t>
            </w:r>
          </w:p>
        </w:tc>
        <w:tc>
          <w:tcPr>
            <w:tcW w:w="93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9D63B">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p>
        </w:tc>
        <w:tc>
          <w:tcPr>
            <w:tcW w:w="95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AA74FC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p>
        </w:tc>
        <w:tc>
          <w:tcPr>
            <w:tcW w:w="1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997712">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p>
        </w:tc>
        <w:tc>
          <w:tcPr>
            <w:tcW w:w="16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8373A1">
            <w:pPr>
              <w:jc w:val="center"/>
              <w:rPr>
                <w:rFonts w:hint="eastAsia" w:asciiTheme="minorEastAsia" w:hAnsiTheme="minorEastAsia" w:eastAsiaTheme="minorEastAsia" w:cstheme="minorEastAsia"/>
                <w:b/>
                <w:bCs/>
                <w:i w:val="0"/>
                <w:iCs w:val="0"/>
                <w:color w:val="000000"/>
                <w:kern w:val="2"/>
                <w:sz w:val="24"/>
                <w:szCs w:val="24"/>
                <w:u w:val="none"/>
                <w:lang w:val="en-US" w:eastAsia="zh-CN" w:bidi="ar-SA"/>
              </w:rPr>
            </w:pPr>
          </w:p>
        </w:tc>
      </w:tr>
      <w:tr w14:paraId="49102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3068" w:type="dxa"/>
            <w:gridSpan w:val="3"/>
            <w:vAlign w:val="center"/>
          </w:tcPr>
          <w:p w14:paraId="1AAFA624">
            <w:pPr>
              <w:keepNext w:val="0"/>
              <w:keepLines w:val="0"/>
              <w:widowControl/>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sz w:val="24"/>
                <w:szCs w:val="24"/>
              </w:rPr>
              <w:t>合计（元，不含税）</w:t>
            </w:r>
          </w:p>
        </w:tc>
        <w:tc>
          <w:tcPr>
            <w:tcW w:w="3098" w:type="dxa"/>
            <w:gridSpan w:val="5"/>
            <w:vAlign w:val="center"/>
          </w:tcPr>
          <w:p w14:paraId="166638C1">
            <w:pPr>
              <w:keepNext w:val="0"/>
              <w:keepLines w:val="0"/>
              <w:suppressLineNumbers w:val="0"/>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sz w:val="24"/>
                <w:szCs w:val="24"/>
              </w:rPr>
              <w:t>（小写）￥</w:t>
            </w:r>
          </w:p>
        </w:tc>
        <w:tc>
          <w:tcPr>
            <w:tcW w:w="3691" w:type="dxa"/>
            <w:gridSpan w:val="3"/>
            <w:vAlign w:val="center"/>
          </w:tcPr>
          <w:p w14:paraId="7289DEAD">
            <w:pPr>
              <w:keepNext w:val="0"/>
              <w:keepLines w:val="0"/>
              <w:suppressLineNumbers w:val="0"/>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sz w:val="24"/>
                <w:szCs w:val="24"/>
              </w:rPr>
              <w:t xml:space="preserve">（大写）     </w:t>
            </w:r>
          </w:p>
        </w:tc>
      </w:tr>
      <w:tr w14:paraId="7E12A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3068" w:type="dxa"/>
            <w:gridSpan w:val="3"/>
            <w:vAlign w:val="center"/>
          </w:tcPr>
          <w:p w14:paraId="2C08D56D">
            <w:pPr>
              <w:keepNext w:val="0"/>
              <w:keepLines w:val="0"/>
              <w:widowControl/>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b/>
                <w:sz w:val="24"/>
                <w:szCs w:val="24"/>
              </w:rPr>
              <w:t>合计（圆，含13%增值税）</w:t>
            </w:r>
          </w:p>
        </w:tc>
        <w:tc>
          <w:tcPr>
            <w:tcW w:w="3098" w:type="dxa"/>
            <w:gridSpan w:val="5"/>
            <w:shd w:val="clear" w:color="auto" w:fill="auto"/>
            <w:vAlign w:val="center"/>
          </w:tcPr>
          <w:p w14:paraId="4769F120">
            <w:pPr>
              <w:keepNext w:val="0"/>
              <w:keepLines w:val="0"/>
              <w:suppressLineNumbers w:val="0"/>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sz w:val="24"/>
                <w:szCs w:val="24"/>
              </w:rPr>
              <w:t>（小写）￥</w:t>
            </w:r>
          </w:p>
        </w:tc>
        <w:tc>
          <w:tcPr>
            <w:tcW w:w="3691" w:type="dxa"/>
            <w:gridSpan w:val="3"/>
            <w:shd w:val="clear" w:color="auto" w:fill="auto"/>
            <w:vAlign w:val="center"/>
          </w:tcPr>
          <w:p w14:paraId="27F639B4">
            <w:pPr>
              <w:keepNext w:val="0"/>
              <w:keepLines w:val="0"/>
              <w:suppressLineNumbers w:val="0"/>
              <w:spacing w:before="0" w:beforeAutospacing="0" w:after="0" w:afterAutospacing="0" w:line="360" w:lineRule="auto"/>
              <w:ind w:left="0" w:leftChars="0" w:right="0" w:rightChars="0"/>
              <w:jc w:val="left"/>
              <w:rPr>
                <w:rFonts w:hint="eastAsia" w:asciiTheme="minorEastAsia" w:hAnsiTheme="minorEastAsia" w:eastAsiaTheme="minorEastAsia" w:cstheme="minorEastAsia"/>
                <w:color w:val="000000" w:themeColor="text1"/>
                <w:kern w:val="2"/>
                <w:sz w:val="24"/>
                <w:szCs w:val="24"/>
                <w:highlight w:val="none"/>
                <w:lang w:val="en-US" w:eastAsia="zh-CN" w:bidi="ar-SA"/>
                <w14:textFill>
                  <w14:solidFill>
                    <w14:schemeClr w14:val="tx1"/>
                  </w14:solidFill>
                </w14:textFill>
              </w:rPr>
            </w:pPr>
            <w:r>
              <w:rPr>
                <w:rFonts w:hint="eastAsia" w:asciiTheme="minorEastAsia" w:hAnsiTheme="minorEastAsia" w:eastAsiaTheme="minorEastAsia" w:cstheme="minorEastAsia"/>
                <w:sz w:val="24"/>
                <w:szCs w:val="24"/>
              </w:rPr>
              <w:t xml:space="preserve">（大写）     </w:t>
            </w:r>
          </w:p>
        </w:tc>
      </w:tr>
    </w:tbl>
    <w:p w14:paraId="6CC58B7D">
      <w:pPr>
        <w:spacing w:line="360" w:lineRule="auto"/>
        <w:rPr>
          <w:rFonts w:hint="default" w:ascii="宋体" w:hAnsi="宋体" w:eastAsia="宋体"/>
          <w:b/>
          <w:szCs w:val="21"/>
          <w:highlight w:val="none"/>
          <w:lang w:val="en-US" w:eastAsia="zh-CN"/>
        </w:rPr>
      </w:pPr>
      <w:r>
        <w:rPr>
          <w:rFonts w:hint="eastAsia"/>
          <w:b/>
          <w:bCs/>
          <w:sz w:val="24"/>
          <w:szCs w:val="24"/>
          <w:highlight w:val="none"/>
          <w:lang w:val="en-US" w:eastAsia="zh-CN"/>
        </w:rPr>
        <w:t>母线、插接箱防护等级IP55，插接箱内断路器品牌可选择上联、正泰、德力西等主流品牌，电缆选择鑫日辉、齐鲁、上上等知名品牌国标电缆</w:t>
      </w:r>
    </w:p>
    <w:p w14:paraId="5F22E728">
      <w:pPr>
        <w:spacing w:line="360" w:lineRule="auto"/>
        <w:rPr>
          <w:rFonts w:ascii="宋体" w:hAnsi="宋体" w:cs="宋体"/>
          <w:b/>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14:textFill>
            <w14:solidFill>
              <w14:schemeClr w14:val="tx1"/>
            </w14:solidFill>
          </w14:textFill>
        </w:rPr>
        <w:t>二、施工工程内容</w:t>
      </w:r>
    </w:p>
    <w:p w14:paraId="7CB5D7C9">
      <w:pPr>
        <w:spacing w:line="360" w:lineRule="auto"/>
        <w:ind w:firstLine="406" w:firstLineChars="200"/>
        <w:rPr>
          <w:rFonts w:hint="eastAsia"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1、施工方式：按双方签订的合同工程明细进行施工。</w:t>
      </w:r>
    </w:p>
    <w:p w14:paraId="08866946">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2、施工地点： 在甲方</w:t>
      </w:r>
      <w:r>
        <w:rPr>
          <w:rFonts w:hint="eastAsia" w:ascii="宋体" w:hAnsi="宋体" w:cs="宋体"/>
          <w:color w:val="000000" w:themeColor="text1"/>
          <w:sz w:val="22"/>
          <w:szCs w:val="22"/>
          <w:highlight w:val="none"/>
          <w:lang w:val="en-US" w:eastAsia="zh-CN"/>
          <w14:textFill>
            <w14:solidFill>
              <w14:schemeClr w14:val="tx1"/>
            </w14:solidFill>
          </w14:textFill>
        </w:rPr>
        <w:t>制件单元</w:t>
      </w:r>
      <w:r>
        <w:rPr>
          <w:rFonts w:hint="eastAsia" w:ascii="宋体" w:hAnsi="宋体" w:cs="宋体"/>
          <w:color w:val="000000" w:themeColor="text1"/>
          <w:sz w:val="22"/>
          <w:szCs w:val="22"/>
          <w:highlight w:val="none"/>
          <w14:textFill>
            <w14:solidFill>
              <w14:schemeClr w14:val="tx1"/>
            </w14:solidFill>
          </w14:textFill>
        </w:rPr>
        <w:t>进行施工。</w:t>
      </w:r>
    </w:p>
    <w:p w14:paraId="115DDC1C">
      <w:pPr>
        <w:spacing w:line="360" w:lineRule="auto"/>
        <w:ind w:firstLine="406" w:firstLineChars="200"/>
        <w:rPr>
          <w:rFonts w:ascii="宋体" w:hAnsi="宋体" w:cs="宋体"/>
          <w:color w:val="000000" w:themeColor="text1"/>
          <w:sz w:val="22"/>
          <w:szCs w:val="22"/>
          <w:highlight w:val="none"/>
          <w:u w:val="singl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3、施工工期：</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20日历日</w:t>
      </w:r>
      <w:r>
        <w:rPr>
          <w:rFonts w:hint="eastAsia" w:ascii="宋体" w:hAnsi="宋体" w:cs="宋体"/>
          <w:color w:val="000000" w:themeColor="text1"/>
          <w:sz w:val="22"/>
          <w:szCs w:val="22"/>
          <w:highlight w:val="none"/>
          <w:u w:val="single"/>
          <w14:textFill>
            <w14:solidFill>
              <w14:schemeClr w14:val="tx1"/>
            </w14:solidFill>
          </w14:textFill>
        </w:rPr>
        <w:t xml:space="preserve"> </w:t>
      </w:r>
    </w:p>
    <w:p w14:paraId="398DC83B">
      <w:pPr>
        <w:spacing w:line="360" w:lineRule="auto"/>
        <w:rPr>
          <w:rFonts w:ascii="宋体" w:hAnsi="宋体" w:cs="宋体"/>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14:textFill>
            <w14:solidFill>
              <w14:schemeClr w14:val="tx1"/>
            </w14:solidFill>
          </w14:textFill>
        </w:rPr>
        <w:t>三、验收标准和方法：</w:t>
      </w:r>
    </w:p>
    <w:p w14:paraId="7A09549A">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ascii="宋体" w:hAnsi="宋体" w:cs="宋体"/>
          <w:color w:val="000000" w:themeColor="text1"/>
          <w:sz w:val="22"/>
          <w:szCs w:val="22"/>
          <w:highlight w:val="none"/>
          <w14:textFill>
            <w14:solidFill>
              <w14:schemeClr w14:val="tx1"/>
            </w14:solidFill>
          </w14:textFill>
        </w:rPr>
        <w:t>1</w:t>
      </w:r>
      <w:r>
        <w:rPr>
          <w:rFonts w:hint="eastAsia" w:ascii="宋体" w:hAnsi="宋体" w:cs="宋体"/>
          <w:color w:val="000000" w:themeColor="text1"/>
          <w:sz w:val="22"/>
          <w:szCs w:val="22"/>
          <w:highlight w:val="none"/>
          <w14:textFill>
            <w14:solidFill>
              <w14:schemeClr w14:val="tx1"/>
            </w14:solidFill>
          </w14:textFill>
        </w:rPr>
        <w:t>、按双方签订的技术协议相关内容验收。</w:t>
      </w:r>
    </w:p>
    <w:p w14:paraId="09B030C8">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ascii="宋体" w:hAnsi="宋体" w:cs="宋体"/>
          <w:color w:val="000000" w:themeColor="text1"/>
          <w:sz w:val="22"/>
          <w:szCs w:val="22"/>
          <w:highlight w:val="none"/>
          <w14:textFill>
            <w14:solidFill>
              <w14:schemeClr w14:val="tx1"/>
            </w14:solidFill>
          </w14:textFill>
        </w:rPr>
        <w:t>2</w:t>
      </w:r>
      <w:r>
        <w:rPr>
          <w:rFonts w:hint="eastAsia" w:ascii="宋体" w:hAnsi="宋体" w:cs="宋体"/>
          <w:color w:val="000000" w:themeColor="text1"/>
          <w:sz w:val="22"/>
          <w:szCs w:val="22"/>
          <w:highlight w:val="none"/>
          <w14:textFill>
            <w14:solidFill>
              <w14:schemeClr w14:val="tx1"/>
            </w14:solidFill>
          </w14:textFill>
        </w:rPr>
        <w:t>、各项技术性能指标达到国家、行业标准和技术规范，以及合同和相关技术要求后；出具书面验收报告，双方签署验收证明。</w:t>
      </w:r>
    </w:p>
    <w:p w14:paraId="336710AD">
      <w:pPr>
        <w:spacing w:line="360" w:lineRule="auto"/>
        <w:rPr>
          <w:rFonts w:ascii="宋体" w:hAnsi="宋体" w:cs="宋体"/>
          <w:b/>
          <w:color w:val="000000" w:themeColor="text1"/>
          <w:sz w:val="22"/>
          <w:szCs w:val="22"/>
          <w:highlight w:val="none"/>
          <w14:textFill>
            <w14:solidFill>
              <w14:schemeClr w14:val="tx1"/>
            </w14:solidFill>
          </w14:textFill>
        </w:rPr>
      </w:pPr>
      <w:r>
        <w:rPr>
          <w:rFonts w:hint="eastAsia" w:ascii="宋体" w:hAnsi="宋体" w:cs="宋体"/>
          <w:b/>
          <w:color w:val="000000" w:themeColor="text1"/>
          <w:sz w:val="22"/>
          <w:szCs w:val="22"/>
          <w:highlight w:val="none"/>
          <w14:textFill>
            <w14:solidFill>
              <w14:schemeClr w14:val="tx1"/>
            </w14:solidFill>
          </w14:textFill>
        </w:rPr>
        <w:t>四、结算及付款方式：</w:t>
      </w:r>
    </w:p>
    <w:p w14:paraId="57A92C74">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1、合同不含税总价为人民币</w:t>
      </w:r>
      <w:r>
        <w:rPr>
          <w:rFonts w:hint="eastAsia" w:ascii="宋体" w:hAnsi="宋体" w:cs="宋体"/>
          <w:color w:val="000000" w:themeColor="text1"/>
          <w:sz w:val="22"/>
          <w:szCs w:val="22"/>
          <w:highlight w:val="none"/>
          <w:u w:val="single"/>
          <w14:textFill>
            <w14:solidFill>
              <w14:schemeClr w14:val="tx1"/>
            </w14:solidFill>
          </w14:textFill>
        </w:rPr>
        <w:t>¥</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元（大写：</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），增值税税率</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13</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%，税额</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元，含税总价</w:t>
      </w:r>
      <w:r>
        <w:rPr>
          <w:rFonts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元人民币（大写：</w:t>
      </w:r>
      <w:r>
        <w:rPr>
          <w:rFonts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14:textFill>
            <w14:solidFill>
              <w14:schemeClr w14:val="tx1"/>
            </w14:solidFill>
          </w14:textFill>
        </w:rPr>
        <w:t>），如国家出台新政策对增值税率进行了调整，则不含税价款不变，本合同含税总价在不含税价基础上根据国家最新税法进行相应的调整。</w:t>
      </w:r>
    </w:p>
    <w:p w14:paraId="0EA012C3">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该价格包括</w:t>
      </w:r>
      <w:r>
        <w:rPr>
          <w:rFonts w:ascii="宋体" w:hAnsi="宋体" w:cs="宋体"/>
          <w:color w:val="000000" w:themeColor="text1"/>
          <w:sz w:val="22"/>
          <w:szCs w:val="22"/>
          <w:highlight w:val="none"/>
          <w14:textFill>
            <w14:solidFill>
              <w14:schemeClr w14:val="tx1"/>
            </w14:solidFill>
          </w14:textFill>
        </w:rPr>
        <w:t>运费、</w:t>
      </w:r>
      <w:r>
        <w:rPr>
          <w:rFonts w:hint="eastAsia" w:ascii="宋体" w:hAnsi="宋体" w:cs="宋体"/>
          <w:color w:val="000000" w:themeColor="text1"/>
          <w:sz w:val="22"/>
          <w:szCs w:val="22"/>
          <w:highlight w:val="none"/>
          <w14:textFill>
            <w14:solidFill>
              <w14:schemeClr w14:val="tx1"/>
            </w14:solidFill>
          </w14:textFill>
        </w:rPr>
        <w:t>施工</w:t>
      </w:r>
      <w:r>
        <w:rPr>
          <w:rFonts w:ascii="宋体" w:hAnsi="宋体" w:cs="宋体"/>
          <w:color w:val="000000" w:themeColor="text1"/>
          <w:sz w:val="22"/>
          <w:szCs w:val="22"/>
          <w:highlight w:val="none"/>
          <w14:textFill>
            <w14:solidFill>
              <w14:schemeClr w14:val="tx1"/>
            </w14:solidFill>
          </w14:textFill>
        </w:rPr>
        <w:t>、配件、税费和人员费用</w:t>
      </w:r>
      <w:r>
        <w:rPr>
          <w:rFonts w:hint="eastAsia" w:ascii="宋体" w:hAnsi="宋体" w:cs="宋体"/>
          <w:color w:val="000000" w:themeColor="text1"/>
          <w:sz w:val="22"/>
          <w:szCs w:val="22"/>
          <w:highlight w:val="none"/>
          <w14:textFill>
            <w14:solidFill>
              <w14:schemeClr w14:val="tx1"/>
            </w14:solidFill>
          </w14:textFill>
        </w:rPr>
        <w:t>。</w:t>
      </w:r>
    </w:p>
    <w:p w14:paraId="79B0919F">
      <w:pPr>
        <w:spacing w:line="360" w:lineRule="auto"/>
        <w:ind w:firstLine="406" w:firstLineChars="200"/>
        <w:rPr>
          <w:rFonts w:ascii="宋体" w:hAnsi="宋体" w:cs="宋体"/>
          <w:color w:val="000000" w:themeColor="text1"/>
          <w:sz w:val="22"/>
          <w:szCs w:val="22"/>
          <w:highlight w:val="none"/>
          <w14:textFill>
            <w14:solidFill>
              <w14:schemeClr w14:val="tx1"/>
            </w14:solidFill>
          </w14:textFill>
        </w:rPr>
      </w:pPr>
      <w:r>
        <w:rPr>
          <w:rFonts w:hint="eastAsia" w:ascii="宋体" w:hAnsi="宋体" w:cs="宋体"/>
          <w:color w:val="000000" w:themeColor="text1"/>
          <w:sz w:val="22"/>
          <w:szCs w:val="22"/>
          <w:highlight w:val="none"/>
          <w14:textFill>
            <w14:solidFill>
              <w14:schemeClr w14:val="tx1"/>
            </w14:solidFill>
          </w14:textFill>
        </w:rPr>
        <w:t>2、付款方式为：</w:t>
      </w:r>
      <w:r>
        <w:rPr>
          <w:rFonts w:hint="eastAsia" w:ascii="宋体" w:hAnsi="宋体" w:cs="宋体"/>
          <w:color w:val="000000" w:themeColor="text1"/>
          <w:sz w:val="22"/>
          <w:szCs w:val="22"/>
          <w:highlight w:val="none"/>
          <w:u w:val="single"/>
          <w14:textFill>
            <w14:solidFill>
              <w14:schemeClr w14:val="tx1"/>
            </w14:solidFill>
          </w14:textFill>
        </w:rPr>
        <w:t xml:space="preserve"> 半年期商业汇票 </w:t>
      </w:r>
      <w:r>
        <w:rPr>
          <w:rFonts w:hint="eastAsia" w:ascii="宋体" w:hAnsi="宋体" w:cs="宋体"/>
          <w:color w:val="000000" w:themeColor="text1"/>
          <w:sz w:val="22"/>
          <w:szCs w:val="22"/>
          <w:highlight w:val="none"/>
          <w14:textFill>
            <w14:solidFill>
              <w14:schemeClr w14:val="tx1"/>
            </w14:solidFill>
          </w14:textFill>
        </w:rPr>
        <w:t>。</w:t>
      </w:r>
    </w:p>
    <w:p w14:paraId="3C5D70B6">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3、合同价款的支付：</w:t>
      </w:r>
    </w:p>
    <w:p w14:paraId="238DAFE2">
      <w:pPr>
        <w:spacing w:line="360" w:lineRule="auto"/>
        <w:ind w:left="-96" w:leftChars="-50" w:right="-96" w:rightChars="-50" w:firstLine="508" w:firstLineChars="250"/>
        <w:jc w:val="left"/>
        <w:rPr>
          <w:rFonts w:ascii="宋体" w:hAnsi="宋体"/>
          <w:color w:val="auto"/>
          <w:szCs w:val="21"/>
          <w:highlight w:val="none"/>
        </w:rPr>
      </w:pPr>
      <w:r>
        <w:rPr>
          <w:rFonts w:hint="eastAsia" w:ascii="宋体" w:hAnsi="宋体" w:cs="宋体"/>
          <w:color w:val="auto"/>
          <w:sz w:val="22"/>
          <w:szCs w:val="22"/>
          <w:highlight w:val="none"/>
        </w:rPr>
        <w:t>3.1</w:t>
      </w:r>
      <w:r>
        <w:rPr>
          <w:rFonts w:hint="eastAsia" w:ascii="宋体" w:hAnsi="宋体" w:cs="宋体"/>
          <w:color w:val="auto"/>
          <w:sz w:val="22"/>
          <w:szCs w:val="22"/>
          <w:highlight w:val="none"/>
          <w:lang w:val="en-US" w:eastAsia="zh-CN"/>
        </w:rPr>
        <w:t>双方</w:t>
      </w:r>
      <w:r>
        <w:rPr>
          <w:rFonts w:hint="eastAsia" w:ascii="宋体" w:hAnsi="宋体"/>
          <w:color w:val="auto"/>
          <w:szCs w:val="21"/>
          <w:highlight w:val="none"/>
        </w:rPr>
        <w:t>签订合同</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乙方施工完毕</w:t>
      </w:r>
      <w:r>
        <w:rPr>
          <w:rFonts w:hint="eastAsia" w:ascii="宋体" w:hAnsi="宋体"/>
          <w:color w:val="auto"/>
          <w:szCs w:val="21"/>
          <w:highlight w:val="none"/>
        </w:rPr>
        <w:t xml:space="preserve"> </w:t>
      </w:r>
      <w:r>
        <w:rPr>
          <w:rFonts w:ascii="宋体" w:hAnsi="宋体"/>
          <w:color w:val="auto"/>
          <w:szCs w:val="21"/>
          <w:highlight w:val="none"/>
        </w:rPr>
        <w:t>达到可使用状态，</w:t>
      </w:r>
      <w:r>
        <w:rPr>
          <w:rFonts w:hint="eastAsia" w:ascii="宋体" w:hAnsi="宋体"/>
          <w:color w:val="auto"/>
          <w:szCs w:val="21"/>
          <w:highlight w:val="none"/>
        </w:rPr>
        <w:t>出具调试合格报告，乙方开具</w:t>
      </w:r>
      <w:r>
        <w:rPr>
          <w:rFonts w:hint="eastAsia" w:ascii="宋体" w:hAnsi="宋体"/>
          <w:color w:val="auto"/>
          <w:szCs w:val="21"/>
          <w:highlight w:val="none"/>
          <w:lang w:val="en-US" w:eastAsia="zh-CN"/>
        </w:rPr>
        <w:t>合同全额</w:t>
      </w:r>
      <w:r>
        <w:rPr>
          <w:rFonts w:hint="eastAsia" w:ascii="宋体" w:hAnsi="宋体"/>
          <w:color w:val="auto"/>
          <w:szCs w:val="21"/>
          <w:highlight w:val="none"/>
        </w:rPr>
        <w:t>（小写）￥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圆的增值税专用发票（税率</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13</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lang w:val="en-US" w:eastAsia="zh-CN"/>
        </w:rPr>
        <w:t>甲</w:t>
      </w:r>
      <w:r>
        <w:rPr>
          <w:rFonts w:hint="eastAsia" w:ascii="宋体" w:hAnsi="宋体"/>
          <w:color w:val="auto"/>
          <w:szCs w:val="21"/>
          <w:highlight w:val="none"/>
        </w:rPr>
        <w:t>方试运行</w:t>
      </w:r>
      <w:r>
        <w:rPr>
          <w:rFonts w:hint="eastAsia" w:ascii="宋体" w:hAnsi="宋体"/>
          <w:color w:val="auto"/>
          <w:szCs w:val="21"/>
          <w:highlight w:val="none"/>
          <w:lang w:val="en-US" w:eastAsia="zh-CN"/>
        </w:rPr>
        <w:t>1</w:t>
      </w:r>
      <w:r>
        <w:rPr>
          <w:rFonts w:hint="eastAsia" w:ascii="宋体" w:hAnsi="宋体"/>
          <w:color w:val="auto"/>
          <w:szCs w:val="21"/>
          <w:highlight w:val="none"/>
        </w:rPr>
        <w:t>个月后验收合格，出具验收合格报告书后，</w:t>
      </w:r>
      <w:r>
        <w:rPr>
          <w:rFonts w:hint="eastAsia" w:ascii="宋体" w:hAnsi="宋体" w:cs="宋体"/>
          <w:color w:val="auto"/>
          <w:sz w:val="22"/>
          <w:szCs w:val="22"/>
          <w:highlight w:val="none"/>
        </w:rPr>
        <w:t>甲方依照财务制度审核无误后次月</w:t>
      </w:r>
      <w:r>
        <w:rPr>
          <w:rFonts w:hint="eastAsia" w:ascii="宋体" w:hAnsi="宋体"/>
          <w:color w:val="auto"/>
          <w:szCs w:val="21"/>
          <w:highlight w:val="none"/>
        </w:rPr>
        <w:t>向乙方支付合同金额的</w:t>
      </w:r>
      <w:r>
        <w:rPr>
          <w:rFonts w:hint="eastAsia" w:ascii="宋体" w:hAnsi="宋体"/>
          <w:color w:val="auto"/>
          <w:szCs w:val="21"/>
          <w:highlight w:val="none"/>
          <w:lang w:val="en-US" w:eastAsia="zh-CN"/>
        </w:rPr>
        <w:t>9</w:t>
      </w:r>
      <w:r>
        <w:rPr>
          <w:rFonts w:hint="eastAsia" w:ascii="宋体" w:hAnsi="宋体"/>
          <w:color w:val="auto"/>
          <w:szCs w:val="21"/>
          <w:highlight w:val="none"/>
        </w:rPr>
        <w:t>0%，即（小写）￥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圆； </w:t>
      </w:r>
    </w:p>
    <w:p w14:paraId="128FC423">
      <w:pPr>
        <w:spacing w:line="360" w:lineRule="auto"/>
        <w:ind w:left="-96" w:leftChars="-50" w:right="-96" w:rightChars="-50" w:firstLine="483" w:firstLineChars="250"/>
        <w:rPr>
          <w:rFonts w:ascii="宋体" w:hAnsi="宋体" w:cs="宋体"/>
          <w:color w:val="auto"/>
          <w:sz w:val="22"/>
          <w:szCs w:val="22"/>
          <w:highlight w:val="none"/>
        </w:rPr>
      </w:pPr>
      <w:r>
        <w:rPr>
          <w:rFonts w:hint="eastAsia" w:ascii="宋体" w:hAnsi="宋体"/>
          <w:color w:val="auto"/>
          <w:szCs w:val="21"/>
          <w:highlight w:val="none"/>
        </w:rPr>
        <w:t>3.</w:t>
      </w:r>
      <w:r>
        <w:rPr>
          <w:rFonts w:hint="eastAsia" w:ascii="宋体" w:hAnsi="宋体"/>
          <w:color w:val="auto"/>
          <w:szCs w:val="21"/>
          <w:highlight w:val="none"/>
          <w:lang w:val="en-US" w:eastAsia="zh-CN"/>
        </w:rPr>
        <w:t>2</w:t>
      </w:r>
      <w:r>
        <w:rPr>
          <w:rFonts w:hint="eastAsia" w:ascii="宋体" w:hAnsi="宋体" w:cs="宋体"/>
          <w:color w:val="auto"/>
          <w:sz w:val="22"/>
          <w:szCs w:val="22"/>
          <w:highlight w:val="none"/>
        </w:rPr>
        <w:t>合同总价款的10 %即</w:t>
      </w:r>
      <w:r>
        <w:rPr>
          <w:rFonts w:hint="eastAsia" w:ascii="宋体" w:hAnsi="宋体"/>
          <w:color w:val="auto"/>
          <w:szCs w:val="21"/>
          <w:highlight w:val="none"/>
        </w:rPr>
        <w:t>（小写）￥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元（大写）</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圆</w:t>
      </w:r>
      <w:r>
        <w:rPr>
          <w:rFonts w:hint="eastAsia" w:ascii="宋体" w:hAnsi="宋体" w:cs="宋体"/>
          <w:color w:val="auto"/>
          <w:sz w:val="22"/>
          <w:szCs w:val="22"/>
          <w:highlight w:val="none"/>
        </w:rPr>
        <w:t>作为本合同约定的质量保证金，质量保证金在本合同约定的质量保证期内不计利息，待设备质量保证期满后，甲方质保期满验收确认无质量问题后</w:t>
      </w:r>
      <w:r>
        <w:rPr>
          <w:rFonts w:hint="eastAsia" w:ascii="宋体" w:hAnsi="宋体" w:cs="宋体"/>
          <w:color w:val="auto"/>
          <w:sz w:val="22"/>
          <w:szCs w:val="22"/>
          <w:highlight w:val="none"/>
          <w:u w:val="single"/>
        </w:rPr>
        <w:t xml:space="preserve"> 30  </w:t>
      </w:r>
      <w:r>
        <w:rPr>
          <w:rFonts w:hint="eastAsia" w:ascii="宋体" w:hAnsi="宋体" w:cs="宋体"/>
          <w:color w:val="auto"/>
          <w:sz w:val="22"/>
          <w:szCs w:val="22"/>
          <w:highlight w:val="none"/>
        </w:rPr>
        <w:t>日内支付；如有质量问题，质量保证金予以扣除。</w:t>
      </w:r>
    </w:p>
    <w:p w14:paraId="0B404DF9">
      <w:pPr>
        <w:spacing w:line="360" w:lineRule="auto"/>
        <w:ind w:left="-96" w:leftChars="-50" w:right="-96" w:rightChars="-50"/>
        <w:rPr>
          <w:rFonts w:ascii="宋体" w:hAnsi="宋体" w:cs="宋体"/>
          <w:b/>
          <w:bCs/>
          <w:color w:val="auto"/>
          <w:sz w:val="22"/>
          <w:szCs w:val="22"/>
          <w:highlight w:val="none"/>
        </w:rPr>
      </w:pPr>
      <w:r>
        <w:rPr>
          <w:rFonts w:hint="eastAsia" w:ascii="宋体" w:hAnsi="宋体" w:cs="宋体"/>
          <w:b/>
          <w:color w:val="auto"/>
          <w:sz w:val="22"/>
          <w:szCs w:val="22"/>
          <w:highlight w:val="none"/>
        </w:rPr>
        <w:t>五、</w:t>
      </w:r>
      <w:r>
        <w:rPr>
          <w:rFonts w:hint="eastAsia" w:ascii="宋体" w:hAnsi="宋体" w:cs="宋体"/>
          <w:b/>
          <w:bCs/>
          <w:color w:val="auto"/>
          <w:sz w:val="22"/>
          <w:szCs w:val="22"/>
          <w:highlight w:val="none"/>
        </w:rPr>
        <w:t>质量保证期及质量保证金</w:t>
      </w:r>
    </w:p>
    <w:p w14:paraId="44104CA1">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1、本合同工程及设备的质量保证期限为最终验收报告签署之日（以签署日期最晚者为准）起</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rPr>
        <w:t>个月。</w:t>
      </w:r>
    </w:p>
    <w:p w14:paraId="4CA21952">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2、若在质量保证期内该设备出现质量问题，乙方须应根据甲方的要求在</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小时内答复或</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小时内派员现场服务，费用由乙方承担。</w:t>
      </w:r>
    </w:p>
    <w:p w14:paraId="45B5BD1B">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3、质量保证期届满后，</w:t>
      </w:r>
      <w:r>
        <w:rPr>
          <w:rFonts w:hint="eastAsia" w:ascii="宋体" w:hAnsi="宋体" w:cs="宋体"/>
          <w:color w:val="auto"/>
          <w:sz w:val="22"/>
          <w:szCs w:val="22"/>
          <w:highlight w:val="none"/>
          <w:lang w:val="en-US" w:eastAsia="zh-CN"/>
        </w:rPr>
        <w:t xml:space="preserve">乙方承诺继续提供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lang w:val="en-US" w:eastAsia="zh-CN"/>
        </w:rPr>
        <w:t>个月无偿技术服务。</w:t>
      </w:r>
      <w:r>
        <w:rPr>
          <w:rFonts w:hint="eastAsia" w:ascii="宋体" w:hAnsi="宋体" w:cs="宋体"/>
          <w:color w:val="auto"/>
          <w:sz w:val="22"/>
          <w:szCs w:val="22"/>
          <w:highlight w:val="none"/>
        </w:rPr>
        <w:t>如甲方需要乙方提供技术服务，乙方应在</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小时内进行答复，如需到现场解决问题的，乙方应</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小时内派服务人员到达甲方现场提供服务。</w:t>
      </w:r>
    </w:p>
    <w:p w14:paraId="1B111B71">
      <w:pPr>
        <w:spacing w:line="360" w:lineRule="auto"/>
        <w:ind w:firstLine="406" w:firstLineChars="200"/>
        <w:rPr>
          <w:rFonts w:ascii="宋体" w:hAnsi="宋体" w:cs="宋体"/>
          <w:bCs/>
          <w:color w:val="auto"/>
          <w:sz w:val="22"/>
          <w:szCs w:val="22"/>
          <w:highlight w:val="none"/>
        </w:rPr>
      </w:pPr>
      <w:r>
        <w:rPr>
          <w:rFonts w:hint="eastAsia" w:ascii="宋体" w:hAnsi="宋体" w:cs="宋体"/>
          <w:bCs/>
          <w:color w:val="auto"/>
          <w:sz w:val="22"/>
          <w:szCs w:val="22"/>
          <w:highlight w:val="none"/>
        </w:rPr>
        <w:t>4、乙方保证其提供的合同设备是全新的、未使用的、未经改装的、包装完好的、原厂正品，采用最佳材料和一流工艺的，并在各个方面符合本合同规定的质量、规格和性能要求。乙方保证其合同设备经过正确安装、合理操作和维护保养，在合同设备寿命期内运转良好。</w:t>
      </w:r>
    </w:p>
    <w:p w14:paraId="3A3891C9">
      <w:pPr>
        <w:spacing w:line="360" w:lineRule="auto"/>
        <w:ind w:firstLine="406" w:firstLineChars="200"/>
        <w:rPr>
          <w:rFonts w:ascii="宋体" w:hAnsi="宋体" w:cs="宋体"/>
          <w:bCs/>
          <w:color w:val="auto"/>
          <w:sz w:val="22"/>
          <w:szCs w:val="22"/>
          <w:highlight w:val="none"/>
        </w:rPr>
      </w:pPr>
      <w:r>
        <w:rPr>
          <w:rFonts w:hint="eastAsia" w:ascii="宋体" w:hAnsi="宋体" w:cs="宋体"/>
          <w:bCs/>
          <w:color w:val="auto"/>
          <w:sz w:val="22"/>
          <w:szCs w:val="22"/>
          <w:highlight w:val="none"/>
        </w:rPr>
        <w:t>5、</w:t>
      </w:r>
      <w:r>
        <w:rPr>
          <w:rFonts w:hint="eastAsia" w:ascii="宋体" w:hAnsi="宋体" w:cs="宋体"/>
          <w:bCs/>
          <w:sz w:val="22"/>
          <w:szCs w:val="22"/>
        </w:rPr>
        <w:t>乙方承诺其提供的设备不存在任何产品缺陷</w:t>
      </w:r>
      <w:r>
        <w:rPr>
          <w:rFonts w:hint="eastAsia" w:ascii="宋体" w:hAnsi="宋体" w:cs="宋体"/>
          <w:bCs/>
          <w:color w:val="auto"/>
          <w:sz w:val="22"/>
          <w:szCs w:val="22"/>
        </w:rPr>
        <w:t>及工程质量不存在任何瑕疵，否则因乙方提供的设备及工程质量存在产品瑕疵而给甲方造成的一切后果和损失由乙方承担。</w:t>
      </w:r>
    </w:p>
    <w:p w14:paraId="0D7A485C">
      <w:pPr>
        <w:spacing w:line="360" w:lineRule="auto"/>
        <w:ind w:firstLine="406" w:firstLineChars="200"/>
        <w:rPr>
          <w:rFonts w:hint="eastAsia" w:ascii="宋体" w:hAnsi="宋体" w:cs="宋体"/>
          <w:bCs/>
          <w:color w:val="auto"/>
          <w:sz w:val="22"/>
          <w:szCs w:val="22"/>
          <w:highlight w:val="none"/>
        </w:rPr>
      </w:pPr>
      <w:r>
        <w:rPr>
          <w:rFonts w:hint="eastAsia" w:ascii="宋体" w:hAnsi="宋体" w:cs="宋体"/>
          <w:bCs/>
          <w:color w:val="auto"/>
          <w:sz w:val="22"/>
          <w:szCs w:val="22"/>
          <w:highlight w:val="none"/>
        </w:rPr>
        <w:t>6、</w:t>
      </w:r>
      <w:r>
        <w:rPr>
          <w:rFonts w:hint="eastAsia" w:ascii="宋体" w:hAnsi="宋体" w:cs="宋体"/>
          <w:bCs/>
          <w:sz w:val="22"/>
          <w:szCs w:val="22"/>
        </w:rPr>
        <w:t>乙方承诺因其提供的设</w:t>
      </w:r>
      <w:r>
        <w:rPr>
          <w:rFonts w:hint="eastAsia" w:ascii="宋体" w:hAnsi="宋体" w:cs="宋体"/>
          <w:bCs/>
          <w:color w:val="auto"/>
          <w:sz w:val="22"/>
          <w:szCs w:val="22"/>
        </w:rPr>
        <w:t>备及工程质量</w:t>
      </w:r>
      <w:r>
        <w:rPr>
          <w:rFonts w:hint="eastAsia" w:ascii="宋体" w:hAnsi="宋体" w:cs="宋体"/>
          <w:bCs/>
          <w:sz w:val="22"/>
          <w:szCs w:val="22"/>
        </w:rPr>
        <w:t>存在瑕疵或产品缺陷而导致第三方向甲方主张权利或提起诉讼的，乙方应积极配合甲方进行解决或应诉，因此而发生的一切费用（包括但不限于诉讼费、仲裁费、律师费、交通费、通讯费、住宿费、餐饮费、调查取证费等）由乙方承担。</w:t>
      </w:r>
    </w:p>
    <w:p w14:paraId="234C8D06">
      <w:pPr>
        <w:spacing w:line="360" w:lineRule="auto"/>
        <w:ind w:right="-96" w:rightChars="-50"/>
        <w:rPr>
          <w:rFonts w:ascii="宋体" w:hAnsi="宋体" w:cs="宋体"/>
          <w:b/>
          <w:color w:val="auto"/>
          <w:sz w:val="22"/>
          <w:szCs w:val="22"/>
          <w:highlight w:val="none"/>
        </w:rPr>
      </w:pPr>
      <w:r>
        <w:rPr>
          <w:rFonts w:hint="eastAsia" w:ascii="宋体" w:hAnsi="宋体" w:cs="宋体"/>
          <w:b/>
          <w:color w:val="auto"/>
          <w:sz w:val="22"/>
          <w:szCs w:val="22"/>
          <w:highlight w:val="none"/>
        </w:rPr>
        <w:t>六、保密条款</w:t>
      </w:r>
    </w:p>
    <w:p w14:paraId="076DDB85">
      <w:pPr>
        <w:spacing w:line="360" w:lineRule="auto"/>
        <w:ind w:firstLine="406" w:firstLineChars="200"/>
        <w:rPr>
          <w:rFonts w:ascii="宋体" w:hAnsi="宋体" w:cs="宋体"/>
          <w:b/>
          <w:color w:val="auto"/>
          <w:sz w:val="22"/>
          <w:szCs w:val="22"/>
          <w:highlight w:val="none"/>
        </w:rPr>
      </w:pPr>
      <w:r>
        <w:rPr>
          <w:rFonts w:hint="eastAsia" w:ascii="宋体" w:hAnsi="宋体" w:cs="宋体"/>
          <w:color w:val="auto"/>
          <w:sz w:val="22"/>
          <w:szCs w:val="22"/>
          <w:highlight w:val="none"/>
        </w:rPr>
        <w:t xml:space="preserve">乙方在施工过程中掌握的甲方的业务、产品、程序、研究或与之有关的一切数据、工艺、配方、图纸等，均属于甲方的商业秘密，未经甲方书面允许，乙方不得披露给任何第三人。施工完成后，乙方须将掌握的上述商业秘密全部返还给甲方，不得以任何形式和载体备份自留。 </w:t>
      </w:r>
    </w:p>
    <w:p w14:paraId="1BA68034">
      <w:pPr>
        <w:spacing w:line="360" w:lineRule="auto"/>
        <w:rPr>
          <w:rFonts w:ascii="宋体" w:hAnsi="宋体" w:cs="宋体"/>
          <w:b/>
          <w:color w:val="auto"/>
          <w:sz w:val="22"/>
          <w:szCs w:val="22"/>
          <w:highlight w:val="none"/>
        </w:rPr>
      </w:pPr>
      <w:r>
        <w:rPr>
          <w:rFonts w:hint="eastAsia" w:ascii="宋体" w:hAnsi="宋体" w:cs="宋体"/>
          <w:b/>
          <w:color w:val="auto"/>
          <w:sz w:val="22"/>
          <w:szCs w:val="22"/>
          <w:highlight w:val="none"/>
        </w:rPr>
        <w:t>七、其它约定</w:t>
      </w:r>
    </w:p>
    <w:p w14:paraId="6A999A30">
      <w:pPr>
        <w:tabs>
          <w:tab w:val="left" w:pos="720"/>
        </w:tabs>
        <w:spacing w:line="360" w:lineRule="auto"/>
        <w:ind w:firstLine="406"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1.乙方应安排具备相关资质的施工人员在甲方现场施工，遵守甲方现场安全生产有关管理规定,严格按照安全标准组织施工，并随时接受甲方安全管理人员的监督检查，乙方需采取必要的安全防护措施，消除安全隐患。由于乙方安全措施不利造成事故的责任和因此发生的一切费用均由乙方承担。</w:t>
      </w:r>
    </w:p>
    <w:p w14:paraId="4E24CB03">
      <w:pPr>
        <w:tabs>
          <w:tab w:val="left" w:pos="720"/>
        </w:tabs>
        <w:spacing w:line="360" w:lineRule="auto"/>
        <w:ind w:firstLine="406" w:firstLineChars="200"/>
        <w:jc w:val="left"/>
        <w:rPr>
          <w:rFonts w:ascii="宋体" w:hAnsi="宋体" w:cs="宋体"/>
          <w:color w:val="auto"/>
          <w:sz w:val="22"/>
          <w:szCs w:val="22"/>
          <w:highlight w:val="none"/>
        </w:rPr>
      </w:pPr>
      <w:r>
        <w:rPr>
          <w:rFonts w:hint="eastAsia" w:ascii="宋体" w:hAnsi="宋体" w:cs="宋体"/>
          <w:color w:val="auto"/>
          <w:sz w:val="22"/>
          <w:szCs w:val="22"/>
          <w:highlight w:val="none"/>
        </w:rPr>
        <w:t>2. 乙方人员在甲方厂区内必须遵守甲方的有关管理制度，服从甲方人员的安排。乙方在甲方现场进行工作时，发生的一切人身伤害和财产损失，由乙方自行负完全责任。上述因乙方责任行为导致甲方或第三人发生损失时，乙方须对甲方或第三人因此造成的损失负全部责任并给予赔偿。</w:t>
      </w:r>
    </w:p>
    <w:p w14:paraId="6229A4CB">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3. 施工期间，乙方应保持甲方现场的清洁，负责清理工作，并服从甲方的组织协调。</w:t>
      </w:r>
    </w:p>
    <w:p w14:paraId="072F1790">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4、工程物资从运输、安装至调试完成期间所发生的毁损风险及责任全部由乙方承担。</w:t>
      </w:r>
    </w:p>
    <w:p w14:paraId="4EBA8128">
      <w:pPr>
        <w:spacing w:line="360" w:lineRule="auto"/>
        <w:ind w:firstLine="406" w:firstLineChars="200"/>
        <w:rPr>
          <w:rFonts w:ascii="宋体" w:hAnsi="宋体" w:cs="宋体"/>
          <w:b/>
          <w:color w:val="auto"/>
          <w:sz w:val="22"/>
          <w:szCs w:val="22"/>
          <w:highlight w:val="none"/>
        </w:rPr>
      </w:pPr>
      <w:r>
        <w:rPr>
          <w:rFonts w:hint="eastAsia" w:ascii="宋体" w:hAnsi="宋体" w:cs="宋体"/>
          <w:color w:val="auto"/>
          <w:sz w:val="22"/>
          <w:szCs w:val="22"/>
          <w:highlight w:val="none"/>
        </w:rPr>
        <w:t>5、乙方确认本合同中的地址为其可以接收到函件的有效送达地址，如有变更应在三日内以书面形式告知甲方。否则，甲方依本合同中的乙方地址寄发函件即视为送达。</w:t>
      </w:r>
    </w:p>
    <w:p w14:paraId="317F27D1">
      <w:pPr>
        <w:spacing w:line="360" w:lineRule="auto"/>
        <w:rPr>
          <w:rFonts w:ascii="宋体" w:hAnsi="宋体" w:cs="宋体"/>
          <w:b/>
          <w:color w:val="auto"/>
          <w:sz w:val="22"/>
          <w:szCs w:val="22"/>
          <w:highlight w:val="none"/>
        </w:rPr>
      </w:pPr>
      <w:r>
        <w:rPr>
          <w:rFonts w:hint="eastAsia" w:ascii="宋体" w:hAnsi="宋体" w:cs="宋体"/>
          <w:b/>
          <w:color w:val="auto"/>
          <w:sz w:val="22"/>
          <w:szCs w:val="22"/>
          <w:highlight w:val="none"/>
        </w:rPr>
        <w:t>八、违约责任</w:t>
      </w:r>
    </w:p>
    <w:p w14:paraId="402511C6">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乙方未按合同的约定完成改造工作的，甲方有权按照以下一种或多种方式要求乙方赔偿：</w:t>
      </w:r>
    </w:p>
    <w:p w14:paraId="7DC8D855">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1、乙方逾期交付工作成果的，每逾期一天，应当向甲方支付合同总价款</w:t>
      </w:r>
      <w:r>
        <w:rPr>
          <w:rFonts w:hint="eastAsia" w:ascii="宋体" w:hAnsi="宋体" w:cs="宋体"/>
          <w:color w:val="auto"/>
          <w:sz w:val="22"/>
          <w:szCs w:val="22"/>
          <w:highlight w:val="none"/>
          <w:u w:val="single"/>
        </w:rPr>
        <w:t xml:space="preserve"> 1 </w:t>
      </w:r>
      <w:r>
        <w:rPr>
          <w:rFonts w:hint="eastAsia" w:ascii="宋体" w:hAnsi="宋体" w:cs="宋体"/>
          <w:color w:val="auto"/>
          <w:sz w:val="22"/>
          <w:szCs w:val="22"/>
          <w:highlight w:val="none"/>
        </w:rPr>
        <w:t>%的违约金。当违约金超过设备合同总金额的</w:t>
      </w:r>
      <w:r>
        <w:rPr>
          <w:rFonts w:hint="eastAsia" w:ascii="宋体" w:hAnsi="宋体" w:cs="宋体"/>
          <w:color w:val="auto"/>
          <w:sz w:val="22"/>
          <w:szCs w:val="22"/>
          <w:highlight w:val="none"/>
          <w:u w:val="single"/>
        </w:rPr>
        <w:t xml:space="preserve"> 30  </w:t>
      </w:r>
      <w:r>
        <w:rPr>
          <w:rFonts w:hint="eastAsia" w:ascii="宋体" w:hAnsi="宋体" w:cs="宋体"/>
          <w:color w:val="auto"/>
          <w:sz w:val="22"/>
          <w:szCs w:val="22"/>
          <w:highlight w:val="none"/>
        </w:rPr>
        <w:t>%时，甲方有权解除本合同，且乙方应当向甲方支付上述违约金，并赔偿由此给甲方造成的一切损失和费用。</w:t>
      </w:r>
    </w:p>
    <w:p w14:paraId="603F2239">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rPr>
        <w:t>、擅自调换甲方认可的工程物资，甲方有权拒收，乙方应赔偿甲方因此造成的损失。如甲方要求更换，应当按甲方要求办理，并承担逾期交付的责任。</w:t>
      </w:r>
    </w:p>
    <w:p w14:paraId="22160D5F">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rPr>
        <w:t>、乙方擅自使用有缺陷的工程物资或通过修理缺陷部分以使施工达到合同规定的规格、质量和性能，乙方应承担一切费用和风险并负担甲方遭受的一切损失，乙方</w:t>
      </w:r>
      <w:r>
        <w:rPr>
          <w:rFonts w:hint="eastAsia" w:ascii="宋体" w:hAnsi="宋体" w:cs="宋体"/>
          <w:color w:val="auto"/>
          <w:sz w:val="22"/>
          <w:szCs w:val="22"/>
          <w:highlight w:val="none"/>
          <w:lang w:val="en-US" w:eastAsia="zh-CN"/>
        </w:rPr>
        <w:t>应自更换工程物资</w:t>
      </w:r>
      <w:r>
        <w:rPr>
          <w:rFonts w:hint="eastAsia" w:ascii="宋体" w:hAnsi="宋体" w:cs="宋体"/>
          <w:color w:val="auto"/>
          <w:sz w:val="22"/>
          <w:szCs w:val="22"/>
          <w:highlight w:val="none"/>
        </w:rPr>
        <w:t>重新维修验收合格后</w:t>
      </w:r>
      <w:r>
        <w:rPr>
          <w:rFonts w:hint="eastAsia" w:ascii="宋体" w:hAnsi="宋体" w:cs="宋体"/>
          <w:color w:val="auto"/>
          <w:sz w:val="22"/>
          <w:szCs w:val="22"/>
          <w:highlight w:val="none"/>
          <w:lang w:val="en-US" w:eastAsia="zh-CN"/>
        </w:rPr>
        <w:t>重新计算质量保证</w:t>
      </w:r>
      <w:r>
        <w:rPr>
          <w:rFonts w:hint="eastAsia" w:ascii="宋体" w:hAnsi="宋体" w:cs="宋体"/>
          <w:color w:val="auto"/>
          <w:sz w:val="22"/>
          <w:szCs w:val="22"/>
          <w:highlight w:val="none"/>
        </w:rPr>
        <w:t>期。</w:t>
      </w:r>
    </w:p>
    <w:p w14:paraId="0541D06D">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cs="宋体"/>
          <w:color w:val="auto"/>
          <w:sz w:val="22"/>
          <w:szCs w:val="22"/>
          <w:highlight w:val="none"/>
        </w:rPr>
        <w:t>、乙方隐瞒工程物资的缺陷或使用不符合规定的工程物资而影响质量时，甲方有权要求重新施工、减少价款或不付款。如因乙方提供的工程物资出现质量问题或其他任何归责于乙方的原因造成甲方的设备出现毁损的，乙方应当赔偿甲方因此造成的损失，赔偿金额应视施工内容的损坏程度及价值而定。</w:t>
      </w:r>
    </w:p>
    <w:p w14:paraId="6E99344C">
      <w:pPr>
        <w:spacing w:line="360" w:lineRule="auto"/>
        <w:ind w:firstLine="383" w:firstLineChars="189"/>
        <w:rPr>
          <w:rFonts w:hint="eastAsia" w:cs="宋体" w:asciiTheme="minorEastAsia" w:hAnsiTheme="minorEastAsia" w:eastAsiaTheme="minorEastAsia"/>
          <w:sz w:val="22"/>
          <w:szCs w:val="22"/>
        </w:rPr>
      </w:pPr>
      <w:r>
        <w:rPr>
          <w:rFonts w:hint="eastAsia" w:cs="宋体" w:asciiTheme="minorEastAsia" w:hAnsiTheme="minorEastAsia" w:eastAsiaTheme="minorEastAsia"/>
          <w:color w:val="auto"/>
          <w:sz w:val="22"/>
          <w:szCs w:val="22"/>
          <w:highlight w:val="none"/>
          <w:lang w:val="en-US" w:eastAsia="zh-CN"/>
        </w:rPr>
        <w:t>5</w:t>
      </w:r>
      <w:r>
        <w:rPr>
          <w:rFonts w:hint="eastAsia" w:cs="宋体" w:asciiTheme="minorEastAsia" w:hAnsiTheme="minorEastAsia" w:eastAsiaTheme="minorEastAsia"/>
          <w:color w:val="auto"/>
          <w:sz w:val="22"/>
          <w:szCs w:val="22"/>
          <w:highlight w:val="none"/>
        </w:rPr>
        <w:t>、</w:t>
      </w:r>
      <w:r>
        <w:rPr>
          <w:rFonts w:hint="eastAsia" w:cs="宋体" w:asciiTheme="minorEastAsia" w:hAnsiTheme="minorEastAsia" w:eastAsiaTheme="minorEastAsia"/>
          <w:sz w:val="22"/>
          <w:szCs w:val="22"/>
        </w:rPr>
        <w:t>乙方对提供的工程材</w:t>
      </w:r>
      <w:r>
        <w:rPr>
          <w:rFonts w:hint="eastAsia" w:cs="宋体" w:asciiTheme="minorEastAsia" w:hAnsiTheme="minorEastAsia" w:eastAsiaTheme="minorEastAsia"/>
          <w:color w:val="auto"/>
          <w:sz w:val="22"/>
          <w:szCs w:val="22"/>
        </w:rPr>
        <w:t>料、设备及工程质量承担责任，如工程质量与本合同约定不符，</w:t>
      </w:r>
      <w:r>
        <w:rPr>
          <w:rFonts w:hint="eastAsia" w:cs="宋体" w:asciiTheme="minorEastAsia" w:hAnsiTheme="minorEastAsia" w:eastAsiaTheme="minorEastAsia"/>
          <w:sz w:val="22"/>
          <w:szCs w:val="22"/>
        </w:rPr>
        <w:t>甲方有权在检验、安装、调试、验收测试期限内、质量保证期内等任何时间提出索赔，甲方有权按下述一种或多种方法要求乙方赔偿：</w:t>
      </w:r>
    </w:p>
    <w:p w14:paraId="579FF8CC">
      <w:pPr>
        <w:spacing w:line="360" w:lineRule="auto"/>
        <w:ind w:firstLine="383" w:firstLineChars="189"/>
        <w:rPr>
          <w:rFonts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lang w:val="en-US" w:eastAsia="zh-CN"/>
        </w:rPr>
        <w:t>5</w:t>
      </w:r>
      <w:r>
        <w:rPr>
          <w:rFonts w:hint="eastAsia" w:cs="宋体" w:asciiTheme="minorEastAsia" w:hAnsiTheme="minorEastAsia" w:eastAsiaTheme="minorEastAsia"/>
          <w:color w:val="auto"/>
          <w:sz w:val="22"/>
          <w:szCs w:val="22"/>
          <w:highlight w:val="none"/>
        </w:rPr>
        <w:t>.1乙方同意甲方拒收工程材料、设备并把被与拒收工程材料、设备等值的价款在甲方要求的时间内以本合同规定的货币付给甲方，</w:t>
      </w:r>
      <w:r>
        <w:rPr>
          <w:rFonts w:hint="eastAsia" w:cs="宋体" w:asciiTheme="minorEastAsia" w:hAnsiTheme="minorEastAsia" w:eastAsiaTheme="minorEastAsia"/>
          <w:color w:val="auto"/>
          <w:sz w:val="22"/>
          <w:szCs w:val="22"/>
          <w:highlight w:val="none"/>
          <w:lang w:val="en-US" w:eastAsia="zh-CN"/>
        </w:rPr>
        <w:t>乙</w:t>
      </w:r>
      <w:r>
        <w:rPr>
          <w:rFonts w:hint="eastAsia" w:cs="宋体" w:asciiTheme="minorEastAsia" w:hAnsiTheme="minorEastAsia" w:eastAsiaTheme="minorEastAsia"/>
          <w:color w:val="auto"/>
          <w:sz w:val="22"/>
          <w:szCs w:val="22"/>
          <w:highlight w:val="none"/>
        </w:rPr>
        <w:t>方承担因此而发生的一切损失和费用，包括但不限于同期银行贷款利息、银行费用、运输和保险费、检验费、仓储和装卸费以及为保管和保护被拒绝工程材料、设备所需要的其他必需的费用，并赔偿因此给甲方造成的损失。</w:t>
      </w:r>
    </w:p>
    <w:p w14:paraId="0535A341">
      <w:pPr>
        <w:spacing w:line="360" w:lineRule="auto"/>
        <w:ind w:firstLine="383" w:firstLineChars="189"/>
        <w:rPr>
          <w:rFonts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lang w:val="en-US" w:eastAsia="zh-CN"/>
        </w:rPr>
        <w:t>5</w:t>
      </w:r>
      <w:r>
        <w:rPr>
          <w:rFonts w:hint="eastAsia" w:cs="宋体" w:asciiTheme="minorEastAsia" w:hAnsiTheme="minorEastAsia" w:eastAsiaTheme="minorEastAsia"/>
          <w:color w:val="auto"/>
          <w:sz w:val="22"/>
          <w:szCs w:val="22"/>
          <w:highlight w:val="none"/>
        </w:rPr>
        <w:t>.2根据工程材料、设备的瑕疵和受损程度以及甲方遭受损失的金额，经甲方同意降低工程材料、设备价格。</w:t>
      </w:r>
    </w:p>
    <w:p w14:paraId="4D830831">
      <w:pPr>
        <w:spacing w:line="360" w:lineRule="auto"/>
        <w:ind w:firstLine="383" w:firstLineChars="189"/>
        <w:rPr>
          <w:rFonts w:hint="eastAsia" w:cs="宋体" w:asciiTheme="minorEastAsia" w:hAnsiTheme="minorEastAsia" w:eastAsiaTheme="minorEastAsia"/>
          <w:color w:val="FF0000"/>
          <w:sz w:val="22"/>
          <w:szCs w:val="22"/>
        </w:rPr>
      </w:pPr>
      <w:r>
        <w:rPr>
          <w:rFonts w:hint="eastAsia" w:cs="宋体" w:asciiTheme="minorEastAsia" w:hAnsiTheme="minorEastAsia" w:eastAsiaTheme="minorEastAsia"/>
          <w:color w:val="auto"/>
          <w:sz w:val="22"/>
          <w:szCs w:val="22"/>
          <w:highlight w:val="none"/>
          <w:lang w:val="en-US" w:eastAsia="zh-CN"/>
        </w:rPr>
        <w:t>5</w:t>
      </w:r>
      <w:r>
        <w:rPr>
          <w:rFonts w:hint="eastAsia" w:cs="宋体" w:asciiTheme="minorEastAsia" w:hAnsiTheme="minorEastAsia" w:eastAsiaTheme="minorEastAsia"/>
          <w:color w:val="auto"/>
          <w:sz w:val="22"/>
          <w:szCs w:val="22"/>
          <w:highlight w:val="none"/>
        </w:rPr>
        <w:t>.3</w:t>
      </w:r>
      <w:r>
        <w:rPr>
          <w:rFonts w:hint="eastAsia" w:cs="宋体" w:asciiTheme="minorEastAsia" w:hAnsiTheme="minorEastAsia" w:eastAsiaTheme="minorEastAsia"/>
          <w:color w:val="auto"/>
          <w:sz w:val="22"/>
          <w:szCs w:val="22"/>
        </w:rPr>
        <w:t>更换有缺陷的工程材料、零件、部件、设备或修理缺陷部分，以达到本合同规定的规格、质量和性能，乙方承担一切费用和风险并负担甲方遭受的一切损失，同时乙方应相应延长被修理或更换工程材料、设备的质量保证期但不延长工程周期，逾期交付的乙方需承担本条第1款违约责任，更换后仍无法满足国家、行业及合同约定的标准，甲方有权单方解除合同，并</w:t>
      </w:r>
      <w:r>
        <w:rPr>
          <w:rFonts w:hint="eastAsia" w:ascii="宋体" w:hAnsi="宋体" w:cs="宋体"/>
          <w:color w:val="auto"/>
          <w:sz w:val="22"/>
          <w:szCs w:val="22"/>
        </w:rPr>
        <w:t>拒付合同款，乙方除退还甲方已付款项外还须赔偿由此给甲方造成的一切损失</w:t>
      </w:r>
      <w:r>
        <w:rPr>
          <w:rFonts w:hint="eastAsia" w:cs="宋体" w:asciiTheme="minorEastAsia" w:hAnsiTheme="minorEastAsia" w:eastAsiaTheme="minorEastAsia"/>
          <w:color w:val="auto"/>
          <w:sz w:val="22"/>
          <w:szCs w:val="22"/>
        </w:rPr>
        <w:t>。</w:t>
      </w:r>
    </w:p>
    <w:p w14:paraId="6D3DC88E">
      <w:pPr>
        <w:spacing w:line="360" w:lineRule="auto"/>
        <w:ind w:firstLine="383" w:firstLineChars="189"/>
        <w:rPr>
          <w:rFonts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lang w:val="en-US" w:eastAsia="zh-CN"/>
        </w:rPr>
        <w:t>6</w:t>
      </w:r>
      <w:r>
        <w:rPr>
          <w:rFonts w:hint="eastAsia" w:cs="宋体" w:asciiTheme="minorEastAsia" w:hAnsiTheme="minorEastAsia" w:eastAsiaTheme="minorEastAsia"/>
          <w:color w:val="auto"/>
          <w:sz w:val="22"/>
          <w:szCs w:val="22"/>
          <w:highlight w:val="none"/>
        </w:rPr>
        <w:t>、如果甲方就乙方的工程材料、设备质量问题提出索赔通知后 10 日内乙方未能予以答复，该索赔视为已被乙方接受。若乙方未能在甲方提出索赔通知后 10 日内或甲方同意的更长一些的时间内，按甲方同意的上述任何一种方式处理索赔事宜，甲方将从货款中扣回索赔金额，同时保留进一步要求赔偿的权利。</w:t>
      </w:r>
    </w:p>
    <w:p w14:paraId="59B64E34">
      <w:pPr>
        <w:spacing w:line="360" w:lineRule="auto"/>
        <w:ind w:firstLine="383" w:firstLineChars="189"/>
        <w:rPr>
          <w:rFonts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lang w:val="en-US" w:eastAsia="zh-CN"/>
        </w:rPr>
        <w:t>7</w:t>
      </w:r>
      <w:r>
        <w:rPr>
          <w:rFonts w:hint="eastAsia" w:cs="宋体" w:asciiTheme="minorEastAsia" w:hAnsiTheme="minorEastAsia" w:eastAsiaTheme="minorEastAsia"/>
          <w:color w:val="auto"/>
          <w:sz w:val="22"/>
          <w:szCs w:val="22"/>
          <w:highlight w:val="none"/>
        </w:rPr>
        <w:t>、如乙方违反本合同质量保证条款，则甲方有权视情况扣除部分或全部质量保证金作为甲方的违约金，并且乙方应赔偿因此给甲方造成的一切损失。乙方不能及时到现场履行质量维修义务，每延迟一天应承担合同价款20 ‰的违约金（合同额不足10万元按照2000元/天计取），且不免除维修的责任。违约金在质保金中扣除。</w:t>
      </w:r>
    </w:p>
    <w:p w14:paraId="0A2E7DB2">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8</w:t>
      </w:r>
      <w:r>
        <w:rPr>
          <w:rFonts w:hint="eastAsia" w:ascii="宋体" w:hAnsi="宋体" w:cs="宋体"/>
          <w:color w:val="auto"/>
          <w:sz w:val="22"/>
          <w:szCs w:val="22"/>
          <w:highlight w:val="none"/>
        </w:rPr>
        <w:t>、</w:t>
      </w:r>
      <w:r>
        <w:rPr>
          <w:color w:val="auto"/>
          <w:highlight w:val="none"/>
        </w:rPr>
        <w:t>因</w:t>
      </w:r>
      <w:r>
        <w:rPr>
          <w:rFonts w:hint="eastAsia"/>
          <w:color w:val="auto"/>
          <w:highlight w:val="none"/>
        </w:rPr>
        <w:t>乙方</w:t>
      </w:r>
      <w:r>
        <w:rPr>
          <w:color w:val="auto"/>
          <w:highlight w:val="none"/>
        </w:rPr>
        <w:t>发票违规给</w:t>
      </w:r>
      <w:r>
        <w:rPr>
          <w:rFonts w:hint="eastAsia"/>
          <w:color w:val="auto"/>
          <w:highlight w:val="none"/>
        </w:rPr>
        <w:t>甲</w:t>
      </w:r>
      <w:r>
        <w:rPr>
          <w:color w:val="auto"/>
          <w:highlight w:val="none"/>
        </w:rPr>
        <w:t>方造成的增值税、所得税等损失，由</w:t>
      </w:r>
      <w:r>
        <w:rPr>
          <w:rFonts w:hint="eastAsia"/>
          <w:color w:val="auto"/>
          <w:highlight w:val="none"/>
        </w:rPr>
        <w:t>乙</w:t>
      </w:r>
      <w:r>
        <w:rPr>
          <w:color w:val="auto"/>
          <w:highlight w:val="none"/>
        </w:rPr>
        <w:t>方承担相关责任，包括但不限于税款、滞纳金、罚款及其它相关损失</w:t>
      </w:r>
      <w:r>
        <w:rPr>
          <w:rFonts w:hint="eastAsia"/>
          <w:color w:val="auto"/>
          <w:highlight w:val="none"/>
        </w:rPr>
        <w:t>。</w:t>
      </w:r>
    </w:p>
    <w:p w14:paraId="23B7C363">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lang w:val="en-US" w:eastAsia="zh-CN"/>
        </w:rPr>
        <w:t>9</w:t>
      </w:r>
      <w:r>
        <w:rPr>
          <w:rFonts w:hint="eastAsia" w:ascii="宋体" w:hAnsi="宋体" w:cs="宋体"/>
          <w:color w:val="auto"/>
          <w:sz w:val="22"/>
          <w:szCs w:val="22"/>
          <w:highlight w:val="none"/>
        </w:rPr>
        <w:t>、如果乙方违反本合同其他约定（包括本合同及所有附件），应赔偿因此给甲方造成的一切损失。</w:t>
      </w:r>
    </w:p>
    <w:p w14:paraId="1EFD917B">
      <w:pPr>
        <w:spacing w:line="360" w:lineRule="auto"/>
        <w:rPr>
          <w:rFonts w:ascii="宋体" w:hAnsi="宋体" w:cs="宋体"/>
          <w:b/>
          <w:color w:val="auto"/>
          <w:sz w:val="22"/>
          <w:szCs w:val="22"/>
          <w:highlight w:val="none"/>
        </w:rPr>
      </w:pPr>
      <w:r>
        <w:rPr>
          <w:rFonts w:hint="eastAsia" w:ascii="宋体" w:hAnsi="宋体" w:cs="宋体"/>
          <w:b/>
          <w:color w:val="auto"/>
          <w:sz w:val="22"/>
          <w:szCs w:val="22"/>
          <w:highlight w:val="none"/>
        </w:rPr>
        <w:t>九、纠纷的处理</w:t>
      </w:r>
    </w:p>
    <w:p w14:paraId="360EC85E">
      <w:pPr>
        <w:spacing w:line="360" w:lineRule="auto"/>
        <w:ind w:firstLine="508" w:firstLineChars="250"/>
        <w:rPr>
          <w:rFonts w:ascii="宋体" w:hAnsi="宋体" w:cs="宋体"/>
          <w:b/>
          <w:color w:val="auto"/>
          <w:sz w:val="22"/>
          <w:szCs w:val="22"/>
          <w:highlight w:val="none"/>
        </w:rPr>
      </w:pPr>
      <w:r>
        <w:rPr>
          <w:rFonts w:hint="eastAsia" w:ascii="宋体" w:hAnsi="宋体" w:cs="宋体"/>
          <w:color w:val="auto"/>
          <w:sz w:val="22"/>
          <w:szCs w:val="22"/>
          <w:highlight w:val="none"/>
        </w:rPr>
        <w:t>解决合同纠纷的方式：双方协商解决，如双方协商解决不成，向甲方所在地人民法院提起诉讼。</w:t>
      </w:r>
    </w:p>
    <w:p w14:paraId="2C021CBB">
      <w:pPr>
        <w:spacing w:line="360" w:lineRule="auto"/>
        <w:rPr>
          <w:rFonts w:ascii="宋体" w:hAnsi="宋体" w:cs="宋体"/>
          <w:b/>
          <w:color w:val="auto"/>
          <w:sz w:val="22"/>
          <w:szCs w:val="22"/>
          <w:highlight w:val="none"/>
        </w:rPr>
      </w:pPr>
      <w:r>
        <w:rPr>
          <w:rFonts w:hint="eastAsia" w:ascii="宋体" w:hAnsi="宋体" w:cs="宋体"/>
          <w:b/>
          <w:color w:val="auto"/>
          <w:sz w:val="22"/>
          <w:szCs w:val="22"/>
          <w:highlight w:val="none"/>
        </w:rPr>
        <w:t>十、附件</w:t>
      </w:r>
    </w:p>
    <w:p w14:paraId="2428F987">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1、双方签订的技术协议作为本合同的附件，具有与合同相同的法律效力。</w:t>
      </w:r>
    </w:p>
    <w:p w14:paraId="654827F9">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2、合同未尽事宜，须经双方共同协商，做出补充协议，补充协议与本合同具有同等效力。本合同附件均为本合同的组成部分，具有同等的法律效力。</w:t>
      </w:r>
    </w:p>
    <w:p w14:paraId="7ADD0CB1">
      <w:pPr>
        <w:spacing w:line="360" w:lineRule="auto"/>
        <w:ind w:firstLine="406" w:firstLineChars="200"/>
        <w:rPr>
          <w:rFonts w:ascii="宋体" w:hAnsi="宋体" w:cs="宋体"/>
          <w:color w:val="auto"/>
          <w:sz w:val="22"/>
          <w:szCs w:val="22"/>
          <w:highlight w:val="none"/>
        </w:rPr>
      </w:pPr>
      <w:r>
        <w:rPr>
          <w:rFonts w:hint="eastAsia" w:ascii="宋体" w:hAnsi="宋体" w:cs="宋体"/>
          <w:color w:val="auto"/>
          <w:sz w:val="22"/>
          <w:szCs w:val="22"/>
          <w:highlight w:val="none"/>
        </w:rPr>
        <w:t>3、本合同自双方签署之日起生效。本合同一式五份，甲方四份，乙方一份。</w:t>
      </w:r>
    </w:p>
    <w:p w14:paraId="37699C77">
      <w:pPr>
        <w:widowControl/>
        <w:adjustRightInd w:val="0"/>
        <w:snapToGrid w:val="0"/>
        <w:spacing w:line="360" w:lineRule="auto"/>
        <w:jc w:val="left"/>
        <w:rPr>
          <w:rFonts w:ascii="宋体" w:hAnsi="宋体"/>
          <w:snapToGrid w:val="0"/>
          <w:color w:val="auto"/>
          <w:kern w:val="0"/>
          <w:sz w:val="22"/>
          <w:szCs w:val="22"/>
          <w:highlight w:val="none"/>
          <w:lang w:eastAsia="zh-Hans"/>
        </w:rPr>
      </w:pPr>
      <w:r>
        <w:rPr>
          <w:rFonts w:hint="eastAsia" w:ascii="宋体" w:hAnsi="宋体"/>
          <w:snapToGrid w:val="0"/>
          <w:color w:val="auto"/>
          <w:kern w:val="0"/>
          <w:sz w:val="22"/>
          <w:szCs w:val="22"/>
          <w:highlight w:val="none"/>
          <w:lang w:eastAsia="zh-Hans"/>
        </w:rPr>
        <w:t>甲方</w:t>
      </w:r>
      <w:r>
        <w:rPr>
          <w:rFonts w:hint="eastAsia" w:ascii="宋体" w:hAnsi="宋体"/>
          <w:snapToGrid w:val="0"/>
          <w:color w:val="auto"/>
          <w:kern w:val="0"/>
          <w:sz w:val="22"/>
          <w:szCs w:val="22"/>
          <w:highlight w:val="none"/>
        </w:rPr>
        <w:t>（盖章）</w:t>
      </w:r>
      <w:r>
        <w:rPr>
          <w:rFonts w:hint="eastAsia" w:ascii="宋体" w:hAnsi="宋体"/>
          <w:snapToGrid w:val="0"/>
          <w:color w:val="auto"/>
          <w:kern w:val="0"/>
          <w:sz w:val="22"/>
          <w:szCs w:val="22"/>
          <w:highlight w:val="none"/>
          <w:lang w:eastAsia="zh-Hans"/>
        </w:rPr>
        <w:t xml:space="preserve">：                    </w:t>
      </w:r>
      <w:r>
        <w:rPr>
          <w:rFonts w:hint="eastAsia" w:ascii="宋体" w:hAnsi="宋体"/>
          <w:snapToGrid w:val="0"/>
          <w:color w:val="auto"/>
          <w:kern w:val="0"/>
          <w:sz w:val="22"/>
          <w:szCs w:val="22"/>
          <w:highlight w:val="none"/>
        </w:rPr>
        <w:t xml:space="preserve">           </w:t>
      </w:r>
      <w:r>
        <w:rPr>
          <w:rFonts w:hint="eastAsia" w:ascii="宋体" w:hAnsi="宋体"/>
          <w:snapToGrid w:val="0"/>
          <w:color w:val="auto"/>
          <w:kern w:val="0"/>
          <w:sz w:val="22"/>
          <w:szCs w:val="22"/>
          <w:highlight w:val="none"/>
          <w:lang w:eastAsia="zh-Hans"/>
        </w:rPr>
        <w:t>乙方</w:t>
      </w:r>
      <w:r>
        <w:rPr>
          <w:rFonts w:hint="eastAsia" w:ascii="宋体" w:hAnsi="宋体"/>
          <w:snapToGrid w:val="0"/>
          <w:color w:val="auto"/>
          <w:kern w:val="0"/>
          <w:sz w:val="22"/>
          <w:szCs w:val="22"/>
          <w:highlight w:val="none"/>
        </w:rPr>
        <w:t>（盖章）</w:t>
      </w:r>
      <w:r>
        <w:rPr>
          <w:rFonts w:hint="eastAsia" w:ascii="宋体" w:hAnsi="宋体"/>
          <w:snapToGrid w:val="0"/>
          <w:color w:val="auto"/>
          <w:kern w:val="0"/>
          <w:sz w:val="22"/>
          <w:szCs w:val="22"/>
          <w:highlight w:val="none"/>
          <w:lang w:eastAsia="zh-Hans"/>
        </w:rPr>
        <w:t>：</w:t>
      </w:r>
    </w:p>
    <w:p w14:paraId="338A0309">
      <w:pPr>
        <w:widowControl/>
        <w:adjustRightInd w:val="0"/>
        <w:snapToGrid w:val="0"/>
        <w:spacing w:line="360" w:lineRule="auto"/>
        <w:jc w:val="left"/>
        <w:rPr>
          <w:rFonts w:ascii="宋体" w:hAnsi="宋体" w:cs="宋体"/>
          <w:snapToGrid w:val="0"/>
          <w:color w:val="auto"/>
          <w:kern w:val="0"/>
          <w:sz w:val="22"/>
          <w:szCs w:val="22"/>
          <w:highlight w:val="none"/>
          <w:lang w:eastAsia="zh-Hans"/>
        </w:rPr>
      </w:pPr>
      <w:r>
        <w:rPr>
          <w:rFonts w:hint="eastAsia" w:ascii="宋体" w:hAnsi="宋体" w:cs="宋体"/>
          <w:snapToGrid w:val="0"/>
          <w:color w:val="auto"/>
          <w:kern w:val="0"/>
          <w:sz w:val="22"/>
          <w:szCs w:val="22"/>
          <w:highlight w:val="none"/>
          <w:lang w:eastAsia="zh-Hans"/>
        </w:rPr>
        <w:t>法定代表人或代理人（签字）：                 法定代表人或代理人（签字）：</w:t>
      </w:r>
    </w:p>
    <w:p w14:paraId="43434158">
      <w:pPr>
        <w:widowControl/>
        <w:adjustRightInd w:val="0"/>
        <w:snapToGrid w:val="0"/>
        <w:spacing w:line="360" w:lineRule="auto"/>
        <w:ind w:left="5468" w:hanging="5481" w:hangingChars="2700"/>
        <w:jc w:val="left"/>
        <w:rPr>
          <w:rFonts w:hint="default" w:ascii="宋体" w:hAnsi="宋体" w:eastAsia="宋体" w:cs="宋体"/>
          <w:snapToGrid w:val="0"/>
          <w:color w:val="auto"/>
          <w:kern w:val="0"/>
          <w:sz w:val="22"/>
          <w:szCs w:val="22"/>
          <w:highlight w:val="none"/>
          <w:lang w:val="en-US" w:eastAsia="zh-CN"/>
        </w:rPr>
      </w:pPr>
      <w:r>
        <w:rPr>
          <w:rFonts w:hint="eastAsia" w:ascii="宋体" w:hAnsi="宋体" w:cs="宋体"/>
          <w:snapToGrid w:val="0"/>
          <w:color w:val="auto"/>
          <w:kern w:val="0"/>
          <w:sz w:val="22"/>
          <w:szCs w:val="22"/>
          <w:highlight w:val="none"/>
          <w:lang w:eastAsia="zh-Hans"/>
        </w:rPr>
        <w:t xml:space="preserve">地  址： </w:t>
      </w:r>
      <w:r>
        <w:rPr>
          <w:rFonts w:hint="eastAsia" w:ascii="宋体" w:hAnsi="宋体" w:cs="宋体"/>
          <w:color w:val="auto"/>
          <w:sz w:val="22"/>
          <w:szCs w:val="22"/>
          <w:highlight w:val="none"/>
        </w:rPr>
        <w:t>聊城市经济开发区黄河路261号</w:t>
      </w:r>
      <w:r>
        <w:rPr>
          <w:rFonts w:hint="eastAsia" w:ascii="宋体" w:hAnsi="宋体" w:cs="宋体"/>
          <w:snapToGrid w:val="0"/>
          <w:color w:val="auto"/>
          <w:kern w:val="0"/>
          <w:sz w:val="22"/>
          <w:szCs w:val="22"/>
          <w:highlight w:val="none"/>
          <w:lang w:eastAsia="zh-Hans"/>
        </w:rPr>
        <w:t xml:space="preserve">        地  址：</w:t>
      </w:r>
      <w:r>
        <w:rPr>
          <w:rFonts w:hint="eastAsia" w:ascii="宋体" w:hAnsi="宋体" w:cs="宋体"/>
          <w:snapToGrid w:val="0"/>
          <w:color w:val="auto"/>
          <w:kern w:val="0"/>
          <w:sz w:val="22"/>
          <w:szCs w:val="22"/>
          <w:highlight w:val="none"/>
          <w:lang w:val="en-US" w:eastAsia="zh-CN"/>
        </w:rPr>
        <w:t xml:space="preserve"> </w:t>
      </w:r>
    </w:p>
    <w:p w14:paraId="467BB783">
      <w:pPr>
        <w:widowControl/>
        <w:adjustRightInd w:val="0"/>
        <w:snapToGrid w:val="0"/>
        <w:spacing w:line="360" w:lineRule="auto"/>
        <w:jc w:val="left"/>
        <w:rPr>
          <w:rFonts w:hint="default" w:ascii="宋体" w:hAnsi="宋体" w:eastAsia="宋体" w:cs="宋体"/>
          <w:snapToGrid w:val="0"/>
          <w:color w:val="auto"/>
          <w:kern w:val="0"/>
          <w:sz w:val="22"/>
          <w:szCs w:val="22"/>
          <w:highlight w:val="none"/>
          <w:lang w:val="en-US" w:eastAsia="zh-CN"/>
        </w:rPr>
      </w:pPr>
      <w:r>
        <w:rPr>
          <w:rFonts w:hint="eastAsia" w:ascii="宋体" w:hAnsi="宋体" w:cs="宋体"/>
          <w:snapToGrid w:val="0"/>
          <w:color w:val="auto"/>
          <w:kern w:val="0"/>
          <w:sz w:val="22"/>
          <w:szCs w:val="22"/>
          <w:highlight w:val="none"/>
          <w:lang w:eastAsia="zh-Hans"/>
        </w:rPr>
        <w:t>电话：</w:t>
      </w:r>
      <w:r>
        <w:rPr>
          <w:rFonts w:hint="eastAsia" w:ascii="宋体" w:hAnsi="宋体" w:cs="宋体"/>
          <w:color w:val="auto"/>
          <w:sz w:val="22"/>
          <w:szCs w:val="22"/>
          <w:highlight w:val="none"/>
        </w:rPr>
        <w:t>0635——8322161</w:t>
      </w:r>
      <w:r>
        <w:rPr>
          <w:rFonts w:hint="eastAsia" w:ascii="宋体" w:hAnsi="宋体" w:cs="宋体"/>
          <w:snapToGrid w:val="0"/>
          <w:color w:val="auto"/>
          <w:kern w:val="0"/>
          <w:sz w:val="22"/>
          <w:szCs w:val="22"/>
          <w:highlight w:val="none"/>
          <w:lang w:eastAsia="zh-Hans"/>
        </w:rPr>
        <w:t xml:space="preserve">                       </w:t>
      </w:r>
      <w:r>
        <w:rPr>
          <w:rFonts w:hint="eastAsia" w:ascii="宋体" w:hAnsi="宋体" w:cs="宋体"/>
          <w:snapToGrid w:val="0"/>
          <w:color w:val="auto"/>
          <w:kern w:val="0"/>
          <w:sz w:val="22"/>
          <w:szCs w:val="22"/>
          <w:highlight w:val="none"/>
        </w:rPr>
        <w:t xml:space="preserve"> </w:t>
      </w:r>
      <w:r>
        <w:rPr>
          <w:rFonts w:hint="eastAsia" w:ascii="宋体" w:hAnsi="宋体" w:cs="宋体"/>
          <w:snapToGrid w:val="0"/>
          <w:color w:val="auto"/>
          <w:kern w:val="0"/>
          <w:sz w:val="22"/>
          <w:szCs w:val="22"/>
          <w:highlight w:val="none"/>
          <w:lang w:eastAsia="zh-Hans"/>
        </w:rPr>
        <w:t>电话：</w:t>
      </w:r>
      <w:r>
        <w:rPr>
          <w:rFonts w:hint="eastAsia" w:ascii="宋体" w:hAnsi="宋体" w:cs="宋体"/>
          <w:snapToGrid w:val="0"/>
          <w:color w:val="auto"/>
          <w:kern w:val="0"/>
          <w:sz w:val="22"/>
          <w:szCs w:val="22"/>
          <w:highlight w:val="none"/>
          <w:lang w:val="en-US" w:eastAsia="zh-CN"/>
        </w:rPr>
        <w:t xml:space="preserve"> </w:t>
      </w:r>
    </w:p>
    <w:p w14:paraId="17F53156">
      <w:pPr>
        <w:widowControl/>
        <w:adjustRightInd w:val="0"/>
        <w:snapToGrid w:val="0"/>
        <w:spacing w:line="360" w:lineRule="auto"/>
        <w:jc w:val="left"/>
        <w:rPr>
          <w:rFonts w:ascii="宋体" w:hAnsi="宋体" w:cs="宋体"/>
          <w:snapToGrid w:val="0"/>
          <w:color w:val="auto"/>
          <w:kern w:val="0"/>
          <w:sz w:val="22"/>
          <w:szCs w:val="22"/>
          <w:highlight w:val="none"/>
          <w:lang w:eastAsia="zh-Hans"/>
        </w:rPr>
      </w:pPr>
      <w:r>
        <w:rPr>
          <w:rFonts w:hint="eastAsia" w:ascii="宋体" w:hAnsi="宋体" w:cs="宋体"/>
          <w:snapToGrid w:val="0"/>
          <w:color w:val="auto"/>
          <w:kern w:val="0"/>
          <w:sz w:val="22"/>
          <w:szCs w:val="22"/>
          <w:highlight w:val="none"/>
          <w:lang w:eastAsia="zh-Hans"/>
        </w:rPr>
        <w:t>传真：</w:t>
      </w:r>
      <w:r>
        <w:rPr>
          <w:rFonts w:hint="eastAsia" w:ascii="宋体" w:hAnsi="宋体" w:cs="宋体"/>
          <w:color w:val="auto"/>
          <w:sz w:val="22"/>
          <w:szCs w:val="22"/>
          <w:highlight w:val="none"/>
        </w:rPr>
        <w:t>0635——8322557</w:t>
      </w:r>
      <w:r>
        <w:rPr>
          <w:rFonts w:hint="eastAsia" w:ascii="宋体" w:hAnsi="宋体" w:cs="宋体"/>
          <w:snapToGrid w:val="0"/>
          <w:color w:val="auto"/>
          <w:kern w:val="0"/>
          <w:sz w:val="22"/>
          <w:szCs w:val="22"/>
          <w:highlight w:val="none"/>
          <w:lang w:eastAsia="zh-Hans"/>
        </w:rPr>
        <w:t xml:space="preserve">                        传真： </w:t>
      </w:r>
    </w:p>
    <w:p w14:paraId="2E533096">
      <w:pPr>
        <w:widowControl/>
        <w:adjustRightInd w:val="0"/>
        <w:snapToGrid w:val="0"/>
        <w:spacing w:line="360" w:lineRule="auto"/>
        <w:jc w:val="left"/>
        <w:rPr>
          <w:rFonts w:hint="default" w:ascii="宋体" w:hAnsi="宋体" w:eastAsia="宋体" w:cs="宋体"/>
          <w:snapToGrid w:val="0"/>
          <w:color w:val="auto"/>
          <w:kern w:val="0"/>
          <w:sz w:val="22"/>
          <w:szCs w:val="22"/>
          <w:highlight w:val="none"/>
          <w:lang w:val="en-US" w:eastAsia="zh-CN"/>
        </w:rPr>
      </w:pPr>
      <w:r>
        <w:rPr>
          <w:rFonts w:hint="eastAsia" w:ascii="宋体" w:hAnsi="宋体" w:cs="宋体"/>
          <w:snapToGrid w:val="0"/>
          <w:color w:val="auto"/>
          <w:kern w:val="0"/>
          <w:sz w:val="22"/>
          <w:szCs w:val="22"/>
          <w:highlight w:val="none"/>
          <w:lang w:eastAsia="zh-Hans"/>
        </w:rPr>
        <w:t>开户银行：</w:t>
      </w:r>
      <w:r>
        <w:rPr>
          <w:rFonts w:hint="eastAsia" w:ascii="宋体" w:hAnsi="宋体" w:cs="宋体"/>
          <w:color w:val="auto"/>
          <w:sz w:val="22"/>
          <w:szCs w:val="22"/>
          <w:highlight w:val="none"/>
        </w:rPr>
        <w:t>中国工商银行聊城振兴路支行</w:t>
      </w:r>
      <w:r>
        <w:rPr>
          <w:rFonts w:hint="eastAsia" w:ascii="宋体" w:hAnsi="宋体" w:cs="宋体"/>
          <w:snapToGrid w:val="0"/>
          <w:color w:val="auto"/>
          <w:kern w:val="0"/>
          <w:sz w:val="22"/>
          <w:szCs w:val="22"/>
          <w:highlight w:val="none"/>
          <w:lang w:eastAsia="zh-Hans"/>
        </w:rPr>
        <w:t xml:space="preserve">         开户银行：</w:t>
      </w:r>
      <w:r>
        <w:rPr>
          <w:rFonts w:hint="eastAsia" w:ascii="宋体" w:hAnsi="宋体" w:cs="宋体"/>
          <w:snapToGrid w:val="0"/>
          <w:color w:val="auto"/>
          <w:kern w:val="0"/>
          <w:sz w:val="22"/>
          <w:szCs w:val="22"/>
          <w:highlight w:val="none"/>
          <w:lang w:val="en-US" w:eastAsia="zh-CN"/>
        </w:rPr>
        <w:t xml:space="preserve"> </w:t>
      </w:r>
    </w:p>
    <w:p w14:paraId="03DB4077">
      <w:pPr>
        <w:widowControl/>
        <w:adjustRightInd w:val="0"/>
        <w:snapToGrid w:val="0"/>
        <w:spacing w:line="360" w:lineRule="auto"/>
        <w:jc w:val="left"/>
        <w:rPr>
          <w:rFonts w:hint="default" w:ascii="宋体" w:hAnsi="宋体" w:eastAsia="宋体"/>
          <w:snapToGrid w:val="0"/>
          <w:color w:val="auto"/>
          <w:kern w:val="0"/>
          <w:sz w:val="22"/>
          <w:szCs w:val="22"/>
          <w:highlight w:val="none"/>
          <w:lang w:val="en-US" w:eastAsia="zh-CN"/>
        </w:rPr>
      </w:pPr>
      <w:r>
        <w:rPr>
          <w:rFonts w:hint="eastAsia" w:ascii="宋体" w:hAnsi="宋体" w:cs="宋体"/>
          <w:snapToGrid w:val="0"/>
          <w:color w:val="auto"/>
          <w:kern w:val="0"/>
          <w:sz w:val="22"/>
          <w:szCs w:val="22"/>
          <w:highlight w:val="none"/>
          <w:lang w:eastAsia="zh-Hans"/>
        </w:rPr>
        <w:t>账  号：</w:t>
      </w:r>
      <w:r>
        <w:rPr>
          <w:rFonts w:hint="eastAsia" w:ascii="宋体" w:hAnsi="宋体" w:cs="宋体"/>
          <w:color w:val="auto"/>
          <w:sz w:val="22"/>
          <w:szCs w:val="22"/>
          <w:highlight w:val="none"/>
        </w:rPr>
        <w:t>1611002309022106210</w:t>
      </w:r>
      <w:r>
        <w:rPr>
          <w:rFonts w:hint="eastAsia" w:ascii="宋体" w:hAnsi="宋体" w:cs="宋体"/>
          <w:snapToGrid w:val="0"/>
          <w:color w:val="auto"/>
          <w:kern w:val="0"/>
          <w:sz w:val="22"/>
          <w:szCs w:val="22"/>
          <w:highlight w:val="none"/>
          <w:lang w:eastAsia="zh-Hans"/>
        </w:rPr>
        <w:t xml:space="preserve">     </w:t>
      </w:r>
      <w:r>
        <w:rPr>
          <w:rFonts w:ascii="宋体" w:hAnsi="宋体"/>
          <w:snapToGrid w:val="0"/>
          <w:color w:val="auto"/>
          <w:kern w:val="0"/>
          <w:sz w:val="22"/>
          <w:szCs w:val="22"/>
          <w:highlight w:val="none"/>
          <w:lang w:eastAsia="zh-Hans"/>
        </w:rPr>
        <w:t xml:space="preserve">             账 号：</w:t>
      </w:r>
      <w:r>
        <w:rPr>
          <w:rFonts w:hint="eastAsia" w:ascii="宋体" w:hAnsi="宋体"/>
          <w:snapToGrid w:val="0"/>
          <w:color w:val="auto"/>
          <w:kern w:val="0"/>
          <w:sz w:val="22"/>
          <w:szCs w:val="22"/>
          <w:highlight w:val="none"/>
          <w:lang w:val="en-US" w:eastAsia="zh-CN"/>
        </w:rPr>
        <w:t xml:space="preserve"> </w:t>
      </w:r>
    </w:p>
    <w:p w14:paraId="725149BE">
      <w:pPr>
        <w:spacing w:line="360" w:lineRule="auto"/>
        <w:rPr>
          <w:rFonts w:ascii="宋体" w:hAnsi="宋体" w:cs="宋体"/>
          <w:b/>
          <w:bCs/>
          <w:color w:val="000000" w:themeColor="text1"/>
          <w:sz w:val="22"/>
          <w:szCs w:val="22"/>
          <w:highlight w:val="none"/>
          <w14:textFill>
            <w14:solidFill>
              <w14:schemeClr w14:val="tx1"/>
            </w14:solidFill>
          </w14:textFill>
        </w:rPr>
      </w:pPr>
    </w:p>
    <w:p w14:paraId="292FA729">
      <w:pPr>
        <w:spacing w:line="360" w:lineRule="auto"/>
        <w:rPr>
          <w:rFonts w:ascii="宋体" w:hAnsi="宋体" w:cs="宋体"/>
          <w:b/>
          <w:bCs/>
          <w:color w:val="000000" w:themeColor="text1"/>
          <w:sz w:val="22"/>
          <w:szCs w:val="22"/>
          <w:highlight w:val="none"/>
          <w14:textFill>
            <w14:solidFill>
              <w14:schemeClr w14:val="tx1"/>
            </w14:solidFill>
          </w14:textFill>
        </w:rPr>
      </w:pPr>
    </w:p>
    <w:p w14:paraId="49881C5A">
      <w:pPr>
        <w:spacing w:line="360" w:lineRule="auto"/>
        <w:rPr>
          <w:rFonts w:ascii="宋体" w:hAnsi="宋体" w:cs="宋体"/>
          <w:b/>
          <w:bCs/>
          <w:color w:val="000000" w:themeColor="text1"/>
          <w:sz w:val="22"/>
          <w:szCs w:val="22"/>
          <w:highlight w:val="none"/>
          <w14:textFill>
            <w14:solidFill>
              <w14:schemeClr w14:val="tx1"/>
            </w14:solidFill>
          </w14:textFill>
        </w:rPr>
      </w:pPr>
    </w:p>
    <w:p w14:paraId="336B6A89">
      <w:pPr>
        <w:rPr>
          <w:color w:val="000000" w:themeColor="text1"/>
          <w:highlight w:val="none"/>
          <w14:textFill>
            <w14:solidFill>
              <w14:schemeClr w14:val="tx1"/>
            </w14:solidFill>
          </w14:textFill>
        </w:rPr>
      </w:pPr>
    </w:p>
    <w:sectPr>
      <w:pgSz w:w="11906" w:h="16838"/>
      <w:pgMar w:top="1091" w:right="1075" w:bottom="851" w:left="1231" w:header="851" w:footer="992" w:gutter="0"/>
      <w:cols w:space="720" w:num="1"/>
      <w:docGrid w:type="linesAndChars" w:linePitch="286" w:charSpace="-35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95C60E"/>
    <w:multiLevelType w:val="singleLevel"/>
    <w:tmpl w:val="BC95C60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93"/>
  <w:drawingGridVerticalSpacing w:val="143"/>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FlODQyNTdhOTllNjNjYmNhMDE5YjBmYzhlZWRjYTcifQ=="/>
    <w:docVar w:name="KSO_WPS_MARK_KEY" w:val="69b6fac0-90de-4490-b127-16610a94593f"/>
  </w:docVars>
  <w:rsids>
    <w:rsidRoot w:val="00172A27"/>
    <w:rsid w:val="00003621"/>
    <w:rsid w:val="001163E0"/>
    <w:rsid w:val="00126194"/>
    <w:rsid w:val="00151D03"/>
    <w:rsid w:val="00172A27"/>
    <w:rsid w:val="00186F0A"/>
    <w:rsid w:val="001B5ED0"/>
    <w:rsid w:val="00307062"/>
    <w:rsid w:val="004547BE"/>
    <w:rsid w:val="00473506"/>
    <w:rsid w:val="005673BE"/>
    <w:rsid w:val="005C109E"/>
    <w:rsid w:val="005E1990"/>
    <w:rsid w:val="00760BE5"/>
    <w:rsid w:val="0079332F"/>
    <w:rsid w:val="007A3ABD"/>
    <w:rsid w:val="00816582"/>
    <w:rsid w:val="0083247E"/>
    <w:rsid w:val="00877D2F"/>
    <w:rsid w:val="008C6F08"/>
    <w:rsid w:val="008D589B"/>
    <w:rsid w:val="008F6BB0"/>
    <w:rsid w:val="00947398"/>
    <w:rsid w:val="00950F33"/>
    <w:rsid w:val="009A3D96"/>
    <w:rsid w:val="009D3985"/>
    <w:rsid w:val="00A0596E"/>
    <w:rsid w:val="00A75B41"/>
    <w:rsid w:val="00B048FE"/>
    <w:rsid w:val="00B15C53"/>
    <w:rsid w:val="00B86A97"/>
    <w:rsid w:val="00C25666"/>
    <w:rsid w:val="00C4384F"/>
    <w:rsid w:val="00CE320B"/>
    <w:rsid w:val="00CE409E"/>
    <w:rsid w:val="00CE6A16"/>
    <w:rsid w:val="00D16E04"/>
    <w:rsid w:val="00DF395A"/>
    <w:rsid w:val="00E377A6"/>
    <w:rsid w:val="00EF3ADA"/>
    <w:rsid w:val="00F124FB"/>
    <w:rsid w:val="00F717E8"/>
    <w:rsid w:val="00FC6D0D"/>
    <w:rsid w:val="028D1ABB"/>
    <w:rsid w:val="03437A38"/>
    <w:rsid w:val="03460A8A"/>
    <w:rsid w:val="03CA4F28"/>
    <w:rsid w:val="04B41875"/>
    <w:rsid w:val="052509C4"/>
    <w:rsid w:val="087560D3"/>
    <w:rsid w:val="08D74EE3"/>
    <w:rsid w:val="0983332C"/>
    <w:rsid w:val="0B546B15"/>
    <w:rsid w:val="0C8022ED"/>
    <w:rsid w:val="0D2C5F1B"/>
    <w:rsid w:val="0E05674D"/>
    <w:rsid w:val="101B5EBF"/>
    <w:rsid w:val="10F42ADB"/>
    <w:rsid w:val="12EB6E75"/>
    <w:rsid w:val="1D3B52ED"/>
    <w:rsid w:val="21D96FBD"/>
    <w:rsid w:val="22106E74"/>
    <w:rsid w:val="228F2438"/>
    <w:rsid w:val="23156B4A"/>
    <w:rsid w:val="24214636"/>
    <w:rsid w:val="24314E17"/>
    <w:rsid w:val="24785240"/>
    <w:rsid w:val="24C80AFE"/>
    <w:rsid w:val="25AF61EB"/>
    <w:rsid w:val="28B16F58"/>
    <w:rsid w:val="2A4E41D6"/>
    <w:rsid w:val="2AAB021D"/>
    <w:rsid w:val="2B596D81"/>
    <w:rsid w:val="2C480245"/>
    <w:rsid w:val="2C485E82"/>
    <w:rsid w:val="2C512F2C"/>
    <w:rsid w:val="2DA71E7E"/>
    <w:rsid w:val="2DF612B8"/>
    <w:rsid w:val="2DFF191A"/>
    <w:rsid w:val="31192ABB"/>
    <w:rsid w:val="313C5590"/>
    <w:rsid w:val="31983706"/>
    <w:rsid w:val="32377528"/>
    <w:rsid w:val="33D977BE"/>
    <w:rsid w:val="340E7224"/>
    <w:rsid w:val="348D1FF9"/>
    <w:rsid w:val="3C870B09"/>
    <w:rsid w:val="3E7F65C7"/>
    <w:rsid w:val="40AE71E6"/>
    <w:rsid w:val="41395966"/>
    <w:rsid w:val="41E03B96"/>
    <w:rsid w:val="420E3323"/>
    <w:rsid w:val="423F0BEC"/>
    <w:rsid w:val="4280641A"/>
    <w:rsid w:val="4358271C"/>
    <w:rsid w:val="439365B6"/>
    <w:rsid w:val="44E558C5"/>
    <w:rsid w:val="45B065EF"/>
    <w:rsid w:val="47DC50DA"/>
    <w:rsid w:val="4B8E2DA7"/>
    <w:rsid w:val="4BDF0E8E"/>
    <w:rsid w:val="4ED07196"/>
    <w:rsid w:val="51F2634E"/>
    <w:rsid w:val="54E20A6D"/>
    <w:rsid w:val="554B42B1"/>
    <w:rsid w:val="55ED0E82"/>
    <w:rsid w:val="574056B7"/>
    <w:rsid w:val="5AB1182F"/>
    <w:rsid w:val="5AD065AC"/>
    <w:rsid w:val="5B576CF3"/>
    <w:rsid w:val="5B99040B"/>
    <w:rsid w:val="5D175A8D"/>
    <w:rsid w:val="5E0823E7"/>
    <w:rsid w:val="5E2C2251"/>
    <w:rsid w:val="5EFD6173"/>
    <w:rsid w:val="629D22BB"/>
    <w:rsid w:val="63CB605E"/>
    <w:rsid w:val="65A2451E"/>
    <w:rsid w:val="65BF298A"/>
    <w:rsid w:val="66A735AD"/>
    <w:rsid w:val="677A2341"/>
    <w:rsid w:val="6A042CDE"/>
    <w:rsid w:val="6A520259"/>
    <w:rsid w:val="6A850C15"/>
    <w:rsid w:val="6B722993"/>
    <w:rsid w:val="6DCA5D9A"/>
    <w:rsid w:val="722638CF"/>
    <w:rsid w:val="76D020C0"/>
    <w:rsid w:val="78CB4CE6"/>
    <w:rsid w:val="78D66693"/>
    <w:rsid w:val="79C05F9F"/>
    <w:rsid w:val="7C475310"/>
    <w:rsid w:val="7F3A0620"/>
    <w:rsid w:val="FFEE9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jc w:val="center"/>
    </w:pPr>
    <w:rPr>
      <w:rFonts w:eastAsia="隶书"/>
      <w:sz w:val="84"/>
    </w:rPr>
  </w:style>
  <w:style w:type="paragraph" w:styleId="3">
    <w:name w:val="annotation text"/>
    <w:basedOn w:val="1"/>
    <w:link w:val="17"/>
    <w:qFormat/>
    <w:uiPriority w:val="0"/>
    <w:pPr>
      <w:jc w:val="left"/>
    </w:pPr>
  </w:style>
  <w:style w:type="paragraph" w:styleId="4">
    <w:name w:val="Salutation"/>
    <w:basedOn w:val="1"/>
    <w:next w:val="1"/>
    <w:qFormat/>
    <w:uiPriority w:val="0"/>
    <w:rPr>
      <w:sz w:val="24"/>
    </w:rPr>
  </w:style>
  <w:style w:type="paragraph" w:styleId="5">
    <w:name w:val="Block Text"/>
    <w:basedOn w:val="1"/>
    <w:qFormat/>
    <w:uiPriority w:val="0"/>
    <w:pPr>
      <w:spacing w:after="120"/>
      <w:ind w:left="1440" w:leftChars="700" w:right="1440" w:rightChars="700"/>
    </w:pPr>
  </w:style>
  <w:style w:type="paragraph" w:styleId="6">
    <w:name w:val="Date"/>
    <w:basedOn w:val="1"/>
    <w:next w:val="1"/>
    <w:qFormat/>
    <w:uiPriority w:val="0"/>
    <w:pPr>
      <w:ind w:left="100" w:leftChars="2500"/>
    </w:pPr>
    <w:rPr>
      <w:sz w:val="24"/>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qFormat/>
    <w:uiPriority w:val="99"/>
    <w:pPr>
      <w:widowControl/>
      <w:spacing w:before="100" w:beforeAutospacing="1" w:after="100" w:afterAutospacing="1"/>
      <w:jc w:val="left"/>
    </w:pPr>
    <w:rPr>
      <w:rFonts w:ascii="宋体" w:hAnsi="宋体" w:cs="宋体"/>
      <w:kern w:val="0"/>
      <w:sz w:val="24"/>
    </w:rPr>
  </w:style>
  <w:style w:type="paragraph" w:styleId="11">
    <w:name w:val="annotation subject"/>
    <w:basedOn w:val="3"/>
    <w:next w:val="3"/>
    <w:link w:val="18"/>
    <w:qFormat/>
    <w:uiPriority w:val="0"/>
    <w:rPr>
      <w:b/>
      <w:bCs/>
    </w:rPr>
  </w:style>
  <w:style w:type="character" w:styleId="14">
    <w:name w:val="page number"/>
    <w:basedOn w:val="13"/>
    <w:qFormat/>
    <w:uiPriority w:val="0"/>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character" w:customStyle="1" w:styleId="17">
    <w:name w:val="批注文字 字符"/>
    <w:link w:val="3"/>
    <w:qFormat/>
    <w:uiPriority w:val="0"/>
    <w:rPr>
      <w:kern w:val="2"/>
      <w:sz w:val="21"/>
      <w:szCs w:val="24"/>
    </w:rPr>
  </w:style>
  <w:style w:type="character" w:customStyle="1" w:styleId="18">
    <w:name w:val="批注主题 字符"/>
    <w:link w:val="11"/>
    <w:qFormat/>
    <w:uiPriority w:val="0"/>
    <w:rPr>
      <w:b/>
      <w:bCs/>
      <w:kern w:val="2"/>
      <w:sz w:val="21"/>
      <w:szCs w:val="24"/>
    </w:rPr>
  </w:style>
  <w:style w:type="character" w:customStyle="1" w:styleId="19">
    <w:name w:val="wyg"/>
    <w:basedOn w:val="13"/>
    <w:qFormat/>
    <w:uiPriority w:val="0"/>
  </w:style>
  <w:style w:type="paragraph" w:customStyle="1" w:styleId="20">
    <w:name w:val="_Style 3"/>
    <w:basedOn w:val="1"/>
    <w:next w:val="5"/>
    <w:qFormat/>
    <w:uiPriority w:val="0"/>
    <w:pPr>
      <w:tabs>
        <w:tab w:val="left" w:pos="540"/>
      </w:tabs>
      <w:spacing w:line="300" w:lineRule="exact"/>
      <w:ind w:left="527" w:leftChars="114" w:right="69" w:rightChars="33" w:hanging="288" w:hangingChars="131"/>
    </w:pPr>
    <w:rPr>
      <w:rFonts w:ascii="华文中宋" w:hAnsi="华文中宋" w:eastAsia="华文中宋"/>
      <w:sz w:val="22"/>
    </w:rPr>
  </w:style>
  <w:style w:type="character" w:customStyle="1" w:styleId="21">
    <w:name w:val="font11"/>
    <w:basedOn w:val="13"/>
    <w:qFormat/>
    <w:uiPriority w:val="0"/>
    <w:rPr>
      <w:rFonts w:hint="eastAsia" w:ascii="宋体" w:hAnsi="宋体" w:eastAsia="宋体" w:cs="宋体"/>
      <w:color w:val="000000"/>
      <w:sz w:val="24"/>
      <w:szCs w:val="24"/>
      <w:u w:val="none"/>
    </w:rPr>
  </w:style>
  <w:style w:type="character" w:customStyle="1" w:styleId="22">
    <w:name w:val="font141"/>
    <w:basedOn w:val="13"/>
    <w:qFormat/>
    <w:uiPriority w:val="0"/>
    <w:rPr>
      <w:rFonts w:hint="eastAsia" w:ascii="宋体" w:hAnsi="宋体" w:eastAsia="宋体" w:cs="宋体"/>
      <w:b/>
      <w:bCs/>
      <w:color w:val="000000"/>
      <w:sz w:val="24"/>
      <w:szCs w:val="24"/>
      <w:u w:val="none"/>
    </w:rPr>
  </w:style>
  <w:style w:type="character" w:customStyle="1" w:styleId="23">
    <w:name w:val="font21"/>
    <w:basedOn w:val="13"/>
    <w:qFormat/>
    <w:uiPriority w:val="0"/>
    <w:rPr>
      <w:rFonts w:hint="eastAsia" w:ascii="仿宋" w:hAnsi="仿宋" w:eastAsia="仿宋" w:cs="仿宋"/>
      <w:color w:val="000000"/>
      <w:sz w:val="24"/>
      <w:szCs w:val="24"/>
      <w:u w:val="none"/>
    </w:rPr>
  </w:style>
  <w:style w:type="character" w:customStyle="1" w:styleId="24">
    <w:name w:val="font31"/>
    <w:basedOn w:val="13"/>
    <w:qFormat/>
    <w:uiPriority w:val="0"/>
    <w:rPr>
      <w:rFonts w:hint="default" w:ascii="Times New Roman" w:hAnsi="Times New Roman" w:cs="Times New Roman"/>
      <w:b/>
      <w:bCs/>
      <w:color w:val="000000"/>
      <w:sz w:val="24"/>
      <w:szCs w:val="24"/>
      <w:u w:val="none"/>
    </w:rPr>
  </w:style>
  <w:style w:type="character" w:customStyle="1" w:styleId="25">
    <w:name w:val="font01"/>
    <w:basedOn w:val="13"/>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7</Pages>
  <Words>3720</Words>
  <Characters>3918</Characters>
  <Lines>36</Lines>
  <Paragraphs>10</Paragraphs>
  <TotalTime>0</TotalTime>
  <ScaleCrop>false</ScaleCrop>
  <LinksUpToDate>false</LinksUpToDate>
  <CharactersWithSpaces>4410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2024-05-15T00:47:00Z</dcterms:created>
  <dc:creator>friend</dc:creator>
  <cp:lastModifiedBy>刘国斌</cp:lastModifiedBy>
  <cp:lastPrinted>2013-08-09T11:11:00Z</cp:lastPrinted>
  <dcterms:modified xsi:type="dcterms:W3CDTF">2025-09-28T00:56:45Z</dcterms:modified>
  <dc:title>工业品买卖合同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96625FC387F346A2A9D428A5118CC684</vt:lpwstr>
  </property>
  <property fmtid="{D5CDD505-2E9C-101B-9397-08002B2CF9AE}" pid="4" name="KSOTemplateDocerSaveRecord">
    <vt:lpwstr>eyJoZGlkIjoiYmFlODQyNTdhOTllNjNjYmNhMDE5YjBmYzhlZWRjYTciLCJ1c2VySWQiOiIxNzE4MzAzODM3In0=</vt:lpwstr>
  </property>
</Properties>
</file>