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冰水冲击试验箱项目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pStyle w:val="20"/>
      </w:pPr>
    </w:p>
    <w:p>
      <w:pPr>
        <w:pStyle w:val="20"/>
      </w:pPr>
    </w:p>
    <w:p>
      <w:pPr>
        <w:pStyle w:val="20"/>
      </w:pPr>
    </w:p>
    <w:p>
      <w:pPr>
        <w:pStyle w:val="20"/>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u w:val="single"/>
                <w:lang w:eastAsia="zh-CN"/>
              </w:rPr>
              <w:t>冰水冲击试验箱项目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FSCZB2025100051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szCs w:val="24"/>
              </w:rPr>
              <w:t>招标内容：</w:t>
            </w:r>
            <w:r>
              <w:rPr>
                <w:rFonts w:hint="eastAsia" w:ascii="宋体" w:hAnsi="宋体" w:eastAsia="宋体" w:cs="宋体"/>
                <w:b/>
                <w:bCs/>
                <w:sz w:val="24"/>
                <w:szCs w:val="24"/>
                <w:u w:val="single"/>
                <w:lang w:val="en-US" w:eastAsia="zh-CN"/>
              </w:rPr>
              <w:t>冰水冲击试验箱</w:t>
            </w:r>
          </w:p>
          <w:p>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济南市莱芜区口镇重汽工业园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商务联系人：</w:t>
            </w:r>
            <w:r>
              <w:rPr>
                <w:rFonts w:hint="eastAsia" w:ascii="宋体" w:hAnsi="宋体" w:eastAsia="宋体" w:cs="宋体"/>
                <w:b/>
                <w:bCs/>
                <w:sz w:val="24"/>
                <w:szCs w:val="24"/>
                <w:lang w:val="en-US" w:eastAsia="zh-CN"/>
              </w:rPr>
              <w:t>杨淑超</w:t>
            </w:r>
          </w:p>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电话：1786060</w:t>
            </w:r>
            <w:r>
              <w:rPr>
                <w:rFonts w:hint="eastAsia" w:ascii="宋体" w:hAnsi="宋体" w:eastAsia="宋体" w:cs="宋体"/>
                <w:b/>
                <w:bCs/>
                <w:sz w:val="24"/>
                <w:szCs w:val="24"/>
                <w:lang w:val="en-US" w:eastAsia="zh-CN"/>
              </w:rPr>
              <w:t>5820</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邮箱：yangshuchao@sinotruk.com</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技术联系人：</w:t>
            </w:r>
            <w:r>
              <w:rPr>
                <w:rFonts w:hint="eastAsia" w:ascii="宋体" w:hAnsi="宋体" w:eastAsia="宋体" w:cs="宋体"/>
                <w:sz w:val="24"/>
                <w:szCs w:val="24"/>
                <w:highlight w:val="yellow"/>
                <w:lang w:val="en-US" w:eastAsia="zh-CN"/>
              </w:rPr>
              <w:t>赵强</w:t>
            </w:r>
          </w:p>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val="en-US" w:eastAsia="zh-CN"/>
              </w:rPr>
              <w:t>15688472010</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lang w:val="en-US" w:eastAsia="zh-CN"/>
              </w:rPr>
              <w:t>805867563@qq.com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w:t>
            </w:r>
            <w:r>
              <w:rPr>
                <w:rFonts w:hint="eastAsia" w:hAnsi="宋体" w:eastAsia="宋体" w:cs="Times New Roman"/>
                <w:b/>
                <w:bCs/>
                <w:color w:val="000000"/>
                <w:sz w:val="24"/>
                <w:szCs w:val="24"/>
                <w:highlight w:val="red"/>
              </w:rPr>
              <w:t>66.26</w:t>
            </w:r>
            <w:r>
              <w:rPr>
                <w:rFonts w:hint="eastAsia" w:hAnsi="宋体" w:eastAsia="宋体" w:cs="Times New Roman"/>
                <w:b/>
                <w:bCs/>
                <w:color w:val="000000"/>
                <w:sz w:val="24"/>
                <w:szCs w:val="24"/>
                <w:highlight w:val="yellow"/>
              </w:rPr>
              <w:t>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在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2.投标人必须为具有生产资质的制造商，具备五年及以上完全自主独立的设计及生产制造能力，本项目不接受代理商或贸易商参与投标，且必须通过ISO9001、ISO14001等质量体系认证，环境管理体系认证和高新技术企业证（提供复印件并加盖公章）。</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3.投标人信用记录良好，无失信被执行人记录、无采购违法、受行政处罚等行为。（提供在信用中国官网、中国政府采购网、中国执行信息公开网、国家税务总局网站的信息查询结果截屏，并加盖单位公章，做入投标文件中）。</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4.投标人财务状况良好，提供近3年财务报告，并加盖公章，包括但不限于报告页、经审计的资产负债表、利润表、现金流量表及报表附注，并且证明近三年连续盈利。</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5.投标人注册资金不低于500万元，实缴资金不低于500万元；其他主机厂认可。公司成立五年以上（以营业执照成立日期到开标当日满五年为准），经营范围满足招标需求，并在人员、设备、资金等方面具有承担本项目的能力。</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6.投标人具有依法缴纳社会保障资金的良好记录（提供2024年度至今任意一个月社会保险的凭据证明材料复印件）。</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7.投标人在本项目所使用控制软件必须具备完全的自主知识产权，投标人需提供相关证明材料，包括软件的专利证书、著作权登记证明等，以证明其软件具备自主知识产权。</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8.自挂网之日起以往三年时间内，有向主机厂和电驱系统企业已成功交付使用的冰水冲击试验箱项目案例。</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9.拟投标人信用证明材料（信用报告）未显示异常。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30</w:t>
            </w:r>
            <w:r>
              <w:rPr>
                <w:rFonts w:hint="eastAsia" w:ascii="宋体" w:hAnsi="宋体" w:eastAsia="宋体" w:cs="宋体"/>
                <w:bCs/>
                <w:sz w:val="24"/>
                <w:szCs w:val="24"/>
                <w:highlight w:val="yellow"/>
              </w:rPr>
              <w:t>日12:00前；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2</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日17时00分00秒</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hint="eastAsia" w:hAnsi="宋体" w:eastAsia="宋体" w:cs="Times New Roman"/>
                <w:color w:val="000000"/>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hint="eastAsia" w:eastAsia="宋体" w:cs="宋体" w:asciiTheme="minorHAnsi" w:hAnsiTheme="minorHAnsi"/>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000.00元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pPr>
              <w:pStyle w:val="20"/>
              <w:ind w:firstLine="480" w:firstLineChars="200"/>
              <w:rPr>
                <w:rFonts w:hint="eastAsia" w:hAnsi="宋体" w:eastAsia="宋体" w:cs="宋体"/>
                <w:sz w:val="24"/>
                <w:szCs w:val="24"/>
                <w:highlight w:val="red"/>
              </w:rPr>
            </w:pPr>
            <w:r>
              <w:rPr>
                <w:rFonts w:hint="eastAsia" w:hAnsi="宋体" w:eastAsia="宋体" w:cs="宋体"/>
                <w:sz w:val="24"/>
                <w:szCs w:val="24"/>
                <w:highlight w:val="red"/>
              </w:rPr>
              <w:t>自合同签定生效之日起，120个日历日之内交货至供货地点</w:t>
            </w:r>
          </w:p>
          <w:p>
            <w:pPr>
              <w:pStyle w:val="20"/>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个日历日之内安装调试完毕。</w:t>
            </w:r>
          </w:p>
          <w:p>
            <w:pPr>
              <w:pStyle w:val="20"/>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个日历日内，完成终验收。</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u w:val="single"/>
              </w:rPr>
              <w:t>济南市莱芜区口镇重汽工业园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20"/>
              <w:shd w:val="clear" w:color="auto" w:fill="FFFF00"/>
              <w:ind w:firstLine="482"/>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B.设备全部到齐，且验收合格后，中标人提交金额为合同价款60%的收据并提供合同价款70%的增值税专用发票（含复印件二份），经招标人依照财务制度审核通过后30日支付；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pPr>
              <w:ind w:firstLine="480" w:firstLineChars="200"/>
              <w:rPr>
                <w:rFonts w:hint="eastAsia" w:ascii="宋体" w:hAnsi="宋体" w:eastAsia="宋体" w:cs="宋体"/>
                <w:color w:val="000000"/>
                <w:sz w:val="24"/>
                <w:szCs w:val="24"/>
                <w:highlight w:val="yellow"/>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rPr>
              <w:t>（本项目开票信息，由合同签约单位提供）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pPr>
        <w:pStyle w:val="20"/>
        <w:spacing w:line="360" w:lineRule="auto"/>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5"/>
        <w:ind w:firstLine="480"/>
        <w:rPr>
          <w:rFonts w:hint="eastAsia" w:eastAsia="宋体" w:cs="宋体"/>
        </w:rPr>
      </w:pPr>
      <w:r>
        <w:rPr>
          <w:rFonts w:hint="eastAsia" w:eastAsia="宋体" w:cs="宋体"/>
        </w:rPr>
        <w:t>4.2招标人银行账户信息如下：见《投标须知前附表》4.2。</w:t>
      </w:r>
    </w:p>
    <w:p>
      <w:pPr>
        <w:pStyle w:val="115"/>
        <w:ind w:firstLine="480"/>
        <w:rPr>
          <w:rFonts w:hint="eastAsia" w:eastAsia="宋体" w:cs="宋体"/>
        </w:rPr>
      </w:pPr>
      <w:r>
        <w:rPr>
          <w:rFonts w:hint="eastAsia" w:eastAsia="宋体" w:cs="宋体"/>
        </w:rPr>
        <w:t>转账附言：公司名称+项目名称+投标保证金；</w:t>
      </w:r>
    </w:p>
    <w:p>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5"/>
        <w:ind w:firstLine="480"/>
        <w:rPr>
          <w:rFonts w:hint="eastAsia" w:eastAsia="宋体" w:cs="宋体"/>
        </w:rPr>
      </w:pPr>
      <w:r>
        <w:rPr>
          <w:rFonts w:hint="eastAsia" w:eastAsia="宋体" w:cs="宋体"/>
        </w:rPr>
        <w:t>4.3说明</w:t>
      </w:r>
    </w:p>
    <w:p>
      <w:pPr>
        <w:pStyle w:val="115"/>
        <w:ind w:firstLine="480"/>
        <w:rPr>
          <w:rFonts w:hint="eastAsia" w:eastAsia="宋体" w:cs="宋体"/>
        </w:rPr>
      </w:pPr>
      <w:r>
        <w:rPr>
          <w:rFonts w:hint="eastAsia" w:eastAsia="宋体" w:cs="宋体"/>
        </w:rPr>
        <w:t>4.3.1 投标人在向招标人出示《投标保证金缴纳凭证》后方可进行投标；</w:t>
      </w:r>
    </w:p>
    <w:p>
      <w:pPr>
        <w:pStyle w:val="115"/>
        <w:ind w:firstLine="480"/>
        <w:rPr>
          <w:rFonts w:hint="eastAsia" w:eastAsia="宋体" w:cs="宋体"/>
        </w:rPr>
      </w:pPr>
      <w:r>
        <w:rPr>
          <w:rFonts w:hint="eastAsia" w:eastAsia="宋体" w:cs="宋体"/>
        </w:rPr>
        <w:t>4.3.2 发生以下情况时，招标人有权没收保证金：</w:t>
      </w:r>
    </w:p>
    <w:p>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5"/>
        <w:ind w:firstLine="480"/>
        <w:rPr>
          <w:rFonts w:hint="eastAsia" w:eastAsia="宋体" w:cs="宋体"/>
        </w:rPr>
      </w:pPr>
      <w:r>
        <w:rPr>
          <w:rFonts w:hint="eastAsia" w:eastAsia="宋体" w:cs="宋体"/>
        </w:rPr>
        <w:t>4.3.2.2 投标人递送投标文件后，无正当理由放弃投标的；</w:t>
      </w:r>
    </w:p>
    <w:p>
      <w:pPr>
        <w:pStyle w:val="115"/>
        <w:ind w:firstLine="480"/>
        <w:rPr>
          <w:rFonts w:hint="eastAsia" w:eastAsia="宋体" w:cs="宋体"/>
        </w:rPr>
      </w:pPr>
      <w:r>
        <w:rPr>
          <w:rFonts w:hint="eastAsia" w:eastAsia="宋体" w:cs="宋体"/>
        </w:rPr>
        <w:t>4.3.2.3若为视频开标，招标过程中澄清函等资料原件未按要求提交的；</w:t>
      </w:r>
    </w:p>
    <w:p>
      <w:pPr>
        <w:pStyle w:val="115"/>
        <w:ind w:firstLine="480"/>
        <w:rPr>
          <w:rFonts w:hint="eastAsia" w:eastAsia="宋体" w:cs="宋体"/>
        </w:rPr>
      </w:pPr>
      <w:r>
        <w:rPr>
          <w:rFonts w:hint="eastAsia" w:eastAsia="宋体" w:cs="宋体"/>
        </w:rPr>
        <w:t>4.3.2.4自中标通知书发出之日起30日内，中标人无正当理由不签订合同的；</w:t>
      </w:r>
    </w:p>
    <w:p>
      <w:pPr>
        <w:pStyle w:val="115"/>
        <w:ind w:firstLine="480"/>
        <w:rPr>
          <w:rFonts w:hint="eastAsia" w:eastAsia="宋体" w:cs="宋体"/>
        </w:rPr>
      </w:pPr>
      <w:r>
        <w:rPr>
          <w:rFonts w:hint="eastAsia" w:eastAsia="宋体" w:cs="宋体"/>
        </w:rPr>
        <w:t>4.3.2.5供应商在响应文件中提供虚假材料的；</w:t>
      </w:r>
    </w:p>
    <w:p>
      <w:pPr>
        <w:pStyle w:val="115"/>
        <w:ind w:firstLine="480"/>
        <w:rPr>
          <w:rFonts w:hint="eastAsia" w:eastAsia="宋体" w:cs="宋体"/>
        </w:rPr>
      </w:pPr>
      <w:r>
        <w:rPr>
          <w:rFonts w:hint="eastAsia" w:eastAsia="宋体" w:cs="宋体"/>
        </w:rPr>
        <w:t>4.3.2.6投标人在投标过程中被查实有串标、围标、陪标等违规违纪行为的；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4.3.2.7投标人有违约违规行为或被投诉、举报的，在调查处理期间，保证金暂不退还，待调查处理结束后按有关规定处理。</w:t>
      </w:r>
    </w:p>
    <w:p>
      <w:pPr>
        <w:pStyle w:val="115"/>
        <w:ind w:firstLine="480"/>
        <w:rPr>
          <w:rFonts w:hint="eastAsia" w:eastAsia="宋体" w:cs="宋体"/>
        </w:rPr>
      </w:pPr>
      <w:r>
        <w:rPr>
          <w:rFonts w:hint="eastAsia" w:eastAsia="宋体" w:cs="宋体"/>
        </w:rPr>
        <w:t>4.4投标报名截止时间</w:t>
      </w:r>
    </w:p>
    <w:p>
      <w:pPr>
        <w:pStyle w:val="115"/>
        <w:ind w:firstLine="480"/>
        <w:rPr>
          <w:rFonts w:hint="eastAsia" w:eastAsia="宋体" w:cs="宋体"/>
        </w:rPr>
      </w:pPr>
      <w:r>
        <w:rPr>
          <w:rFonts w:hint="eastAsia" w:eastAsia="宋体" w:cs="宋体"/>
        </w:rPr>
        <w:t>报名方式：见《投标须知前附表》2.3。</w:t>
      </w:r>
    </w:p>
    <w:p>
      <w:pPr>
        <w:pStyle w:val="115"/>
        <w:ind w:firstLine="480"/>
        <w:rPr>
          <w:rFonts w:hint="eastAsia"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bookmarkStart w:id="6" w:name="_Toc33266627"/>
      <w:bookmarkStart w:id="7" w:name="_Toc33265653"/>
      <w:bookmarkStart w:id="8" w:name="_Toc33266914"/>
      <w:bookmarkStart w:id="9" w:name="_Toc33265752"/>
      <w:bookmarkStart w:id="10" w:name="_Toc33267001"/>
      <w:bookmarkStart w:id="11" w:name="_Toc33266950"/>
      <w:bookmarkStart w:id="12" w:name="_Toc33285487"/>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adjustRightInd w:val="0"/>
        <w:snapToGrid w:val="0"/>
        <w:spacing w:line="360" w:lineRule="auto"/>
        <w:ind w:firstLine="480" w:firstLineChars="200"/>
        <w:rPr>
          <w:rFonts w:hint="eastAsia" w:ascii="宋体" w:hAnsi="宋体" w:eastAsia="宋体" w:cs="宋体"/>
          <w:b/>
          <w:color w:val="000000"/>
          <w:sz w:val="24"/>
          <w:szCs w:val="24"/>
        </w:rPr>
      </w:pPr>
      <w:bookmarkStart w:id="14" w:name="_Toc33266951"/>
      <w:bookmarkStart w:id="15" w:name="_Toc33265753"/>
      <w:bookmarkStart w:id="16" w:name="_Toc395116634"/>
      <w:bookmarkStart w:id="17" w:name="_Toc33266915"/>
      <w:bookmarkStart w:id="18" w:name="_Toc33265654"/>
      <w:bookmarkStart w:id="19" w:name="_Toc33267002"/>
      <w:bookmarkStart w:id="20" w:name="_Toc33266628"/>
      <w:bookmarkStart w:id="21" w:name="_Toc33285489"/>
      <w:r>
        <w:rPr>
          <w:rFonts w:hint="eastAsia" w:ascii="宋体" w:hAnsi="宋体" w:eastAsia="宋体" w:cs="宋体"/>
          <w:sz w:val="24"/>
          <w:szCs w:val="24"/>
        </w:rPr>
        <w:t>本次招标采用</w:t>
      </w:r>
      <w:r>
        <w:rPr>
          <w:rFonts w:hint="eastAsia" w:ascii="宋体" w:hAnsi="宋体" w:eastAsia="宋体" w:cs="Times New Roman"/>
          <w:b/>
          <w:bCs/>
          <w:sz w:val="24"/>
          <w:szCs w:val="24"/>
          <w:highlight w:val="yellow"/>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评分方法</w:t>
      </w:r>
    </w:p>
    <w:p>
      <w:pPr>
        <w:spacing w:line="360" w:lineRule="auto"/>
        <w:ind w:firstLine="482" w:firstLineChars="200"/>
        <w:rPr>
          <w:rFonts w:hint="default"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见附件14。</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2</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hint="eastAsia"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根据技术标和商务标综合得分，择优选择供应商</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8"/>
      <w:bookmarkStart w:id="24" w:name="OLE_LINK27"/>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eastAsia="宋体" w:cs="宋体"/>
          <w:bCs/>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bookmarkStart w:id="28" w:name="_Toc212369515"/>
      <w:r>
        <w:rPr>
          <w:rFonts w:hint="eastAsia" w:ascii="宋体" w:hAnsi="宋体" w:eastAsia="宋体" w:cs="宋体"/>
          <w:color w:val="000000"/>
          <w:kern w:val="2"/>
          <w:sz w:val="24"/>
          <w:szCs w:val="24"/>
          <w:lang w:val="en-US" w:eastAsia="zh-CN" w:bidi="ar"/>
        </w:rPr>
        <w:t>1.3法定代表人授权书（附件2）；法定代表人参加投标的，提供法人身份证明文件即可；被授权人参加投标的，需提供法定代表人授权委托书</w:t>
      </w:r>
      <w:r>
        <w:rPr>
          <w:rFonts w:hint="eastAsia" w:ascii="宋体" w:hAnsi="宋体" w:eastAsia="宋体" w:cs="宋体"/>
          <w:b/>
          <w:bCs w:val="0"/>
          <w:color w:val="000000"/>
          <w:kern w:val="2"/>
          <w:sz w:val="24"/>
          <w:szCs w:val="24"/>
          <w:lang w:val="en-US" w:eastAsia="zh-CN" w:bidi="ar"/>
        </w:rPr>
        <w:t>（含法人身份证和被授权人身份证正反面复印件）和</w:t>
      </w:r>
      <w:r>
        <w:rPr>
          <w:rFonts w:hint="eastAsia" w:ascii="宋体" w:hAnsi="宋体" w:eastAsia="宋体" w:cs="宋体"/>
          <w:kern w:val="2"/>
          <w:sz w:val="24"/>
          <w:szCs w:val="24"/>
          <w:highlight w:val="yellow"/>
          <w:lang w:val="en-US" w:eastAsia="zh-CN" w:bidi="ar"/>
        </w:rPr>
        <w:t>被授权人</w:t>
      </w:r>
      <w:r>
        <w:rPr>
          <w:rFonts w:hint="eastAsia" w:ascii="宋体" w:hAnsi="宋体" w:eastAsia="宋体" w:cs="宋体"/>
          <w:kern w:val="0"/>
          <w:sz w:val="24"/>
          <w:szCs w:val="24"/>
          <w:highlight w:val="yellow"/>
          <w:lang w:val="en-US" w:eastAsia="zh-CN" w:bidi="ar"/>
        </w:rPr>
        <w:t>近6个月及以上在授权单位的社保缴纳证明</w:t>
      </w:r>
      <w:r>
        <w:rPr>
          <w:rFonts w:hint="eastAsia" w:ascii="宋体" w:hAnsi="宋体" w:eastAsia="宋体" w:cs="宋体"/>
          <w:b/>
          <w:bCs w:val="0"/>
          <w:color w:val="000000"/>
          <w:kern w:val="2"/>
          <w:sz w:val="24"/>
          <w:szCs w:val="24"/>
          <w:lang w:val="en-US" w:eastAsia="zh-CN" w:bidi="ar"/>
        </w:rPr>
        <w:t>；</w:t>
      </w:r>
      <w:r>
        <w:rPr>
          <w:rFonts w:hint="eastAsia" w:ascii="宋体" w:hAnsi="宋体" w:eastAsia="宋体" w:cs="宋体"/>
          <w:color w:val="000000"/>
          <w:kern w:val="2"/>
          <w:sz w:val="24"/>
          <w:szCs w:val="24"/>
          <w:highlight w:val="yellow"/>
          <w:lang w:val="en-US" w:eastAsia="zh-CN" w:bidi="ar"/>
        </w:rPr>
        <w:t>国内拟投标人具有依法缴纳社会保障资金的良好记录（</w:t>
      </w:r>
      <w:r>
        <w:rPr>
          <w:rFonts w:hint="eastAsia" w:ascii="宋体" w:hAnsi="宋体" w:eastAsia="宋体" w:cs="宋体"/>
          <w:kern w:val="2"/>
          <w:sz w:val="24"/>
          <w:szCs w:val="24"/>
          <w:lang w:val="en-US" w:eastAsia="zh-CN" w:bidi="ar"/>
        </w:rPr>
        <w:t>提供2024年度至今任意一个月社会保险的凭据证明材料复印</w:t>
      </w:r>
      <w:r>
        <w:rPr>
          <w:rFonts w:hint="eastAsia" w:ascii="宋体" w:hAnsi="宋体" w:eastAsia="宋体" w:cs="宋体"/>
          <w:kern w:val="2"/>
          <w:sz w:val="24"/>
          <w:szCs w:val="24"/>
          <w:highlight w:val="none"/>
          <w:lang w:val="en-US" w:eastAsia="zh-CN" w:bidi="ar"/>
        </w:rPr>
        <w:t>件</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kern w:val="2"/>
          <w:sz w:val="24"/>
          <w:szCs w:val="24"/>
          <w:highlight w:val="yellow"/>
        </w:rPr>
      </w:pPr>
      <w:r>
        <w:rPr>
          <w:rFonts w:hint="eastAsia" w:ascii="宋体" w:hAnsi="宋体" w:eastAsia="宋体" w:cs="宋体"/>
          <w:color w:val="000000"/>
          <w:kern w:val="2"/>
          <w:sz w:val="24"/>
          <w:szCs w:val="24"/>
          <w:lang w:val="en-US" w:eastAsia="zh-CN" w:bidi="ar"/>
        </w:rPr>
        <w:t>1.4近三年经第三方机构审计的财务报表（报告页、资产负债表、损益表、现金流量表）复印件（需加盖公章），</w:t>
      </w:r>
      <w:r>
        <w:rPr>
          <w:rFonts w:hint="eastAsia" w:ascii="仿宋_GB2312" w:hAnsi="仿宋_GB2312" w:eastAsia="仿宋_GB2312" w:cs="仿宋_GB2312"/>
          <w:color w:val="000000"/>
          <w:sz w:val="24"/>
          <w:szCs w:val="24"/>
        </w:rPr>
        <w:t>（如投标人公司没有经审计的财务报告，可提供加盖公章的近三年财务报表，包括但不限于资产负债表、利润表、现金流量表）</w:t>
      </w:r>
      <w:r>
        <w:rPr>
          <w:rFonts w:hint="eastAsia" w:ascii="仿宋_GB2312" w:hAnsi="仿宋_GB2312" w:eastAsia="仿宋_GB2312" w:cs="仿宋_GB2312"/>
          <w:color w:val="000000"/>
          <w:sz w:val="24"/>
          <w:szCs w:val="24"/>
          <w:lang w:val="en-US" w:eastAsia="zh-CN"/>
        </w:rPr>
        <w:t>且未显示异常，</w:t>
      </w:r>
      <w:bookmarkStart w:id="55" w:name="_GoBack"/>
      <w:bookmarkEnd w:id="55"/>
      <w:r>
        <w:rPr>
          <w:rFonts w:hint="eastAsia" w:ascii="宋体" w:hAnsi="宋体" w:eastAsia="宋体" w:cs="宋体"/>
          <w:color w:val="000000"/>
          <w:kern w:val="2"/>
          <w:sz w:val="24"/>
          <w:szCs w:val="24"/>
          <w:lang w:val="en-US" w:eastAsia="zh-CN" w:bidi="ar"/>
        </w:rPr>
        <w:t>必须连续，同时填写投标人基本情况表（附件3）</w:t>
      </w:r>
      <w:r>
        <w:rPr>
          <w:rFonts w:hint="eastAsia" w:ascii="宋体" w:hAnsi="宋体" w:eastAsia="宋体" w:cs="宋体"/>
          <w:color w:val="000000"/>
          <w:kern w:val="2"/>
          <w:sz w:val="24"/>
          <w:szCs w:val="24"/>
          <w:highlight w:val="yellow"/>
          <w:lang w:val="en-US" w:eastAsia="zh-CN" w:bidi="ar"/>
        </w:rPr>
        <w:t>；</w:t>
      </w:r>
      <w:r>
        <w:rPr>
          <w:rFonts w:hint="eastAsia" w:ascii="宋体" w:hAnsi="宋体" w:eastAsia="宋体" w:cs="宋体"/>
          <w:kern w:val="2"/>
          <w:sz w:val="24"/>
          <w:szCs w:val="24"/>
          <w:highlight w:val="yellow"/>
          <w:lang w:val="en-US" w:eastAsia="zh-CN" w:bidi="ar"/>
        </w:rPr>
        <w:t>投标人必须为具有生产资质的制造商，具备五年及以上完全自主独立的设计及生产制造能力，本项目不接受代理商或贸易商参与投标，且必须通过ISO9001、ISO14001等质量体系认证，环境管理体系认证和高新技术企业证（提供复印件并加盖公章）；</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1.5近三年内在经营活动中无与本项目有关的违法及重大违规行为的声明；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1.6</w:t>
      </w:r>
      <w:r>
        <w:rPr>
          <w:rFonts w:hint="eastAsia" w:ascii="宋体" w:hAnsi="宋体" w:eastAsia="宋体" w:cs="宋体"/>
          <w:kern w:val="2"/>
          <w:sz w:val="24"/>
          <w:szCs w:val="24"/>
          <w:lang w:val="en-US" w:eastAsia="zh-CN" w:bidi="ar"/>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kern w:val="2"/>
          <w:sz w:val="24"/>
          <w:szCs w:val="24"/>
          <w:lang w:val="en-US" w:eastAsia="zh-CN" w:bidi="ar"/>
        </w:rPr>
        <w:t>；</w:t>
      </w:r>
      <w:r>
        <w:rPr>
          <w:rFonts w:hint="eastAsia" w:ascii="宋体" w:hAnsi="宋体" w:eastAsia="宋体" w:cs="宋体"/>
          <w:color w:val="000000"/>
          <w:kern w:val="2"/>
          <w:sz w:val="24"/>
          <w:szCs w:val="24"/>
          <w:highlight w:val="yellow"/>
          <w:lang w:val="en-US" w:eastAsia="zh-CN" w:bidi="ar"/>
        </w:rPr>
        <w:t>（附投标当日系统内相关截图）；</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等线" w:hAnsi="等线" w:eastAsia="等线" w:cs="Times New Roman"/>
          <w:kern w:val="2"/>
          <w:sz w:val="21"/>
          <w:szCs w:val="21"/>
        </w:rPr>
      </w:pPr>
      <w:r>
        <w:rPr>
          <w:rFonts w:hint="eastAsia" w:ascii="宋体" w:hAnsi="宋体" w:eastAsia="宋体" w:cs="宋体"/>
          <w:color w:val="000000"/>
          <w:kern w:val="2"/>
          <w:sz w:val="24"/>
          <w:szCs w:val="24"/>
          <w:lang w:val="en-US" w:eastAsia="zh-CN" w:bidi="ar"/>
        </w:rPr>
        <w:t>1.7</w:t>
      </w:r>
      <w:r>
        <w:rPr>
          <w:rFonts w:hint="eastAsia" w:ascii="宋体" w:hAnsi="宋体" w:eastAsia="宋体" w:cs="宋体"/>
          <w:kern w:val="2"/>
          <w:sz w:val="24"/>
          <w:szCs w:val="24"/>
          <w:lang w:val="en-US" w:eastAsia="zh-CN" w:bidi="ar"/>
        </w:rPr>
        <w:t>企业对外担保说明</w:t>
      </w:r>
      <w:r>
        <w:rPr>
          <w:rFonts w:hint="eastAsia" w:ascii="宋体" w:hAnsi="宋体" w:eastAsia="宋体" w:cs="宋体"/>
          <w:kern w:val="2"/>
          <w:sz w:val="24"/>
          <w:szCs w:val="24"/>
          <w:highlight w:val="yellow"/>
          <w:lang w:val="en-US" w:eastAsia="zh-CN" w:bidi="ar"/>
        </w:rPr>
        <w:t>（写明贵单位对外有无对外担保和质押业务，需加盖公章）</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1.8企业信用证明材料</w:t>
      </w:r>
      <w:r>
        <w:rPr>
          <w:rFonts w:hint="eastAsia" w:ascii="宋体" w:hAnsi="宋体" w:eastAsia="宋体" w:cs="宋体"/>
          <w:color w:val="000000"/>
          <w:kern w:val="2"/>
          <w:sz w:val="24"/>
          <w:szCs w:val="24"/>
          <w:highlight w:val="yellow"/>
          <w:lang w:val="en-US" w:eastAsia="zh-CN" w:bidi="ar"/>
        </w:rPr>
        <w:t>（信用报告）</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1.9</w:t>
      </w:r>
      <w:r>
        <w:rPr>
          <w:rFonts w:hint="eastAsia" w:ascii="宋体" w:hAnsi="宋体" w:eastAsia="宋体" w:cs="宋体"/>
          <w:kern w:val="2"/>
          <w:sz w:val="24"/>
          <w:szCs w:val="24"/>
          <w:lang w:val="en-US" w:eastAsia="zh-CN" w:bidi="ar"/>
        </w:rPr>
        <w:t>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1.10企业最近半年的完税证明，并附</w:t>
      </w:r>
      <w:r>
        <w:rPr>
          <w:rFonts w:hint="eastAsia" w:ascii="宋体" w:hAnsi="宋体" w:eastAsia="宋体" w:cs="宋体"/>
          <w:kern w:val="2"/>
          <w:sz w:val="24"/>
          <w:szCs w:val="24"/>
          <w:lang w:val="en-US" w:eastAsia="zh-CN" w:bidi="ar"/>
        </w:rPr>
        <w:t>年度纳税信用评价信息（可从电子税务局查询截图，需加盖公章）</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kern w:val="2"/>
          <w:sz w:val="24"/>
          <w:szCs w:val="24"/>
          <w:lang w:val="en-US" w:eastAsia="zh-CN" w:bidi="ar"/>
        </w:rPr>
        <w:t>1.11保密承诺函（附件4）；</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lang w:eastAsia="zh-CN"/>
        </w:rPr>
      </w:pPr>
      <w:r>
        <w:rPr>
          <w:rFonts w:hint="eastAsia" w:ascii="宋体" w:hAnsi="宋体" w:eastAsia="宋体" w:cs="宋体"/>
          <w:color w:val="000000"/>
          <w:kern w:val="2"/>
          <w:sz w:val="24"/>
          <w:szCs w:val="24"/>
          <w:lang w:val="en-US" w:eastAsia="zh-CN" w:bidi="ar"/>
        </w:rPr>
        <w:t>1</w:t>
      </w:r>
      <w:r>
        <w:rPr>
          <w:rFonts w:hint="eastAsia" w:ascii="宋体" w:hAnsi="宋体" w:eastAsia="宋体" w:cs="宋体"/>
          <w:color w:val="000000"/>
          <w:kern w:val="2"/>
          <w:sz w:val="24"/>
          <w:szCs w:val="24"/>
          <w:highlight w:val="yellow"/>
          <w:lang w:val="en-US" w:eastAsia="zh-CN" w:bidi="ar"/>
        </w:rPr>
        <w:t>.12</w:t>
      </w:r>
      <w:r>
        <w:rPr>
          <w:rFonts w:hint="eastAsia" w:ascii="宋体" w:hAnsi="宋体" w:eastAsia="宋体" w:cs="宋体"/>
          <w:sz w:val="24"/>
          <w:szCs w:val="24"/>
          <w:highlight w:val="none"/>
        </w:rPr>
        <w:t>自挂网之日起以往三年时间内，有向主机厂和电驱系统企业已成功交付使用的冰水冲击试验箱项目案例。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1.13投标保证金缴纳凭证，同时</w:t>
      </w:r>
      <w:r>
        <w:rPr>
          <w:rFonts w:hint="eastAsia" w:ascii="宋体" w:hAnsi="宋体" w:eastAsia="宋体" w:cs="宋体"/>
          <w:color w:val="000000"/>
          <w:kern w:val="2"/>
          <w:sz w:val="24"/>
          <w:szCs w:val="24"/>
          <w:highlight w:val="yellow"/>
          <w:lang w:val="en-US" w:eastAsia="zh-CN" w:bidi="ar"/>
        </w:rPr>
        <w:t>正文描述付款账号、户名、开户行名称、开户行行号、保证金金额</w:t>
      </w:r>
      <w:r>
        <w:rPr>
          <w:rFonts w:hint="eastAsia" w:ascii="宋体" w:hAnsi="宋体" w:eastAsia="宋体" w:cs="宋体"/>
          <w:color w:val="000000"/>
          <w:kern w:val="2"/>
          <w:sz w:val="24"/>
          <w:szCs w:val="24"/>
          <w:lang w:val="en-US" w:eastAsia="zh-CN" w:bidi="ar"/>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w:t>
      </w:r>
      <w:r>
        <w:rPr>
          <w:rFonts w:hint="eastAsia" w:hAnsi="宋体" w:eastAsia="宋体" w:cs="宋体"/>
          <w:b/>
          <w:color w:val="000000"/>
          <w:sz w:val="24"/>
          <w:szCs w:val="24"/>
          <w:highlight w:val="yellow"/>
        </w:rPr>
        <w:t>；</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2.3</w:t>
      </w:r>
      <w:r>
        <w:rPr>
          <w:rFonts w:hint="eastAsia" w:ascii="宋体" w:hAnsi="宋体" w:eastAsia="宋体" w:cs="宋体"/>
          <w:b/>
          <w:bCs/>
          <w:kern w:val="0"/>
          <w:sz w:val="24"/>
          <w:szCs w:val="20"/>
        </w:rPr>
        <w:t>提供本项目生命周期内所涉及到所有备品备件、易损件和专用耗材明细表（附件5-3），用于质保期外，招标人能够根据清单快速找到同规格产品。</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2.4提供</w:t>
      </w:r>
      <w:r>
        <w:rPr>
          <w:rFonts w:hint="eastAsia" w:ascii="宋体" w:hAnsi="宋体" w:eastAsia="宋体" w:cs="宋体"/>
          <w:color w:val="000000"/>
          <w:sz w:val="24"/>
          <w:szCs w:val="24"/>
          <w:highlight w:val="yellow"/>
        </w:rPr>
        <w:t>2022年8月1日</w:t>
      </w:r>
      <w:r>
        <w:rPr>
          <w:rFonts w:hint="eastAsia" w:ascii="宋体" w:hAnsi="宋体" w:eastAsia="宋体" w:cs="宋体"/>
          <w:color w:val="000000"/>
          <w:sz w:val="24"/>
          <w:szCs w:val="24"/>
        </w:rPr>
        <w:t>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2.8投标产品技术支持材料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第四部分 技术标书</w:t>
      </w:r>
    </w:p>
    <w:p>
      <w:pPr>
        <w:pStyle w:val="20"/>
        <w:rPr>
          <w:highlight w:val="none"/>
        </w:rPr>
      </w:pPr>
    </w:p>
    <w:p>
      <w:pPr>
        <w:keepNext/>
        <w:keepLines/>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pPr>
        <w:spacing w:line="276" w:lineRule="auto"/>
        <w:jc w:val="center"/>
        <w:rPr>
          <w:rFonts w:hint="eastAsia" w:ascii="Calibri" w:hAnsi="宋体" w:eastAsia="宋体" w:cs="Times New Roman"/>
          <w:b/>
          <w:bCs/>
          <w:spacing w:val="-8"/>
          <w:sz w:val="48"/>
          <w:szCs w:val="44"/>
          <w:highlight w:val="none"/>
          <w:lang w:eastAsia="zh-CN"/>
        </w:rPr>
      </w:pPr>
      <w:r>
        <w:rPr>
          <w:rFonts w:hint="eastAsia" w:ascii="Calibri" w:hAnsi="宋体" w:eastAsia="宋体" w:cs="Times New Roman"/>
          <w:b/>
          <w:bCs/>
          <w:spacing w:val="-8"/>
          <w:sz w:val="48"/>
          <w:szCs w:val="44"/>
          <w:highlight w:val="none"/>
          <w:lang w:eastAsia="zh-CN"/>
        </w:rPr>
        <w:t>冰水冲击试验箱项目</w:t>
      </w:r>
    </w:p>
    <w:p>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招标项目</w:t>
      </w:r>
    </w:p>
    <w:p>
      <w:pPr>
        <w:jc w:val="right"/>
        <w:rPr>
          <w:rFonts w:ascii="Calibri" w:hAnsi="Calibri" w:eastAsia="宋体" w:cs="Times New Roman"/>
          <w:color w:val="000000"/>
          <w:sz w:val="28"/>
          <w:szCs w:val="28"/>
          <w:highlight w:val="none"/>
        </w:rPr>
      </w:pPr>
    </w:p>
    <w:p>
      <w:pPr>
        <w:pStyle w:val="20"/>
        <w:rPr>
          <w:highlight w:val="none"/>
        </w:rPr>
      </w:pP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pPr>
        <w:pStyle w:val="20"/>
        <w:rPr>
          <w:highlight w:val="none"/>
        </w:rPr>
      </w:pPr>
    </w:p>
    <w:p>
      <w:pPr>
        <w:pStyle w:val="20"/>
        <w:rPr>
          <w:rFonts w:hint="eastAsia" w:ascii="黑体" w:hAnsi="宋体" w:eastAsia="黑体" w:cs="Times New Roman"/>
          <w:color w:val="000000"/>
          <w:sz w:val="72"/>
          <w:szCs w:val="72"/>
          <w:highlight w:val="none"/>
        </w:rPr>
      </w:pPr>
    </w:p>
    <w:p>
      <w:pPr>
        <w:pStyle w:val="20"/>
        <w:rPr>
          <w:rFonts w:hint="eastAsia" w:ascii="黑体" w:hAnsi="宋体" w:eastAsia="黑体" w:cs="Times New Roman"/>
          <w:color w:val="000000"/>
          <w:sz w:val="72"/>
          <w:szCs w:val="72"/>
          <w:highlight w:val="none"/>
        </w:rPr>
      </w:pPr>
    </w:p>
    <w:p>
      <w:pPr>
        <w:spacing w:line="860" w:lineRule="exact"/>
        <w:rPr>
          <w:rFonts w:hint="eastAsia"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w:t>
      </w:r>
      <w:r>
        <w:rPr>
          <w:rFonts w:hint="eastAsia" w:ascii="华文仿宋" w:hAnsi="华文仿宋" w:eastAsia="华文仿宋"/>
          <w:b/>
          <w:bCs/>
          <w:sz w:val="32"/>
          <w:szCs w:val="28"/>
          <w:highlight w:val="none"/>
          <w:lang w:val="en-US" w:eastAsia="zh-CN"/>
        </w:rPr>
        <w:t>赵强</w:t>
      </w:r>
      <w:r>
        <w:rPr>
          <w:rFonts w:hint="eastAsia" w:ascii="华文仿宋" w:hAnsi="华文仿宋" w:eastAsia="华文仿宋"/>
          <w:b/>
          <w:bCs/>
          <w:sz w:val="32"/>
          <w:szCs w:val="28"/>
          <w:highlight w:val="none"/>
        </w:rPr>
        <w:t xml:space="preserve">           </w:t>
      </w:r>
    </w:p>
    <w:p>
      <w:pPr>
        <w:spacing w:line="860" w:lineRule="exact"/>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w:t>
      </w:r>
      <w:r>
        <w:rPr>
          <w:rFonts w:hint="eastAsia" w:ascii="华文仿宋" w:hAnsi="华文仿宋" w:eastAsia="华文仿宋"/>
          <w:b/>
          <w:bCs/>
          <w:sz w:val="32"/>
          <w:szCs w:val="28"/>
          <w:highlight w:val="none"/>
          <w:lang w:val="en-US" w:eastAsia="zh-CN"/>
        </w:rPr>
        <w:t>江国斌</w:t>
      </w:r>
      <w:r>
        <w:rPr>
          <w:rFonts w:hint="eastAsia" w:ascii="华文仿宋" w:hAnsi="华文仿宋" w:eastAsia="华文仿宋"/>
          <w:b/>
          <w:bCs/>
          <w:sz w:val="32"/>
          <w:szCs w:val="28"/>
          <w:highlight w:val="none"/>
        </w:rPr>
        <w:t xml:space="preserve">             </w:t>
      </w:r>
    </w:p>
    <w:p>
      <w:pPr>
        <w:spacing w:line="860" w:lineRule="exact"/>
        <w:rPr>
          <w:rFonts w:hint="default"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rPr>
        <w:t xml:space="preserve">                 批准：</w:t>
      </w:r>
      <w:r>
        <w:rPr>
          <w:rFonts w:hint="eastAsia" w:ascii="华文仿宋" w:hAnsi="华文仿宋" w:eastAsia="华文仿宋"/>
          <w:b/>
          <w:bCs/>
          <w:sz w:val="32"/>
          <w:szCs w:val="28"/>
          <w:highlight w:val="none"/>
          <w:lang w:val="en-US" w:eastAsia="zh-CN"/>
        </w:rPr>
        <w:t>郭晓勐</w:t>
      </w:r>
    </w:p>
    <w:p>
      <w:pPr>
        <w:pStyle w:val="20"/>
        <w:rPr>
          <w:b/>
          <w:bCs/>
          <w:highlight w:val="none"/>
        </w:rPr>
      </w:pPr>
    </w:p>
    <w:p>
      <w:pPr>
        <w:jc w:val="center"/>
        <w:rPr>
          <w:rFonts w:hint="eastAsia"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pPr>
        <w:pStyle w:val="15"/>
        <w:rPr>
          <w:highlight w:val="none"/>
        </w:rPr>
      </w:pPr>
    </w:p>
    <w:p>
      <w:pPr>
        <w:spacing w:line="360" w:lineRule="auto"/>
        <w:rPr>
          <w:rFonts w:hint="eastAsia" w:ascii="Calibri" w:hAnsi="Calibri" w:eastAsia="宋体" w:cs="Times New Roman"/>
          <w:color w:val="000000"/>
          <w:sz w:val="28"/>
          <w:szCs w:val="28"/>
          <w:highlight w:val="none"/>
        </w:rPr>
      </w:pPr>
    </w:p>
    <w:p>
      <w:pPr>
        <w:spacing w:line="360" w:lineRule="auto"/>
        <w:jc w:val="center"/>
        <w:rPr>
          <w:rFonts w:hint="eastAsia" w:ascii="宋体" w:hAnsi="宋体" w:eastAsia="宋体" w:cs="Times New Roman"/>
          <w:b/>
          <w:sz w:val="36"/>
          <w:szCs w:val="36"/>
          <w:highlight w:val="none"/>
        </w:rPr>
      </w:pPr>
      <w:r>
        <w:rPr>
          <w:rFonts w:hint="eastAsia" w:ascii="Calibri" w:hAnsi="Calibri" w:eastAsia="宋体" w:cs="Times New Roman"/>
          <w:color w:val="000000"/>
          <w:sz w:val="28"/>
          <w:szCs w:val="28"/>
          <w:highlight w:val="none"/>
        </w:rPr>
        <w:t>2025年6月</w:t>
      </w:r>
    </w:p>
    <w:p>
      <w:pPr>
        <w:pStyle w:val="15"/>
        <w:rPr>
          <w:highlight w:val="none"/>
        </w:rPr>
        <w:sectPr>
          <w:footerReference r:id="rId11" w:type="first"/>
          <w:headerReference r:id="rId9" w:type="default"/>
          <w:footerReference r:id="rId10" w:type="default"/>
          <w:pgSz w:w="11907" w:h="16840"/>
          <w:pgMar w:top="1304" w:right="1418" w:bottom="1304" w:left="1418" w:header="724" w:footer="851" w:gutter="0"/>
          <w:pgNumType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2"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2"/>
    </w:p>
    <w:p>
      <w:pPr>
        <w:keepNext/>
        <w:keepLines/>
        <w:spacing w:before="120" w:after="120" w:line="480" w:lineRule="exact"/>
        <w:jc w:val="center"/>
        <w:outlineLvl w:val="2"/>
        <w:rPr>
          <w:rFonts w:ascii="Arial" w:hAnsi="Arial" w:eastAsia="宋体" w:cs="Times New Roman"/>
          <w:b/>
          <w:bCs/>
          <w:sz w:val="24"/>
          <w:szCs w:val="24"/>
          <w:highlight w:val="none"/>
        </w:rPr>
      </w:pPr>
      <w:bookmarkStart w:id="33" w:name="_Toc169605878"/>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bookmarkEnd w:id="33"/>
    </w:p>
    <w:p>
      <w:pPr>
        <w:spacing w:line="360" w:lineRule="auto"/>
        <w:outlineLvl w:val="3"/>
        <w:rPr>
          <w:rFonts w:hint="eastAsia" w:ascii="宋体" w:hAnsi="宋体" w:eastAsia="宋体"/>
          <w:color w:val="000000"/>
          <w:sz w:val="24"/>
          <w:szCs w:val="24"/>
          <w:highlight w:val="none"/>
          <w:u w:val="single"/>
          <w:lang w:val="en-US" w:eastAsia="zh-CN"/>
        </w:rPr>
      </w:pPr>
      <w:r>
        <w:rPr>
          <w:rFonts w:hint="eastAsia" w:ascii="宋体" w:hAnsi="宋体" w:eastAsia="宋体" w:cs="宋体"/>
          <w:sz w:val="24"/>
          <w:szCs w:val="24"/>
          <w:highlight w:val="none"/>
        </w:rPr>
        <w:t>一、项目名称：</w:t>
      </w:r>
      <w:r>
        <w:rPr>
          <w:rFonts w:hint="eastAsia" w:ascii="宋体" w:hAnsi="宋体" w:eastAsia="宋体"/>
          <w:color w:val="000000"/>
          <w:sz w:val="24"/>
          <w:szCs w:val="24"/>
          <w:highlight w:val="none"/>
          <w:u w:val="single"/>
          <w:lang w:val="en-US" w:eastAsia="zh-CN"/>
        </w:rPr>
        <w:t>冰水冲击试验箱项目</w:t>
      </w:r>
    </w:p>
    <w:p>
      <w:pPr>
        <w:spacing w:line="360" w:lineRule="auto"/>
        <w:outlineLvl w:val="3"/>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u w:val="single"/>
        </w:rPr>
        <w:t>济南市莱芜区口镇重汽工业园</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u w:val="single"/>
        </w:rPr>
        <w:t>济南市莱芜区口镇重汽工业园</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四、工作制度：全年工作</w:t>
      </w:r>
      <w:r>
        <w:rPr>
          <w:rFonts w:ascii="宋体" w:hAnsi="宋体" w:eastAsia="宋体" w:cs="宋体"/>
          <w:sz w:val="24"/>
          <w:szCs w:val="24"/>
          <w:highlight w:val="none"/>
        </w:rPr>
        <w:t>274天、两班制、设备年时基数4380小时</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ascii="宋体" w:hAnsi="宋体" w:eastAsia="宋体" w:cs="宋体"/>
          <w:bCs/>
          <w:sz w:val="24"/>
          <w:szCs w:val="24"/>
          <w:highlight w:val="none"/>
        </w:rPr>
        <w:t>1000m以下</w:t>
      </w:r>
      <w:r>
        <w:rPr>
          <w:rFonts w:hint="eastAsia" w:ascii="宋体" w:hAnsi="宋体" w:eastAsia="宋体" w:cs="宋体"/>
          <w:bCs/>
          <w:sz w:val="24"/>
          <w:szCs w:val="24"/>
          <w:highlight w:val="none"/>
        </w:rPr>
        <w:t>。</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ascii="宋体" w:hAnsi="宋体" w:eastAsia="宋体" w:cs="宋体"/>
          <w:bCs/>
          <w:sz w:val="24"/>
          <w:szCs w:val="24"/>
          <w:highlight w:val="none"/>
        </w:rPr>
        <w:t>-20℃、极端最高温度45℃，昼夜最大温差25℃。</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3.相对湿度：年平均</w:t>
      </w:r>
      <w:r>
        <w:rPr>
          <w:rFonts w:ascii="宋体" w:hAnsi="宋体" w:eastAsia="宋体" w:cs="宋体"/>
          <w:bCs/>
          <w:sz w:val="24"/>
          <w:szCs w:val="24"/>
          <w:highlight w:val="none"/>
        </w:rPr>
        <w:t>59%，</w:t>
      </w:r>
      <w:r>
        <w:rPr>
          <w:rFonts w:hint="eastAsia" w:ascii="宋体" w:hAnsi="宋体" w:eastAsia="宋体" w:cs="宋体"/>
          <w:bCs/>
          <w:sz w:val="24"/>
          <w:szCs w:val="24"/>
          <w:highlight w:val="none"/>
        </w:rPr>
        <w:t>最大95%、最小15%。</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w:t>
      </w:r>
      <w:r>
        <w:rPr>
          <w:rFonts w:ascii="宋体" w:hAnsi="宋体" w:eastAsia="宋体" w:cs="宋体"/>
          <w:bCs/>
          <w:sz w:val="24"/>
          <w:szCs w:val="24"/>
          <w:highlight w:val="none"/>
        </w:rPr>
        <w:t>地震设防裂度：七度</w:t>
      </w:r>
      <w:r>
        <w:rPr>
          <w:rFonts w:hint="eastAsia" w:ascii="宋体" w:hAnsi="宋体" w:eastAsia="宋体" w:cs="宋体"/>
          <w:bCs/>
          <w:sz w:val="24"/>
          <w:szCs w:val="24"/>
          <w:highlight w:val="none"/>
        </w:rPr>
        <w:t>。</w:t>
      </w:r>
    </w:p>
    <w:p>
      <w:pPr>
        <w:spacing w:line="360" w:lineRule="auto"/>
        <w:outlineLvl w:val="3"/>
        <w:rPr>
          <w:rFonts w:hint="eastAsia"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1</w:t>
      </w:r>
      <w:r>
        <w:rPr>
          <w:rFonts w:hint="eastAsia" w:hAnsi="宋体" w:eastAsia="宋体" w:cs="宋体"/>
          <w:bCs/>
          <w:sz w:val="24"/>
          <w:szCs w:val="24"/>
          <w:highlight w:val="none"/>
        </w:rPr>
        <w:t>.</w:t>
      </w:r>
      <w:r>
        <w:rPr>
          <w:rFonts w:hAnsi="宋体" w:eastAsia="宋体" w:cs="宋体"/>
          <w:bCs/>
          <w:sz w:val="24"/>
          <w:szCs w:val="24"/>
          <w:highlight w:val="none"/>
        </w:rPr>
        <w:t>电力：中国制式，供电电压380V±15%。</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2</w:t>
      </w:r>
      <w:r>
        <w:rPr>
          <w:rFonts w:hint="eastAsia" w:hAnsi="宋体" w:eastAsia="宋体" w:cs="宋体"/>
          <w:bCs/>
          <w:sz w:val="24"/>
          <w:szCs w:val="24"/>
          <w:highlight w:val="none"/>
        </w:rPr>
        <w:t>.</w:t>
      </w:r>
      <w:r>
        <w:rPr>
          <w:rFonts w:hAnsi="宋体" w:eastAsia="宋体" w:cs="宋体"/>
          <w:bCs/>
          <w:sz w:val="24"/>
          <w:szCs w:val="24"/>
          <w:highlight w:val="none"/>
        </w:rPr>
        <w:t>电力：中国制式，供电电压220V±15%，50Hz±2%。</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3</w:t>
      </w:r>
      <w:r>
        <w:rPr>
          <w:rFonts w:hint="eastAsia" w:hAnsi="宋体" w:eastAsia="宋体" w:cs="宋体"/>
          <w:bCs/>
          <w:sz w:val="24"/>
          <w:szCs w:val="24"/>
          <w:highlight w:val="none"/>
        </w:rPr>
        <w:t>.</w:t>
      </w:r>
      <w:r>
        <w:rPr>
          <w:rFonts w:hAnsi="宋体" w:eastAsia="宋体" w:cs="宋体"/>
          <w:bCs/>
          <w:sz w:val="24"/>
          <w:szCs w:val="24"/>
          <w:highlight w:val="none"/>
        </w:rPr>
        <w:t>电力（消防）：中国制式，供电电压220V±15%，50Hz±2%。</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4</w:t>
      </w:r>
      <w:r>
        <w:rPr>
          <w:rFonts w:hint="eastAsia" w:hAnsi="宋体" w:eastAsia="宋体" w:cs="宋体"/>
          <w:bCs/>
          <w:sz w:val="24"/>
          <w:szCs w:val="24"/>
          <w:highlight w:val="none"/>
        </w:rPr>
        <w:t>.</w:t>
      </w:r>
      <w:r>
        <w:rPr>
          <w:rFonts w:hAnsi="宋体" w:eastAsia="宋体" w:cs="宋体"/>
          <w:bCs/>
          <w:sz w:val="24"/>
          <w:szCs w:val="24"/>
          <w:highlight w:val="none"/>
        </w:rPr>
        <w:t>给水：市政自来水。</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5</w:t>
      </w:r>
      <w:r>
        <w:rPr>
          <w:rFonts w:hint="eastAsia" w:hAnsi="宋体" w:eastAsia="宋体" w:cs="宋体"/>
          <w:bCs/>
          <w:sz w:val="24"/>
          <w:szCs w:val="24"/>
          <w:highlight w:val="none"/>
        </w:rPr>
        <w:t>.</w:t>
      </w:r>
      <w:r>
        <w:rPr>
          <w:rFonts w:hAnsi="宋体" w:eastAsia="宋体" w:cs="宋体"/>
          <w:bCs/>
          <w:sz w:val="24"/>
          <w:szCs w:val="24"/>
          <w:highlight w:val="none"/>
        </w:rPr>
        <w:t>消防水：</w:t>
      </w:r>
      <w:r>
        <w:rPr>
          <w:rFonts w:hint="eastAsia" w:hAnsi="宋体" w:eastAsia="宋体" w:cs="宋体"/>
          <w:bCs/>
          <w:sz w:val="24"/>
          <w:szCs w:val="24"/>
          <w:highlight w:val="none"/>
        </w:rPr>
        <w:t>80</w:t>
      </w:r>
      <w:r>
        <w:rPr>
          <w:rFonts w:hAnsi="宋体" w:eastAsia="宋体" w:cs="宋体"/>
          <w:bCs/>
          <w:sz w:val="24"/>
          <w:szCs w:val="24"/>
          <w:highlight w:val="none"/>
        </w:rPr>
        <w:t>m³/h。</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6</w:t>
      </w:r>
      <w:r>
        <w:rPr>
          <w:rFonts w:hint="eastAsia" w:hAnsi="宋体" w:eastAsia="宋体" w:cs="宋体"/>
          <w:bCs/>
          <w:sz w:val="24"/>
          <w:szCs w:val="24"/>
          <w:highlight w:val="none"/>
        </w:rPr>
        <w:t>.</w:t>
      </w:r>
      <w:r>
        <w:rPr>
          <w:rFonts w:hAnsi="宋体" w:eastAsia="宋体" w:cs="宋体"/>
          <w:bCs/>
          <w:sz w:val="24"/>
          <w:szCs w:val="24"/>
          <w:highlight w:val="none"/>
        </w:rPr>
        <w:t>冷却水：50m³/h，压力0.4-0.45M</w:t>
      </w:r>
      <w:r>
        <w:rPr>
          <w:rFonts w:hint="eastAsia" w:hAnsi="宋体" w:eastAsia="宋体" w:cs="宋体"/>
          <w:bCs/>
          <w:sz w:val="24"/>
          <w:szCs w:val="24"/>
          <w:highlight w:val="none"/>
          <w:lang w:val="en-US" w:eastAsia="zh-CN"/>
        </w:rPr>
        <w:t>P</w:t>
      </w:r>
      <w:r>
        <w:rPr>
          <w:rFonts w:hAnsi="宋体" w:eastAsia="宋体" w:cs="宋体"/>
          <w:bCs/>
          <w:sz w:val="24"/>
          <w:szCs w:val="24"/>
          <w:highlight w:val="none"/>
        </w:rPr>
        <w:t>a。</w:t>
      </w:r>
    </w:p>
    <w:p>
      <w:pPr>
        <w:pStyle w:val="20"/>
        <w:spacing w:line="360" w:lineRule="auto"/>
        <w:ind w:firstLine="480"/>
        <w:rPr>
          <w:rFonts w:hint="eastAsia" w:hAnsi="宋体" w:eastAsia="宋体" w:cs="宋体"/>
          <w:bCs/>
          <w:sz w:val="24"/>
          <w:szCs w:val="24"/>
          <w:highlight w:val="none"/>
        </w:rPr>
      </w:pPr>
      <w:r>
        <w:rPr>
          <w:rFonts w:hint="eastAsia" w:hAnsi="宋体" w:eastAsia="宋体" w:cs="宋体"/>
          <w:bCs/>
          <w:sz w:val="24"/>
          <w:szCs w:val="24"/>
          <w:highlight w:val="none"/>
        </w:rPr>
        <w:t>7.</w:t>
      </w:r>
      <w:r>
        <w:rPr>
          <w:rFonts w:hAnsi="宋体" w:eastAsia="宋体" w:cs="宋体"/>
          <w:bCs/>
          <w:sz w:val="24"/>
          <w:szCs w:val="24"/>
          <w:highlight w:val="none"/>
        </w:rPr>
        <w:t>压缩空气：8m³/h，压力0.4M</w:t>
      </w:r>
      <w:r>
        <w:rPr>
          <w:rFonts w:hint="eastAsia" w:hAnsi="宋体" w:eastAsia="宋体" w:cs="宋体"/>
          <w:bCs/>
          <w:sz w:val="24"/>
          <w:szCs w:val="24"/>
          <w:highlight w:val="none"/>
          <w:lang w:val="en-US" w:eastAsia="zh-CN"/>
        </w:rPr>
        <w:t>P</w:t>
      </w:r>
      <w:r>
        <w:rPr>
          <w:rFonts w:hAnsi="宋体" w:eastAsia="宋体" w:cs="宋体"/>
          <w:bCs/>
          <w:sz w:val="24"/>
          <w:szCs w:val="24"/>
          <w:highlight w:val="none"/>
        </w:rPr>
        <w:t>a。</w:t>
      </w:r>
    </w:p>
    <w:p>
      <w:pPr>
        <w:keepNext/>
        <w:keepLines/>
        <w:spacing w:before="120" w:after="120" w:line="480" w:lineRule="exact"/>
        <w:jc w:val="center"/>
        <w:outlineLvl w:val="2"/>
        <w:rPr>
          <w:rFonts w:ascii="宋体" w:hAnsi="Arial"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pPr>
        <w:spacing w:line="420" w:lineRule="exact"/>
        <w:outlineLvl w:val="3"/>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lang w:eastAsia="zh-CN"/>
        </w:rPr>
        <w:t>冰水冲击试验箱</w:t>
      </w:r>
      <w:r>
        <w:rPr>
          <w:rFonts w:hint="eastAsia" w:ascii="宋体" w:hAnsi="宋体" w:eastAsia="宋体" w:cs="宋体"/>
          <w:sz w:val="24"/>
          <w:szCs w:val="24"/>
          <w:highlight w:val="none"/>
        </w:rPr>
        <w:t>（详见下表）</w:t>
      </w:r>
    </w:p>
    <w:p>
      <w:pPr>
        <w:spacing w:line="420" w:lineRule="exact"/>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hint="eastAsia" w:ascii="宋体" w:hAnsi="宋体" w:eastAsia="宋体" w:cs="宋体"/>
          <w:b/>
          <w:sz w:val="24"/>
          <w:szCs w:val="24"/>
          <w:highlight w:val="none"/>
        </w:rPr>
      </w:pPr>
      <w:r>
        <w:rPr>
          <w:rFonts w:hint="eastAsia" w:ascii="宋体" w:hAnsi="宋体" w:eastAsia="宋体" w:cs="宋体"/>
          <w:b/>
          <w:sz w:val="24"/>
          <w:szCs w:val="24"/>
          <w:highlight w:val="none"/>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714"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3764"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型号规格</w:t>
            </w:r>
          </w:p>
        </w:tc>
        <w:tc>
          <w:tcPr>
            <w:tcW w:w="1513"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1105"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1714" w:type="dxa"/>
            <w:shd w:val="clear" w:color="auto" w:fill="auto"/>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冰水冲击试验箱</w:t>
            </w:r>
          </w:p>
        </w:tc>
        <w:tc>
          <w:tcPr>
            <w:tcW w:w="3764"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见第二章技术要求</w:t>
            </w:r>
          </w:p>
        </w:tc>
        <w:tc>
          <w:tcPr>
            <w:tcW w:w="1513"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1105" w:type="dxa"/>
            <w:vAlign w:val="center"/>
          </w:tcPr>
          <w:p>
            <w:pPr>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r>
    </w:tbl>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1"/>
        </w:num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本表“供货方式”指：交钥匙方式——包括制造、运输、定点卸货、安装、调试和协助验收以及约定培训等。</w:t>
      </w:r>
    </w:p>
    <w:p>
      <w:pPr>
        <w:pStyle w:val="20"/>
        <w:spacing w:line="360" w:lineRule="auto"/>
        <w:jc w:val="center"/>
        <w:rPr>
          <w:rFonts w:hint="eastAsia" w:hAnsi="宋体" w:eastAsia="宋体" w:cs="宋体"/>
          <w:bCs/>
          <w:sz w:val="24"/>
          <w:szCs w:val="24"/>
          <w:highlight w:val="none"/>
        </w:rPr>
      </w:pPr>
      <w:r>
        <w:rPr>
          <w:rFonts w:hint="eastAsia" w:hAnsi="宋体" w:eastAsia="宋体" w:cs="宋体"/>
          <w:bCs/>
          <w:sz w:val="24"/>
          <w:szCs w:val="24"/>
          <w:highlight w:val="none"/>
        </w:rPr>
        <w:t>主要器件品牌表（可选同等或更优质量品牌）</w:t>
      </w:r>
    </w:p>
    <w:tbl>
      <w:tblPr>
        <w:tblStyle w:val="40"/>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554"/>
        <w:gridCol w:w="326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kern w:val="0"/>
                <w:szCs w:val="21"/>
                <w:highlight w:val="none"/>
              </w:rPr>
              <w:t>序号</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kern w:val="0"/>
                <w:szCs w:val="21"/>
                <w:highlight w:val="none"/>
              </w:rPr>
              <w:t>器件名称</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kern w:val="0"/>
                <w:szCs w:val="21"/>
                <w:highlight w:val="none"/>
              </w:rPr>
              <w:t>品牌</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kern w:val="0"/>
                <w:szCs w:val="21"/>
                <w:highlight w:val="none"/>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color w:val="000000"/>
                <w:szCs w:val="21"/>
                <w:highlight w:val="none"/>
              </w:rPr>
              <w:t>1</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压缩机</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olor w:val="000000"/>
                <w:szCs w:val="21"/>
                <w:highlight w:val="none"/>
                <w:lang w:val="en-US" w:eastAsia="zh-CN"/>
              </w:rPr>
            </w:pPr>
            <w:r>
              <w:rPr>
                <w:rFonts w:hint="eastAsia" w:ascii="宋体" w:hAnsi="宋体" w:eastAsia="宋体" w:cs="宋体"/>
                <w:color w:val="000000"/>
                <w:kern w:val="0"/>
                <w:szCs w:val="21"/>
                <w:highlight w:val="none"/>
              </w:rPr>
              <w:t>B</w:t>
            </w:r>
            <w:r>
              <w:rPr>
                <w:rFonts w:ascii="宋体" w:hAnsi="宋体" w:eastAsia="宋体" w:cs="宋体"/>
                <w:color w:val="000000"/>
                <w:kern w:val="0"/>
                <w:szCs w:val="21"/>
                <w:highlight w:val="none"/>
              </w:rPr>
              <w:t>ITZER</w:t>
            </w:r>
            <w:r>
              <w:rPr>
                <w:rFonts w:hint="eastAsia" w:ascii="宋体" w:hAnsi="宋体" w:eastAsia="宋体" w:cs="宋体"/>
                <w:color w:val="000000"/>
                <w:kern w:val="0"/>
                <w:szCs w:val="21"/>
                <w:highlight w:val="none"/>
                <w:lang w:val="en-US" w:eastAsia="zh-CN"/>
              </w:rPr>
              <w:t>/谷轮</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olor w:val="000000"/>
                <w:szCs w:val="21"/>
                <w:highlight w:val="none"/>
                <w:lang w:val="en-US" w:eastAsia="zh-CN"/>
              </w:rPr>
            </w:pPr>
            <w:r>
              <w:rPr>
                <w:rFonts w:hint="eastAsia" w:ascii="宋体" w:hAnsi="宋体" w:eastAsia="宋体"/>
                <w:color w:val="000000"/>
                <w:szCs w:val="21"/>
                <w:highlight w:val="none"/>
              </w:rPr>
              <w:t>德国</w:t>
            </w:r>
            <w:r>
              <w:rPr>
                <w:rFonts w:hint="eastAsia" w:ascii="宋体" w:hAnsi="宋体" w:eastAsia="宋体"/>
                <w:color w:val="000000"/>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color w:val="000000"/>
                <w:szCs w:val="21"/>
                <w:highlight w:val="none"/>
              </w:rPr>
              <w:t>2</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漏电断路器</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施耐德</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color w:val="000000"/>
                <w:szCs w:val="21"/>
                <w:highlight w:val="none"/>
              </w:rPr>
              <w:t>3</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空气开关</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施耐德</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color w:val="000000"/>
                <w:szCs w:val="21"/>
                <w:highlight w:val="none"/>
              </w:rPr>
              <w:t>4</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交流接触器</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施耐德</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color w:val="000000"/>
                <w:szCs w:val="21"/>
                <w:highlight w:val="none"/>
              </w:rPr>
              <w:t>5</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szCs w:val="21"/>
                <w:highlight w:val="none"/>
              </w:rPr>
              <w:t>继电器</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s="宋体"/>
                <w:color w:val="000000"/>
                <w:kern w:val="0"/>
                <w:szCs w:val="21"/>
                <w:highlight w:val="none"/>
              </w:rPr>
              <w:t>施耐德</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color w:val="000000"/>
                <w:szCs w:val="21"/>
                <w:highlight w:val="none"/>
              </w:rPr>
              <w:t>6</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szCs w:val="21"/>
                <w:highlight w:val="none"/>
              </w:rPr>
              <w:t>PLC控制器</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ascii="宋体" w:hAnsi="宋体" w:eastAsia="宋体"/>
                <w:szCs w:val="21"/>
                <w:highlight w:val="none"/>
              </w:rPr>
              <w:t>SIEMENS</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7</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hint="eastAsia" w:ascii="宋体" w:hAnsi="宋体" w:eastAsia="宋体"/>
                <w:szCs w:val="21"/>
                <w:highlight w:val="none"/>
              </w:rPr>
              <w:t>油分离器</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hint="eastAsia" w:ascii="宋体" w:hAnsi="宋体" w:eastAsia="宋体"/>
                <w:szCs w:val="21"/>
                <w:highlight w:val="none"/>
              </w:rPr>
              <w:t>CASTEL</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lang w:eastAsia="zh-CN"/>
              </w:rPr>
            </w:pPr>
            <w:r>
              <w:rPr>
                <w:rFonts w:hint="eastAsia" w:ascii="宋体" w:hAnsi="宋体" w:eastAsia="宋体"/>
                <w:color w:val="000000"/>
                <w:szCs w:val="21"/>
                <w:highlight w:val="none"/>
                <w:lang w:val="en-US" w:eastAsia="zh-CN"/>
              </w:rPr>
              <w:t>意大利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8</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hint="eastAsia" w:ascii="宋体" w:hAnsi="宋体" w:eastAsia="宋体"/>
                <w:szCs w:val="21"/>
                <w:highlight w:val="none"/>
              </w:rPr>
              <w:t>板式换热器</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ascii="宋体" w:hAnsi="宋体" w:eastAsia="宋体"/>
                <w:szCs w:val="21"/>
                <w:highlight w:val="none"/>
              </w:rPr>
              <w:t>Alfa laval</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瑞典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9</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hint="eastAsia" w:ascii="宋体" w:hAnsi="宋体" w:eastAsia="宋体"/>
                <w:szCs w:val="21"/>
                <w:highlight w:val="none"/>
              </w:rPr>
              <w:t>电磁阀</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ascii="宋体" w:hAnsi="宋体" w:eastAsia="宋体"/>
                <w:szCs w:val="21"/>
                <w:highlight w:val="none"/>
              </w:rPr>
              <w:t>DANFOSS</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丹麦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rPr>
            </w:pPr>
            <w:r>
              <w:rPr>
                <w:rFonts w:hint="eastAsia" w:ascii="宋体" w:hAnsi="宋体" w:eastAsia="宋体"/>
                <w:color w:val="000000"/>
                <w:szCs w:val="21"/>
                <w:highlight w:val="none"/>
              </w:rPr>
              <w:t>10</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hint="eastAsia" w:ascii="宋体" w:hAnsi="宋体" w:eastAsia="宋体"/>
                <w:szCs w:val="21"/>
                <w:highlight w:val="none"/>
              </w:rPr>
              <w:t>膨胀阀</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szCs w:val="21"/>
                <w:highlight w:val="none"/>
              </w:rPr>
            </w:pPr>
            <w:r>
              <w:rPr>
                <w:rFonts w:hint="eastAsia" w:ascii="宋体" w:hAnsi="宋体"/>
                <w:szCs w:val="21"/>
                <w:highlight w:val="none"/>
              </w:rPr>
              <w:t>SPORLAN</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olor w:val="000000"/>
                <w:szCs w:val="21"/>
                <w:highlight w:val="none"/>
                <w:lang w:eastAsia="zh-CN"/>
              </w:rPr>
            </w:pPr>
            <w:r>
              <w:rPr>
                <w:rFonts w:hint="eastAsia" w:ascii="宋体" w:hAnsi="宋体" w:eastAsia="宋体"/>
                <w:color w:val="000000"/>
                <w:szCs w:val="21"/>
                <w:highlight w:val="none"/>
                <w:lang w:val="en-US" w:eastAsia="zh-CN"/>
              </w:rPr>
              <w:t>美国</w:t>
            </w:r>
          </w:p>
        </w:tc>
      </w:tr>
    </w:tbl>
    <w:p>
      <w:pPr>
        <w:pStyle w:val="20"/>
        <w:rPr>
          <w:rFonts w:hint="eastAsia" w:hAnsi="宋体" w:eastAsia="宋体" w:cs="宋体"/>
          <w:bCs/>
          <w:sz w:val="24"/>
          <w:szCs w:val="24"/>
          <w:highlight w:val="none"/>
        </w:rPr>
      </w:pPr>
    </w:p>
    <w:p>
      <w:pPr>
        <w:spacing w:line="360" w:lineRule="auto"/>
        <w:outlineLvl w:val="3"/>
        <w:rPr>
          <w:rFonts w:hint="eastAsia"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pPr>
        <w:pStyle w:val="15"/>
        <w:spacing w:before="0" w:after="0" w:afterLines="0"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p>
    <w:p>
      <w:pPr>
        <w:widowControl/>
        <w:jc w:val="left"/>
        <w:rPr>
          <w:rFonts w:hint="eastAsia"/>
          <w:highlight w:val="none"/>
        </w:rPr>
      </w:pPr>
      <w:r>
        <w:rPr>
          <w:highlight w:val="none"/>
        </w:rPr>
        <w:br w:type="page"/>
      </w:r>
    </w:p>
    <w:p>
      <w:pPr>
        <w:keepNext/>
        <w:keepLines/>
        <w:spacing w:before="120" w:after="120" w:line="480" w:lineRule="exact"/>
        <w:jc w:val="center"/>
        <w:outlineLvl w:val="1"/>
        <w:rPr>
          <w:rFonts w:hint="eastAsia" w:ascii="宋体" w:hAnsi="宋体" w:eastAsia="宋体" w:cs="宋体"/>
          <w:bCs/>
          <w:kern w:val="44"/>
          <w:sz w:val="24"/>
          <w:szCs w:val="24"/>
          <w:highlight w:val="none"/>
        </w:rPr>
      </w:pPr>
      <w:r>
        <w:rPr>
          <w:rFonts w:hint="eastAsia" w:ascii="宋体" w:hAnsi="宋体" w:eastAsia="宋体" w:cs="宋体"/>
          <w:b/>
          <w:bCs/>
          <w:kern w:val="44"/>
          <w:sz w:val="24"/>
          <w:szCs w:val="24"/>
          <w:highlight w:val="none"/>
        </w:rPr>
        <w:t>第二章  技术要求</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一、基本要求</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8"/>
          <w:szCs w:val="20"/>
          <w:highlight w:val="none"/>
          <w:lang w:val="en-US" w:eastAsia="zh-CN"/>
        </w:rPr>
      </w:pPr>
      <w:r>
        <w:rPr>
          <w:rFonts w:hint="eastAsia" w:ascii="宋体" w:hAnsi="宋体" w:eastAsia="宋体" w:cs="宋体"/>
          <w:b/>
          <w:sz w:val="24"/>
          <w:szCs w:val="18"/>
          <w:highlight w:val="none"/>
          <w:lang w:val="en-US" w:eastAsia="zh-CN"/>
        </w:rPr>
        <w:t>（一）</w:t>
      </w:r>
      <w:r>
        <w:rPr>
          <w:rFonts w:hint="eastAsia" w:ascii="宋体" w:hAnsi="宋体" w:cs="宋体"/>
          <w:b/>
          <w:sz w:val="24"/>
          <w:szCs w:val="18"/>
          <w:highlight w:val="none"/>
          <w:lang w:val="en-US" w:eastAsia="zh-CN"/>
        </w:rPr>
        <w:t>能效</w:t>
      </w:r>
      <w:r>
        <w:rPr>
          <w:rFonts w:hint="eastAsia" w:ascii="宋体" w:hAnsi="宋体" w:eastAsia="宋体" w:cs="宋体"/>
          <w:b/>
          <w:sz w:val="24"/>
          <w:szCs w:val="18"/>
          <w:highlight w:val="none"/>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原则上，电机功率≥7.5kW，必须选用一级能效。电机功率＜7.5kW，优先选用一级能效；其中对于能源供应类设备及年运行时间≥2000h工艺设备的电机必须选用一级能效。杜绝选用三级及以下能效。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空调必须选用一级能效，变压器最低选用二级能效，对于特殊场景、特殊用途其他设备结合性价比综合考虑、充分论证。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highlight w:val="none"/>
          <w:lang w:val="en-US" w:eastAsia="zh-CN" w:bidi="ar-SA"/>
        </w:rPr>
      </w:pPr>
      <w:r>
        <w:rPr>
          <w:rFonts w:hint="eastAsia" w:ascii="宋体" w:hAnsi="宋体" w:eastAsia="宋体" w:cs="宋体"/>
          <w:b/>
          <w:kern w:val="2"/>
          <w:sz w:val="24"/>
          <w:szCs w:val="18"/>
          <w:highlight w:val="none"/>
          <w:lang w:val="en-US" w:eastAsia="zh-CN" w:bidi="ar-SA"/>
        </w:rPr>
        <w:t>（二）新增设备技术文件要求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程序源码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程序权限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设备入场资料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设备入场前，供方需提供软件程序源码及各级用户名和密码，确保与现场程序一致。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设备模型图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提供二维模型图和轻量化处理的后的GLTF格式的三维模型图；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设备点址表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电气原理图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提供电器原理图电子版和纸质版；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布局图和工艺流程图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终验收资料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在终验收前，供方需提供最新的软件程序源码，并须与实际现场一致。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highlight w:val="none"/>
          <w:lang w:val="en-US" w:eastAsia="zh-CN" w:bidi="ar-SA"/>
        </w:rPr>
      </w:pPr>
      <w:r>
        <w:rPr>
          <w:rFonts w:hint="eastAsia" w:ascii="宋体" w:hAnsi="宋体" w:eastAsia="宋体" w:cs="宋体"/>
          <w:b/>
          <w:kern w:val="2"/>
          <w:sz w:val="24"/>
          <w:szCs w:val="18"/>
          <w:highlight w:val="none"/>
          <w:lang w:val="en-US" w:eastAsia="zh-CN" w:bidi="ar-SA"/>
        </w:rPr>
        <w:t>（三）接口协议数采要求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接口开放</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工控网络接入</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设备及上位控制系统（工控机）应接入工厂工控网络，以实现数据采集。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系统接口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供方应免费提供应用层系统接口，包括WebAPI、MQTT（具体接口要求详见第三部分）。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反控接口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通信速率</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用于数据采集的接口应保证平台请求所有需求点位数据并作出应答的周期小于1秒。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数据交互功能</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供方应免费提供数据交互功能，支持实时数据、历史数据、报警信息等的交互。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数据采集连续性</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设备在上电状态下必须持续采集数据，不受设备待机、休眠等状态的影响（主动上传设备除外）。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上位机权限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所有上位机程序、专用软件及数据库必须提供全部权限的用户名和密码。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调试支持</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技术文档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设备入场前，供方必须提供接口技术文档及参数说明，内容包括但不限于接口协议、通讯速率、数据格式等。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highlight w:val="none"/>
          <w:lang w:val="en-US" w:eastAsia="zh-CN" w:bidi="ar-SA"/>
        </w:rPr>
      </w:pPr>
      <w:r>
        <w:rPr>
          <w:rFonts w:hint="eastAsia" w:ascii="宋体" w:hAnsi="宋体" w:eastAsia="宋体" w:cs="宋体"/>
          <w:b/>
          <w:kern w:val="2"/>
          <w:sz w:val="24"/>
          <w:szCs w:val="18"/>
          <w:highlight w:val="none"/>
          <w:lang w:val="en-US" w:eastAsia="zh-CN" w:bidi="ar-SA"/>
        </w:rPr>
        <w:t>（四）点位需求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点位属性：按照需求提供设备点位地址、点位名称、点位含义说明、数据类型、单位，字符串、数组等要标明长度；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数据：设备需求数据包含通用数据和专用数据两部分，通用数据所有设备都需要提供，专用数据需要根据具体设备类型确认需求点位。通用点位包含三类，一是实时状态数据，二是生产结果数据，三是设备能耗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)对于生产结果数据，设备本身必须保留最近一定量生产数据的备份，以预防设备和SCADA通道连接中断时生产数据丢失。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以报警代码的方式提供报警信息，需要提供报警代码、报警状态、报警说明以及报警处理办法，报警代码以纯数值格式表示，报警等级符合重汽告警管理规范。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提供的设备状态数据应当是连续变化、不间断的，以符合数据采集的需求。即点位不能只在部分时间存有实时数据，其他时间数据回归初始值或无意义；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highlight w:val="none"/>
          <w:lang w:val="en-US" w:eastAsia="zh-CN" w:bidi="ar-SA"/>
        </w:rPr>
      </w:pPr>
      <w:r>
        <w:rPr>
          <w:rFonts w:hint="eastAsia" w:ascii="宋体" w:hAnsi="宋体" w:eastAsia="宋体" w:cs="宋体"/>
          <w:b/>
          <w:kern w:val="2"/>
          <w:sz w:val="24"/>
          <w:szCs w:val="18"/>
          <w:highlight w:val="none"/>
          <w:lang w:val="en-US" w:eastAsia="zh-CN" w:bidi="ar-SA"/>
        </w:rPr>
        <w:t>（五）数采接口要求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 xml:space="preserve"> 接口基本要求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数据上传WebAPI接口说明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controller</w:t>
      </w:r>
      <w:r>
        <w:rPr>
          <w:rFonts w:hint="eastAsia" w:ascii="宋体" w:hAnsi="宋体" w:eastAsia="宋体" w:cs="宋体"/>
          <w:color w:val="auto"/>
          <w:sz w:val="24"/>
          <w:szCs w:val="24"/>
          <w:highlight w:val="none"/>
        </w:rPr>
        <w:t>": "MFG-001-202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"timestamp": "202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14:30:00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"params":{</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device_state</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"tag1</w:t>
      </w:r>
      <w:r>
        <w:rPr>
          <w:rFonts w:hint="eastAsia" w:ascii="宋体" w:hAnsi="宋体" w:eastAsia="宋体" w:cs="宋体"/>
          <w:color w:val="auto"/>
          <w:sz w:val="24"/>
          <w:szCs w:val="24"/>
          <w:highlight w:val="none"/>
        </w:rPr>
        <w:t>": "TEMP_01"</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"tag</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"TEMP_0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"tag</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"TEMP_0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controller</w:t>
      </w:r>
      <w:r>
        <w:rPr>
          <w:rFonts w:hint="eastAsia" w:ascii="宋体" w:hAnsi="宋体" w:eastAsia="宋体" w:cs="宋体"/>
          <w:color w:val="auto"/>
          <w:sz w:val="24"/>
          <w:szCs w:val="24"/>
          <w:highlight w:val="none"/>
        </w:rPr>
        <w:t>": "MFG-001-202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"alarm</w:t>
      </w:r>
      <w:r>
        <w:rPr>
          <w:rFonts w:hint="eastAsia" w:ascii="宋体" w:hAnsi="宋体" w:eastAsia="宋体" w:cs="宋体"/>
          <w:color w:val="auto"/>
          <w:sz w:val="24"/>
          <w:szCs w:val="24"/>
          <w:highlight w:val="none"/>
          <w:lang w:val="en-US" w:eastAsia="zh-CN"/>
        </w:rPr>
        <w:t>_code</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001</w:t>
      </w:r>
      <w:r>
        <w:rPr>
          <w:rFonts w:hint="eastAsia" w:ascii="宋体" w:hAnsi="宋体" w:eastAsia="宋体" w:cs="宋体"/>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alarm_detail</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报警描述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alarm_type</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报警类型</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alarm_level</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级别</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alarm_time</w:t>
      </w:r>
      <w:r>
        <w:rPr>
          <w:rFonts w:hint="eastAsia" w:ascii="宋体" w:hAnsi="宋体" w:eastAsia="宋体" w:cs="宋体"/>
          <w:color w:val="auto"/>
          <w:sz w:val="24"/>
          <w:szCs w:val="24"/>
          <w:highlight w:val="none"/>
        </w:rPr>
        <w:t>": "202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14:30:00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alarm_1</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预留1</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alarm_2</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预留2</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请求报文格式：采用JSON格式，主要字段包括：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controller: </w:t>
      </w:r>
      <w:r>
        <w:rPr>
          <w:rFonts w:hint="eastAsia" w:ascii="宋体" w:hAnsi="宋体" w:eastAsia="宋体" w:cs="宋体"/>
          <w:b w:val="0"/>
          <w:bCs/>
          <w:color w:val="auto"/>
          <w:sz w:val="24"/>
          <w:szCs w:val="24"/>
          <w:highlight w:val="none"/>
        </w:rPr>
        <w:t>字符串，设备唯一标识。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timestamp：数据采集时间。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Params：参数块，用于包含设备采集的各项数据</w:t>
      </w:r>
      <w:r>
        <w:rPr>
          <w:rFonts w:hint="eastAsia" w:ascii="宋体" w:hAnsi="宋体" w:eastAsia="宋体" w:cs="宋体"/>
          <w:b w:val="0"/>
          <w:bCs/>
          <w:color w:val="auto"/>
          <w:sz w:val="24"/>
          <w:szCs w:val="24"/>
          <w:highlight w:val="none"/>
        </w:rPr>
        <w:t>（例如设备运行模式、信号强度、在线状态等可根据</w:t>
      </w:r>
      <w:r>
        <w:rPr>
          <w:rFonts w:hint="eastAsia" w:ascii="宋体" w:hAnsi="宋体" w:eastAsia="宋体" w:cs="宋体"/>
          <w:b w:val="0"/>
          <w:bCs/>
          <w:color w:val="auto"/>
          <w:sz w:val="24"/>
          <w:szCs w:val="24"/>
          <w:highlight w:val="none"/>
          <w:lang w:val="en-US" w:eastAsia="zh-CN"/>
        </w:rPr>
        <w:t>采集内容</w:t>
      </w:r>
      <w:r>
        <w:rPr>
          <w:rFonts w:hint="eastAsia" w:ascii="宋体" w:hAnsi="宋体" w:eastAsia="宋体" w:cs="宋体"/>
          <w:b w:val="0"/>
          <w:bCs/>
          <w:color w:val="auto"/>
          <w:sz w:val="24"/>
          <w:szCs w:val="24"/>
          <w:highlight w:val="none"/>
        </w:rPr>
        <w:t>需要增补）；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device_state：设备运行状态（0：运行，1：停止，2：待机）；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tag1：根据实际采集的内容，确定的属性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对报警信息字段：如alarm_code（报警编号）、alarm_detail（报警描述）、alarm_type（报警类型）、alarm_level（报警级别）。</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响应格式：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返回统一状态码及说明信息，示例：成功返回200和“上传成功”，错误时返回相应错误码及描述。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安全认证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异常处理与日志记录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MQTT接口（实时通道）说明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报文格式：主要字段包括：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发布与订阅规范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异常处理与重连机制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4"/>
          <w:szCs w:val="18"/>
          <w:highlight w:val="none"/>
          <w:lang w:val="en-US" w:eastAsia="zh-CN"/>
        </w:rPr>
      </w:pPr>
      <w:r>
        <w:rPr>
          <w:rFonts w:hint="eastAsia" w:ascii="宋体" w:hAnsi="宋体" w:eastAsia="宋体" w:cs="宋体"/>
          <w:b/>
          <w:sz w:val="24"/>
          <w:szCs w:val="18"/>
          <w:highlight w:val="none"/>
          <w:lang w:val="en-US" w:eastAsia="zh-CN"/>
        </w:rPr>
        <w:t>（</w:t>
      </w:r>
      <w:r>
        <w:rPr>
          <w:rFonts w:hint="eastAsia" w:ascii="宋体" w:hAnsi="宋体" w:cs="宋体"/>
          <w:b/>
          <w:sz w:val="24"/>
          <w:szCs w:val="18"/>
          <w:highlight w:val="none"/>
          <w:lang w:val="en-US" w:eastAsia="zh-CN"/>
        </w:rPr>
        <w:t>六</w:t>
      </w:r>
      <w:r>
        <w:rPr>
          <w:rFonts w:hint="eastAsia" w:ascii="宋体" w:hAnsi="宋体" w:eastAsia="宋体" w:cs="宋体"/>
          <w:b/>
          <w:sz w:val="24"/>
          <w:szCs w:val="18"/>
          <w:highlight w:val="none"/>
          <w:lang w:val="en-US" w:eastAsia="zh-CN"/>
        </w:rPr>
        <w:t>）空压机要求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pPr>
        <w:pStyle w:val="3"/>
        <w:rPr>
          <w:rFonts w:hint="eastAsia"/>
          <w:highlight w:val="none"/>
          <w:lang w:val="en-US" w:eastAsia="zh-CN"/>
        </w:rPr>
      </w:pPr>
      <w:r>
        <w:rPr>
          <w:rFonts w:hint="eastAsia"/>
          <w:highlight w:val="none"/>
          <w:lang w:val="en-US" w:eastAsia="zh-CN"/>
        </w:rPr>
        <w:t>（七）急停按钮</w:t>
      </w:r>
    </w:p>
    <w:p>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1、原则上应布置至少一个急停按键，位于控制桌（控制桌的中轴线上，距离桌边55cm）或者试验间内侧人行出入口旁（距离门框20cm，标高130cm），或者两个位置都布置。</w:t>
      </w:r>
    </w:p>
    <w:p>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2、按钮开关选用施耐德XB2BS545C，开关盒选用施耐德XALB01YC塑料按钮盒，防护罩选用施耐德ZB2BZ1605C</w:t>
      </w:r>
      <w:r>
        <w:rPr>
          <w:rFonts w:hint="eastAsia" w:ascii="宋体" w:hAnsi="宋体" w:cs="宋体"/>
          <w:b w:val="0"/>
          <w:bCs w:val="0"/>
          <w:kern w:val="2"/>
          <w:sz w:val="24"/>
          <w:szCs w:val="24"/>
          <w:highlight w:val="none"/>
          <w:lang w:val="en-US" w:eastAsia="zh-CN" w:bidi="ar-SA"/>
        </w:rPr>
        <w:t>。</w:t>
      </w:r>
    </w:p>
    <w:p>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pPr>
        <w:rPr>
          <w:rFonts w:hint="eastAsia" w:ascii="Arial" w:hAnsi="Arial" w:eastAsia="宋体" w:cs="Times New Roman"/>
          <w:b/>
          <w:bCs/>
          <w:kern w:val="2"/>
          <w:sz w:val="24"/>
          <w:szCs w:val="32"/>
          <w:highlight w:val="none"/>
          <w:lang w:val="en-US" w:eastAsia="zh-CN" w:bidi="ar-SA"/>
        </w:rPr>
      </w:pPr>
      <w:r>
        <w:rPr>
          <w:rFonts w:hint="eastAsia" w:ascii="Arial" w:hAnsi="Arial" w:eastAsia="宋体" w:cs="Times New Roman"/>
          <w:b/>
          <w:bCs/>
          <w:kern w:val="2"/>
          <w:sz w:val="24"/>
          <w:szCs w:val="32"/>
          <w:highlight w:val="none"/>
          <w:lang w:val="en-US" w:eastAsia="zh-CN" w:bidi="ar-SA"/>
        </w:rPr>
        <w:t>（</w:t>
      </w:r>
      <w:r>
        <w:rPr>
          <w:rFonts w:hint="eastAsia" w:ascii="Arial" w:hAnsi="Arial" w:cs="Times New Roman"/>
          <w:b/>
          <w:bCs/>
          <w:kern w:val="2"/>
          <w:sz w:val="24"/>
          <w:szCs w:val="32"/>
          <w:highlight w:val="none"/>
          <w:lang w:val="en-US" w:eastAsia="zh-CN" w:bidi="ar-SA"/>
        </w:rPr>
        <w:t>八</w:t>
      </w:r>
      <w:r>
        <w:rPr>
          <w:rFonts w:hint="eastAsia" w:ascii="Arial" w:hAnsi="Arial" w:eastAsia="宋体" w:cs="Times New Roman"/>
          <w:b/>
          <w:bCs/>
          <w:kern w:val="2"/>
          <w:sz w:val="24"/>
          <w:szCs w:val="32"/>
          <w:highlight w:val="none"/>
          <w:lang w:val="en-US" w:eastAsia="zh-CN" w:bidi="ar-SA"/>
        </w:rPr>
        <w:t>）屏幕尺寸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r>
        <w:rPr>
          <w:rFonts w:hint="eastAsia" w:ascii="宋体" w:hAnsi="宋体" w:cs="宋体"/>
          <w:b w:val="0"/>
          <w:bCs w:val="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pPr>
        <w:pStyle w:val="3"/>
        <w:rPr>
          <w:rFonts w:hint="eastAsia"/>
          <w:highlight w:val="none"/>
          <w:lang w:val="en-US" w:eastAsia="zh-CN"/>
        </w:rPr>
      </w:pPr>
      <w:r>
        <w:rPr>
          <w:rFonts w:hint="eastAsia"/>
          <w:highlight w:val="none"/>
          <w:lang w:val="en-US" w:eastAsia="zh-CN"/>
        </w:rPr>
        <w:t>（九）主控柜位置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r>
        <w:rPr>
          <w:rFonts w:hint="eastAsia" w:ascii="宋体" w:hAnsi="宋体" w:cs="宋体"/>
          <w:b w:val="0"/>
          <w:bCs w:val="0"/>
          <w:kern w:val="2"/>
          <w:sz w:val="24"/>
          <w:szCs w:val="24"/>
          <w:highlight w:val="none"/>
          <w:lang w:val="en-US" w:eastAsia="zh-CN" w:bidi="ar-SA"/>
        </w:rPr>
        <w:t>。</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4"/>
          <w:szCs w:val="18"/>
          <w:highlight w:val="none"/>
          <w:lang w:val="en-US" w:eastAsia="zh-CN"/>
        </w:rPr>
      </w:pPr>
      <w:r>
        <w:rPr>
          <w:rFonts w:hint="eastAsia" w:ascii="宋体" w:hAnsi="宋体" w:eastAsia="宋体" w:cs="宋体"/>
          <w:b/>
          <w:sz w:val="24"/>
          <w:szCs w:val="18"/>
          <w:highlight w:val="none"/>
          <w:lang w:val="en-US" w:eastAsia="zh-CN"/>
        </w:rPr>
        <w:t>（</w:t>
      </w:r>
      <w:r>
        <w:rPr>
          <w:rFonts w:hint="eastAsia" w:ascii="宋体" w:hAnsi="宋体" w:cs="宋体"/>
          <w:b/>
          <w:sz w:val="24"/>
          <w:szCs w:val="18"/>
          <w:highlight w:val="none"/>
          <w:lang w:val="en-US" w:eastAsia="zh-CN"/>
        </w:rPr>
        <w:t>十</w:t>
      </w:r>
      <w:r>
        <w:rPr>
          <w:rFonts w:hint="eastAsia" w:ascii="宋体" w:hAnsi="宋体" w:eastAsia="宋体" w:cs="宋体"/>
          <w:b/>
          <w:sz w:val="24"/>
          <w:szCs w:val="18"/>
          <w:highlight w:val="none"/>
          <w:lang w:val="en-US" w:eastAsia="zh-CN"/>
        </w:rPr>
        <w:t>）其它要求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所有设备外观喷涂颜色按中国重型汽车集团有限公司Q/ZZ 30070—2020《设备设施颜色标识》规定执行</w:t>
      </w:r>
      <w:r>
        <w:rPr>
          <w:rFonts w:hint="eastAsia" w:ascii="宋体" w:hAnsi="宋体" w:cs="宋体"/>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highlight w:val="none"/>
          <w:lang w:val="en-US" w:eastAsia="zh-CN"/>
        </w:rPr>
        <w:t>2、</w:t>
      </w:r>
      <w:r>
        <w:rPr>
          <w:rFonts w:hint="eastAsia" w:ascii="宋体" w:hAnsi="宋体" w:cs="宋体"/>
          <w:sz w:val="24"/>
          <w:szCs w:val="24"/>
          <w:highlight w:val="none"/>
          <w:lang w:val="en-US" w:eastAsia="zh-CN"/>
        </w:rPr>
        <w:t>设备验收前需符合</w:t>
      </w:r>
      <w:r>
        <w:rPr>
          <w:rFonts w:hint="eastAsia" w:ascii="宋体" w:hAnsi="宋体" w:eastAsia="宋体" w:cs="宋体"/>
          <w:sz w:val="24"/>
          <w:szCs w:val="24"/>
          <w:highlight w:val="none"/>
          <w:lang w:val="en-US" w:eastAsia="zh-CN"/>
        </w:rPr>
        <w:t>中国重型汽车集团有限公司</w:t>
      </w:r>
      <w:r>
        <w:rPr>
          <w:rFonts w:hint="eastAsia" w:ascii="宋体" w:hAnsi="宋体" w:cs="宋体"/>
          <w:sz w:val="24"/>
          <w:szCs w:val="24"/>
          <w:highlight w:val="none"/>
          <w:lang w:val="en-US" w:eastAsia="zh-CN"/>
        </w:rPr>
        <w:t>JNATCB0117A2-2025《设备通用技术标准管理办法》规范。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Times New Roman"/>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、嵌入式软件必须免费升级。</w:t>
      </w:r>
    </w:p>
    <w:p>
      <w:pPr>
        <w:pStyle w:val="116"/>
        <w:spacing w:line="360" w:lineRule="auto"/>
        <w:outlineLvl w:val="2"/>
        <w:rPr>
          <w:rFonts w:hint="eastAsia" w:eastAsia="宋体" w:cs="宋体"/>
          <w:b/>
          <w:bCs w:val="0"/>
          <w:sz w:val="24"/>
          <w:szCs w:val="24"/>
          <w:highlight w:val="none"/>
        </w:rPr>
      </w:pPr>
      <w:bookmarkStart w:id="34" w:name="_Hlk132112785"/>
      <w:r>
        <w:rPr>
          <w:rFonts w:hint="eastAsia" w:eastAsia="宋体" w:cs="宋体"/>
          <w:b/>
          <w:bCs w:val="0"/>
          <w:sz w:val="24"/>
          <w:szCs w:val="24"/>
          <w:highlight w:val="none"/>
        </w:rPr>
        <w:t>三、技术要求</w:t>
      </w:r>
    </w:p>
    <w:p>
      <w:pPr>
        <w:ind w:firstLine="482" w:firstLineChars="2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说明：本章内容中凡标有“★”号的，均须无条件的满足，如果某个标题前标有“★”的，则该标题下的所有内容都须无条件的满足。</w:t>
      </w:r>
    </w:p>
    <w:p>
      <w:pPr>
        <w:jc w:val="left"/>
        <w:rPr>
          <w:rFonts w:hint="eastAsia" w:ascii="宋体" w:hAnsi="宋体" w:eastAsia="宋体" w:cs="宋体"/>
          <w:b/>
          <w:sz w:val="24"/>
          <w:szCs w:val="24"/>
          <w:highlight w:val="none"/>
        </w:rPr>
      </w:pPr>
    </w:p>
    <w:p>
      <w:pPr>
        <w:spacing w:line="420" w:lineRule="exact"/>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1功能用途、生产能力、使用寿命要求</w:t>
      </w:r>
    </w:p>
    <w:p>
      <w:pPr>
        <w:spacing w:line="360" w:lineRule="auto"/>
        <w:ind w:firstLine="480" w:firstLineChars="200"/>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冰水冲击试验箱</w:t>
      </w:r>
      <w:r>
        <w:rPr>
          <w:rFonts w:hint="eastAsia" w:ascii="宋体" w:hAnsi="宋体" w:eastAsia="宋体" w:cs="Times New Roman"/>
          <w:sz w:val="24"/>
          <w:szCs w:val="24"/>
          <w:highlight w:val="none"/>
          <w:lang w:eastAsia="zh-CN"/>
        </w:rPr>
        <w:t>是冰水飞溅与冰水浸没</w:t>
      </w:r>
      <w:r>
        <w:rPr>
          <w:rFonts w:hint="eastAsia" w:ascii="宋体" w:hAnsi="宋体" w:eastAsia="宋体" w:cs="Times New Roman"/>
          <w:sz w:val="24"/>
          <w:szCs w:val="24"/>
          <w:highlight w:val="none"/>
          <w:lang w:val="en-US" w:eastAsia="zh-CN"/>
        </w:rPr>
        <w:t>等试验</w:t>
      </w:r>
      <w:r>
        <w:rPr>
          <w:rFonts w:hint="eastAsia" w:ascii="宋体" w:hAnsi="宋体" w:eastAsia="宋体" w:cs="Times New Roman"/>
          <w:sz w:val="24"/>
          <w:szCs w:val="24"/>
          <w:highlight w:val="none"/>
          <w:lang w:eastAsia="zh-CN"/>
        </w:rPr>
        <w:t>的复合试验箱，可提供高温环境加热样品，然后用冰水进行喷溅或浸没试验，能精准控制水温、水流量、喷射距离、喷射时间、循环次数等参数，满足电机产品开发对冰水冲击试验的测试需求。本项目由中标方按物料清单进行供货，提供物料集成支持及调试。按全年工作274天、两班制、设备年时基数4380小时进行使用，</w:t>
      </w:r>
      <w:r>
        <w:rPr>
          <w:rFonts w:hint="eastAsia" w:ascii="宋体" w:hAnsi="宋体" w:eastAsia="宋体" w:cs="Times New Roman"/>
          <w:sz w:val="24"/>
          <w:szCs w:val="24"/>
          <w:highlight w:val="none"/>
          <w:lang w:val="en-US" w:eastAsia="zh-CN"/>
        </w:rPr>
        <w:t>使用</w:t>
      </w:r>
      <w:r>
        <w:rPr>
          <w:rFonts w:hint="eastAsia" w:ascii="宋体" w:hAnsi="宋体" w:eastAsia="宋体" w:cs="Times New Roman"/>
          <w:sz w:val="24"/>
          <w:szCs w:val="24"/>
          <w:highlight w:val="none"/>
          <w:lang w:eastAsia="zh-CN"/>
        </w:rPr>
        <w:t>寿命十年以上。</w:t>
      </w:r>
    </w:p>
    <w:p>
      <w:pPr>
        <w:spacing w:line="420" w:lineRule="exact"/>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技术性能参数要求</w:t>
      </w:r>
    </w:p>
    <w:p>
      <w:pPr>
        <w:spacing w:line="420" w:lineRule="exact"/>
        <w:outlineLvl w:val="4"/>
        <w:rPr>
          <w:rFonts w:hint="eastAsia" w:ascii="宋体" w:hAnsi="宋体" w:eastAsia="宋体" w:cs="宋体"/>
          <w:color w:val="000000"/>
          <w:sz w:val="24"/>
          <w:szCs w:val="24"/>
          <w:highlight w:val="none"/>
        </w:rPr>
      </w:pPr>
      <w:r>
        <w:rPr>
          <w:rFonts w:hint="eastAsia" w:ascii="宋体" w:hAnsi="宋体" w:eastAsia="宋体" w:cs="宋体"/>
          <w:b/>
          <w:bCs/>
          <w:sz w:val="24"/>
          <w:szCs w:val="24"/>
          <w:highlight w:val="none"/>
        </w:rPr>
        <w:t>2</w:t>
      </w:r>
      <w:r>
        <w:rPr>
          <w:rFonts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1冰水冲击试验箱</w:t>
      </w:r>
      <w:r>
        <w:rPr>
          <w:rFonts w:hint="eastAsia" w:ascii="宋体" w:hAnsi="宋体" w:eastAsia="宋体" w:cs="宋体"/>
          <w:b/>
          <w:bCs/>
          <w:sz w:val="24"/>
          <w:szCs w:val="24"/>
          <w:highlight w:val="none"/>
        </w:rPr>
        <w:t>技术规范</w:t>
      </w:r>
    </w:p>
    <w:tbl>
      <w:tblPr>
        <w:tblStyle w:val="39"/>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807"/>
        <w:gridCol w:w="319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
                <w:color w:val="000000"/>
                <w:sz w:val="21"/>
                <w:szCs w:val="21"/>
                <w:highlight w:val="none"/>
              </w:rPr>
            </w:pPr>
            <w:r>
              <w:rPr>
                <w:rFonts w:hint="eastAsia" w:ascii="宋体" w:hAnsi="宋体" w:eastAsia="宋体" w:cs="Times New Roman"/>
                <w:b/>
                <w:color w:val="000000"/>
                <w:sz w:val="21"/>
                <w:szCs w:val="21"/>
                <w:highlight w:val="none"/>
              </w:rPr>
              <w:t>1、基本参数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需满足的测试项目</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rPr>
            </w:pPr>
            <w:r>
              <w:rPr>
                <w:rFonts w:hint="eastAsia" w:ascii="宋体" w:hAnsi="宋体" w:eastAsia="宋体" w:cs="Times New Roman"/>
                <w:color w:val="000000"/>
                <w:sz w:val="21"/>
                <w:szCs w:val="21"/>
                <w:highlight w:val="none"/>
                <w:lang w:val="en-US"/>
              </w:rPr>
              <w:t>水飞溅试验</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rPr>
            </w:pPr>
            <w:r>
              <w:rPr>
                <w:rFonts w:hint="eastAsia" w:ascii="宋体" w:hAnsi="宋体" w:eastAsia="宋体" w:cs="Times New Roman"/>
                <w:color w:val="000000"/>
                <w:sz w:val="21"/>
                <w:szCs w:val="21"/>
                <w:highlight w:val="none"/>
                <w:lang w:val="en-US"/>
              </w:rPr>
              <w:t>浸没试验</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rPr>
            </w:pPr>
            <w:r>
              <w:rPr>
                <w:rFonts w:hint="eastAsia" w:ascii="宋体" w:hAnsi="宋体" w:eastAsia="宋体" w:cs="Times New Roman"/>
                <w:color w:val="000000"/>
                <w:sz w:val="21"/>
                <w:szCs w:val="21"/>
                <w:highlight w:val="none"/>
                <w:lang w:val="en-US"/>
              </w:rPr>
              <w:t>有浪涌水的温度冲击试验</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rPr>
            </w:pPr>
            <w:r>
              <w:rPr>
                <w:rFonts w:hint="eastAsia" w:ascii="宋体" w:hAnsi="宋体" w:eastAsia="宋体" w:cs="Times New Roman"/>
                <w:color w:val="000000"/>
                <w:sz w:val="21"/>
                <w:szCs w:val="21"/>
                <w:highlight w:val="none"/>
                <w:lang w:val="en-US"/>
              </w:rPr>
              <w:t>浸入式温度冲击试验</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设备构型</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设备分左右两个区域，可以独立工作，左边进行冰水冲击及浸没试验，右边进行水飞溅及有浪涌水温度冲击试验（含亚利桑那灰粉尘）</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水箱</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水箱隔离，具备盐水箱及亚利桑那水箱</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需满足的被测件尺寸及质量</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D1000mm，φ1000mm，质量500kg</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左箱提篮尺寸</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不小于W×D×H=1000mm×1000mm×1000mm，需满足被试件测试最小尺寸</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左箱提篮承重</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500kg</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左箱提篮驱动方式</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电缸驱动</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eastAsia="zh-CN"/>
              </w:rPr>
              <w:t>左箱高温区</w:t>
            </w:r>
            <w:r>
              <w:rPr>
                <w:rFonts w:hint="eastAsia" w:ascii="宋体" w:hAnsi="宋体" w:eastAsia="宋体" w:cs="Times New Roman"/>
                <w:color w:val="000000"/>
                <w:sz w:val="21"/>
                <w:szCs w:val="21"/>
                <w:highlight w:val="none"/>
              </w:rPr>
              <w:t>温度范围</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室温+10℃～+185℃</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左箱低温区液槽温度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在0℃～+4℃范围内</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左箱高温区升温速率</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从+20℃至+185℃，升温速率不小于2.0℃/min，</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左箱低温区降温速率</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从+25℃至0℃，150分钟以内，带1000升盐水</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左箱低温液槽液体成分</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去离子水或者5%盐溶液</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左箱低温液槽材质</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10mm厚有机玻璃</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左箱提篮移动速度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约100mm/秒</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左箱水浴槽尺寸</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可容纳提篮大小，并保证试验介质可包裹被测件＞10cm</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右箱内尺寸</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不小于W×D×H=1000mm×1000mm×1000mm，需满足被试件测试最小尺寸</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右箱体承重</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500kg</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右箱温度范围</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室温+10℃～+150℃</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右箱温度控制精度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±0.1℃</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右箱温度波动度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≤±0.5℃</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右箱温度均匀度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≤±2℃</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右箱温度偏差</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≤±2℃</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右箱升温速度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从室温至+150℃，线性升温速率不小于2.0℃/min</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右箱液体温度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液体温度范围：在0℃~+4℃范围内</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右箱液体温度波动度</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≤±0.2℃</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右箱低温液槽降温速率</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从+25℃至0℃，90分钟以内，带200升</w:t>
            </w:r>
            <w:r>
              <w:rPr>
                <w:rFonts w:hint="eastAsia" w:ascii="宋体" w:hAnsi="宋体" w:eastAsia="宋体" w:cs="Times New Roman"/>
                <w:color w:val="auto"/>
                <w:sz w:val="21"/>
                <w:szCs w:val="21"/>
                <w:highlight w:val="none"/>
                <w:lang w:val="en-US" w:eastAsia="zh-CN"/>
              </w:rPr>
              <w:t>去离子水</w:t>
            </w:r>
            <w:r>
              <w:rPr>
                <w:rFonts w:hint="eastAsia" w:ascii="宋体" w:hAnsi="宋体" w:eastAsia="宋体" w:cs="Times New Roman"/>
                <w:color w:val="000000"/>
                <w:sz w:val="21"/>
                <w:szCs w:val="21"/>
                <w:highlight w:val="none"/>
                <w:lang w:val="en-US" w:eastAsia="zh-CN"/>
              </w:rPr>
              <w:t>或亚利桑那灰溶液</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液箱可用液体成分</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含亚利桑那灰的自来水，按ISO12103-1规定的灰的重量百分比为3%，也允许含有盐分</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右箱液体流量控制</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通过控制压力使得每个喷嘴每3秒钟3～4升</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设备外尺寸</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需提供最终设备外尺寸规格</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pPr>
              <w:keepNext w:val="0"/>
              <w:keepLines w:val="0"/>
              <w:pageBreakBefore w:val="0"/>
              <w:widowControl w:val="0"/>
              <w:numPr>
                <w:ilvl w:val="0"/>
                <w:numId w:val="14"/>
              </w:numPr>
              <w:tabs>
                <w:tab w:val="left" w:pos="744"/>
              </w:tabs>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右箱体喷嘴</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数量：2</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一个喷嘴用于泥浆水，在箱体右侧；一个喷嘴用于去离子水，在箱体右侧</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喷嘴采用内循环模式</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喷嘴单独控制</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液体温度调节系统</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数量：3套</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1个用于冰水浸没测试</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1个用于泥浆水的喷溅水测试</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1个用于去离子水的喷溅水测试</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控制器性能要求</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大于13寸电容屏</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256G固态硬盘</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8G内存</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集成显卡</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带HMMI接口用于大屏投射</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设备保护系统</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电源缺相、相序错乱、超压、欠压保护</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软件内超温保护</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控制传感器断线保护</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可调节并且连接独立温度传感器的超温保护</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制冷压缩机超压、过载、过热保护</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制冷系统缺制冷剂提醒</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提篮位置检测及报警</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门关闭位置检测及报警</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lang w:val="en-US"/>
              </w:rPr>
              <w:t>急停开关</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Chars="0"/>
              <w:jc w:val="center"/>
              <w:textAlignment w:val="auto"/>
              <w:rPr>
                <w:rFonts w:hint="eastAsia" w:ascii="宋体" w:hAnsi="宋体" w:eastAsia="宋体" w:cs="Times New Roman"/>
                <w:color w:val="000000"/>
                <w:sz w:val="21"/>
                <w:szCs w:val="21"/>
                <w:highlight w:val="none"/>
              </w:rPr>
            </w:pPr>
          </w:p>
        </w:tc>
        <w:tc>
          <w:tcPr>
            <w:tcW w:w="28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c>
          <w:tcPr>
            <w:tcW w:w="3199" w:type="dxa"/>
            <w:shd w:val="clear" w:color="auto" w:fill="auto"/>
            <w:vAlign w:val="center"/>
          </w:tcPr>
          <w:p>
            <w:pPr>
              <w:keepNext w:val="0"/>
              <w:keepLines w:val="0"/>
              <w:pageBreakBefore w:val="0"/>
              <w:widowControl w:val="0"/>
              <w:tabs>
                <w:tab w:val="left" w:pos="650"/>
              </w:tabs>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具备三色声光报警系统</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远程监控</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可通过PC端、手机端对设备实现运行、报警信息等参数的连续监控。</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箱体及提篮材质</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箱体内壁及提篮需采用耐腐蚀不锈钢材质，并保证其强度</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Times New Roman"/>
                <w:color w:val="000000"/>
                <w:sz w:val="21"/>
                <w:szCs w:val="21"/>
                <w:highlight w:val="none"/>
              </w:rPr>
            </w:pPr>
          </w:p>
        </w:tc>
        <w:tc>
          <w:tcPr>
            <w:tcW w:w="28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lang w:val="en-US" w:eastAsia="zh-CN"/>
              </w:rPr>
              <w:t>随车维修工具</w:t>
            </w:r>
          </w:p>
        </w:tc>
        <w:tc>
          <w:tcPr>
            <w:tcW w:w="31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Times New Roman"/>
                <w:color w:val="000000"/>
                <w:sz w:val="21"/>
                <w:szCs w:val="21"/>
                <w:highlight w:val="none"/>
                <w:lang w:val="en-US" w:eastAsia="zh-CN"/>
              </w:rPr>
            </w:pPr>
            <w:r>
              <w:rPr>
                <w:rFonts w:hint="eastAsia" w:ascii="宋体" w:hAnsi="宋体" w:eastAsia="宋体" w:cs="Times New Roman"/>
                <w:color w:val="000000"/>
                <w:sz w:val="21"/>
                <w:szCs w:val="21"/>
                <w:highlight w:val="none"/>
              </w:rPr>
              <w:t>\</w:t>
            </w:r>
          </w:p>
        </w:tc>
        <w:tc>
          <w:tcPr>
            <w:tcW w:w="12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w:t>
            </w:r>
          </w:p>
        </w:tc>
      </w:tr>
    </w:tbl>
    <w:p>
      <w:pPr>
        <w:widowControl/>
        <w:jc w:val="left"/>
        <w:rPr>
          <w:rFonts w:hint="eastAsia" w:ascii="宋体" w:hAnsi="宋体" w:eastAsia="宋体" w:cs="宋体"/>
          <w:color w:val="000000"/>
          <w:szCs w:val="21"/>
          <w:highlight w:val="none"/>
        </w:rPr>
      </w:pPr>
    </w:p>
    <w:p>
      <w:pPr>
        <w:widowControl/>
        <w:jc w:val="left"/>
        <w:rPr>
          <w:rFonts w:hint="eastAsia" w:ascii="宋体" w:hAnsi="宋体" w:eastAsia="宋体" w:cs="宋体"/>
          <w:color w:val="000000"/>
          <w:szCs w:val="21"/>
          <w:highlight w:val="none"/>
        </w:rPr>
      </w:pPr>
      <w:r>
        <w:rPr>
          <w:rFonts w:ascii="宋体" w:hAnsi="宋体" w:eastAsia="宋体" w:cs="宋体"/>
          <w:color w:val="000000"/>
          <w:szCs w:val="21"/>
          <w:highlight w:val="none"/>
        </w:rPr>
        <w:br w:type="page"/>
      </w:r>
    </w:p>
    <w:bookmarkEnd w:id="34"/>
    <w:p>
      <w:pPr>
        <w:pStyle w:val="121"/>
        <w:spacing w:line="360" w:lineRule="auto"/>
        <w:rPr>
          <w:rFonts w:hint="eastAsia" w:ascii="宋体" w:hAnsi="宋体" w:cs="宋体"/>
          <w:color w:val="auto"/>
          <w:highlight w:val="none"/>
        </w:rPr>
      </w:pPr>
      <w:r>
        <w:rPr>
          <w:rFonts w:hint="eastAsia" w:ascii="宋体" w:hAnsi="宋体" w:cs="宋体"/>
          <w:color w:val="auto"/>
          <w:highlight w:val="none"/>
        </w:rPr>
        <w:t>四、执行标准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644"/>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序号</w:t>
            </w:r>
          </w:p>
        </w:tc>
        <w:tc>
          <w:tcPr>
            <w:tcW w:w="564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标准名称</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电动汽车用驱动电机系统</w:t>
            </w:r>
          </w:p>
        </w:tc>
        <w:tc>
          <w:tcPr>
            <w:tcW w:w="2663"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 xml:space="preserve">GB/T 18488-2024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2</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道路车辆</w:t>
            </w:r>
            <w:r>
              <w:rPr>
                <w:rFonts w:hint="eastAsia" w:ascii="宋体" w:hAnsi="宋体" w:eastAsia="宋体" w:cs="宋体"/>
                <w:snapToGrid w:val="0"/>
                <w:kern w:val="0"/>
                <w:sz w:val="21"/>
                <w:szCs w:val="21"/>
                <w:highlight w:val="none"/>
                <w:lang w:val="en-US" w:eastAsia="zh-CN"/>
              </w:rPr>
              <w:t xml:space="preserve"> </w:t>
            </w:r>
            <w:r>
              <w:rPr>
                <w:rFonts w:hint="eastAsia" w:ascii="宋体" w:hAnsi="宋体" w:eastAsia="宋体" w:cs="宋体"/>
                <w:snapToGrid w:val="0"/>
                <w:kern w:val="0"/>
                <w:sz w:val="21"/>
                <w:szCs w:val="21"/>
                <w:highlight w:val="none"/>
              </w:rPr>
              <w:t>电动汽车驱动系统用电气及电子设备的环境条件和试验</w:t>
            </w:r>
            <w:r>
              <w:rPr>
                <w:rFonts w:hint="eastAsia" w:ascii="宋体" w:hAnsi="宋体" w:eastAsia="宋体" w:cs="宋体"/>
                <w:snapToGrid w:val="0"/>
                <w:kern w:val="0"/>
                <w:sz w:val="21"/>
                <w:szCs w:val="21"/>
                <w:highlight w:val="none"/>
                <w:lang w:val="en-US" w:eastAsia="zh-CN"/>
              </w:rPr>
              <w:t xml:space="preserve"> </w:t>
            </w:r>
            <w:r>
              <w:rPr>
                <w:rFonts w:hint="eastAsia" w:ascii="宋体" w:hAnsi="宋体" w:eastAsia="宋体" w:cs="宋体"/>
                <w:snapToGrid w:val="0"/>
                <w:kern w:val="0"/>
                <w:sz w:val="21"/>
                <w:szCs w:val="21"/>
                <w:highlight w:val="none"/>
              </w:rPr>
              <w:t>第4部分：气候负荷</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GB/T</w:t>
            </w:r>
            <w:r>
              <w:rPr>
                <w:rFonts w:hint="eastAsia" w:ascii="宋体" w:hAnsi="宋体" w:eastAsia="宋体" w:cs="宋体"/>
                <w:snapToGrid w:val="0"/>
                <w:kern w:val="0"/>
                <w:sz w:val="21"/>
                <w:szCs w:val="21"/>
                <w:highlight w:val="none"/>
                <w:lang w:val="en-US" w:eastAsia="zh-CN"/>
              </w:rPr>
              <w:t xml:space="preserve"> </w:t>
            </w:r>
            <w:r>
              <w:rPr>
                <w:rFonts w:hint="eastAsia" w:ascii="宋体" w:hAnsi="宋体" w:eastAsia="宋体" w:cs="宋体"/>
                <w:snapToGrid w:val="0"/>
                <w:kern w:val="0"/>
                <w:sz w:val="21"/>
                <w:szCs w:val="21"/>
                <w:highlight w:val="none"/>
              </w:rPr>
              <w:t>42284.4</w:t>
            </w:r>
            <w:r>
              <w:rPr>
                <w:rFonts w:hint="eastAsia" w:ascii="宋体" w:hAnsi="宋体" w:eastAsia="宋体" w:cs="宋体"/>
                <w:snapToGrid w:val="0"/>
                <w:kern w:val="0"/>
                <w:sz w:val="21"/>
                <w:szCs w:val="21"/>
                <w:highlight w:val="none"/>
                <w:lang w:val="en-US" w:eastAsia="zh-CN"/>
              </w:rPr>
              <w:t>-</w:t>
            </w:r>
            <w:r>
              <w:rPr>
                <w:rFonts w:hint="eastAsia" w:ascii="宋体" w:hAnsi="宋体" w:eastAsia="宋体" w:cs="宋体"/>
                <w:snapToGrid w:val="0"/>
                <w:kern w:val="0"/>
                <w:sz w:val="21"/>
                <w:szCs w:val="21"/>
                <w:highlight w:val="none"/>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3</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Electrical and Electronic Units in Motor Vehicles up to 3.5t</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 xml:space="preserve">VW 80000-2021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4</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Road vehicles-Environmental Conditions and testing for electrical and electronic equipment-Part 4:</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Climatic loads</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 xml:space="preserve">ISO </w:t>
            </w:r>
            <w:r>
              <w:rPr>
                <w:rFonts w:hint="default" w:ascii="宋体" w:hAnsi="宋体" w:eastAsia="宋体" w:cs="宋体"/>
                <w:snapToGrid w:val="0"/>
                <w:kern w:val="0"/>
                <w:sz w:val="21"/>
                <w:szCs w:val="21"/>
                <w:highlight w:val="none"/>
                <w:lang w:val="en-US" w:eastAsia="zh-CN"/>
              </w:rPr>
              <w:t>16750-4</w:t>
            </w:r>
            <w:r>
              <w:rPr>
                <w:rFonts w:hint="eastAsia" w:ascii="宋体" w:hAnsi="宋体" w:eastAsia="宋体" w:cs="宋体"/>
                <w:snapToGrid w:val="0"/>
                <w:kern w:val="0"/>
                <w:sz w:val="21"/>
                <w:szCs w:val="21"/>
                <w:highlight w:val="none"/>
                <w:lang w:val="en-US"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5</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空调用通风机安全要求</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GB 10080—2001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6</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空气处理机组 安全要求</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GB 10891—1989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7</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采暖通风与空气调节设计规范</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GBJ 19-1987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8</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整体式机电一体化空调机组</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 xml:space="preserve">JB/T 8544—1997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9</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空调设备用加湿器 型式与基本参数</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JB/T 146.1—1991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10</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空调设备用加湿器 性能试验方法</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 xml:space="preserve">JB/T5146.3—1991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11</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组合式空调机组</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 xml:space="preserve">GB/T 4294—1993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12</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采暖通风与空气调节设备 涂装技术条件</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JB/T 9062—1999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13</w:t>
            </w:r>
          </w:p>
        </w:tc>
        <w:tc>
          <w:tcPr>
            <w:tcW w:w="5644" w:type="dxa"/>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蒸汽压缩循环冷水（热泵）机组 工商业用和类似用途的冷水（热泵） 机组。</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 xml:space="preserve">GB/T18430.1—2001 </w:t>
            </w:r>
          </w:p>
        </w:tc>
      </w:tr>
    </w:tbl>
    <w:p>
      <w:pPr>
        <w:bidi w:val="0"/>
        <w:rPr>
          <w:rFonts w:hint="eastAsia"/>
        </w:rPr>
      </w:pPr>
    </w:p>
    <w:p>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rPr>
          <w:highlight w:val="none"/>
        </w:rPr>
      </w:pPr>
    </w:p>
    <w:p>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第一节  供货范围</w:t>
      </w:r>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97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992"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1134"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283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297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冰水冲击试验箱</w:t>
            </w:r>
          </w:p>
        </w:tc>
        <w:tc>
          <w:tcPr>
            <w:tcW w:w="992"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113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p>
        </w:tc>
        <w:tc>
          <w:tcPr>
            <w:tcW w:w="297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sz w:val="21"/>
                <w:szCs w:val="21"/>
                <w:highlight w:val="none"/>
              </w:rPr>
            </w:pPr>
            <w:r>
              <w:rPr>
                <w:rFonts w:hint="eastAsia" w:ascii="宋体" w:hAnsi="宋体" w:eastAsia="宋体" w:cs="宋体"/>
                <w:color w:val="000000"/>
                <w:kern w:val="0"/>
                <w:sz w:val="21"/>
                <w:szCs w:val="21"/>
                <w:highlight w:val="none"/>
                <w:lang w:bidi="ar"/>
              </w:rPr>
              <w:t>加工、组装、管理</w:t>
            </w:r>
          </w:p>
        </w:tc>
        <w:tc>
          <w:tcPr>
            <w:tcW w:w="99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113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p>
        </w:tc>
        <w:tc>
          <w:tcPr>
            <w:tcW w:w="297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sz w:val="21"/>
                <w:szCs w:val="21"/>
                <w:highlight w:val="none"/>
              </w:rPr>
            </w:pPr>
            <w:r>
              <w:rPr>
                <w:rFonts w:hint="eastAsia" w:ascii="宋体" w:hAnsi="宋体" w:eastAsia="宋体" w:cs="宋体"/>
                <w:color w:val="000000"/>
                <w:kern w:val="0"/>
                <w:sz w:val="21"/>
                <w:szCs w:val="21"/>
                <w:highlight w:val="none"/>
                <w:lang w:bidi="ar"/>
              </w:rPr>
              <w:t>包装、运输、保险</w:t>
            </w:r>
          </w:p>
        </w:tc>
        <w:tc>
          <w:tcPr>
            <w:tcW w:w="99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lang w:bidi="ar"/>
              </w:rPr>
              <w:t>套</w:t>
            </w:r>
          </w:p>
        </w:tc>
        <w:tc>
          <w:tcPr>
            <w:tcW w:w="113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p>
        </w:tc>
        <w:tc>
          <w:tcPr>
            <w:tcW w:w="297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sz w:val="21"/>
                <w:szCs w:val="21"/>
                <w:highlight w:val="none"/>
              </w:rPr>
            </w:pPr>
            <w:r>
              <w:rPr>
                <w:rFonts w:hint="eastAsia" w:ascii="宋体" w:hAnsi="宋体" w:eastAsia="宋体" w:cs="宋体"/>
                <w:color w:val="000000"/>
                <w:kern w:val="0"/>
                <w:sz w:val="21"/>
                <w:szCs w:val="21"/>
                <w:highlight w:val="none"/>
                <w:lang w:bidi="ar"/>
              </w:rPr>
              <w:t>安装调试、培训、技术服务</w:t>
            </w:r>
          </w:p>
        </w:tc>
        <w:tc>
          <w:tcPr>
            <w:tcW w:w="99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lang w:bidi="ar"/>
              </w:rPr>
              <w:t>套</w:t>
            </w:r>
          </w:p>
        </w:tc>
        <w:tc>
          <w:tcPr>
            <w:tcW w:w="113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p>
        </w:tc>
        <w:tc>
          <w:tcPr>
            <w:tcW w:w="2977"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备品备件</w:t>
            </w:r>
          </w:p>
        </w:tc>
        <w:tc>
          <w:tcPr>
            <w:tcW w:w="992"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highlight w:val="none"/>
                <w:lang w:bidi="ar"/>
              </w:rPr>
              <w:t>套</w:t>
            </w:r>
          </w:p>
        </w:tc>
        <w:tc>
          <w:tcPr>
            <w:tcW w:w="1134"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28"/>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6</w:t>
            </w:r>
          </w:p>
        </w:tc>
        <w:tc>
          <w:tcPr>
            <w:tcW w:w="297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设备计量</w:t>
            </w:r>
          </w:p>
        </w:tc>
        <w:tc>
          <w:tcPr>
            <w:tcW w:w="99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w:t>
            </w:r>
          </w:p>
        </w:tc>
        <w:tc>
          <w:tcPr>
            <w:tcW w:w="113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835"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省级以上CNAS计量机构</w:t>
            </w:r>
          </w:p>
        </w:tc>
      </w:tr>
    </w:tbl>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1.备品备件、易损件和专用耗材是招标人为保证货物质保期之后正常运行三年所自备自用的备品备件、易损件和专用耗材。</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lang w:val="en-US" w:eastAsia="zh-CN"/>
        </w:rPr>
        <w:t>3</w:t>
      </w:r>
      <w:r>
        <w:rPr>
          <w:rFonts w:hint="eastAsia" w:ascii="宋体" w:hAnsi="宋体" w:eastAsia="宋体" w:cs="宋体"/>
          <w:bCs/>
          <w:sz w:val="24"/>
          <w:szCs w:val="24"/>
          <w:highlight w:val="none"/>
          <w:u w:val="single"/>
          <w:shd w:val="pct10" w:color="auto" w:fill="FFFFFF"/>
        </w:rPr>
        <w:t>0</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在终验收前，提供包括货物的备品备件、易损件和专用耗材的图纸及技术参数、技术要求等资料</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.本条款所列的技术资料、图片、影像等，投标人应各提供5套，其中2套为电子版光盘；每份技术文件应装有目录清单。</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四、供货范围特别提示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如果投标人认为本节所列的供货范围难以满足，则仍需要按照本要求提供，但该部分货物应当在投标报价中单独列明货物名称及品质、货值。</w:t>
      </w:r>
      <w:bookmarkStart w:id="35" w:name="_Toc169605883"/>
    </w:p>
    <w:p>
      <w:pPr>
        <w:pStyle w:val="20"/>
        <w:spacing w:line="360" w:lineRule="auto"/>
        <w:ind w:firstLine="420"/>
        <w:rPr>
          <w:highlight w:val="none"/>
        </w:rPr>
      </w:pPr>
    </w:p>
    <w:p>
      <w:pPr>
        <w:keepNext/>
        <w:keepLines/>
        <w:spacing w:line="360" w:lineRule="auto"/>
        <w:jc w:val="center"/>
        <w:outlineLvl w:val="2"/>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5"/>
    </w:p>
    <w:p>
      <w:pPr>
        <w:spacing w:line="360" w:lineRule="auto"/>
        <w:ind w:firstLine="482" w:firstLineChars="200"/>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sz w:val="24"/>
          <w:szCs w:val="28"/>
          <w:highlight w:val="none"/>
        </w:rPr>
        <w:t>济南莱芜区口镇重汽工业园</w:t>
      </w:r>
    </w:p>
    <w:p>
      <w:pPr>
        <w:spacing w:line="360" w:lineRule="auto"/>
        <w:ind w:firstLine="482" w:firstLineChars="200"/>
        <w:jc w:val="left"/>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lang w:val="en-US" w:eastAsia="zh-CN"/>
        </w:rPr>
        <w:t>120</w:t>
      </w:r>
      <w:r>
        <w:rPr>
          <w:rFonts w:hint="eastAsia" w:ascii="宋体" w:hAnsi="宋体" w:eastAsia="宋体" w:cs="宋体"/>
          <w:sz w:val="24"/>
          <w:szCs w:val="24"/>
          <w:highlight w:val="none"/>
        </w:rPr>
        <w:t>个日历日之内交货至供货地点</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个日历日之内安装调试完毕。</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3.接续在90个日历日之内完成终验收。</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四、包装</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五、运输</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highlight w:val="none"/>
        </w:rPr>
      </w:pPr>
    </w:p>
    <w:p>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36"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6"/>
    </w:p>
    <w:p>
      <w:pPr>
        <w:pStyle w:val="121"/>
        <w:spacing w:line="360" w:lineRule="auto"/>
        <w:rPr>
          <w:highlight w:val="none"/>
        </w:rPr>
      </w:pPr>
      <w:r>
        <w:rPr>
          <w:rFonts w:hint="eastAsia"/>
          <w:highlight w:val="none"/>
        </w:rPr>
        <w:t>一、质保期及质保要求</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rPr>
        <w:t>24</w:t>
      </w:r>
      <w:r>
        <w:rPr>
          <w:rFonts w:hint="eastAsia" w:ascii="宋体" w:hAnsi="宋体" w:eastAsia="宋体" w:cs="宋体"/>
          <w:sz w:val="24"/>
          <w:szCs w:val="24"/>
          <w:highlight w:val="none"/>
        </w:rPr>
        <w:t>个月。</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w:t>
      </w:r>
      <w:r>
        <w:rPr>
          <w:rFonts w:hint="eastAsia" w:ascii="宋体" w:hAnsi="宋体" w:eastAsia="宋体" w:cs="宋体"/>
          <w:color w:val="000000" w:themeColor="text1"/>
          <w:sz w:val="24"/>
          <w:szCs w:val="24"/>
          <w:highlight w:val="none"/>
          <w14:textFill>
            <w14:solidFill>
              <w14:schemeClr w14:val="tx1"/>
            </w14:solidFill>
          </w14:textFill>
        </w:rPr>
        <w:t>当免费。</w:t>
      </w:r>
    </w:p>
    <w:p>
      <w:pPr>
        <w:spacing w:line="360" w:lineRule="auto"/>
        <w:ind w:firstLine="480" w:firstLineChars="200"/>
        <w:rPr>
          <w:rFonts w:hint="eastAsia" w:ascii="宋体" w:hAnsi="宋体" w:eastAsia="宋体" w:cs="宋体"/>
          <w:bCs/>
          <w:color w:val="000000" w:themeColor="text1"/>
          <w:sz w:val="24"/>
          <w:szCs w:val="20"/>
          <w:highlight w:val="none"/>
          <w14:textFill>
            <w14:solidFill>
              <w14:schemeClr w14:val="tx1"/>
            </w14:solidFill>
          </w14:textFill>
        </w:rPr>
      </w:pPr>
      <w:r>
        <w:rPr>
          <w:rFonts w:hint="eastAsia" w:ascii="宋体" w:hAnsi="宋体" w:eastAsia="宋体" w:cs="宋体"/>
          <w:bCs/>
          <w:color w:val="000000" w:themeColor="text1"/>
          <w:sz w:val="24"/>
          <w:szCs w:val="20"/>
          <w:highlight w:val="none"/>
          <w14:textFill>
            <w14:solidFill>
              <w14:schemeClr w14:val="tx1"/>
            </w14:solidFill>
          </w14:textFill>
        </w:rPr>
        <w:t>5.质量保证期满后，投标方保证向招标方提供及时的、质优的、价格优惠的技术服务和备品备件供应。</w:t>
      </w:r>
    </w:p>
    <w:p>
      <w:pPr>
        <w:pStyle w:val="20"/>
        <w:ind w:firstLine="420"/>
        <w:rPr>
          <w:highlight w:val="none"/>
        </w:rPr>
      </w:pPr>
    </w:p>
    <w:p>
      <w:pPr>
        <w:pStyle w:val="121"/>
        <w:spacing w:line="360" w:lineRule="auto"/>
        <w:rPr>
          <w:rFonts w:hint="eastAsia" w:ascii="宋体" w:hAnsi="宋体" w:cs="宋体"/>
          <w:highlight w:val="none"/>
        </w:rPr>
      </w:pPr>
      <w:r>
        <w:rPr>
          <w:rFonts w:hint="eastAsia" w:ascii="宋体" w:hAnsi="宋体" w:cs="宋体"/>
          <w:highlight w:val="none"/>
        </w:rPr>
        <w:t>二、技术及培训服务</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themeColor="text1"/>
          <w:sz w:val="24"/>
          <w:szCs w:val="24"/>
          <w:highlight w:val="none"/>
          <w14:textFill>
            <w14:solidFill>
              <w14:schemeClr w14:val="tx1"/>
            </w14:solidFill>
          </w14:textFill>
        </w:rPr>
        <w:t>培训包含联调后整套性能试验台的使用，培训工作日不少于</w:t>
      </w:r>
      <w:r>
        <w:rPr>
          <w:rFonts w:hint="eastAsia" w:ascii="宋体" w:hAnsi="宋体" w:eastAsia="宋体" w:cs="宋体"/>
          <w:color w:val="000000" w:themeColor="text1"/>
          <w:sz w:val="24"/>
          <w:szCs w:val="24"/>
          <w:highlight w:val="none"/>
          <w:u w:val="single"/>
          <w:shd w:val="pct10" w:color="auto" w:fill="FFFFFF"/>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个日历日。</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rPr>
          <w:rFonts w:hint="eastAsia" w:ascii="宋体" w:hAnsi="宋体" w:cs="宋体"/>
          <w:highlight w:val="none"/>
        </w:rPr>
      </w:pPr>
      <w:r>
        <w:rPr>
          <w:rFonts w:hint="eastAsia" w:ascii="宋体" w:hAnsi="宋体" w:cs="宋体"/>
          <w:highlight w:val="none"/>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pPr>
        <w:pStyle w:val="121"/>
        <w:spacing w:line="360" w:lineRule="auto"/>
        <w:rPr>
          <w:rFonts w:hint="eastAsia" w:ascii="宋体" w:hAnsi="宋体" w:cs="宋体"/>
          <w:highlight w:val="none"/>
        </w:rPr>
      </w:pPr>
      <w:r>
        <w:rPr>
          <w:rFonts w:hint="eastAsia" w:ascii="宋体" w:hAnsi="宋体" w:cs="宋体"/>
          <w:highlight w:val="none"/>
        </w:rPr>
        <w:t>四、售后服务</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2.如发现所提供的货物存在问题，需要卖方解决或配合解决时：在质保期之内，应在接到通知后</w:t>
      </w:r>
      <w:r>
        <w:rPr>
          <w:rFonts w:hint="eastAsia" w:ascii="宋体" w:hAnsi="宋体" w:eastAsia="宋体" w:cs="宋体"/>
          <w:color w:val="000000"/>
          <w:sz w:val="24"/>
          <w:szCs w:val="24"/>
          <w:highlight w:val="none"/>
          <w:u w:val="single"/>
          <w:shd w:val="pct10" w:color="auto" w:fill="FFFFFF"/>
        </w:rPr>
        <w:t>24</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72</w:t>
      </w:r>
      <w:r>
        <w:rPr>
          <w:rFonts w:hint="eastAsia" w:ascii="宋体" w:hAnsi="宋体" w:eastAsia="宋体" w:cs="宋体"/>
          <w:color w:val="000000"/>
          <w:sz w:val="24"/>
          <w:szCs w:val="24"/>
          <w:highlight w:val="none"/>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3.卖方派往买方使用现场的人员，应具有较高的业务素质；现场解决问题时，不得无故拖延或推迟，应为买方提供最佳的服务。</w:t>
      </w:r>
    </w:p>
    <w:p>
      <w:pPr>
        <w:pStyle w:val="121"/>
        <w:spacing w:line="360" w:lineRule="auto"/>
        <w:rPr>
          <w:rFonts w:hint="eastAsia" w:ascii="宋体" w:hAnsi="宋体" w:cs="宋体"/>
          <w:highlight w:val="none"/>
        </w:rPr>
      </w:pPr>
      <w:r>
        <w:rPr>
          <w:rFonts w:hint="eastAsia" w:ascii="宋体" w:hAnsi="宋体" w:cs="宋体"/>
          <w:highlight w:val="none"/>
        </w:rPr>
        <w:t>五、其它服务</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3.本章节条款所列“免费”，并非指定不可收费，而是指招标文件、投标文件、答疑文件、技术交流文件、技术标书和合同等范围之外，投标人不可另行收取的费用。</w:t>
      </w:r>
      <w:r>
        <w:rPr>
          <w:rFonts w:eastAsia="宋体"/>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第五章  终验收</w:t>
      </w:r>
    </w:p>
    <w:p>
      <w:pPr>
        <w:pStyle w:val="121"/>
        <w:spacing w:line="360" w:lineRule="auto"/>
        <w:rPr>
          <w:rFonts w:hint="eastAsia" w:ascii="宋体" w:hAnsi="宋体" w:cs="宋体"/>
          <w:highlight w:val="none"/>
        </w:rPr>
      </w:pPr>
      <w:r>
        <w:rPr>
          <w:rFonts w:hint="eastAsia" w:ascii="宋体" w:hAnsi="宋体" w:cs="宋体"/>
          <w:highlight w:val="none"/>
        </w:rPr>
        <w:t>一、验收依据和验收标准</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pPr>
        <w:pStyle w:val="121"/>
        <w:spacing w:line="360" w:lineRule="auto"/>
        <w:rPr>
          <w:rFonts w:hint="eastAsia" w:ascii="宋体" w:hAnsi="宋体" w:cs="宋体"/>
          <w:highlight w:val="none"/>
        </w:rPr>
      </w:pPr>
      <w:r>
        <w:rPr>
          <w:rFonts w:hint="eastAsia" w:ascii="宋体" w:hAnsi="宋体" w:cs="宋体"/>
          <w:highlight w:val="none"/>
        </w:rPr>
        <w:t>二、检验</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2.进口货物的检验，卖方需要按照下述要求进行：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rPr>
          <w:rFonts w:hint="eastAsia" w:ascii="宋体" w:hAnsi="宋体" w:cs="宋体"/>
          <w:highlight w:val="none"/>
        </w:rPr>
      </w:pPr>
      <w:r>
        <w:rPr>
          <w:rFonts w:hint="eastAsia" w:ascii="宋体" w:hAnsi="宋体" w:cs="宋体"/>
          <w:highlight w:val="none"/>
        </w:rPr>
        <w:t>三、验收基本条件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.终验收一般条件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1.1卖方已经按照“供货范围”要求提供了验收资料，并且资料齐全、完整和有效。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1.4货物标牌完整、清晰、明确。</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sz w:val="24"/>
          <w:szCs w:val="24"/>
          <w:highlight w:val="none"/>
        </w:rPr>
        <w:t>1.5货物的安全要求符合中国最新的相关法律、法规、标准和规范以及合同要求。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货物安装调试完毕，并至少经过了验收要求的负荷试运行。</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w:t>
      </w:r>
      <w:r>
        <w:rPr>
          <w:rFonts w:hint="eastAsia" w:ascii="宋体" w:hAnsi="宋体" w:eastAsia="宋体" w:cs="宋体"/>
          <w:color w:val="000000" w:themeColor="text1"/>
          <w:sz w:val="24"/>
          <w:szCs w:val="24"/>
          <w:highlight w:val="none"/>
          <w14:textFill>
            <w14:solidFill>
              <w14:schemeClr w14:val="tx1"/>
            </w14:solidFill>
          </w14:textFill>
        </w:rPr>
        <w:t>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14:textFill>
            <w14:solidFill>
              <w14:schemeClr w14:val="tx1"/>
            </w14:solidFill>
          </w14:textFill>
        </w:rPr>
        <w:t>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1.9</w:t>
      </w:r>
      <w:r>
        <w:rPr>
          <w:rFonts w:hint="eastAsia" w:ascii="宋体" w:hAnsi="宋体" w:eastAsia="宋体" w:cs="宋体"/>
          <w:color w:val="000000" w:themeColor="text1"/>
          <w:sz w:val="24"/>
          <w:szCs w:val="24"/>
          <w:highlight w:val="none"/>
          <w14:textFill>
            <w14:solidFill>
              <w14:schemeClr w14:val="tx1"/>
            </w14:solidFill>
          </w14:textFill>
        </w:rPr>
        <w:t>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1.10</w:t>
      </w:r>
      <w:r>
        <w:rPr>
          <w:rFonts w:hint="eastAsia" w:ascii="宋体" w:hAnsi="宋体" w:eastAsia="宋体" w:cs="宋体"/>
          <w:color w:val="000000" w:themeColor="text1"/>
          <w:sz w:val="24"/>
          <w:szCs w:val="24"/>
          <w:highlight w:val="none"/>
          <w14:textFill>
            <w14:solidFill>
              <w14:schemeClr w14:val="tx1"/>
            </w14:solidFill>
          </w14:textFill>
        </w:rPr>
        <w:t>货物质量、技术性能等，达到签定的技术标书和合同规定的终验收标准。</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.终验收基本要求</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.1按照第二章技术要求第三条内容，明确到具体条款；试验结果要量化、稳定性高、精度高等。</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.2出现下列问题之一，视作验收失败：</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lang w:val="en-US" w:eastAsia="zh-CN"/>
          <w14:textFill>
            <w14:solidFill>
              <w14:schemeClr w14:val="tx1"/>
            </w14:solidFill>
          </w14:textFill>
        </w:rPr>
        <w:t>冰水冲击试验</w:t>
      </w:r>
      <w:r>
        <w:rPr>
          <w:rFonts w:hint="eastAsia" w:ascii="宋体" w:hAnsi="宋体" w:eastAsia="宋体" w:cs="宋体"/>
          <w:color w:val="000000" w:themeColor="text1"/>
          <w:sz w:val="24"/>
          <w:szCs w:val="24"/>
          <w:highlight w:val="none"/>
          <w:lang w:eastAsia="zh-CN"/>
          <w14:textFill>
            <w14:solidFill>
              <w14:schemeClr w14:val="tx1"/>
            </w14:solidFill>
          </w14:textFill>
        </w:rPr>
        <w:t>箱</w:t>
      </w:r>
      <w:r>
        <w:rPr>
          <w:rFonts w:hint="eastAsia" w:ascii="宋体" w:hAnsi="宋体" w:eastAsia="宋体" w:cs="宋体"/>
          <w:color w:val="000000" w:themeColor="text1"/>
          <w:sz w:val="24"/>
          <w:szCs w:val="24"/>
          <w:highlight w:val="none"/>
          <w14:textFill>
            <w14:solidFill>
              <w14:schemeClr w14:val="tx1"/>
            </w14:solidFill>
          </w14:textFill>
        </w:rPr>
        <w:t>验收时，其参数无法满足招标书中的技术要求。</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.2.2在整个验收过程中发生关键零部件损坏或重大故障；</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.2.3一般性故障超过</w:t>
      </w:r>
      <w:r>
        <w:rPr>
          <w:rFonts w:hint="eastAsia" w:ascii="宋体" w:hAnsi="宋体" w:eastAsia="宋体" w:cs="宋体"/>
          <w:color w:val="000000" w:themeColor="text1"/>
          <w:sz w:val="24"/>
          <w:szCs w:val="24"/>
          <w:highlight w:val="none"/>
          <w:u w:val="single"/>
          <w:shd w:val="pct10" w:color="auto" w:fill="FFFFFF"/>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次；</w:t>
      </w:r>
    </w:p>
    <w:p>
      <w:pPr>
        <w:adjustRightInd w:val="0"/>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.2.4更换的零部件货值超过总货值的</w:t>
      </w:r>
      <w:r>
        <w:rPr>
          <w:rFonts w:hint="eastAsia" w:ascii="宋体" w:hAnsi="宋体" w:eastAsia="宋体" w:cs="宋体"/>
          <w:color w:val="000000" w:themeColor="text1"/>
          <w:sz w:val="24"/>
          <w:szCs w:val="24"/>
          <w:highlight w:val="none"/>
          <w:u w:val="single"/>
          <w:shd w:val="pct10" w:color="auto" w:fill="FFFFFF"/>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2.5</w:t>
      </w:r>
      <w:r>
        <w:rPr>
          <w:rFonts w:hint="eastAsia" w:ascii="宋体" w:hAnsi="宋体" w:eastAsia="宋体" w:cs="宋体"/>
          <w:color w:val="000000"/>
          <w:sz w:val="24"/>
          <w:szCs w:val="24"/>
          <w:highlight w:val="none"/>
        </w:rPr>
        <w:t>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终验收原则上要求一次完成。若一次验收不成功，最多允许两次；如果出现第三次验收失败，重新作价或退货；</w:t>
      </w:r>
    </w:p>
    <w:p>
      <w:pPr>
        <w:adjustRightInd w:val="0"/>
        <w:snapToGrid w:val="0"/>
        <w:spacing w:line="360" w:lineRule="auto"/>
        <w:ind w:firstLine="480" w:firstLineChars="200"/>
        <w:rPr>
          <w:rFonts w:hAnsi="宋体" w:eastAsia="宋体" w:cs="宋体"/>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终验收通过后买卖双方共同签署终验收报告，并移交、核对全部供货范围内物品。</w:t>
      </w:r>
    </w:p>
    <w:p>
      <w:pPr>
        <w:pStyle w:val="134"/>
        <w:spacing w:line="360" w:lineRule="auto"/>
        <w:outlineLvl w:val="1"/>
        <w:rPr>
          <w:rFonts w:ascii="宋体" w:hAnsi="宋体" w:eastAsia="宋体" w:cs="宋体"/>
          <w:b/>
          <w:bCs w:val="0"/>
          <w:iCs/>
          <w:color w:val="auto"/>
          <w:sz w:val="24"/>
          <w:highlight w:val="none"/>
        </w:rPr>
      </w:pPr>
      <w:bookmarkStart w:id="37" w:name="_Toc30824"/>
      <w:bookmarkStart w:id="38" w:name="_Toc131008493"/>
      <w:bookmarkStart w:id="39" w:name="_Toc465187647"/>
      <w:r>
        <w:rPr>
          <w:rFonts w:hint="eastAsia" w:ascii="宋体" w:hAnsi="宋体" w:eastAsia="宋体" w:cs="宋体"/>
          <w:b/>
          <w:bCs w:val="0"/>
          <w:iCs/>
          <w:color w:val="auto"/>
          <w:sz w:val="24"/>
          <w:highlight w:val="none"/>
        </w:rPr>
        <w:t>第六章  投标技术文件一般要求</w:t>
      </w:r>
      <w:bookmarkEnd w:id="37"/>
      <w:bookmarkEnd w:id="38"/>
      <w:bookmarkEnd w:id="39"/>
    </w:p>
    <w:p>
      <w:pPr>
        <w:pStyle w:val="121"/>
        <w:spacing w:line="360" w:lineRule="auto"/>
        <w:rPr>
          <w:rFonts w:ascii="宋体" w:hAnsi="宋体" w:cs="宋体"/>
          <w:color w:val="auto"/>
          <w:highlight w:val="none"/>
        </w:rPr>
      </w:pPr>
      <w:r>
        <w:rPr>
          <w:rFonts w:hint="eastAsia" w:ascii="宋体" w:hAnsi="宋体" w:cs="宋体"/>
          <w:color w:val="auto"/>
          <w:highlight w:val="none"/>
        </w:rPr>
        <w:t>一、技术文件一般内容要求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6.投标的货物，应当根据其配置和备品备件、易损件、专用耗材情况，尽可能详细且分类填入下表：</w:t>
      </w:r>
    </w:p>
    <w:p>
      <w:pPr>
        <w:adjustRightInd w:val="0"/>
        <w:snapToGrid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6.1备品备件、易损件和专用耗材明细表：</w:t>
      </w:r>
    </w:p>
    <w:p>
      <w:pPr>
        <w:adjustRightInd w:val="0"/>
        <w:snapToGrid w:val="0"/>
        <w:spacing w:line="360" w:lineRule="auto"/>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hint="eastAsia"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9"/>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09"/>
        <w:gridCol w:w="894"/>
        <w:gridCol w:w="1379"/>
        <w:gridCol w:w="1379"/>
        <w:gridCol w:w="839"/>
        <w:gridCol w:w="1121"/>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序号</w:t>
            </w:r>
          </w:p>
        </w:tc>
        <w:tc>
          <w:tcPr>
            <w:tcW w:w="1509" w:type="dxa"/>
          </w:tcPr>
          <w:p>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名称</w:t>
            </w:r>
          </w:p>
        </w:tc>
        <w:tc>
          <w:tcPr>
            <w:tcW w:w="894" w:type="dxa"/>
          </w:tcPr>
          <w:p>
            <w:pPr>
              <w:adjustRightInd w:val="0"/>
              <w:snapToGrid w:val="0"/>
              <w:spacing w:line="360" w:lineRule="exact"/>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品牌</w:t>
            </w:r>
          </w:p>
        </w:tc>
        <w:tc>
          <w:tcPr>
            <w:tcW w:w="1379" w:type="dxa"/>
          </w:tcPr>
          <w:p>
            <w:pPr>
              <w:adjustRightInd w:val="0"/>
              <w:snapToGrid w:val="0"/>
              <w:spacing w:line="360" w:lineRule="exact"/>
              <w:jc w:val="center"/>
              <w:rPr>
                <w:rFonts w:hint="eastAsia" w:ascii="宋体" w:hAnsi="宋体" w:eastAsia="宋体" w:cs="宋体"/>
                <w:highlight w:val="none"/>
                <w:lang w:val="en-US" w:eastAsia="zh-CN"/>
              </w:rPr>
            </w:pPr>
            <w:r>
              <w:rPr>
                <w:rFonts w:hint="eastAsia" w:ascii="宋体" w:hAnsi="宋体" w:eastAsia="宋体" w:cs="宋体"/>
                <w:highlight w:val="none"/>
              </w:rPr>
              <w:t>制造商</w:t>
            </w:r>
          </w:p>
        </w:tc>
        <w:tc>
          <w:tcPr>
            <w:tcW w:w="1379" w:type="dxa"/>
          </w:tcPr>
          <w:p>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型号规格</w:t>
            </w:r>
          </w:p>
        </w:tc>
        <w:tc>
          <w:tcPr>
            <w:tcW w:w="839" w:type="dxa"/>
          </w:tcPr>
          <w:p>
            <w:pPr>
              <w:adjustRightInd w:val="0"/>
              <w:snapToGrid w:val="0"/>
              <w:spacing w:line="360" w:lineRule="exact"/>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单位</w:t>
            </w:r>
          </w:p>
        </w:tc>
        <w:tc>
          <w:tcPr>
            <w:tcW w:w="1121" w:type="dxa"/>
          </w:tcPr>
          <w:p>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lang w:val="en-US" w:eastAsia="zh-CN"/>
              </w:rPr>
              <w:t>单</w:t>
            </w:r>
            <w:r>
              <w:rPr>
                <w:rFonts w:hint="eastAsia" w:ascii="宋体" w:hAnsi="宋体" w:eastAsia="宋体" w:cs="宋体"/>
                <w:highlight w:val="none"/>
              </w:rPr>
              <w:t>价</w:t>
            </w:r>
          </w:p>
        </w:tc>
        <w:tc>
          <w:tcPr>
            <w:tcW w:w="1622" w:type="dxa"/>
          </w:tcPr>
          <w:p>
            <w:pPr>
              <w:adjustRightInd w:val="0"/>
              <w:snapToGrid w:val="0"/>
              <w:spacing w:line="360" w:lineRule="exact"/>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highlight w:val="none"/>
              </w:rPr>
            </w:pPr>
          </w:p>
        </w:tc>
        <w:tc>
          <w:tcPr>
            <w:tcW w:w="1509" w:type="dxa"/>
          </w:tcPr>
          <w:p>
            <w:pPr>
              <w:adjustRightInd w:val="0"/>
              <w:snapToGrid w:val="0"/>
              <w:spacing w:line="360" w:lineRule="exact"/>
              <w:rPr>
                <w:rFonts w:hint="eastAsia" w:ascii="宋体" w:hAnsi="宋体" w:eastAsia="宋体" w:cs="宋体"/>
                <w:highlight w:val="none"/>
              </w:rPr>
            </w:pPr>
          </w:p>
        </w:tc>
        <w:tc>
          <w:tcPr>
            <w:tcW w:w="894"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jc w:val="center"/>
              <w:rPr>
                <w:rFonts w:hint="eastAsia" w:ascii="宋体" w:hAnsi="宋体" w:eastAsia="宋体" w:cs="宋体"/>
                <w:highlight w:val="none"/>
              </w:rPr>
            </w:pPr>
          </w:p>
        </w:tc>
        <w:tc>
          <w:tcPr>
            <w:tcW w:w="839" w:type="dxa"/>
          </w:tcPr>
          <w:p>
            <w:pPr>
              <w:adjustRightInd w:val="0"/>
              <w:snapToGrid w:val="0"/>
              <w:spacing w:line="360" w:lineRule="exact"/>
              <w:jc w:val="center"/>
              <w:rPr>
                <w:rFonts w:hint="eastAsia" w:ascii="宋体" w:hAnsi="宋体" w:eastAsia="宋体" w:cs="宋体"/>
                <w:highlight w:val="none"/>
              </w:rPr>
            </w:pPr>
          </w:p>
        </w:tc>
        <w:tc>
          <w:tcPr>
            <w:tcW w:w="1121" w:type="dxa"/>
          </w:tcPr>
          <w:p>
            <w:pPr>
              <w:adjustRightInd w:val="0"/>
              <w:snapToGrid w:val="0"/>
              <w:spacing w:line="360" w:lineRule="exact"/>
              <w:jc w:val="center"/>
              <w:rPr>
                <w:rFonts w:hint="eastAsia" w:ascii="宋体" w:hAnsi="宋体" w:eastAsia="宋体" w:cs="宋体"/>
                <w:highlight w:val="none"/>
              </w:rPr>
            </w:pPr>
          </w:p>
        </w:tc>
        <w:tc>
          <w:tcPr>
            <w:tcW w:w="1622" w:type="dxa"/>
          </w:tcPr>
          <w:p>
            <w:pPr>
              <w:adjustRightInd w:val="0"/>
              <w:snapToGrid w:val="0"/>
              <w:spacing w:line="360" w:lineRule="exact"/>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highlight w:val="none"/>
              </w:rPr>
            </w:pPr>
          </w:p>
        </w:tc>
        <w:tc>
          <w:tcPr>
            <w:tcW w:w="1509" w:type="dxa"/>
          </w:tcPr>
          <w:p>
            <w:pPr>
              <w:adjustRightInd w:val="0"/>
              <w:snapToGrid w:val="0"/>
              <w:spacing w:line="360" w:lineRule="exact"/>
              <w:rPr>
                <w:rFonts w:hint="eastAsia" w:ascii="宋体" w:hAnsi="宋体" w:eastAsia="宋体" w:cs="宋体"/>
                <w:highlight w:val="none"/>
              </w:rPr>
            </w:pPr>
          </w:p>
        </w:tc>
        <w:tc>
          <w:tcPr>
            <w:tcW w:w="894"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jc w:val="center"/>
              <w:rPr>
                <w:rFonts w:hint="eastAsia" w:ascii="宋体" w:hAnsi="宋体" w:eastAsia="宋体" w:cs="宋体"/>
                <w:highlight w:val="none"/>
              </w:rPr>
            </w:pPr>
          </w:p>
        </w:tc>
        <w:tc>
          <w:tcPr>
            <w:tcW w:w="839" w:type="dxa"/>
          </w:tcPr>
          <w:p>
            <w:pPr>
              <w:adjustRightInd w:val="0"/>
              <w:snapToGrid w:val="0"/>
              <w:spacing w:line="360" w:lineRule="exact"/>
              <w:jc w:val="center"/>
              <w:rPr>
                <w:rFonts w:hint="eastAsia" w:ascii="宋体" w:hAnsi="宋体" w:eastAsia="宋体" w:cs="宋体"/>
                <w:highlight w:val="none"/>
              </w:rPr>
            </w:pPr>
          </w:p>
        </w:tc>
        <w:tc>
          <w:tcPr>
            <w:tcW w:w="1121" w:type="dxa"/>
          </w:tcPr>
          <w:p>
            <w:pPr>
              <w:adjustRightInd w:val="0"/>
              <w:snapToGrid w:val="0"/>
              <w:spacing w:line="360" w:lineRule="exact"/>
              <w:jc w:val="center"/>
              <w:rPr>
                <w:rFonts w:hint="eastAsia" w:ascii="宋体" w:hAnsi="宋体" w:eastAsia="宋体" w:cs="宋体"/>
                <w:highlight w:val="none"/>
              </w:rPr>
            </w:pPr>
          </w:p>
        </w:tc>
        <w:tc>
          <w:tcPr>
            <w:tcW w:w="1622" w:type="dxa"/>
          </w:tcPr>
          <w:p>
            <w:pPr>
              <w:adjustRightInd w:val="0"/>
              <w:snapToGrid w:val="0"/>
              <w:spacing w:line="360" w:lineRule="exact"/>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highlight w:val="none"/>
              </w:rPr>
            </w:pPr>
          </w:p>
        </w:tc>
        <w:tc>
          <w:tcPr>
            <w:tcW w:w="1509" w:type="dxa"/>
          </w:tcPr>
          <w:p>
            <w:pPr>
              <w:adjustRightInd w:val="0"/>
              <w:snapToGrid w:val="0"/>
              <w:spacing w:line="360" w:lineRule="exact"/>
              <w:rPr>
                <w:rFonts w:hint="eastAsia" w:ascii="宋体" w:hAnsi="宋体" w:eastAsia="宋体" w:cs="宋体"/>
                <w:highlight w:val="none"/>
              </w:rPr>
            </w:pPr>
          </w:p>
        </w:tc>
        <w:tc>
          <w:tcPr>
            <w:tcW w:w="894"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jc w:val="center"/>
              <w:rPr>
                <w:rFonts w:hint="eastAsia" w:ascii="宋体" w:hAnsi="宋体" w:eastAsia="宋体" w:cs="宋体"/>
                <w:highlight w:val="none"/>
              </w:rPr>
            </w:pPr>
          </w:p>
        </w:tc>
        <w:tc>
          <w:tcPr>
            <w:tcW w:w="839" w:type="dxa"/>
          </w:tcPr>
          <w:p>
            <w:pPr>
              <w:adjustRightInd w:val="0"/>
              <w:snapToGrid w:val="0"/>
              <w:spacing w:line="360" w:lineRule="exact"/>
              <w:jc w:val="center"/>
              <w:rPr>
                <w:rFonts w:hint="eastAsia" w:ascii="宋体" w:hAnsi="宋体" w:eastAsia="宋体" w:cs="宋体"/>
                <w:highlight w:val="none"/>
              </w:rPr>
            </w:pPr>
          </w:p>
        </w:tc>
        <w:tc>
          <w:tcPr>
            <w:tcW w:w="1121" w:type="dxa"/>
          </w:tcPr>
          <w:p>
            <w:pPr>
              <w:adjustRightInd w:val="0"/>
              <w:snapToGrid w:val="0"/>
              <w:spacing w:line="360" w:lineRule="exact"/>
              <w:jc w:val="center"/>
              <w:rPr>
                <w:rFonts w:hint="eastAsia" w:ascii="宋体" w:hAnsi="宋体" w:eastAsia="宋体" w:cs="宋体"/>
                <w:highlight w:val="none"/>
              </w:rPr>
            </w:pPr>
          </w:p>
        </w:tc>
        <w:tc>
          <w:tcPr>
            <w:tcW w:w="1622" w:type="dxa"/>
          </w:tcPr>
          <w:p>
            <w:pPr>
              <w:adjustRightInd w:val="0"/>
              <w:snapToGrid w:val="0"/>
              <w:spacing w:line="360" w:lineRule="exact"/>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highlight w:val="none"/>
              </w:rPr>
            </w:pPr>
          </w:p>
        </w:tc>
        <w:tc>
          <w:tcPr>
            <w:tcW w:w="1509" w:type="dxa"/>
          </w:tcPr>
          <w:p>
            <w:pPr>
              <w:adjustRightInd w:val="0"/>
              <w:snapToGrid w:val="0"/>
              <w:spacing w:line="360" w:lineRule="exact"/>
              <w:rPr>
                <w:rFonts w:hint="eastAsia" w:ascii="宋体" w:hAnsi="宋体" w:eastAsia="宋体" w:cs="宋体"/>
                <w:highlight w:val="none"/>
              </w:rPr>
            </w:pPr>
          </w:p>
        </w:tc>
        <w:tc>
          <w:tcPr>
            <w:tcW w:w="894"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jc w:val="center"/>
              <w:rPr>
                <w:rFonts w:hint="eastAsia" w:ascii="宋体" w:hAnsi="宋体" w:eastAsia="宋体" w:cs="宋体"/>
                <w:highlight w:val="none"/>
              </w:rPr>
            </w:pPr>
          </w:p>
        </w:tc>
        <w:tc>
          <w:tcPr>
            <w:tcW w:w="839" w:type="dxa"/>
          </w:tcPr>
          <w:p>
            <w:pPr>
              <w:adjustRightInd w:val="0"/>
              <w:snapToGrid w:val="0"/>
              <w:spacing w:line="360" w:lineRule="exact"/>
              <w:jc w:val="center"/>
              <w:rPr>
                <w:rFonts w:hint="eastAsia" w:ascii="宋体" w:hAnsi="宋体" w:eastAsia="宋体" w:cs="宋体"/>
                <w:highlight w:val="none"/>
              </w:rPr>
            </w:pPr>
          </w:p>
        </w:tc>
        <w:tc>
          <w:tcPr>
            <w:tcW w:w="1121" w:type="dxa"/>
          </w:tcPr>
          <w:p>
            <w:pPr>
              <w:adjustRightInd w:val="0"/>
              <w:snapToGrid w:val="0"/>
              <w:spacing w:line="360" w:lineRule="exact"/>
              <w:jc w:val="center"/>
              <w:rPr>
                <w:rFonts w:hint="eastAsia" w:ascii="宋体" w:hAnsi="宋体" w:eastAsia="宋体" w:cs="宋体"/>
                <w:highlight w:val="none"/>
              </w:rPr>
            </w:pPr>
          </w:p>
        </w:tc>
        <w:tc>
          <w:tcPr>
            <w:tcW w:w="1622" w:type="dxa"/>
          </w:tcPr>
          <w:p>
            <w:pPr>
              <w:adjustRightInd w:val="0"/>
              <w:snapToGrid w:val="0"/>
              <w:spacing w:line="360" w:lineRule="exact"/>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highlight w:val="none"/>
              </w:rPr>
            </w:pPr>
          </w:p>
        </w:tc>
        <w:tc>
          <w:tcPr>
            <w:tcW w:w="1509" w:type="dxa"/>
          </w:tcPr>
          <w:p>
            <w:pPr>
              <w:adjustRightInd w:val="0"/>
              <w:snapToGrid w:val="0"/>
              <w:spacing w:line="360" w:lineRule="exact"/>
              <w:rPr>
                <w:rFonts w:hint="eastAsia" w:ascii="宋体" w:hAnsi="宋体" w:eastAsia="宋体" w:cs="宋体"/>
                <w:highlight w:val="none"/>
              </w:rPr>
            </w:pPr>
          </w:p>
        </w:tc>
        <w:tc>
          <w:tcPr>
            <w:tcW w:w="894"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jc w:val="center"/>
              <w:rPr>
                <w:rFonts w:hint="eastAsia" w:ascii="宋体" w:hAnsi="宋体" w:eastAsia="宋体" w:cs="宋体"/>
                <w:highlight w:val="none"/>
              </w:rPr>
            </w:pPr>
          </w:p>
        </w:tc>
        <w:tc>
          <w:tcPr>
            <w:tcW w:w="839" w:type="dxa"/>
          </w:tcPr>
          <w:p>
            <w:pPr>
              <w:adjustRightInd w:val="0"/>
              <w:snapToGrid w:val="0"/>
              <w:spacing w:line="360" w:lineRule="exact"/>
              <w:jc w:val="center"/>
              <w:rPr>
                <w:rFonts w:hint="eastAsia" w:ascii="宋体" w:hAnsi="宋体" w:eastAsia="宋体" w:cs="宋体"/>
                <w:highlight w:val="none"/>
              </w:rPr>
            </w:pPr>
          </w:p>
        </w:tc>
        <w:tc>
          <w:tcPr>
            <w:tcW w:w="1121" w:type="dxa"/>
          </w:tcPr>
          <w:p>
            <w:pPr>
              <w:adjustRightInd w:val="0"/>
              <w:snapToGrid w:val="0"/>
              <w:spacing w:line="360" w:lineRule="exact"/>
              <w:jc w:val="center"/>
              <w:rPr>
                <w:rFonts w:hint="eastAsia" w:ascii="宋体" w:hAnsi="宋体" w:eastAsia="宋体" w:cs="宋体"/>
                <w:highlight w:val="none"/>
              </w:rPr>
            </w:pPr>
          </w:p>
        </w:tc>
        <w:tc>
          <w:tcPr>
            <w:tcW w:w="1622" w:type="dxa"/>
          </w:tcPr>
          <w:p>
            <w:pPr>
              <w:adjustRightInd w:val="0"/>
              <w:snapToGrid w:val="0"/>
              <w:spacing w:line="360" w:lineRule="exact"/>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95" w:type="dxa"/>
          </w:tcPr>
          <w:p>
            <w:pPr>
              <w:adjustRightInd w:val="0"/>
              <w:snapToGrid w:val="0"/>
              <w:spacing w:line="360" w:lineRule="exact"/>
              <w:jc w:val="center"/>
              <w:rPr>
                <w:rFonts w:hint="eastAsia" w:ascii="宋体" w:hAnsi="宋体" w:eastAsia="宋体" w:cs="宋体"/>
                <w:highlight w:val="none"/>
              </w:rPr>
            </w:pPr>
          </w:p>
        </w:tc>
        <w:tc>
          <w:tcPr>
            <w:tcW w:w="1509" w:type="dxa"/>
          </w:tcPr>
          <w:p>
            <w:pPr>
              <w:adjustRightInd w:val="0"/>
              <w:snapToGrid w:val="0"/>
              <w:spacing w:line="360" w:lineRule="exact"/>
              <w:rPr>
                <w:rFonts w:hint="eastAsia" w:ascii="宋体" w:hAnsi="宋体" w:eastAsia="宋体" w:cs="宋体"/>
                <w:highlight w:val="none"/>
              </w:rPr>
            </w:pPr>
          </w:p>
        </w:tc>
        <w:tc>
          <w:tcPr>
            <w:tcW w:w="894"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rPr>
                <w:rFonts w:hint="eastAsia" w:ascii="宋体" w:hAnsi="宋体" w:eastAsia="宋体" w:cs="宋体"/>
                <w:highlight w:val="none"/>
              </w:rPr>
            </w:pPr>
          </w:p>
        </w:tc>
        <w:tc>
          <w:tcPr>
            <w:tcW w:w="1379" w:type="dxa"/>
          </w:tcPr>
          <w:p>
            <w:pPr>
              <w:adjustRightInd w:val="0"/>
              <w:snapToGrid w:val="0"/>
              <w:spacing w:line="360" w:lineRule="exact"/>
              <w:jc w:val="center"/>
              <w:rPr>
                <w:rFonts w:hint="eastAsia" w:ascii="宋体" w:hAnsi="宋体" w:eastAsia="宋体" w:cs="宋体"/>
                <w:highlight w:val="none"/>
              </w:rPr>
            </w:pPr>
          </w:p>
        </w:tc>
        <w:tc>
          <w:tcPr>
            <w:tcW w:w="839" w:type="dxa"/>
          </w:tcPr>
          <w:p>
            <w:pPr>
              <w:adjustRightInd w:val="0"/>
              <w:snapToGrid w:val="0"/>
              <w:spacing w:line="360" w:lineRule="exact"/>
              <w:jc w:val="center"/>
              <w:rPr>
                <w:rFonts w:hint="eastAsia" w:ascii="宋体" w:hAnsi="宋体" w:eastAsia="宋体" w:cs="宋体"/>
                <w:highlight w:val="none"/>
              </w:rPr>
            </w:pPr>
          </w:p>
        </w:tc>
        <w:tc>
          <w:tcPr>
            <w:tcW w:w="1121" w:type="dxa"/>
          </w:tcPr>
          <w:p>
            <w:pPr>
              <w:adjustRightInd w:val="0"/>
              <w:snapToGrid w:val="0"/>
              <w:spacing w:line="360" w:lineRule="exact"/>
              <w:jc w:val="center"/>
              <w:rPr>
                <w:rFonts w:hint="eastAsia" w:ascii="宋体" w:hAnsi="宋体" w:eastAsia="宋体" w:cs="宋体"/>
                <w:highlight w:val="none"/>
              </w:rPr>
            </w:pPr>
          </w:p>
        </w:tc>
        <w:tc>
          <w:tcPr>
            <w:tcW w:w="1622" w:type="dxa"/>
          </w:tcPr>
          <w:p>
            <w:pPr>
              <w:adjustRightInd w:val="0"/>
              <w:snapToGrid w:val="0"/>
              <w:spacing w:line="360" w:lineRule="exact"/>
              <w:rPr>
                <w:rFonts w:hint="eastAsia" w:ascii="宋体" w:hAnsi="宋体" w:eastAsia="宋体" w:cs="宋体"/>
                <w:highlight w:val="none"/>
              </w:rPr>
            </w:pPr>
          </w:p>
        </w:tc>
      </w:tr>
    </w:tbl>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6.3应当尽可能将货物的配置列全、列细，这将有助于投标人胜出；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pPr>
        <w:pStyle w:val="121"/>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2.如果投标总报价与其它价格出现错误或不一致，将有可能导致废标。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pPr>
        <w:pStyle w:val="121"/>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宋体" w:hAnsi="宋体" w:eastAsia="宋体" w:cs="宋体"/>
          <w:b w:val="0"/>
          <w:sz w:val="24"/>
          <w:szCs w:val="24"/>
          <w:highlight w:val="none"/>
        </w:rPr>
        <w:sectPr>
          <w:footerReference r:id="rId14" w:type="first"/>
          <w:headerReference r:id="rId12" w:type="default"/>
          <w:footerReference r:id="rId13" w:type="default"/>
          <w:pgSz w:w="11906" w:h="16838"/>
          <w:pgMar w:top="1588" w:right="1418" w:bottom="1134" w:left="1418" w:header="851" w:footer="992" w:gutter="0"/>
          <w:cols w:space="720" w:num="1"/>
          <w:titlePg/>
          <w:docGrid w:linePitch="312" w:charSpace="0"/>
        </w:sectPr>
      </w:pPr>
      <w:bookmarkStart w:id="40" w:name="_Toc465187648"/>
    </w:p>
    <w:p>
      <w:pPr>
        <w:pStyle w:val="134"/>
        <w:spacing w:line="360" w:lineRule="auto"/>
        <w:outlineLvl w:val="1"/>
        <w:rPr>
          <w:rFonts w:ascii="宋体" w:hAnsi="宋体" w:eastAsia="宋体" w:cs="宋体"/>
          <w:b/>
          <w:bCs w:val="0"/>
          <w:iCs/>
          <w:color w:val="auto"/>
          <w:sz w:val="24"/>
          <w:highlight w:val="none"/>
        </w:rPr>
      </w:pPr>
      <w:bookmarkStart w:id="41" w:name="_Toc19570"/>
      <w:bookmarkStart w:id="42" w:name="_Toc131008494"/>
      <w:r>
        <w:rPr>
          <w:rFonts w:hint="eastAsia" w:ascii="宋体" w:hAnsi="宋体" w:eastAsia="宋体" w:cs="宋体"/>
          <w:b/>
          <w:bCs w:val="0"/>
          <w:iCs/>
          <w:color w:val="auto"/>
          <w:sz w:val="24"/>
          <w:highlight w:val="none"/>
        </w:rPr>
        <w:t>第七章  其它要求及说明</w:t>
      </w:r>
      <w:bookmarkEnd w:id="40"/>
      <w:bookmarkEnd w:id="41"/>
      <w:bookmarkEnd w:id="42"/>
    </w:p>
    <w:p>
      <w:pPr>
        <w:pStyle w:val="121"/>
        <w:spacing w:line="360" w:lineRule="auto"/>
        <w:rPr>
          <w:rFonts w:ascii="宋体" w:hAnsi="宋体" w:cs="宋体"/>
          <w:color w:val="auto"/>
          <w:highlight w:val="none"/>
        </w:rPr>
      </w:pPr>
      <w:r>
        <w:rPr>
          <w:rFonts w:hint="eastAsia" w:ascii="宋体" w:hAnsi="宋体" w:cs="宋体"/>
          <w:color w:val="auto"/>
          <w:highlight w:val="none"/>
        </w:rPr>
        <w:t>一、要求</w:t>
      </w:r>
    </w:p>
    <w:p>
      <w:pPr>
        <w:pStyle w:val="23"/>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4.应附有其它与投标单位、采购货物有关的荣誉证书或资料。</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5.1国家相关机构颁发的有效期之内所必需的《生产许可证》；</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6.必须附有：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21"/>
        <w:spacing w:line="360" w:lineRule="auto"/>
        <w:rPr>
          <w:rFonts w:ascii="宋体" w:hAnsi="宋体" w:cs="宋体"/>
          <w:color w:val="auto"/>
          <w:highlight w:val="none"/>
        </w:rPr>
      </w:pPr>
      <w:r>
        <w:rPr>
          <w:rFonts w:hint="eastAsia" w:ascii="宋体" w:hAnsi="宋体" w:cs="宋体"/>
          <w:color w:val="auto"/>
          <w:highlight w:val="none"/>
        </w:rPr>
        <w:t>二、其他</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w:t>
      </w:r>
      <w:r>
        <w:rPr>
          <w:rFonts w:hint="eastAsia" w:ascii="宋体" w:hAnsi="宋体" w:eastAsia="宋体" w:cs="宋体"/>
          <w:sz w:val="24"/>
          <w:szCs w:val="24"/>
          <w:highlight w:val="none"/>
          <w:lang w:val="en-US" w:eastAsia="zh-CN"/>
        </w:rPr>
        <w:t>方。</w:t>
      </w:r>
    </w:p>
    <w:p>
      <w:pPr>
        <w:widowControl/>
        <w:jc w:val="left"/>
        <w:rPr>
          <w:rFonts w:hint="eastAsia" w:ascii="宋体" w:hAnsi="宋体" w:eastAsia="宋体" w:cs="Times New Roman"/>
          <w:b/>
          <w:color w:val="000000"/>
          <w:sz w:val="24"/>
          <w:szCs w:val="24"/>
        </w:rPr>
      </w:pPr>
      <w:r>
        <w:rPr>
          <w:rFonts w:hAnsi="宋体" w:eastAsia="宋体" w:cs="Times New Roman"/>
          <w:b/>
          <w:color w:val="000000"/>
          <w:sz w:val="24"/>
          <w:szCs w:val="24"/>
        </w:rPr>
        <w:br w:type="page"/>
      </w:r>
    </w:p>
    <w:p>
      <w:pPr>
        <w:pStyle w:val="20"/>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0"/>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hint="eastAsia" w:ascii="宋体" w:hAnsi="宋体" w:cs="宋体"/>
          <w:bCs/>
          <w:sz w:val="24"/>
          <w:u w:val="single"/>
        </w:rPr>
      </w:pPr>
      <w:r>
        <w:rPr>
          <w:rFonts w:hint="eastAsia" w:ascii="宋体" w:hAnsi="宋体" w:cs="宋体"/>
          <w:bCs/>
          <w:sz w:val="24"/>
        </w:rPr>
        <w:t xml:space="preserve">                                       </w:t>
      </w:r>
    </w:p>
    <w:p>
      <w:pPr>
        <w:spacing w:line="360" w:lineRule="auto"/>
        <w:rPr>
          <w:rFonts w:hint="eastAsia"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4" w:name="_Toc24623"/>
      <w:bookmarkStart w:id="45" w:name="_Toc5379"/>
      <w:bookmarkStart w:id="46" w:name="_Toc3778"/>
      <w:bookmarkStart w:id="47" w:name="_Toc25120"/>
      <w:bookmarkStart w:id="48" w:name="_Toc16330037"/>
      <w:bookmarkStart w:id="4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3"/>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8.3.1合同生效签订后, 卖方提交金额为合同含税价款30 %的收据及合同金额30%的增值税专用发票（税率为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8.3.2设备全部到齐无质量问题，经安装、调试最终验收合格后，卖方提交金额为合同含税价款60 %的收据及合同金额70%增值税专用发票（税率为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hint="eastAsia" w:asciiTheme="minorEastAsia" w:hAnsiTheme="minorEastAsia" w:cstheme="minorEastAsia"/>
          <w:sz w:val="20"/>
          <w:szCs w:val="20"/>
        </w:rPr>
      </w:pPr>
      <w:r>
        <w:rPr>
          <w:rFonts w:hint="eastAsia"/>
        </w:rPr>
        <w:t xml:space="preserve">    </w:t>
      </w:r>
    </w:p>
    <w:p>
      <w:pPr>
        <w:spacing w:line="360" w:lineRule="auto"/>
        <w:rPr>
          <w:rFonts w:hint="eastAsia" w:ascii="宋体" w:hAnsi="宋体"/>
          <w:snapToGrid w:val="0"/>
          <w:kern w:val="0"/>
          <w:sz w:val="20"/>
          <w:szCs w:val="20"/>
          <w:lang w:eastAsia="zh-Hans"/>
        </w:rPr>
      </w:pP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hint="eastAsia" w:ascii="仿宋_GB2312" w:eastAsia="仿宋_GB2312"/>
          <w:sz w:val="24"/>
          <w:szCs w:val="24"/>
        </w:rPr>
      </w:pPr>
    </w:p>
    <w:p>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9"/>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rPr>
          <w:rFonts w:hint="eastAsia" w:ascii="等线" w:hAnsi="等线" w:eastAsia="等线" w:cs="等线"/>
          <w:sz w:val="20"/>
          <w:szCs w:val="20"/>
        </w:rPr>
      </w:pPr>
      <w:r>
        <w:rPr>
          <w:rFonts w:hint="eastAsia" w:ascii="等线" w:hAnsi="等线" w:eastAsia="等线" w:cs="等线"/>
          <w:sz w:val="20"/>
          <w:szCs w:val="20"/>
        </w:rPr>
        <w:br w:type="page"/>
      </w:r>
    </w:p>
    <w:p>
      <w:pPr>
        <w:pStyle w:val="3"/>
        <w:tabs>
          <w:tab w:val="right" w:leader="dot" w:pos="9061"/>
        </w:tabs>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4"/>
      <w:bookmarkEnd w:id="45"/>
      <w:bookmarkEnd w:id="46"/>
      <w:bookmarkEnd w:id="47"/>
      <w:bookmarkEnd w:id="48"/>
      <w:r>
        <w:rPr>
          <w:rFonts w:hint="eastAsia" w:ascii="黑体" w:hAnsi="黑体" w:eastAsia="黑体" w:cs="等线"/>
          <w:b w:val="0"/>
          <w:sz w:val="28"/>
          <w:szCs w:val="28"/>
        </w:rPr>
        <w:t>技术协议书</w:t>
      </w:r>
    </w:p>
    <w:p>
      <w:pPr>
        <w:ind w:right="360"/>
        <w:rPr>
          <w:rFonts w:hint="eastAsia" w:ascii="等线" w:hAnsi="等线" w:eastAsia="等线" w:cs="等线"/>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hint="eastAsia" w:asciiTheme="minorEastAsia" w:hAnsiTheme="minorEastAsia" w:cstheme="minorEastAsia"/>
          <w:sz w:val="20"/>
          <w:szCs w:val="20"/>
        </w:rPr>
      </w:pPr>
    </w:p>
    <w:p>
      <w:pPr>
        <w:wordWrap w:val="0"/>
        <w:ind w:right="480"/>
        <w:rPr>
          <w:rFonts w:hint="eastAsia" w:asciiTheme="minorEastAsia" w:hAnsiTheme="minorEastAsia" w:cstheme="minorEastAsia"/>
          <w:sz w:val="20"/>
          <w:szCs w:val="20"/>
        </w:rPr>
      </w:pPr>
    </w:p>
    <w:p>
      <w:pPr>
        <w:jc w:val="right"/>
        <w:rPr>
          <w:rFonts w:hint="eastAsia" w:ascii="楷体_GB2312" w:hAnsi="宋体" w:eastAsia="楷体_GB2312"/>
          <w:sz w:val="24"/>
        </w:rPr>
      </w:pPr>
      <w:bookmarkStart w:id="50" w:name="_Toc14341849"/>
    </w:p>
    <w:p>
      <w:pPr>
        <w:ind w:right="480"/>
        <w:jc w:val="center"/>
        <w:rPr>
          <w:rFonts w:hint="eastAsia"/>
          <w:sz w:val="24"/>
          <w:szCs w:val="24"/>
        </w:rPr>
      </w:pPr>
      <w:r>
        <w:rPr>
          <w:rFonts w:hint="eastAsia" w:ascii="楷体_GB2312" w:hAnsi="宋体" w:eastAsia="楷体_GB2312"/>
          <w:sz w:val="24"/>
        </w:rPr>
        <w:t xml:space="preserve">                                    </w:t>
      </w:r>
    </w:p>
    <w:bookmarkEnd w:id="50"/>
    <w:p>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spacing w:before="118"/>
        <w:ind w:right="30"/>
        <w:jc w:val="center"/>
        <w:outlineLvl w:val="1"/>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5"/>
        <w:spacing w:before="8" w:after="156"/>
        <w:rPr>
          <w:rFonts w:hint="eastAsia" w:ascii="楷体" w:hAnsi="楷体" w:eastAsia="楷体" w:cs="楷体"/>
          <w:sz w:val="44"/>
          <w:szCs w:val="28"/>
        </w:rPr>
      </w:pP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5"/>
        <w:spacing w:before="9" w:after="156"/>
        <w:rPr>
          <w:rFonts w:hint="eastAsia" w:ascii="楷体" w:hAnsi="楷体" w:eastAsia="楷体" w:cs="楷体"/>
          <w:sz w:val="40"/>
          <w:szCs w:val="28"/>
        </w:rPr>
      </w:pPr>
    </w:p>
    <w:p>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5"/>
        <w:spacing w:after="156"/>
        <w:rPr>
          <w:rFonts w:hint="eastAsia" w:ascii="楷体" w:hAnsi="楷体" w:eastAsia="楷体" w:cs="楷体"/>
          <w:b/>
          <w:sz w:val="24"/>
          <w:szCs w:val="28"/>
        </w:rPr>
      </w:pPr>
    </w:p>
    <w:p>
      <w:pPr>
        <w:pStyle w:val="15"/>
        <w:spacing w:before="1"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5"/>
        <w:spacing w:after="156"/>
        <w:rPr>
          <w:rFonts w:hint="eastAsia" w:ascii="楷体" w:hAnsi="楷体" w:eastAsia="楷体" w:cs="楷体"/>
          <w:b/>
          <w:sz w:val="24"/>
          <w:szCs w:val="28"/>
        </w:rPr>
      </w:pPr>
    </w:p>
    <w:p>
      <w:pPr>
        <w:pStyle w:val="15"/>
        <w:spacing w:before="4"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hint="eastAsia" w:eastAsia="仿宋" w:cs="Times New Roman"/>
          <w:b/>
          <w:szCs w:val="21"/>
        </w:r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9"/>
    </w:p>
    <w:p>
      <w:pPr>
        <w:keepNext/>
        <w:keepLines/>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1" w:name="_Toc212369550"/>
      <w:bookmarkStart w:id="52" w:name="_Toc353881012"/>
      <w:bookmarkStart w:id="53" w:name="_Toc25811"/>
      <w:bookmarkStart w:id="5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1"/>
      <w:bookmarkEnd w:id="52"/>
      <w:bookmarkEnd w:id="53"/>
      <w:bookmarkEnd w:id="54"/>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lang w:eastAsia="zh-CN"/>
        </w:rPr>
        <w:t>冰水冲击试验箱项目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lang w:eastAsia="zh-CN"/>
        </w:rPr>
        <w:t>冰水冲击试验箱项目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pStyle w:val="20"/>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eastAsia="zh-CN"/>
        </w:rPr>
        <w:t>冰水冲击试验箱项目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冰水冲击试验箱项目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一</w:t>
            </w:r>
          </w:p>
        </w:tc>
        <w:tc>
          <w:tcPr>
            <w:tcW w:w="2471" w:type="dxa"/>
            <w:shd w:val="clear" w:color="auto" w:fill="auto"/>
            <w:vAlign w:val="center"/>
          </w:tcPr>
          <w:p>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冰水冲击试验箱</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环境舱主体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压缩机</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1.3</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减震管</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1.4</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油分</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1.5</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水冷凝器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1.6</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干燥过滤器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1.7</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高效换热器（水冷冷凝器）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1.8</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制冷压力表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1.9</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变频器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1.10 </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钛管换热器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1.11</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电缸HDL63</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1.12</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电磁阀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1.13</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膨胀阀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1.14</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压力传感阀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1.15</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安全阀</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1.16</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制冷剂</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1.17</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制冷剂</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1.18</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铜管等各种制冷辅件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1.19</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制冷机组架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1.20 </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触摸屏控制系统</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1.21</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PLC</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1.22</w:t>
            </w:r>
          </w:p>
        </w:tc>
        <w:tc>
          <w:tcPr>
            <w:tcW w:w="2471" w:type="dxa"/>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直流电源</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1.23</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(漏电)断路器等</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1.24</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相序保护器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1.25</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交流接触器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1.26</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电机启动器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1.27</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中间继电器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1.28</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电热器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1.29</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控制软件</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1.30 </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加工、组装、管理费用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1.31</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包装、运输、保险费用</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1.32</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安装调试、培训费用、技术服务费</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1.33</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利润、税费、杂费</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1.34</w:t>
            </w:r>
          </w:p>
        </w:tc>
        <w:tc>
          <w:tcPr>
            <w:tcW w:w="0" w:type="auto"/>
            <w:shd w:val="clear" w:color="auto" w:fill="auto"/>
            <w:vAlign w:val="center"/>
          </w:tcPr>
          <w:p>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设备计量</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0" w:type="auto"/>
            <w:shd w:val="clear" w:color="auto" w:fill="auto"/>
            <w:vAlign w:val="center"/>
          </w:tcPr>
          <w:p>
            <w:pPr>
              <w:widowControl/>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c>
          <w:tcPr>
            <w:tcW w:w="0" w:type="auto"/>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2022年8月1日至今同类项目业绩一览表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冰水冲击试验箱项目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2022年8月1日</w:t>
            </w:r>
            <w:r>
              <w:rPr>
                <w:rFonts w:ascii="宋体" w:hAnsi="宋体" w:eastAsia="宋体" w:cs="宋体"/>
                <w:sz w:val="24"/>
                <w:szCs w:val="24"/>
                <w:highlight w:val="yellow"/>
              </w:rPr>
              <w:t>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提供2022年8月1日以来同类产品的制造销售业绩（用户名单、联系方式）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lang w:eastAsia="zh-CN"/>
        </w:rPr>
        <w:t>冰水冲击试验箱项目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冰水冲击试验箱项目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bCs/>
                <w:sz w:val="24"/>
                <w:szCs w:val="24"/>
                <w:u w:val="single"/>
                <w:lang w:eastAsia="zh-CN"/>
              </w:rPr>
              <w:t>冰水冲击试验箱项目</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0"/>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pStyle w:val="128"/>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b/>
                <w:bCs/>
                <w:sz w:val="24"/>
                <w:lang w:val="en-US" w:eastAsia="zh-CN"/>
              </w:rPr>
              <w:t>一</w:t>
            </w:r>
          </w:p>
        </w:tc>
        <w:tc>
          <w:tcPr>
            <w:tcW w:w="2238" w:type="dxa"/>
            <w:shd w:val="clear" w:color="auto" w:fill="auto"/>
            <w:vAlign w:val="center"/>
          </w:tcPr>
          <w:p>
            <w:pPr>
              <w:pStyle w:val="128"/>
              <w:spacing w:before="60" w:after="60" w:line="240" w:lineRule="auto"/>
              <w:jc w:val="center"/>
              <w:rPr>
                <w:rFonts w:hint="eastAsia" w:ascii="宋体" w:hAnsi="宋体" w:eastAsia="宋体" w:cstheme="minorBidi"/>
                <w:kern w:val="2"/>
                <w:sz w:val="24"/>
                <w:szCs w:val="24"/>
                <w:lang w:val="en-US" w:eastAsia="zh-CN" w:bidi="ar-SA"/>
              </w:rPr>
            </w:pPr>
            <w:r>
              <w:rPr>
                <w:rFonts w:hint="eastAsia" w:ascii="宋体" w:hAnsi="宋体" w:eastAsia="宋体"/>
                <w:b/>
                <w:bCs/>
                <w:sz w:val="24"/>
                <w:lang w:val="en-US" w:eastAsia="zh-CN"/>
              </w:rPr>
              <w:t>冰水冲击试验箱</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环境舱主体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压缩机</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1.3</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减震管</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1.4</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油分</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1.5</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水冷凝器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1.6</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干燥过滤器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1.7</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高效换热器（水冷冷凝器）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1.8</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制冷压力表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1.9</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变频器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1.10 </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钛管换热器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1.11</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电缸HDL63</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1.12</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电磁阀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1.13</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膨胀阀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1.14</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压力传感阀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1.15</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安全阀</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1.16</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制冷剂</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1.17</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制冷剂</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1.18</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铜管等各种制冷辅件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1.19</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制冷机组架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1.20 </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触摸屏控制系统</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b/>
                <w:bCs/>
                <w:kern w:val="2"/>
                <w:sz w:val="24"/>
                <w:szCs w:val="24"/>
                <w:lang w:val="en-US" w:eastAsia="zh-CN" w:bidi="ar-SA"/>
              </w:rPr>
            </w:pPr>
            <w:r>
              <w:rPr>
                <w:rFonts w:hint="eastAsia" w:ascii="宋体" w:hAnsi="宋体" w:eastAsia="宋体"/>
                <w:sz w:val="24"/>
                <w:szCs w:val="24"/>
                <w:lang w:val="en-US" w:eastAsia="zh-CN"/>
              </w:rPr>
              <w:t>1.21</w:t>
            </w:r>
          </w:p>
        </w:tc>
        <w:tc>
          <w:tcPr>
            <w:tcW w:w="2238" w:type="dxa"/>
            <w:shd w:val="clear" w:color="auto" w:fill="auto"/>
            <w:vAlign w:val="center"/>
          </w:tcPr>
          <w:p>
            <w:pPr>
              <w:widowControl/>
              <w:jc w:val="center"/>
              <w:textAlignment w:val="center"/>
              <w:rPr>
                <w:rFonts w:hint="eastAsia" w:ascii="宋体" w:hAnsi="宋体" w:eastAsia="宋体" w:cstheme="minorBidi"/>
                <w:b/>
                <w:bCs/>
                <w:kern w:val="2"/>
                <w:sz w:val="24"/>
                <w:szCs w:val="24"/>
                <w:lang w:val="en-US" w:eastAsia="zh-CN" w:bidi="ar-SA"/>
              </w:rPr>
            </w:pPr>
            <w:r>
              <w:rPr>
                <w:rFonts w:hint="eastAsia" w:ascii="宋体" w:hAnsi="宋体" w:eastAsia="宋体"/>
                <w:sz w:val="24"/>
                <w:szCs w:val="24"/>
                <w:lang w:val="en-US" w:eastAsia="zh-CN"/>
              </w:rPr>
              <w:t>PLC</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pStyle w:val="128"/>
              <w:spacing w:before="60" w:after="60" w:line="240" w:lineRule="auto"/>
              <w:jc w:val="center"/>
              <w:rPr>
                <w:rFonts w:hint="eastAsia" w:ascii="宋体" w:hAnsi="宋体" w:eastAsia="宋体"/>
                <w:b/>
                <w:bCs/>
                <w:sz w:val="24"/>
                <w:lang w:val="en-US" w:eastAsia="zh-CN"/>
              </w:rPr>
            </w:pPr>
          </w:p>
        </w:tc>
        <w:tc>
          <w:tcPr>
            <w:tcW w:w="2238" w:type="dxa"/>
            <w:shd w:val="clear" w:color="auto" w:fill="auto"/>
            <w:vAlign w:val="center"/>
          </w:tcPr>
          <w:p>
            <w:pPr>
              <w:pStyle w:val="128"/>
              <w:spacing w:before="60" w:after="60" w:line="240" w:lineRule="auto"/>
              <w:jc w:val="center"/>
              <w:rPr>
                <w:rFonts w:hint="eastAsia" w:ascii="宋体" w:hAnsi="宋体" w:eastAsia="宋体"/>
                <w:b/>
                <w:bCs/>
                <w:sz w:val="24"/>
                <w:lang w:val="en-US" w:eastAsia="zh-CN"/>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30"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0"/>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bCs/>
                <w:sz w:val="24"/>
                <w:szCs w:val="24"/>
                <w:u w:val="single"/>
                <w:lang w:eastAsia="zh-CN"/>
              </w:rPr>
              <w:t>冰水冲击试验箱项目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lang w:eastAsia="zh-CN"/>
        </w:rPr>
        <w:t>冰水冲击试验箱项目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0"/>
        <w:rPr>
          <w:rFonts w:hint="eastAsia" w:hAnsi="宋体" w:eastAsia="宋体" w:cs="宋体"/>
          <w:sz w:val="24"/>
          <w:szCs w:val="24"/>
        </w:rPr>
      </w:pPr>
    </w:p>
    <w:p>
      <w:pPr>
        <w:pStyle w:val="20"/>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0"/>
        <w:rPr>
          <w:rFonts w:hint="eastAsia" w:hAnsi="宋体" w:eastAsia="宋体" w:cs="宋体"/>
          <w:sz w:val="24"/>
          <w:szCs w:val="24"/>
        </w:rPr>
        <w:sectPr>
          <w:footerReference r:id="rId33"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eastAsia="zh-CN"/>
        </w:rPr>
        <w:t>冰水冲击试验箱项目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bCs/>
                <w:sz w:val="24"/>
                <w:szCs w:val="24"/>
                <w:u w:val="single"/>
                <w:lang w:eastAsia="zh-CN"/>
              </w:rPr>
              <w:t>冰水冲击试验箱项目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keepNext/>
        <w:keepLines/>
        <w:spacing w:before="156" w:beforeLines="50" w:after="156" w:afterLines="50" w:line="360" w:lineRule="auto"/>
        <w:jc w:val="left"/>
        <w:outlineLvl w:val="2"/>
        <w:rPr>
          <w:rFonts w:hint="eastAsia" w:ascii="宋体" w:hAnsi="宋体" w:eastAsia="宋体" w:cs="Times New Roman"/>
          <w:b/>
          <w:bCs/>
          <w:sz w:val="24"/>
          <w:szCs w:val="24"/>
        </w:rPr>
      </w:pPr>
      <w:r>
        <w:rPr>
          <w:rFonts w:hint="eastAsia" w:ascii="宋体" w:hAnsi="宋体" w:eastAsia="宋体" w:cs="Times New Roman"/>
          <w:b/>
          <w:bCs/>
          <w:sz w:val="24"/>
          <w:szCs w:val="24"/>
        </w:rPr>
        <w:t>附件14技术标评分标准</w:t>
      </w:r>
    </w:p>
    <w:p>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1</w:t>
      </w:r>
      <w:r>
        <w:rPr>
          <w:rFonts w:hint="eastAsia" w:ascii="宋体" w:hAnsi="宋体" w:eastAsia="宋体" w:cs="Times New Roman"/>
          <w:b/>
          <w:bCs/>
          <w:sz w:val="24"/>
          <w:szCs w:val="24"/>
        </w:rPr>
        <w:t xml:space="preserve">  技术标评审表（100分）</w:t>
      </w:r>
    </w:p>
    <w:tbl>
      <w:tblPr>
        <w:tblStyle w:val="39"/>
        <w:tblpPr w:leftFromText="180" w:rightFromText="180" w:vertAnchor="text" w:horzAnchor="page" w:tblpXSpec="center" w:tblpY="197"/>
        <w:tblOverlap w:val="never"/>
        <w:tblW w:w="50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647"/>
        <w:gridCol w:w="1156"/>
        <w:gridCol w:w="956"/>
        <w:gridCol w:w="128"/>
        <w:gridCol w:w="5797"/>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90" w:hRule="atLeast"/>
        </w:trPr>
        <w:tc>
          <w:tcPr>
            <w:tcW w:w="414"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评审</w:t>
            </w:r>
          </w:p>
          <w:p>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41"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610"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504" w:type="pct"/>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127" w:type="pct"/>
            <w:gridSpan w:val="2"/>
            <w:vAlign w:val="center"/>
          </w:tcPr>
          <w:p>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业绩</w:t>
            </w:r>
          </w:p>
        </w:tc>
        <w:tc>
          <w:tcPr>
            <w:tcW w:w="341" w:type="pct"/>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1</w:t>
            </w: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合同数量及金额</w:t>
            </w:r>
          </w:p>
        </w:tc>
        <w:tc>
          <w:tcPr>
            <w:tcW w:w="572" w:type="pct"/>
            <w:gridSpan w:val="2"/>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20</w:t>
            </w:r>
          </w:p>
        </w:tc>
        <w:tc>
          <w:tcPr>
            <w:tcW w:w="3061" w:type="pct"/>
            <w:gridSpan w:val="2"/>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投标人提供自2022年8月1日以来在中国与本标同类型（冰水、溅水冲击一体式）、合同额50万以上的项目业绩（以合同复印件加盖公章为准，时间以签订日期为准）。由评标委员会成员按照项目的合同数量及金额、合同相关性两个维度进行打分。</w:t>
            </w:r>
          </w:p>
          <w:p>
            <w:pPr>
              <w:jc w:val="center"/>
              <w:rPr>
                <w:rFonts w:hint="eastAsia" w:ascii="宋体" w:hAnsi="宋体" w:eastAsia="宋体" w:cs="Times New Roman"/>
                <w:szCs w:val="21"/>
              </w:rPr>
            </w:pPr>
            <w:r>
              <w:rPr>
                <w:rFonts w:hint="eastAsia" w:ascii="宋体" w:hAnsi="宋体" w:eastAsia="宋体" w:cs="Times New Roman"/>
                <w:szCs w:val="21"/>
              </w:rPr>
              <w:t>（1）合同数量1-2份：0-3分；</w:t>
            </w:r>
          </w:p>
          <w:p>
            <w:pPr>
              <w:jc w:val="center"/>
              <w:rPr>
                <w:rFonts w:hint="eastAsia" w:ascii="宋体" w:hAnsi="宋体" w:eastAsia="宋体" w:cs="Times New Roman"/>
                <w:szCs w:val="21"/>
              </w:rPr>
            </w:pPr>
            <w:r>
              <w:rPr>
                <w:rFonts w:hint="eastAsia" w:ascii="宋体" w:hAnsi="宋体" w:eastAsia="宋体" w:cs="Times New Roman"/>
                <w:szCs w:val="21"/>
              </w:rPr>
              <w:t>合同数量2-3份：4-8分；</w:t>
            </w:r>
          </w:p>
          <w:p>
            <w:pPr>
              <w:jc w:val="center"/>
              <w:rPr>
                <w:rFonts w:hint="eastAsia" w:ascii="宋体" w:hAnsi="宋体" w:eastAsia="宋体" w:cs="Times New Roman"/>
                <w:szCs w:val="21"/>
              </w:rPr>
            </w:pPr>
            <w:r>
              <w:rPr>
                <w:rFonts w:hint="eastAsia" w:ascii="宋体" w:hAnsi="宋体" w:eastAsia="宋体" w:cs="Times New Roman"/>
                <w:szCs w:val="21"/>
              </w:rPr>
              <w:t>合同数量3-4份：9-13分；</w:t>
            </w:r>
          </w:p>
          <w:p>
            <w:pPr>
              <w:jc w:val="center"/>
              <w:rPr>
                <w:rFonts w:hint="eastAsia" w:ascii="宋体" w:hAnsi="宋体" w:eastAsia="宋体" w:cs="Times New Roman"/>
                <w:szCs w:val="21"/>
              </w:rPr>
            </w:pPr>
            <w:r>
              <w:rPr>
                <w:rFonts w:hint="eastAsia" w:ascii="宋体" w:hAnsi="宋体" w:eastAsia="宋体" w:cs="Times New Roman"/>
                <w:szCs w:val="21"/>
              </w:rPr>
              <w:t>合同数量≥5份：14-15分。</w:t>
            </w:r>
          </w:p>
          <w:p>
            <w:pPr>
              <w:jc w:val="center"/>
              <w:rPr>
                <w:rFonts w:hint="eastAsia" w:ascii="宋体" w:hAnsi="宋体" w:eastAsia="宋体" w:cs="Times New Roman"/>
                <w:szCs w:val="21"/>
              </w:rPr>
            </w:pPr>
            <w:r>
              <w:rPr>
                <w:rFonts w:hint="eastAsia" w:ascii="宋体" w:hAnsi="宋体" w:eastAsia="宋体" w:cs="Times New Roman"/>
                <w:szCs w:val="21"/>
              </w:rPr>
              <w:t>（2）合同相关性、投标方知名度：0-5分。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pPr>
              <w:jc w:val="center"/>
              <w:rPr>
                <w:rFonts w:hint="eastAsia" w:ascii="宋体" w:hAnsi="宋体" w:eastAsia="宋体" w:cs="Times New Roman"/>
                <w:szCs w:val="21"/>
              </w:rPr>
            </w:pPr>
          </w:p>
        </w:tc>
        <w:tc>
          <w:tcPr>
            <w:tcW w:w="341" w:type="pct"/>
            <w:vMerge w:val="continue"/>
            <w:vAlign w:val="center"/>
          </w:tcPr>
          <w:p>
            <w:pPr>
              <w:jc w:val="center"/>
              <w:rPr>
                <w:rFonts w:hint="eastAsia" w:ascii="宋体" w:hAnsi="宋体" w:eastAsia="宋体" w:cs="Times New Roman"/>
                <w:szCs w:val="21"/>
              </w:rPr>
            </w:pP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572" w:type="pct"/>
            <w:gridSpan w:val="2"/>
            <w:vMerge w:val="continue"/>
            <w:vAlign w:val="center"/>
          </w:tcPr>
          <w:p>
            <w:pPr>
              <w:jc w:val="center"/>
              <w:rPr>
                <w:rFonts w:hint="eastAsia" w:ascii="宋体" w:hAnsi="宋体" w:eastAsia="宋体" w:cs="Times New Roman"/>
                <w:szCs w:val="21"/>
              </w:rPr>
            </w:pPr>
          </w:p>
        </w:tc>
        <w:tc>
          <w:tcPr>
            <w:tcW w:w="3061" w:type="pct"/>
            <w:gridSpan w:val="2"/>
            <w:vMerge w:val="continue"/>
            <w:vAlign w:val="center"/>
          </w:tcPr>
          <w:p>
            <w:pPr>
              <w:jc w:val="cente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产品技术</w:t>
            </w:r>
          </w:p>
        </w:tc>
        <w:tc>
          <w:tcPr>
            <w:tcW w:w="341" w:type="pct"/>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2</w:t>
            </w: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产品方案</w:t>
            </w:r>
          </w:p>
        </w:tc>
        <w:tc>
          <w:tcPr>
            <w:tcW w:w="572" w:type="pct"/>
            <w:gridSpan w:val="2"/>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40</w:t>
            </w:r>
          </w:p>
        </w:tc>
        <w:tc>
          <w:tcPr>
            <w:tcW w:w="3061" w:type="pct"/>
            <w:gridSpan w:val="2"/>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pPr>
              <w:jc w:val="center"/>
              <w:rPr>
                <w:rFonts w:hint="eastAsia" w:ascii="宋体" w:hAnsi="宋体" w:eastAsia="宋体" w:cs="Times New Roman"/>
                <w:szCs w:val="21"/>
              </w:rPr>
            </w:pPr>
            <w:r>
              <w:rPr>
                <w:rFonts w:hint="eastAsia" w:ascii="宋体" w:hAnsi="宋体" w:eastAsia="宋体" w:cs="Times New Roman"/>
                <w:szCs w:val="21"/>
              </w:rPr>
              <w:t>（1）系统方案已达到招标要求且具备自身优势，设备主要核心部件选用国际知名品牌，打分0-10分；</w:t>
            </w:r>
          </w:p>
          <w:p>
            <w:pPr>
              <w:jc w:val="center"/>
              <w:rPr>
                <w:rFonts w:hint="eastAsia" w:ascii="宋体" w:hAnsi="宋体" w:eastAsia="宋体" w:cs="Times New Roman"/>
                <w:szCs w:val="21"/>
              </w:rPr>
            </w:pPr>
            <w:r>
              <w:rPr>
                <w:rFonts w:hint="eastAsia" w:ascii="宋体" w:hAnsi="宋体" w:eastAsia="宋体" w:cs="Times New Roman"/>
                <w:szCs w:val="21"/>
              </w:rPr>
              <w:t>（2）系统配置合理，运行可靠，其性能指标、技术水平、可靠性等优势明显，打分0-10分；</w:t>
            </w:r>
          </w:p>
          <w:p>
            <w:pPr>
              <w:jc w:val="center"/>
              <w:rPr>
                <w:rFonts w:hint="eastAsia" w:ascii="宋体" w:hAnsi="宋体" w:eastAsia="宋体" w:cs="Times New Roman"/>
                <w:szCs w:val="21"/>
              </w:rPr>
            </w:pPr>
            <w:r>
              <w:rPr>
                <w:rFonts w:hint="eastAsia" w:ascii="宋体" w:hAnsi="宋体" w:eastAsia="宋体" w:cs="Times New Roman"/>
                <w:szCs w:val="21"/>
              </w:rPr>
              <w:t>（3）企业生产情况，加工设备情况，人员数量与构成，打分0-10分；</w:t>
            </w:r>
          </w:p>
          <w:p>
            <w:pPr>
              <w:jc w:val="center"/>
              <w:rPr>
                <w:rFonts w:hint="eastAsia" w:ascii="宋体" w:hAnsi="宋体" w:eastAsia="宋体" w:cs="Times New Roman"/>
                <w:szCs w:val="21"/>
              </w:rPr>
            </w:pPr>
            <w:r>
              <w:rPr>
                <w:rFonts w:hint="eastAsia" w:ascii="宋体" w:hAnsi="宋体" w:eastAsia="宋体" w:cs="Times New Roman"/>
                <w:szCs w:val="21"/>
              </w:rPr>
              <w:t>（4）产品相关专利证书，设计人性化，使用方便，打分0-10分。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14" w:type="pct"/>
            <w:vMerge w:val="continue"/>
            <w:vAlign w:val="center"/>
          </w:tcPr>
          <w:p>
            <w:pPr>
              <w:jc w:val="center"/>
              <w:rPr>
                <w:rFonts w:hint="eastAsia" w:ascii="宋体" w:hAnsi="宋体" w:eastAsia="宋体" w:cs="Times New Roman"/>
                <w:szCs w:val="21"/>
              </w:rPr>
            </w:pPr>
          </w:p>
        </w:tc>
        <w:tc>
          <w:tcPr>
            <w:tcW w:w="341" w:type="pct"/>
            <w:vMerge w:val="continue"/>
            <w:vAlign w:val="center"/>
          </w:tcPr>
          <w:p>
            <w:pPr>
              <w:jc w:val="center"/>
              <w:rPr>
                <w:rFonts w:hint="eastAsia" w:ascii="宋体" w:hAnsi="宋体" w:eastAsia="宋体" w:cs="Times New Roman"/>
                <w:szCs w:val="21"/>
              </w:rPr>
            </w:pP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572" w:type="pct"/>
            <w:gridSpan w:val="2"/>
            <w:vMerge w:val="continue"/>
            <w:vAlign w:val="center"/>
          </w:tcPr>
          <w:p>
            <w:pPr>
              <w:jc w:val="center"/>
              <w:rPr>
                <w:rFonts w:hint="eastAsia" w:ascii="宋体" w:hAnsi="宋体" w:eastAsia="宋体" w:cs="Times New Roman"/>
                <w:szCs w:val="21"/>
              </w:rPr>
            </w:pPr>
          </w:p>
        </w:tc>
        <w:tc>
          <w:tcPr>
            <w:tcW w:w="3061" w:type="pct"/>
            <w:gridSpan w:val="2"/>
            <w:vMerge w:val="continue"/>
            <w:vAlign w:val="center"/>
          </w:tcPr>
          <w:p>
            <w:pPr>
              <w:jc w:val="cente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14" w:type="pct"/>
            <w:vMerge w:val="continue"/>
            <w:vAlign w:val="center"/>
          </w:tcPr>
          <w:p>
            <w:pPr>
              <w:jc w:val="center"/>
              <w:rPr>
                <w:rFonts w:hint="eastAsia" w:ascii="宋体" w:hAnsi="宋体" w:eastAsia="宋体" w:cs="Times New Roman"/>
                <w:szCs w:val="21"/>
              </w:rPr>
            </w:pPr>
          </w:p>
        </w:tc>
        <w:tc>
          <w:tcPr>
            <w:tcW w:w="341" w:type="pct"/>
            <w:vMerge w:val="continue"/>
            <w:vAlign w:val="center"/>
          </w:tcPr>
          <w:p>
            <w:pPr>
              <w:jc w:val="center"/>
              <w:rPr>
                <w:rFonts w:hint="eastAsia" w:ascii="宋体" w:hAnsi="宋体" w:eastAsia="宋体" w:cs="Times New Roman"/>
                <w:szCs w:val="21"/>
              </w:rPr>
            </w:pP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生产加工</w:t>
            </w:r>
          </w:p>
        </w:tc>
        <w:tc>
          <w:tcPr>
            <w:tcW w:w="572" w:type="pct"/>
            <w:gridSpan w:val="2"/>
            <w:vMerge w:val="continue"/>
            <w:vAlign w:val="center"/>
          </w:tcPr>
          <w:p>
            <w:pPr>
              <w:jc w:val="center"/>
              <w:rPr>
                <w:rFonts w:hint="eastAsia" w:ascii="宋体" w:hAnsi="宋体" w:eastAsia="宋体" w:cs="Times New Roman"/>
                <w:szCs w:val="21"/>
              </w:rPr>
            </w:pPr>
          </w:p>
        </w:tc>
        <w:tc>
          <w:tcPr>
            <w:tcW w:w="3061" w:type="pct"/>
            <w:gridSpan w:val="2"/>
            <w:vMerge w:val="continue"/>
            <w:vAlign w:val="center"/>
          </w:tcPr>
          <w:p>
            <w:pPr>
              <w:jc w:val="cente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pPr>
              <w:jc w:val="center"/>
              <w:rPr>
                <w:rFonts w:hint="eastAsia" w:ascii="宋体" w:hAnsi="宋体" w:eastAsia="宋体" w:cs="Times New Roman"/>
                <w:szCs w:val="21"/>
              </w:rPr>
            </w:pPr>
          </w:p>
        </w:tc>
        <w:tc>
          <w:tcPr>
            <w:tcW w:w="341" w:type="pct"/>
            <w:vMerge w:val="continue"/>
            <w:vAlign w:val="center"/>
          </w:tcPr>
          <w:p>
            <w:pPr>
              <w:jc w:val="center"/>
              <w:rPr>
                <w:rFonts w:hint="eastAsia" w:ascii="宋体" w:hAnsi="宋体" w:eastAsia="宋体" w:cs="Times New Roman"/>
                <w:szCs w:val="21"/>
              </w:rPr>
            </w:pP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专利证书</w:t>
            </w:r>
          </w:p>
        </w:tc>
        <w:tc>
          <w:tcPr>
            <w:tcW w:w="572" w:type="pct"/>
            <w:gridSpan w:val="2"/>
            <w:vMerge w:val="continue"/>
            <w:vAlign w:val="center"/>
          </w:tcPr>
          <w:p>
            <w:pPr>
              <w:jc w:val="center"/>
              <w:rPr>
                <w:rFonts w:hint="eastAsia" w:ascii="宋体" w:hAnsi="宋体" w:eastAsia="宋体" w:cs="Times New Roman"/>
                <w:szCs w:val="21"/>
              </w:rPr>
            </w:pPr>
          </w:p>
        </w:tc>
        <w:tc>
          <w:tcPr>
            <w:tcW w:w="3061" w:type="pct"/>
            <w:gridSpan w:val="2"/>
            <w:vMerge w:val="continue"/>
            <w:vAlign w:val="center"/>
          </w:tcPr>
          <w:p>
            <w:pPr>
              <w:jc w:val="center"/>
              <w:rPr>
                <w:rFonts w:hint="eastAsia"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答疑</w:t>
            </w:r>
          </w:p>
        </w:tc>
        <w:tc>
          <w:tcPr>
            <w:tcW w:w="341"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3</w:t>
            </w: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572" w:type="pct"/>
            <w:gridSpan w:val="2"/>
            <w:vAlign w:val="center"/>
          </w:tcPr>
          <w:p>
            <w:pPr>
              <w:jc w:val="center"/>
              <w:rPr>
                <w:rFonts w:hint="eastAsia" w:ascii="宋体" w:hAnsi="宋体" w:eastAsia="宋体" w:cs="Times New Roman"/>
                <w:szCs w:val="21"/>
              </w:rPr>
            </w:pPr>
            <w:r>
              <w:rPr>
                <w:rFonts w:hint="eastAsia" w:ascii="宋体" w:hAnsi="宋体" w:eastAsia="宋体" w:cs="Times New Roman"/>
                <w:szCs w:val="21"/>
              </w:rPr>
              <w:t>20</w:t>
            </w:r>
          </w:p>
        </w:tc>
        <w:tc>
          <w:tcPr>
            <w:tcW w:w="3061" w:type="pct"/>
            <w:gridSpan w:val="2"/>
            <w:vAlign w:val="center"/>
          </w:tcPr>
          <w:p>
            <w:pPr>
              <w:jc w:val="center"/>
              <w:rPr>
                <w:rFonts w:hint="eastAsia" w:ascii="宋体" w:hAnsi="宋体" w:eastAsia="宋体" w:cs="Times New Roman"/>
                <w:szCs w:val="21"/>
              </w:rPr>
            </w:pPr>
            <w:r>
              <w:rPr>
                <w:rFonts w:hint="eastAsia" w:ascii="宋体" w:hAnsi="宋体" w:eastAsia="宋体" w:cs="Times New Roman"/>
                <w:szCs w:val="21"/>
              </w:rPr>
              <w:t>（1）投标人对投标方案、技术优势的讲解，以及就该项目难点回答评标专家现场提问，打分0-15分。</w:t>
            </w:r>
          </w:p>
          <w:p>
            <w:pPr>
              <w:jc w:val="center"/>
              <w:rPr>
                <w:rFonts w:hint="eastAsia" w:ascii="宋体" w:hAnsi="宋体" w:eastAsia="宋体" w:cs="Times New Roman"/>
                <w:szCs w:val="21"/>
              </w:rPr>
            </w:pPr>
            <w:r>
              <w:rPr>
                <w:rFonts w:hint="eastAsia" w:ascii="宋体" w:hAnsi="宋体" w:eastAsia="宋体" w:cs="Times New Roman"/>
                <w:szCs w:val="21"/>
              </w:rPr>
              <w:t>（2）是否了解招标方现有设备配置，打分0-5分。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技术偏离</w:t>
            </w:r>
          </w:p>
        </w:tc>
        <w:tc>
          <w:tcPr>
            <w:tcW w:w="341"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4</w:t>
            </w: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技术偏离</w:t>
            </w:r>
          </w:p>
        </w:tc>
        <w:tc>
          <w:tcPr>
            <w:tcW w:w="572" w:type="pct"/>
            <w:gridSpan w:val="2"/>
            <w:vAlign w:val="center"/>
          </w:tcPr>
          <w:p>
            <w:pPr>
              <w:jc w:val="center"/>
              <w:rPr>
                <w:rFonts w:hint="eastAsia" w:ascii="宋体" w:hAnsi="宋体" w:eastAsia="宋体" w:cs="Times New Roman"/>
                <w:szCs w:val="21"/>
              </w:rPr>
            </w:pPr>
            <w:r>
              <w:rPr>
                <w:rFonts w:hint="eastAsia" w:ascii="宋体" w:hAnsi="宋体" w:eastAsia="宋体" w:cs="Times New Roman"/>
                <w:szCs w:val="21"/>
              </w:rPr>
              <w:t>10</w:t>
            </w:r>
          </w:p>
        </w:tc>
        <w:tc>
          <w:tcPr>
            <w:tcW w:w="3061" w:type="pct"/>
            <w:gridSpan w:val="2"/>
            <w:vAlign w:val="center"/>
          </w:tcPr>
          <w:p>
            <w:pPr>
              <w:jc w:val="center"/>
              <w:rPr>
                <w:rFonts w:hint="eastAsia" w:ascii="宋体" w:hAnsi="宋体" w:eastAsia="宋体" w:cs="Times New Roman"/>
                <w:szCs w:val="21"/>
              </w:rPr>
            </w:pPr>
            <w:r>
              <w:rPr>
                <w:rFonts w:hint="eastAsia" w:ascii="宋体" w:hAnsi="宋体" w:eastAsia="宋体" w:cs="Times New Roman"/>
                <w:szCs w:val="21"/>
              </w:rPr>
              <w:t>根据各投标人的核心产品的配置参数、技术偏离情况，在满足我司技术基本要求的前提下偏离。由评标委员会成员独立进行客观、公正的评价打分。</w:t>
            </w:r>
          </w:p>
          <w:p>
            <w:pPr>
              <w:jc w:val="center"/>
              <w:rPr>
                <w:rFonts w:hint="eastAsia" w:ascii="宋体" w:hAnsi="宋体" w:eastAsia="宋体" w:cs="Times New Roman"/>
                <w:szCs w:val="21"/>
              </w:rPr>
            </w:pPr>
            <w:r>
              <w:rPr>
                <w:rFonts w:hint="eastAsia" w:ascii="宋体" w:hAnsi="宋体" w:eastAsia="宋体" w:cs="Times New Roman"/>
                <w:szCs w:val="21"/>
              </w:rPr>
              <w:t>（1）无负偏离得6分；</w:t>
            </w:r>
          </w:p>
          <w:p>
            <w:pPr>
              <w:jc w:val="center"/>
              <w:rPr>
                <w:rFonts w:hint="eastAsia" w:ascii="宋体" w:hAnsi="宋体" w:eastAsia="宋体" w:cs="Times New Roman"/>
                <w:szCs w:val="21"/>
              </w:rPr>
            </w:pPr>
            <w:r>
              <w:rPr>
                <w:rFonts w:hint="eastAsia" w:ascii="宋体" w:hAnsi="宋体" w:eastAsia="宋体" w:cs="Times New Roman"/>
                <w:szCs w:val="21"/>
              </w:rPr>
              <w:t>一般偏离一项扣2分，较大偏离一项扣4分，最低0分；</w:t>
            </w:r>
          </w:p>
          <w:p>
            <w:pPr>
              <w:jc w:val="center"/>
              <w:rPr>
                <w:rFonts w:hint="eastAsia" w:ascii="宋体" w:hAnsi="宋体" w:eastAsia="宋体" w:cs="Times New Roman"/>
                <w:szCs w:val="21"/>
              </w:rPr>
            </w:pPr>
            <w:r>
              <w:rPr>
                <w:rFonts w:hint="eastAsia" w:ascii="宋体" w:hAnsi="宋体" w:eastAsia="宋体" w:cs="Times New Roman"/>
                <w:szCs w:val="21"/>
              </w:rPr>
              <w:t>星标项不允许偏离，若有偏离项目直接淘汰。</w:t>
            </w:r>
          </w:p>
          <w:p>
            <w:pPr>
              <w:jc w:val="center"/>
              <w:rPr>
                <w:rFonts w:hint="eastAsia" w:ascii="宋体" w:hAnsi="宋体" w:eastAsia="宋体" w:cs="Times New Roman"/>
                <w:szCs w:val="21"/>
              </w:rPr>
            </w:pPr>
            <w:r>
              <w:rPr>
                <w:rFonts w:hint="eastAsia" w:ascii="宋体" w:hAnsi="宋体" w:eastAsia="宋体" w:cs="Times New Roman"/>
                <w:szCs w:val="21"/>
              </w:rPr>
              <w:t>（2）实质性正偏离，一项加2分，最高4分。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pPr>
              <w:jc w:val="center"/>
              <w:rPr>
                <w:rFonts w:hint="eastAsia" w:ascii="宋体" w:hAnsi="宋体" w:eastAsia="宋体" w:cs="Times New Roman"/>
                <w:szCs w:val="21"/>
              </w:rPr>
            </w:pPr>
            <w:r>
              <w:rPr>
                <w:rFonts w:hint="eastAsia" w:ascii="宋体" w:hAnsi="宋体" w:eastAsia="宋体" w:cs="Times New Roman"/>
                <w:szCs w:val="21"/>
              </w:rPr>
              <w:t>售后及服务</w:t>
            </w:r>
          </w:p>
        </w:tc>
        <w:tc>
          <w:tcPr>
            <w:tcW w:w="341"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5</w:t>
            </w:r>
          </w:p>
        </w:tc>
        <w:tc>
          <w:tcPr>
            <w:tcW w:w="610"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技术培训</w:t>
            </w:r>
          </w:p>
          <w:p>
            <w:pPr>
              <w:jc w:val="center"/>
              <w:rPr>
                <w:rFonts w:hint="eastAsia" w:ascii="宋体" w:hAnsi="宋体" w:eastAsia="宋体" w:cs="Times New Roman"/>
                <w:szCs w:val="21"/>
              </w:rPr>
            </w:pPr>
            <w:r>
              <w:rPr>
                <w:rFonts w:hint="eastAsia" w:ascii="宋体" w:hAnsi="宋体" w:eastAsia="宋体" w:cs="Times New Roman"/>
                <w:szCs w:val="21"/>
              </w:rPr>
              <w:t>方案</w:t>
            </w:r>
          </w:p>
        </w:tc>
        <w:tc>
          <w:tcPr>
            <w:tcW w:w="572" w:type="pct"/>
            <w:gridSpan w:val="2"/>
            <w:vAlign w:val="center"/>
          </w:tcPr>
          <w:p>
            <w:pPr>
              <w:jc w:val="center"/>
              <w:rPr>
                <w:rFonts w:hint="eastAsia" w:ascii="宋体" w:hAnsi="宋体" w:eastAsia="宋体" w:cs="Times New Roman"/>
                <w:szCs w:val="21"/>
              </w:rPr>
            </w:pPr>
            <w:r>
              <w:rPr>
                <w:rFonts w:hint="eastAsia" w:ascii="宋体" w:hAnsi="宋体" w:eastAsia="宋体" w:cs="Times New Roman"/>
                <w:szCs w:val="21"/>
              </w:rPr>
              <w:t>2</w:t>
            </w:r>
          </w:p>
        </w:tc>
        <w:tc>
          <w:tcPr>
            <w:tcW w:w="3061" w:type="pct"/>
            <w:gridSpan w:val="2"/>
            <w:vAlign w:val="center"/>
          </w:tcPr>
          <w:p>
            <w:pPr>
              <w:jc w:val="center"/>
              <w:rPr>
                <w:rFonts w:hint="eastAsia" w:ascii="宋体" w:hAnsi="宋体" w:eastAsia="宋体" w:cs="Times New Roman"/>
                <w:szCs w:val="21"/>
              </w:rPr>
            </w:pPr>
            <w:r>
              <w:rPr>
                <w:rFonts w:hint="eastAsia" w:ascii="宋体" w:hAnsi="宋体" w:eastAsia="宋体" w:cs="Times New Roman"/>
                <w:szCs w:val="21"/>
              </w:rPr>
              <w:t>根据投标人技术培训方案的科学、合理、可行进行打分，0-2分。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pPr>
              <w:jc w:val="center"/>
              <w:rPr>
                <w:rFonts w:hint="eastAsia" w:ascii="宋体" w:hAnsi="宋体" w:eastAsia="宋体" w:cs="Times New Roman"/>
                <w:szCs w:val="21"/>
              </w:rPr>
            </w:pPr>
          </w:p>
        </w:tc>
        <w:tc>
          <w:tcPr>
            <w:tcW w:w="341"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6</w:t>
            </w:r>
          </w:p>
        </w:tc>
        <w:tc>
          <w:tcPr>
            <w:tcW w:w="610" w:type="pct"/>
            <w:shd w:val="clear" w:color="auto" w:fill="auto"/>
            <w:vAlign w:val="center"/>
          </w:tcPr>
          <w:p>
            <w:pPr>
              <w:jc w:val="center"/>
              <w:rPr>
                <w:rFonts w:hint="eastAsia" w:ascii="宋体" w:hAnsi="宋体" w:eastAsia="宋体" w:cs="Times New Roman"/>
                <w:szCs w:val="21"/>
              </w:rPr>
            </w:pPr>
            <w:r>
              <w:rPr>
                <w:rFonts w:hint="eastAsia" w:ascii="宋体" w:hAnsi="宋体" w:eastAsia="宋体" w:cs="Times New Roman"/>
                <w:szCs w:val="21"/>
              </w:rPr>
              <w:t>售后技术</w:t>
            </w:r>
          </w:p>
          <w:p>
            <w:pPr>
              <w:jc w:val="center"/>
              <w:rPr>
                <w:rFonts w:hint="eastAsia" w:ascii="宋体" w:hAnsi="宋体" w:eastAsia="宋体" w:cs="Times New Roman"/>
                <w:szCs w:val="21"/>
              </w:rPr>
            </w:pPr>
            <w:r>
              <w:rPr>
                <w:rFonts w:hint="eastAsia" w:ascii="宋体" w:hAnsi="宋体" w:eastAsia="宋体" w:cs="Times New Roman"/>
                <w:szCs w:val="21"/>
              </w:rPr>
              <w:t>力量</w:t>
            </w:r>
          </w:p>
        </w:tc>
        <w:tc>
          <w:tcPr>
            <w:tcW w:w="572" w:type="pct"/>
            <w:gridSpan w:val="2"/>
            <w:shd w:val="clear" w:color="auto" w:fill="auto"/>
            <w:vAlign w:val="center"/>
          </w:tcPr>
          <w:p>
            <w:pPr>
              <w:jc w:val="center"/>
              <w:rPr>
                <w:rFonts w:hint="eastAsia" w:ascii="宋体" w:hAnsi="宋体" w:eastAsia="宋体" w:cs="Times New Roman"/>
                <w:szCs w:val="21"/>
              </w:rPr>
            </w:pPr>
            <w:r>
              <w:rPr>
                <w:rFonts w:hint="eastAsia" w:ascii="宋体" w:hAnsi="宋体" w:eastAsia="宋体" w:cs="Times New Roman"/>
                <w:szCs w:val="21"/>
              </w:rPr>
              <w:t>5</w:t>
            </w:r>
          </w:p>
        </w:tc>
        <w:tc>
          <w:tcPr>
            <w:tcW w:w="3061" w:type="pct"/>
            <w:gridSpan w:val="2"/>
            <w:shd w:val="clear" w:color="auto" w:fill="auto"/>
            <w:vAlign w:val="center"/>
          </w:tcPr>
          <w:p>
            <w:pPr>
              <w:jc w:val="center"/>
              <w:rPr>
                <w:rFonts w:hint="eastAsia" w:ascii="宋体" w:hAnsi="宋体" w:eastAsia="宋体" w:cs="Times New Roman"/>
                <w:szCs w:val="21"/>
              </w:rPr>
            </w:pPr>
            <w:r>
              <w:rPr>
                <w:rFonts w:hint="eastAsia" w:ascii="宋体" w:hAnsi="宋体" w:eastAsia="宋体" w:cs="Times New Roman"/>
                <w:szCs w:val="21"/>
              </w:rPr>
              <w:t>根据投标人在国内常驻专业技术力量的维保机构数量和规模进行打分，0-5分。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pPr>
              <w:jc w:val="center"/>
              <w:rPr>
                <w:rFonts w:hint="eastAsia" w:ascii="宋体" w:hAnsi="宋体" w:eastAsia="宋体" w:cs="Times New Roman"/>
                <w:szCs w:val="21"/>
              </w:rPr>
            </w:pPr>
          </w:p>
        </w:tc>
        <w:tc>
          <w:tcPr>
            <w:tcW w:w="341" w:type="pct"/>
            <w:vAlign w:val="center"/>
          </w:tcPr>
          <w:p>
            <w:pPr>
              <w:jc w:val="center"/>
              <w:rPr>
                <w:rFonts w:hint="eastAsia" w:ascii="宋体" w:hAnsi="宋体" w:eastAsia="宋体" w:cs="Times New Roman"/>
                <w:szCs w:val="21"/>
              </w:rPr>
            </w:pPr>
            <w:r>
              <w:rPr>
                <w:rFonts w:hint="eastAsia" w:ascii="宋体" w:hAnsi="宋体" w:eastAsia="宋体" w:cs="Times New Roman"/>
                <w:szCs w:val="21"/>
              </w:rPr>
              <w:t>7</w:t>
            </w:r>
          </w:p>
        </w:tc>
        <w:tc>
          <w:tcPr>
            <w:tcW w:w="610" w:type="pct"/>
            <w:shd w:val="clear" w:color="auto" w:fill="auto"/>
            <w:vAlign w:val="center"/>
          </w:tcPr>
          <w:p>
            <w:pPr>
              <w:jc w:val="center"/>
              <w:rPr>
                <w:rFonts w:hint="eastAsia" w:ascii="宋体" w:hAnsi="宋体" w:eastAsia="宋体" w:cs="Times New Roman"/>
                <w:szCs w:val="21"/>
              </w:rPr>
            </w:pPr>
            <w:r>
              <w:rPr>
                <w:rFonts w:hint="eastAsia" w:ascii="宋体" w:hAnsi="宋体" w:eastAsia="宋体" w:cs="Times New Roman"/>
                <w:szCs w:val="21"/>
              </w:rPr>
              <w:t>售后响应时间</w:t>
            </w:r>
          </w:p>
        </w:tc>
        <w:tc>
          <w:tcPr>
            <w:tcW w:w="572" w:type="pct"/>
            <w:gridSpan w:val="2"/>
            <w:shd w:val="clear" w:color="auto" w:fill="auto"/>
            <w:vAlign w:val="center"/>
          </w:tcPr>
          <w:p>
            <w:pPr>
              <w:jc w:val="center"/>
              <w:rPr>
                <w:rFonts w:hint="eastAsia" w:ascii="宋体" w:hAnsi="宋体" w:eastAsia="宋体" w:cs="Times New Roman"/>
                <w:szCs w:val="21"/>
              </w:rPr>
            </w:pPr>
            <w:r>
              <w:rPr>
                <w:rFonts w:hint="eastAsia" w:ascii="宋体" w:hAnsi="宋体" w:eastAsia="宋体" w:cs="Times New Roman"/>
                <w:szCs w:val="21"/>
              </w:rPr>
              <w:t>3</w:t>
            </w:r>
          </w:p>
        </w:tc>
        <w:tc>
          <w:tcPr>
            <w:tcW w:w="3061" w:type="pct"/>
            <w:gridSpan w:val="2"/>
            <w:shd w:val="clear" w:color="auto" w:fill="auto"/>
            <w:vAlign w:val="center"/>
          </w:tcPr>
          <w:p>
            <w:pPr>
              <w:jc w:val="center"/>
              <w:rPr>
                <w:rFonts w:hint="eastAsia" w:ascii="宋体" w:hAnsi="宋体" w:eastAsia="宋体" w:cs="Times New Roman"/>
                <w:szCs w:val="21"/>
              </w:rPr>
            </w:pPr>
            <w:r>
              <w:rPr>
                <w:rFonts w:hint="eastAsia" w:ascii="宋体" w:hAnsi="宋体" w:eastAsia="宋体" w:cs="Times New Roman"/>
                <w:szCs w:val="21"/>
              </w:rPr>
              <w:t>根据投标人售后服务的承诺和具体的保证措施，承诺到现场的响应时间进行打分，0-3分。</w:t>
            </w:r>
          </w:p>
        </w:tc>
      </w:tr>
    </w:tbl>
    <w:p>
      <w:pPr>
        <w:pStyle w:val="20"/>
        <w:bidi w:val="0"/>
        <w:rPr>
          <w:rFonts w:hint="eastAsia"/>
        </w:rPr>
      </w:pPr>
    </w:p>
    <w:p>
      <w:pPr>
        <w:bidi w:val="0"/>
        <w:jc w:val="center"/>
        <w:rPr>
          <w:rFonts w:hint="eastAsia"/>
        </w:rPr>
      </w:pPr>
      <w:r>
        <w:rPr>
          <w:rFonts w:hint="eastAsia"/>
        </w:rPr>
        <w:t>附件</w:t>
      </w:r>
      <w:r>
        <w:t xml:space="preserve">2  </w:t>
      </w:r>
      <w:r>
        <w:rPr>
          <w:rFonts w:hint="eastAsia"/>
        </w:rPr>
        <w:t>商务评价表（10</w:t>
      </w:r>
      <w:r>
        <w:t>0</w:t>
      </w:r>
      <w:r>
        <w:rPr>
          <w:rFonts w:hint="eastAsia"/>
        </w:rPr>
        <w:t>分）</w:t>
      </w:r>
    </w:p>
    <w:tbl>
      <w:tblPr>
        <w:tblStyle w:val="3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评价类型</w:t>
            </w:r>
          </w:p>
        </w:tc>
        <w:tc>
          <w:tcPr>
            <w:tcW w:w="999"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内   容</w:t>
            </w:r>
          </w:p>
        </w:tc>
        <w:tc>
          <w:tcPr>
            <w:tcW w:w="689"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标准分</w:t>
            </w:r>
          </w:p>
        </w:tc>
        <w:tc>
          <w:tcPr>
            <w:tcW w:w="7413" w:type="dxa"/>
            <w:vAlign w:val="center"/>
          </w:tcPr>
          <w:p>
            <w:pPr>
              <w:jc w:val="center"/>
              <w:rPr>
                <w:rFonts w:hint="eastAsia" w:ascii="宋体" w:hAnsi="宋体" w:eastAsia="宋体" w:cs="Times New Roman"/>
                <w:b/>
                <w:szCs w:val="21"/>
                <w:highlight w:val="yellow"/>
              </w:rPr>
            </w:pPr>
            <w:r>
              <w:rPr>
                <w:rFonts w:hint="eastAsia" w:ascii="宋体" w:hAnsi="宋体" w:eastAsia="宋体" w:cs="Times New Roman"/>
                <w:b/>
                <w:szCs w:val="21"/>
                <w:highlight w:val="yellow"/>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100分</w:t>
            </w:r>
          </w:p>
        </w:tc>
        <w:tc>
          <w:tcPr>
            <w:tcW w:w="999"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100</w:t>
            </w:r>
          </w:p>
        </w:tc>
        <w:tc>
          <w:tcPr>
            <w:tcW w:w="7413" w:type="dxa"/>
            <w:vAlign w:val="center"/>
          </w:tcPr>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2、有效的评标基准价得100分；其他投标人的价格得分按下列公式计算：投标价格得分=100×（评标基准价/投标报价）。</w:t>
            </w:r>
          </w:p>
          <w:p>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pPr>
        <w:pStyle w:val="20"/>
        <w:bidi w:val="0"/>
        <w:rPr>
          <w:rFonts w:hint="eastAsia"/>
          <w:b/>
          <w:bCs/>
          <w:highlight w:val="yellow"/>
        </w:rPr>
        <w:sectPr>
          <w:footerReference r:id="rId34" w:type="default"/>
          <w:pgSz w:w="11906" w:h="16838"/>
          <w:pgMar w:top="1588" w:right="1417" w:bottom="1134" w:left="1417" w:header="851" w:footer="992" w:gutter="0"/>
          <w:cols w:space="0" w:num="1"/>
          <w:titlePg/>
          <w:docGrid w:type="lines" w:linePitch="312" w:charSpace="0"/>
        </w:sectPr>
      </w:pPr>
      <w:r>
        <w:rPr>
          <w:rFonts w:hint="eastAsia"/>
          <w:b/>
          <w:bCs/>
          <w:highlight w:val="yellow"/>
        </w:rPr>
        <w:t>综合得分=技术标得分*0.3+商务标得分*0.7</w:t>
      </w:r>
    </w:p>
    <w:p>
      <w:pPr>
        <w:pStyle w:val="20"/>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20"/>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0"/>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0"/>
        <w:sectPr>
          <w:pgSz w:w="11906" w:h="16838"/>
          <w:pgMar w:top="1588" w:right="1418" w:bottom="1134" w:left="1418" w:header="851" w:footer="992" w:gutter="0"/>
          <w:cols w:space="720" w:num="1"/>
          <w:titlePg/>
          <w:docGrid w:type="lines" w:linePitch="312" w:charSpace="0"/>
        </w:sectPr>
      </w:pPr>
    </w:p>
    <w:p>
      <w:pPr>
        <w:pStyle w:val="2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848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48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altName w:val="微软雅黑"/>
    <w:panose1 w:val="00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w:rPr>
        <w:rFonts w:hint="eastAsia"/>
      </w:rPr>
      <w:pict>
        <v:shape id="PowerPlusWaterMarkObject6451002" o:spid="_x0000_s1039" o:spt="136" type="#_x0000_t136" style="position:absolute;left:0pt;margin-left:472.35pt;margin-top:385.7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873452" o:spid="_x0000_s1040" o:spt="136" type="#_x0000_t136" style="position:absolute;left:0pt;margin-left:359.95pt;margin-top:498.2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675468" o:spid="_x0000_s1041" o:spt="136" type="#_x0000_t136" style="position:absolute;left:0pt;margin-left:247.5pt;margin-top:610.6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938555" o:spid="_x0000_s1042" o:spt="136" type="#_x0000_t136" style="position:absolute;left:0pt;margin-left:135.05pt;margin-top:723.0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353719" o:spid="_x0000_s1043" o:spt="136" type="#_x0000_t136" style="position:absolute;left:0pt;margin-left:472.35pt;margin-top:26.4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214509" o:spid="_x0000_s1044" o:spt="136" type="#_x0000_t136" style="position:absolute;left:0pt;margin-left:359.95pt;margin-top:138.9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083657" o:spid="_x0000_s1045" o:spt="136" type="#_x0000_t136" style="position:absolute;left:0pt;margin-left:247.5pt;margin-top:251.3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3163958" o:spid="_x0000_s1046" o:spt="136" type="#_x0000_t136" style="position:absolute;left:0pt;margin-left:135.05pt;margin-top:36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762850" o:spid="_x0000_s1047" o:spt="136" type="#_x0000_t136" style="position:absolute;left:0pt;margin-left:22.65pt;margin-top:476.2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74472" o:spid="_x0000_s1048" o:spt="136" type="#_x0000_t136" style="position:absolute;left:0pt;margin-left:-89.8pt;margin-top:588.6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50579" o:spid="_x0000_s1049" o:spt="136" type="#_x0000_t136" style="position:absolute;left:0pt;margin-left:247.5pt;margin-top:-108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406989" o:spid="_x0000_s1050" o:spt="136" type="#_x0000_t136" style="position:absolute;left:0pt;margin-left:135.05pt;margin-top:4.4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1538710" o:spid="_x0000_s1051" o:spt="136" type="#_x0000_t136" style="position:absolute;left:0pt;margin-left:22.65pt;margin-top:116.9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43154" o:spid="_x0000_s1052" o:spt="136" type="#_x0000_t136" style="position:absolute;left:0pt;margin-left:-89.8pt;margin-top:229.3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p>
    <w:pPr>
      <w:pStyle w:val="26"/>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FE6161"/>
    <w:multiLevelType w:val="singleLevel"/>
    <w:tmpl w:val="9CFE6161"/>
    <w:lvl w:ilvl="0" w:tentative="0">
      <w:start w:val="2"/>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68749BD"/>
    <w:multiLevelType w:val="singleLevel"/>
    <w:tmpl w:val="068749BD"/>
    <w:lvl w:ilvl="0" w:tentative="0">
      <w:start w:val="1"/>
      <w:numFmt w:val="decimal"/>
      <w:suff w:val="nothing"/>
      <w:lvlText w:val="%1、"/>
      <w:lvlJc w:val="left"/>
    </w:lvl>
  </w:abstractNum>
  <w:abstractNum w:abstractNumId="6">
    <w:nsid w:val="0F8F251F"/>
    <w:multiLevelType w:val="singleLevel"/>
    <w:tmpl w:val="0F8F251F"/>
    <w:lvl w:ilvl="0" w:tentative="0">
      <w:start w:val="1"/>
      <w:numFmt w:val="decimal"/>
      <w:lvlText w:val="1.%1"/>
      <w:lvlJc w:val="left"/>
      <w:pPr>
        <w:tabs>
          <w:tab w:val="left" w:pos="420"/>
        </w:tabs>
        <w:ind w:left="425" w:leftChars="0" w:hanging="425" w:firstLineChars="0"/>
      </w:pPr>
      <w:rPr>
        <w:rFonts w:hint="default"/>
        <w:sz w:val="21"/>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1"/>
  </w:num>
  <w:num w:numId="4">
    <w:abstractNumId w:val="13"/>
  </w:num>
  <w:num w:numId="5">
    <w:abstractNumId w:val="8"/>
  </w:num>
  <w:num w:numId="6">
    <w:abstractNumId w:val="4"/>
  </w:num>
  <w:num w:numId="7">
    <w:abstractNumId w:val="10"/>
  </w:num>
  <w:num w:numId="8">
    <w:abstractNumId w:val="3"/>
  </w:num>
  <w:num w:numId="9">
    <w:abstractNumId w:val="9"/>
  </w:num>
  <w:num w:numId="10">
    <w:abstractNumId w:val="7"/>
  </w:num>
  <w:num w:numId="11">
    <w:abstractNumId w:val="0"/>
  </w:num>
  <w:num w:numId="12">
    <w:abstractNumId w:val="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79385E"/>
    <w:rsid w:val="02963F39"/>
    <w:rsid w:val="02BA7274"/>
    <w:rsid w:val="03251978"/>
    <w:rsid w:val="0325718A"/>
    <w:rsid w:val="036021E8"/>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7E66997"/>
    <w:rsid w:val="08000695"/>
    <w:rsid w:val="08332819"/>
    <w:rsid w:val="087A532A"/>
    <w:rsid w:val="08E64121"/>
    <w:rsid w:val="090D5816"/>
    <w:rsid w:val="0942017F"/>
    <w:rsid w:val="09BA1FBB"/>
    <w:rsid w:val="09CB139F"/>
    <w:rsid w:val="09D73678"/>
    <w:rsid w:val="0A0106F5"/>
    <w:rsid w:val="0A112AB7"/>
    <w:rsid w:val="0A447F32"/>
    <w:rsid w:val="0A46253D"/>
    <w:rsid w:val="0A717D8E"/>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001AE6"/>
    <w:rsid w:val="10270545"/>
    <w:rsid w:val="108A1D4B"/>
    <w:rsid w:val="10A10111"/>
    <w:rsid w:val="10AB4DA2"/>
    <w:rsid w:val="10BE093E"/>
    <w:rsid w:val="110F6D60"/>
    <w:rsid w:val="111B0FE9"/>
    <w:rsid w:val="115F67A8"/>
    <w:rsid w:val="119A7465"/>
    <w:rsid w:val="11C07DA5"/>
    <w:rsid w:val="12491386"/>
    <w:rsid w:val="12746E74"/>
    <w:rsid w:val="12E60579"/>
    <w:rsid w:val="134F7F17"/>
    <w:rsid w:val="13695B36"/>
    <w:rsid w:val="1372609F"/>
    <w:rsid w:val="13CE1569"/>
    <w:rsid w:val="13DF3855"/>
    <w:rsid w:val="14092DB2"/>
    <w:rsid w:val="145A6A37"/>
    <w:rsid w:val="1467440F"/>
    <w:rsid w:val="148D59E6"/>
    <w:rsid w:val="14F73019"/>
    <w:rsid w:val="15433A9B"/>
    <w:rsid w:val="15D13671"/>
    <w:rsid w:val="15DC2268"/>
    <w:rsid w:val="15FC2F04"/>
    <w:rsid w:val="15FD3709"/>
    <w:rsid w:val="16181FAC"/>
    <w:rsid w:val="166050EB"/>
    <w:rsid w:val="168756A0"/>
    <w:rsid w:val="16F94849"/>
    <w:rsid w:val="17001571"/>
    <w:rsid w:val="17045E51"/>
    <w:rsid w:val="172011D4"/>
    <w:rsid w:val="17252C3B"/>
    <w:rsid w:val="173F0A2E"/>
    <w:rsid w:val="17770BC2"/>
    <w:rsid w:val="17860E2F"/>
    <w:rsid w:val="178D2907"/>
    <w:rsid w:val="17A119AA"/>
    <w:rsid w:val="17AF1095"/>
    <w:rsid w:val="17C55E7C"/>
    <w:rsid w:val="1833347D"/>
    <w:rsid w:val="18586F2B"/>
    <w:rsid w:val="192F3CC4"/>
    <w:rsid w:val="1935690C"/>
    <w:rsid w:val="19A766B9"/>
    <w:rsid w:val="19BE4F9F"/>
    <w:rsid w:val="19CE76BA"/>
    <w:rsid w:val="19F26070"/>
    <w:rsid w:val="19F97C8B"/>
    <w:rsid w:val="1A1523CE"/>
    <w:rsid w:val="1A21343D"/>
    <w:rsid w:val="1AA730BD"/>
    <w:rsid w:val="1ABD4410"/>
    <w:rsid w:val="1B333D5D"/>
    <w:rsid w:val="1B41288B"/>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3951CB"/>
    <w:rsid w:val="2060534F"/>
    <w:rsid w:val="207870A4"/>
    <w:rsid w:val="208717DB"/>
    <w:rsid w:val="20AB56C6"/>
    <w:rsid w:val="2176507C"/>
    <w:rsid w:val="21BA10C4"/>
    <w:rsid w:val="21BE35AF"/>
    <w:rsid w:val="21C11174"/>
    <w:rsid w:val="22244B28"/>
    <w:rsid w:val="22467FD4"/>
    <w:rsid w:val="22784511"/>
    <w:rsid w:val="229451FD"/>
    <w:rsid w:val="22A12DB6"/>
    <w:rsid w:val="230E1B46"/>
    <w:rsid w:val="234E7F91"/>
    <w:rsid w:val="235900D3"/>
    <w:rsid w:val="236356D1"/>
    <w:rsid w:val="23A91C83"/>
    <w:rsid w:val="23C962E8"/>
    <w:rsid w:val="247E4FED"/>
    <w:rsid w:val="24B30BE8"/>
    <w:rsid w:val="24C6643F"/>
    <w:rsid w:val="24E34060"/>
    <w:rsid w:val="24EF2718"/>
    <w:rsid w:val="253A0491"/>
    <w:rsid w:val="253D4C0F"/>
    <w:rsid w:val="25CC746A"/>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AF56183"/>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6A1CD0"/>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3EC7B9C"/>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16930"/>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1FE65EB"/>
    <w:rsid w:val="424A4B98"/>
    <w:rsid w:val="42581D3A"/>
    <w:rsid w:val="4262787F"/>
    <w:rsid w:val="42FE0080"/>
    <w:rsid w:val="43246BDD"/>
    <w:rsid w:val="43315D2E"/>
    <w:rsid w:val="43824A1C"/>
    <w:rsid w:val="4390486D"/>
    <w:rsid w:val="43B076DE"/>
    <w:rsid w:val="43D110E1"/>
    <w:rsid w:val="43E873C9"/>
    <w:rsid w:val="441540A8"/>
    <w:rsid w:val="44250817"/>
    <w:rsid w:val="445E7E37"/>
    <w:rsid w:val="44905B1F"/>
    <w:rsid w:val="45007767"/>
    <w:rsid w:val="45316885"/>
    <w:rsid w:val="4567010B"/>
    <w:rsid w:val="4577147D"/>
    <w:rsid w:val="45A95EE9"/>
    <w:rsid w:val="45FB0F21"/>
    <w:rsid w:val="46167166"/>
    <w:rsid w:val="461A2194"/>
    <w:rsid w:val="465E515F"/>
    <w:rsid w:val="46AE7548"/>
    <w:rsid w:val="47055629"/>
    <w:rsid w:val="47200EE3"/>
    <w:rsid w:val="47435AC2"/>
    <w:rsid w:val="47544B78"/>
    <w:rsid w:val="47587AF7"/>
    <w:rsid w:val="47745A86"/>
    <w:rsid w:val="47E239AC"/>
    <w:rsid w:val="480C3F11"/>
    <w:rsid w:val="480F4B73"/>
    <w:rsid w:val="48334AEC"/>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494280"/>
    <w:rsid w:val="4E535EF2"/>
    <w:rsid w:val="4EF11A75"/>
    <w:rsid w:val="4F08773C"/>
    <w:rsid w:val="4F31409F"/>
    <w:rsid w:val="4F5E670E"/>
    <w:rsid w:val="4F846A83"/>
    <w:rsid w:val="50070E2C"/>
    <w:rsid w:val="501A3AE1"/>
    <w:rsid w:val="504B57F2"/>
    <w:rsid w:val="508229B7"/>
    <w:rsid w:val="509A4341"/>
    <w:rsid w:val="50C62BC7"/>
    <w:rsid w:val="50F72A66"/>
    <w:rsid w:val="5123368C"/>
    <w:rsid w:val="5130747C"/>
    <w:rsid w:val="515C765A"/>
    <w:rsid w:val="516610D8"/>
    <w:rsid w:val="51773F73"/>
    <w:rsid w:val="518A1B56"/>
    <w:rsid w:val="51905BB3"/>
    <w:rsid w:val="51946FCB"/>
    <w:rsid w:val="51D12355"/>
    <w:rsid w:val="51DD796B"/>
    <w:rsid w:val="51DF373B"/>
    <w:rsid w:val="52EF4CB5"/>
    <w:rsid w:val="52F959F0"/>
    <w:rsid w:val="5302488E"/>
    <w:rsid w:val="53136173"/>
    <w:rsid w:val="539A4AC7"/>
    <w:rsid w:val="53A454FB"/>
    <w:rsid w:val="53BF338D"/>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95693C"/>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3323B"/>
    <w:rsid w:val="5B5953B0"/>
    <w:rsid w:val="5B5B1AB4"/>
    <w:rsid w:val="5B630802"/>
    <w:rsid w:val="5B807F68"/>
    <w:rsid w:val="5B9F5D96"/>
    <w:rsid w:val="5BCA607F"/>
    <w:rsid w:val="5BFB631F"/>
    <w:rsid w:val="5C034D53"/>
    <w:rsid w:val="5C903B7A"/>
    <w:rsid w:val="5E1D6F56"/>
    <w:rsid w:val="5E52187F"/>
    <w:rsid w:val="5E6A13CD"/>
    <w:rsid w:val="5E705D15"/>
    <w:rsid w:val="5E92274E"/>
    <w:rsid w:val="5E93326C"/>
    <w:rsid w:val="5E9F1A7A"/>
    <w:rsid w:val="5EAA6F51"/>
    <w:rsid w:val="5EFB4BA4"/>
    <w:rsid w:val="5F235C0D"/>
    <w:rsid w:val="5F5F46B5"/>
    <w:rsid w:val="5F895CFD"/>
    <w:rsid w:val="5FB25360"/>
    <w:rsid w:val="5FBA3CC0"/>
    <w:rsid w:val="5FD90D61"/>
    <w:rsid w:val="60177697"/>
    <w:rsid w:val="602329DB"/>
    <w:rsid w:val="602C13CC"/>
    <w:rsid w:val="607777D6"/>
    <w:rsid w:val="60911000"/>
    <w:rsid w:val="60BC76A1"/>
    <w:rsid w:val="60CE3F78"/>
    <w:rsid w:val="610B7637"/>
    <w:rsid w:val="615F5624"/>
    <w:rsid w:val="61847970"/>
    <w:rsid w:val="61BE4076"/>
    <w:rsid w:val="61D215CF"/>
    <w:rsid w:val="622C5484"/>
    <w:rsid w:val="625C563D"/>
    <w:rsid w:val="626A1704"/>
    <w:rsid w:val="62AD7E76"/>
    <w:rsid w:val="62B362C8"/>
    <w:rsid w:val="62C1330E"/>
    <w:rsid w:val="62D64B0D"/>
    <w:rsid w:val="630C5A29"/>
    <w:rsid w:val="6342085E"/>
    <w:rsid w:val="636F415C"/>
    <w:rsid w:val="64785A9C"/>
    <w:rsid w:val="64917820"/>
    <w:rsid w:val="64AA1CC5"/>
    <w:rsid w:val="651D5BE5"/>
    <w:rsid w:val="653516C5"/>
    <w:rsid w:val="655F1E1A"/>
    <w:rsid w:val="656B2909"/>
    <w:rsid w:val="656D4F75"/>
    <w:rsid w:val="65914A0B"/>
    <w:rsid w:val="65A3045D"/>
    <w:rsid w:val="65D97752"/>
    <w:rsid w:val="65E25E59"/>
    <w:rsid w:val="661047DD"/>
    <w:rsid w:val="66307F76"/>
    <w:rsid w:val="6644544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1A0C17"/>
    <w:rsid w:val="6A471EFD"/>
    <w:rsid w:val="6A7F64C7"/>
    <w:rsid w:val="6A90616B"/>
    <w:rsid w:val="6AB51A05"/>
    <w:rsid w:val="6AB57116"/>
    <w:rsid w:val="6AE73176"/>
    <w:rsid w:val="6B17424A"/>
    <w:rsid w:val="6B2218FA"/>
    <w:rsid w:val="6B691672"/>
    <w:rsid w:val="6BC8641A"/>
    <w:rsid w:val="6BE97F42"/>
    <w:rsid w:val="6BEF3E88"/>
    <w:rsid w:val="6C296590"/>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E0165C"/>
    <w:rsid w:val="6FE6309C"/>
    <w:rsid w:val="6FF0551E"/>
    <w:rsid w:val="70222744"/>
    <w:rsid w:val="70584B01"/>
    <w:rsid w:val="706D2B21"/>
    <w:rsid w:val="707B1384"/>
    <w:rsid w:val="70857A34"/>
    <w:rsid w:val="70985D3C"/>
    <w:rsid w:val="70F40FA1"/>
    <w:rsid w:val="71047C73"/>
    <w:rsid w:val="7109004F"/>
    <w:rsid w:val="71103167"/>
    <w:rsid w:val="712E56F7"/>
    <w:rsid w:val="714D26AB"/>
    <w:rsid w:val="71642194"/>
    <w:rsid w:val="71691ABB"/>
    <w:rsid w:val="7169386A"/>
    <w:rsid w:val="71AE1AEA"/>
    <w:rsid w:val="71CF3B6C"/>
    <w:rsid w:val="71F80F33"/>
    <w:rsid w:val="722013F6"/>
    <w:rsid w:val="722922C6"/>
    <w:rsid w:val="722A49B5"/>
    <w:rsid w:val="728121EC"/>
    <w:rsid w:val="72C64A6D"/>
    <w:rsid w:val="72EC2040"/>
    <w:rsid w:val="732D4B5D"/>
    <w:rsid w:val="73393C88"/>
    <w:rsid w:val="7362513F"/>
    <w:rsid w:val="7372081D"/>
    <w:rsid w:val="73740A39"/>
    <w:rsid w:val="73771D49"/>
    <w:rsid w:val="73A1354E"/>
    <w:rsid w:val="74A11E7D"/>
    <w:rsid w:val="74B25745"/>
    <w:rsid w:val="74C12F49"/>
    <w:rsid w:val="74F97739"/>
    <w:rsid w:val="750E2D70"/>
    <w:rsid w:val="75590B0A"/>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A2A6B4A"/>
    <w:rsid w:val="7A4F3DE9"/>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0"/>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6"/>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0"/>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6"/>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5"/>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link w:val="14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rPr>
      <w:lang w:val="zh-CN"/>
    </w:r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 w:type="character" w:customStyle="1" w:styleId="143">
    <w:name w:val="标书一级标题 字符"/>
    <w:link w:val="134"/>
    <w:qFormat/>
    <w:uiPriority w:val="0"/>
    <w:rPr>
      <w:rFonts w:eastAsia="黑体" w:asciiTheme="minorHAnsi" w:hAnsiTheme="minorHAnsi" w:cstheme="minorBidi"/>
      <w:bCs/>
      <w:color w:val="000000"/>
      <w:kern w:val="44"/>
      <w:sz w:val="30"/>
      <w:szCs w:val="24"/>
    </w:rPr>
  </w:style>
  <w:style w:type="character" w:customStyle="1" w:styleId="144">
    <w:name w:val="Unresolved Mention"/>
    <w:basedOn w:val="4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92</Pages>
  <Words>22480</Words>
  <Characters>24667</Characters>
  <Lines>1</Lines>
  <Paragraphs>1</Paragraphs>
  <TotalTime>1</TotalTime>
  <ScaleCrop>false</ScaleCrop>
  <LinksUpToDate>false</LinksUpToDate>
  <CharactersWithSpaces>25194</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2024-06-21T03:25:00Z</cp:lastPrinted>
  <dcterms:modified xsi:type="dcterms:W3CDTF">2025-10-20T08:35:05Z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eyJoZGlkIjoiNzZlYTRjNmYwMWMwNWMxOTJlZjUxNzdkZTEyMzc2NjQiLCJ1c2VySWQiOiIxNzAyMjQ2MzQyIn0=</vt:lpwstr>
  </property>
</Properties>
</file>