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1"/>
      <w:bookmarkStart w:id="1" w:name="OLE_LINK30"/>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IP9K防水试验箱项目</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pPr>
        <w:pStyle w:val="20"/>
      </w:pPr>
    </w:p>
    <w:p>
      <w:pPr>
        <w:pStyle w:val="20"/>
      </w:pPr>
    </w:p>
    <w:p>
      <w:pPr>
        <w:pStyle w:val="20"/>
      </w:pPr>
    </w:p>
    <w:p>
      <w:pPr>
        <w:pStyle w:val="20"/>
      </w:pPr>
    </w:p>
    <w:p>
      <w:pPr>
        <w:jc w:val="right"/>
        <w:rPr>
          <w:rFonts w:ascii="Calibri" w:hAnsi="Calibri" w:eastAsia="宋体" w:cs="Times New Roman"/>
          <w:color w:val="000000"/>
          <w:sz w:val="28"/>
          <w:szCs w:val="28"/>
        </w:rPr>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hint="eastAsia" w:ascii="黑体" w:hAnsi="宋体" w:eastAsia="黑体" w:cs="Times New Roman"/>
          <w:color w:val="000000"/>
          <w:sz w:val="72"/>
          <w:szCs w:val="72"/>
        </w:rPr>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hint="eastAsia"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hint="eastAsia" w:ascii="华文仿宋" w:hAnsi="华文仿宋" w:eastAsia="华文仿宋"/>
          <w:sz w:val="32"/>
          <w:szCs w:val="28"/>
        </w:rPr>
      </w:pPr>
    </w:p>
    <w:p>
      <w:pPr>
        <w:spacing w:line="860" w:lineRule="exact"/>
        <w:rPr>
          <w:rFonts w:hint="eastAsia" w:ascii="华文仿宋" w:hAnsi="华文仿宋" w:eastAsia="华文仿宋"/>
          <w:sz w:val="32"/>
          <w:szCs w:val="28"/>
        </w:rPr>
      </w:pPr>
    </w:p>
    <w:p>
      <w:pPr>
        <w:pStyle w:val="20"/>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10</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hint="eastAsia" w:cs="宋体"/>
              <w:b/>
              <w:bCs/>
              <w:sz w:val="48"/>
              <w:szCs w:val="48"/>
            </w:rPr>
          </w:pPr>
          <w:r>
            <w:rPr>
              <w:rFonts w:ascii="宋体" w:hAnsi="宋体" w:eastAsia="宋体" w:cs="宋体"/>
              <w:b/>
              <w:bCs/>
              <w:sz w:val="48"/>
              <w:szCs w:val="48"/>
            </w:rPr>
            <w:t>目录</w:t>
          </w:r>
        </w:p>
        <w:p>
          <w:pPr>
            <w:pStyle w:val="27"/>
            <w:tabs>
              <w:tab w:val="right" w:leader="dot" w:pos="9071"/>
            </w:tabs>
            <w:spacing w:line="480" w:lineRule="auto"/>
            <w:rPr>
              <w:rFonts w:hint="eastAsia"/>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pPr>
            <w:pStyle w:val="27"/>
            <w:tabs>
              <w:tab w:val="right" w:leader="dot" w:pos="9071"/>
            </w:tabs>
            <w:spacing w:line="480" w:lineRule="auto"/>
            <w:rPr>
              <w:rFonts w:hint="eastAsia"/>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pPr>
            <w:pStyle w:val="27"/>
            <w:tabs>
              <w:tab w:val="right" w:leader="dot" w:pos="9071"/>
            </w:tabs>
            <w:spacing w:line="480" w:lineRule="auto"/>
            <w:rPr>
              <w:rFonts w:hint="eastAsia"/>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pPr>
            <w:pStyle w:val="27"/>
            <w:tabs>
              <w:tab w:val="right" w:leader="dot" w:pos="9071"/>
            </w:tabs>
            <w:spacing w:line="480" w:lineRule="auto"/>
            <w:rPr>
              <w:rFonts w:hint="eastAsia"/>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pPr>
            <w:pStyle w:val="27"/>
            <w:tabs>
              <w:tab w:val="right" w:leader="dot" w:pos="9071"/>
            </w:tabs>
            <w:spacing w:line="480" w:lineRule="auto"/>
            <w:rPr>
              <w:rFonts w:hint="eastAsia"/>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65</w:t>
          </w:r>
        </w:p>
        <w:p>
          <w:pPr>
            <w:pStyle w:val="27"/>
            <w:tabs>
              <w:tab w:val="right" w:leader="dot" w:pos="9071"/>
            </w:tabs>
            <w:spacing w:line="480" w:lineRule="auto"/>
            <w:rPr>
              <w:rFonts w:hint="eastAsia"/>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83</w:t>
          </w:r>
        </w:p>
        <w:p>
          <w:pPr>
            <w:pStyle w:val="20"/>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20"/>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20"/>
        <w:jc w:val="center"/>
        <w:rPr>
          <w:rFonts w:ascii="Calibri" w:hAnsi="Calibri" w:eastAsia="宋体" w:cs="Times New Roman"/>
          <w:b/>
          <w:bCs/>
          <w:kern w:val="44"/>
          <w:sz w:val="36"/>
          <w:szCs w:val="44"/>
        </w:rPr>
      </w:pP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2"/>
                <w:rFonts w:hint="eastAsia"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hint="eastAsia" w:ascii="宋体" w:hAnsi="宋体" w:eastAsia="宋体" w:cs="宋体"/>
                <w:b/>
                <w:bCs/>
                <w:sz w:val="28"/>
                <w:szCs w:val="28"/>
              </w:rPr>
            </w:pPr>
            <w:r>
              <w:rPr>
                <w:rStyle w:val="132"/>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u w:val="single"/>
              </w:rPr>
              <w:t>IP9K防水试验箱项目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yellow"/>
              </w:rPr>
              <w:t>：</w:t>
            </w:r>
            <w:r>
              <w:rPr>
                <w:rFonts w:hint="eastAsia" w:ascii="宋体" w:hAnsi="宋体" w:eastAsia="宋体" w:cs="宋体"/>
                <w:b/>
                <w:bCs/>
                <w:sz w:val="24"/>
                <w:szCs w:val="24"/>
                <w:highlight w:val="yellow"/>
                <w:u w:val="single"/>
              </w:rPr>
              <w:t>FSCZB2025100047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Times New Roman"/>
                <w:color w:val="000000"/>
                <w:sz w:val="24"/>
                <w:szCs w:val="24"/>
                <w:highlight w:val="yellow"/>
              </w:rPr>
            </w:pPr>
            <w:r>
              <w:rPr>
                <w:rFonts w:hint="eastAsia" w:ascii="宋体" w:hAnsi="宋体" w:eastAsia="宋体" w:cs="宋体"/>
                <w:b/>
                <w:bCs/>
                <w:sz w:val="24"/>
                <w:szCs w:val="24"/>
              </w:rPr>
              <w:t>招标内容：</w:t>
            </w:r>
            <w:r>
              <w:rPr>
                <w:rFonts w:hint="eastAsia" w:ascii="宋体" w:hAnsi="宋体" w:eastAsia="宋体" w:cs="宋体"/>
                <w:b/>
                <w:bCs/>
                <w:sz w:val="24"/>
                <w:szCs w:val="24"/>
                <w:u w:val="single"/>
              </w:rPr>
              <w:t>IP9K防水试验箱</w:t>
            </w:r>
          </w:p>
          <w:p>
            <w:pPr>
              <w:ind w:firstLine="482" w:firstLineChars="200"/>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分投分中：</w:t>
            </w:r>
            <w:r>
              <w:rPr>
                <w:rFonts w:hint="eastAsia" w:ascii="宋体" w:hAnsi="宋体" w:eastAsia="宋体" w:cs="Times New Roman"/>
                <w:color w:val="000000"/>
                <w:sz w:val="24"/>
                <w:szCs w:val="24"/>
              </w:rPr>
              <w:t>不允许。</w:t>
            </w:r>
          </w:p>
          <w:p>
            <w:pPr>
              <w:ind w:firstLine="482" w:firstLineChars="200"/>
              <w:rPr>
                <w:rFonts w:hint="eastAsia" w:ascii="宋体" w:hAnsi="宋体" w:eastAsia="宋体" w:cs="宋体"/>
                <w:sz w:val="24"/>
                <w:szCs w:val="24"/>
              </w:rPr>
            </w:pPr>
            <w:r>
              <w:rPr>
                <w:rFonts w:hint="eastAsia" w:ascii="宋体" w:hAnsi="宋体" w:eastAsia="宋体" w:cs="Times New Roman"/>
                <w:b/>
                <w:bCs/>
                <w:color w:val="000000"/>
                <w:sz w:val="24"/>
                <w:szCs w:val="24"/>
              </w:rPr>
              <w:t>建设地点：</w:t>
            </w:r>
            <w:r>
              <w:rPr>
                <w:rFonts w:hint="eastAsia" w:ascii="宋体" w:hAnsi="宋体" w:eastAsia="宋体" w:cs="宋体"/>
                <w:color w:val="000000"/>
                <w:sz w:val="24"/>
                <w:szCs w:val="24"/>
                <w:highlight w:val="yellow"/>
                <w:u w:val="single"/>
              </w:rPr>
              <w:t>济南市莱芜区口镇重汽工业园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济南市历城区华奥路777号 </w:t>
            </w:r>
          </w:p>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商务联系人：</w:t>
            </w:r>
            <w:r>
              <w:rPr>
                <w:rFonts w:hint="eastAsia" w:ascii="宋体" w:hAnsi="宋体" w:eastAsia="宋体" w:cs="宋体"/>
                <w:b/>
                <w:bCs/>
                <w:sz w:val="24"/>
                <w:szCs w:val="24"/>
                <w:lang w:val="en-US" w:eastAsia="zh-CN"/>
              </w:rPr>
              <w:t>杨淑超</w:t>
            </w:r>
          </w:p>
          <w:p>
            <w:p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rPr>
              <w:t>电话：1786060</w:t>
            </w:r>
            <w:r>
              <w:rPr>
                <w:rFonts w:hint="eastAsia" w:ascii="宋体" w:hAnsi="宋体" w:eastAsia="宋体" w:cs="宋体"/>
                <w:b/>
                <w:bCs/>
                <w:sz w:val="24"/>
                <w:szCs w:val="24"/>
                <w:lang w:val="en-US" w:eastAsia="zh-CN"/>
              </w:rPr>
              <w:t>5820</w:t>
            </w:r>
          </w:p>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邮箱：yangshuchao@sinotruk.com</w:t>
            </w:r>
          </w:p>
          <w:p>
            <w:pPr>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rPr>
              <w:t>技术联系人：</w:t>
            </w:r>
            <w:r>
              <w:rPr>
                <w:rFonts w:hint="eastAsia" w:ascii="宋体" w:hAnsi="宋体" w:eastAsia="宋体" w:cs="宋体"/>
                <w:sz w:val="24"/>
                <w:szCs w:val="24"/>
                <w:highlight w:val="yellow"/>
                <w:lang w:val="en-US" w:eastAsia="zh-CN"/>
              </w:rPr>
              <w:t>赵强</w:t>
            </w:r>
          </w:p>
          <w:p>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电话：</w:t>
            </w:r>
            <w:r>
              <w:rPr>
                <w:rFonts w:hint="eastAsia" w:ascii="宋体" w:hAnsi="宋体" w:eastAsia="宋体" w:cs="宋体"/>
                <w:sz w:val="24"/>
                <w:szCs w:val="24"/>
                <w:lang w:val="en-US" w:eastAsia="zh-CN"/>
              </w:rPr>
              <w:t>15688472010</w:t>
            </w:r>
          </w:p>
          <w:p>
            <w:pPr>
              <w:ind w:firstLine="482" w:firstLineChars="200"/>
              <w:rPr>
                <w:rFonts w:hint="eastAsia"/>
              </w:rPr>
            </w:pPr>
            <w:r>
              <w:rPr>
                <w:rFonts w:hint="eastAsia" w:ascii="宋体" w:hAnsi="宋体" w:eastAsia="宋体" w:cs="宋体"/>
                <w:b/>
                <w:bCs/>
                <w:sz w:val="24"/>
                <w:szCs w:val="24"/>
              </w:rPr>
              <w:t>邮箱：</w:t>
            </w:r>
            <w:r>
              <w:rPr>
                <w:rFonts w:hint="eastAsia" w:ascii="宋体" w:hAnsi="宋体" w:eastAsia="宋体" w:cs="宋体"/>
                <w:sz w:val="24"/>
                <w:szCs w:val="24"/>
                <w:lang w:val="en-US" w:eastAsia="zh-CN"/>
              </w:rPr>
              <w:t>805867563@qq.com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pPr>
              <w:ind w:firstLine="482" w:firstLineChars="200"/>
              <w:rPr>
                <w:rFonts w:hint="eastAsia" w:ascii="宋体" w:hAnsi="宋体" w:eastAsia="宋体" w:cs="宋体"/>
                <w:sz w:val="24"/>
                <w:szCs w:val="24"/>
              </w:rPr>
            </w:pPr>
            <w:r>
              <w:rPr>
                <w:rFonts w:hint="eastAsia" w:hAnsi="宋体" w:eastAsia="宋体" w:cs="Times New Roman"/>
                <w:b/>
                <w:bCs/>
                <w:color w:val="000000"/>
                <w:sz w:val="24"/>
                <w:szCs w:val="24"/>
              </w:rPr>
              <w:t>投标限价：</w:t>
            </w:r>
            <w:r>
              <w:rPr>
                <w:rFonts w:hint="eastAsia" w:hAnsi="宋体" w:eastAsia="宋体" w:cs="Times New Roman"/>
                <w:b/>
                <w:bCs/>
                <w:color w:val="000000"/>
                <w:sz w:val="24"/>
                <w:szCs w:val="24"/>
                <w:highlight w:val="yellow"/>
              </w:rPr>
              <w:t>人民币</w:t>
            </w:r>
            <w:r>
              <w:rPr>
                <w:rFonts w:hint="eastAsia" w:hAnsi="宋体" w:eastAsia="宋体" w:cs="Times New Roman"/>
                <w:b/>
                <w:bCs/>
                <w:color w:val="000000"/>
                <w:sz w:val="24"/>
                <w:szCs w:val="24"/>
                <w:highlight w:val="red"/>
              </w:rPr>
              <w:t>28.38</w:t>
            </w:r>
            <w:r>
              <w:rPr>
                <w:rFonts w:hint="eastAsia" w:hAnsi="宋体" w:eastAsia="宋体" w:cs="Times New Roman"/>
                <w:b/>
                <w:bCs/>
                <w:color w:val="000000"/>
                <w:sz w:val="24"/>
                <w:szCs w:val="24"/>
                <w:highlight w:val="yellow"/>
              </w:rPr>
              <w:t>万元（含税，税率13%），超过投标限价无法投标</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hAnsi="宋体" w:eastAsia="宋体" w:cs="宋体"/>
                <w:b/>
                <w:bCs/>
                <w:color w:val="FF0000"/>
                <w:sz w:val="24"/>
                <w:szCs w:val="24"/>
              </w:rPr>
            </w:pPr>
            <w:r>
              <w:rPr>
                <w:rFonts w:hint="eastAsia" w:hAnsi="宋体" w:eastAsia="宋体" w:cs="宋体"/>
                <w:b/>
                <w:bCs/>
                <w:color w:val="000000"/>
                <w:sz w:val="24"/>
                <w:szCs w:val="24"/>
              </w:rPr>
              <w:t>投标人条件：</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1.在中华人民共和国依照《中华人民共和国公司法》注册的、具有法人资格的有能力提供招标产品的制造厂商，并提供营业执照副本（事业单位需提供事业单位法人证书）、组织机构代码证、税务登记证（若营业执照更换为统一社会信用代码，则不需要提供组织机构代码及税务登记证）。</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2.投标人必须为具有生产资质的制造商，具备五年及以上完全自主独立的设计及生产制造能力，本项目不接受代理商或贸易商参与投标，且必须通过ISO9001、ISO14001等质量体系认证，环境管理体系认证和高新技术企业证（提供复印件并加盖公章）。</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3.投标人信用记录良好，无失信被执行人记录、无采购违法、受行政处罚等行为。（提供在信用中国官网、中国政府采购网、中国执行信息公开网、国家税务总局网站的信息查询结果截屏，并加盖单位公章，做入投标文件中）。</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4.投标人财务状况良好，提供近3年财务报告，并加盖公章，包括但不限于报告页、经审计的资产负债表、利润表、现金流量表及报表附注，并且证明近三年连续盈利。</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5.投标人注册资金不低于500万元，实缴资金不低于500万元；其他主机厂认可。公司成立五年以上（以营业执照成立日期到开标当日满五年为准），经营范围满足招标需求，并在人员、设备、资金等方面具有承担本项目的能力。</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6.投标人具有依法缴纳社会保障资金的良好记录（提供2024年度至今任意一个月社会保险的凭据证明材料复印件）。</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7.投标人在本项目所使用控制软件必须具备完全的自主知识产权，投标人需提供相关证明材料，包括软件的专利证书、著作权登记证明等，以证明其软件具备自主知识产权。</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8.自挂网之日起以往三年时间内，有向主机厂和电驱系统企业已成功交付使用的IPX9K防水试验箱项目案例。</w:t>
            </w:r>
          </w:p>
          <w:p>
            <w:pPr>
              <w:adjustRightInd w:val="0"/>
              <w:snapToGrid w:val="0"/>
              <w:spacing w:line="360" w:lineRule="auto"/>
              <w:ind w:firstLine="573"/>
              <w:jc w:val="left"/>
              <w:rPr>
                <w:rFonts w:hint="eastAsia" w:ascii="宋体" w:hAnsi="宋体" w:eastAsia="宋体" w:cs="仿宋_GB2312"/>
                <w:sz w:val="24"/>
                <w:szCs w:val="24"/>
              </w:rPr>
            </w:pPr>
            <w:r>
              <w:rPr>
                <w:rFonts w:hint="eastAsia" w:ascii="宋体" w:hAnsi="宋体" w:eastAsia="宋体" w:cs="仿宋_GB2312"/>
                <w:sz w:val="24"/>
                <w:szCs w:val="24"/>
              </w:rPr>
              <w:t>9.拟投标人信用证明材料（信用报告）未显示异常。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20</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u w:val="single"/>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30</w:t>
            </w:r>
            <w:r>
              <w:rPr>
                <w:rFonts w:hint="eastAsia" w:ascii="宋体" w:hAnsi="宋体" w:eastAsia="宋体" w:cs="宋体"/>
                <w:bCs/>
                <w:sz w:val="24"/>
                <w:szCs w:val="24"/>
                <w:highlight w:val="yellow"/>
              </w:rPr>
              <w:t>日12:00前；</w:t>
            </w:r>
          </w:p>
          <w:p>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2025年</w:t>
            </w:r>
            <w:r>
              <w:rPr>
                <w:rFonts w:hint="eastAsia" w:ascii="宋体" w:hAnsi="宋体" w:eastAsia="宋体" w:cs="宋体"/>
                <w:sz w:val="24"/>
                <w:szCs w:val="24"/>
                <w:highlight w:val="yellow"/>
                <w:u w:val="single"/>
                <w:lang w:val="en-US" w:eastAsia="zh-CN"/>
              </w:rPr>
              <w:t>10</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30</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hint="eastAsia"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w:t>
            </w:r>
            <w:r>
              <w:rPr>
                <w:rFonts w:hint="eastAsia" w:eastAsia="宋体" w:cs="Times New Roman"/>
                <w:highlight w:val="yellow"/>
              </w:rPr>
              <w:t>点击“</w:t>
            </w:r>
            <w:r>
              <w:rPr>
                <w:rFonts w:hint="eastAsia" w:eastAsia="宋体" w:cs="Times New Roman"/>
                <w:b/>
                <w:bCs/>
                <w:highlight w:val="yellow"/>
              </w:rPr>
              <w:t>应标</w:t>
            </w:r>
            <w:r>
              <w:rPr>
                <w:rFonts w:hint="eastAsia" w:eastAsia="宋体" w:cs="Times New Roman"/>
                <w:highlight w:val="yellow"/>
              </w:rPr>
              <w:t>”</w:t>
            </w:r>
            <w:r>
              <w:rPr>
                <w:rFonts w:hint="eastAsia" w:eastAsia="宋体" w:cs="Times New Roman"/>
                <w:b/>
                <w:bCs/>
                <w:highlight w:val="yellow"/>
              </w:rPr>
              <w:t>后按照招标文件第三部分投标文件组成资格证明文件中的1.1</w:t>
            </w:r>
            <w:r>
              <w:rPr>
                <w:rFonts w:eastAsia="宋体" w:cs="Times New Roman"/>
                <w:b/>
                <w:bCs/>
                <w:highlight w:val="yellow"/>
              </w:rPr>
              <w:t>-</w:t>
            </w:r>
            <w:r>
              <w:rPr>
                <w:rFonts w:hint="eastAsia" w:eastAsia="宋体" w:cs="Times New Roman"/>
                <w:b/>
                <w:bCs/>
                <w:highlight w:val="yellow"/>
              </w:rPr>
              <w:t>1.1</w:t>
            </w:r>
            <w:r>
              <w:rPr>
                <w:rFonts w:hint="eastAsia" w:eastAsia="宋体" w:cs="Times New Roman"/>
                <w:b/>
                <w:bCs/>
                <w:highlight w:val="yellow"/>
                <w:lang w:val="en-US" w:eastAsia="zh-CN"/>
              </w:rPr>
              <w:t>2</w:t>
            </w:r>
            <w:r>
              <w:rPr>
                <w:rFonts w:hint="eastAsia" w:eastAsia="宋体" w:cs="Times New Roman"/>
                <w:b/>
                <w:bCs/>
                <w:highlight w:val="yellow"/>
              </w:rPr>
              <w:t>准备资料并</w:t>
            </w:r>
            <w:r>
              <w:rPr>
                <w:rFonts w:hint="eastAsia" w:eastAsia="宋体" w:cs="Times New Roman"/>
                <w:highlight w:val="yellow"/>
              </w:rPr>
              <w:t>上传</w:t>
            </w:r>
            <w:r>
              <w:rPr>
                <w:rFonts w:hint="eastAsia" w:eastAsia="宋体" w:cs="Times New Roman"/>
              </w:rPr>
              <w:t>，资质审查通过即为报名成功</w:t>
            </w:r>
            <w:r>
              <w:rPr>
                <w:rFonts w:hint="eastAsia" w:hAnsi="Courier New" w:eastAsia="宋体" w:cs="Times New Roman"/>
              </w:rPr>
              <w:t>；公示期间请尽快报名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5"/>
              <w:spacing w:line="240" w:lineRule="auto"/>
              <w:ind w:firstLine="482"/>
              <w:rPr>
                <w:rFonts w:hint="eastAsia" w:eastAsia="宋体" w:cs="宋体"/>
                <w:highlight w:val="yellow"/>
              </w:rPr>
            </w:pPr>
            <w:r>
              <w:rPr>
                <w:rFonts w:hint="eastAsia" w:eastAsia="宋体" w:cs="宋体"/>
                <w:b/>
                <w:bCs/>
              </w:rPr>
              <w:t>应标截止时间：</w:t>
            </w:r>
            <w:r>
              <w:rPr>
                <w:rFonts w:hint="eastAsia" w:eastAsia="宋体" w:cs="宋体"/>
                <w:highlight w:val="yellow"/>
              </w:rPr>
              <w:t>2025年</w:t>
            </w:r>
            <w:r>
              <w:rPr>
                <w:rFonts w:hint="eastAsia" w:eastAsia="宋体" w:cs="宋体"/>
                <w:highlight w:val="yellow"/>
                <w:lang w:val="en-US" w:eastAsia="zh-CN"/>
              </w:rPr>
              <w:t>10</w:t>
            </w:r>
            <w:r>
              <w:rPr>
                <w:rFonts w:hint="eastAsia" w:eastAsia="宋体" w:cs="宋体"/>
                <w:highlight w:val="yellow"/>
              </w:rPr>
              <w:t>月</w:t>
            </w:r>
            <w:r>
              <w:rPr>
                <w:rFonts w:hint="eastAsia" w:eastAsia="宋体" w:cs="宋体"/>
                <w:highlight w:val="yellow"/>
                <w:lang w:val="en-US" w:eastAsia="zh-CN"/>
              </w:rPr>
              <w:t>25</w:t>
            </w:r>
            <w:r>
              <w:rPr>
                <w:rFonts w:hint="eastAsia" w:eastAsia="宋体" w:cs="宋体"/>
                <w:highlight w:val="yellow"/>
              </w:rPr>
              <w:t>日17时00分00秒</w:t>
            </w:r>
          </w:p>
          <w:p>
            <w:pPr>
              <w:pStyle w:val="115"/>
              <w:spacing w:line="240" w:lineRule="auto"/>
              <w:ind w:firstLine="482"/>
              <w:rPr>
                <w:rFonts w:hint="eastAsia"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宋体" w:hAnsi="宋体" w:eastAsia="宋体" w:cs="宋体"/>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rPr>
                <w:rFonts w:hint="eastAsia" w:hAnsi="宋体" w:eastAsia="宋体" w:cs="Times New Roman"/>
                <w:color w:val="000000"/>
                <w:sz w:val="24"/>
                <w:szCs w:val="24"/>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hAnsi="宋体" w:eastAsia="宋体" w:cs="宋体"/>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rPr>
                <w:rFonts w:hint="eastAsia" w:eastAsia="宋体" w:cs="宋体" w:asciiTheme="minorHAnsi" w:hAnsiTheme="minorHAnsi"/>
                <w:b/>
                <w:sz w:val="24"/>
                <w:szCs w:val="24"/>
              </w:rPr>
            </w:pPr>
            <w:r>
              <w:rPr>
                <w:rFonts w:hint="eastAsia" w:hAnsi="宋体" w:eastAsia="宋体" w:cs="宋体"/>
                <w:b/>
                <w:bCs/>
                <w:sz w:val="24"/>
                <w:szCs w:val="24"/>
              </w:rPr>
              <w:t>技术标书和商务标书不单独</w:t>
            </w:r>
            <w:r>
              <w:rPr>
                <w:rFonts w:hint="eastAsia" w:hAnsi="宋体" w:eastAsia="宋体" w:cs="宋体"/>
                <w:b/>
                <w:bCs/>
                <w:sz w:val="24"/>
                <w:szCs w:val="24"/>
                <w:lang w:val="en-US" w:eastAsia="zh-CN"/>
              </w:rPr>
              <w:t>两个文件内</w:t>
            </w:r>
            <w:r>
              <w:rPr>
                <w:rFonts w:hint="eastAsia" w:hAnsi="宋体" w:eastAsia="宋体" w:cs="宋体"/>
                <w:b/>
                <w:bCs/>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2025</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11</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16</w:t>
            </w:r>
            <w:r>
              <w:rPr>
                <w:rFonts w:hint="eastAsia" w:hAnsi="宋体" w:eastAsia="宋体" w:cs="宋体"/>
                <w:sz w:val="24"/>
                <w:szCs w:val="24"/>
                <w:highlight w:val="yellow"/>
              </w:rPr>
              <w:t>日</w:t>
            </w:r>
            <w:r>
              <w:rPr>
                <w:rFonts w:hint="eastAsia" w:hAnsi="宋体" w:eastAsia="宋体" w:cs="宋体"/>
                <w:kern w:val="0"/>
                <w:sz w:val="24"/>
                <w:szCs w:val="24"/>
                <w:highlight w:val="yellow"/>
                <w:lang w:val="en-US" w:eastAsia="zh-CN"/>
              </w:rPr>
              <w:t>17</w:t>
            </w:r>
            <w:r>
              <w:rPr>
                <w:rFonts w:hint="eastAsia" w:hAnsi="宋体" w:eastAsia="宋体" w:cs="宋体"/>
                <w:sz w:val="24"/>
                <w:szCs w:val="24"/>
                <w:highlight w:val="yellow"/>
              </w:rPr>
              <w:t>:00（北京时间）</w:t>
            </w:r>
          </w:p>
          <w:p>
            <w:pPr>
              <w:pStyle w:val="20"/>
              <w:ind w:firstLine="482" w:firstLineChars="200"/>
              <w:rPr>
                <w:rFonts w:hint="eastAsia"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w:t>
            </w:r>
            <w:r>
              <w:rPr>
                <w:rFonts w:hint="eastAsia" w:ascii="宋体" w:hAnsi="宋体" w:eastAsia="宋体" w:cs="宋体"/>
                <w:sz w:val="24"/>
                <w:szCs w:val="24"/>
                <w:highlight w:val="yellow"/>
              </w:rPr>
              <w:t>.00元</w:t>
            </w:r>
          </w:p>
          <w:p>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hint="eastAsia" w:ascii="宋体" w:hAnsi="宋体" w:eastAsia="宋体" w:cs="宋体"/>
                <w:color w:val="000000"/>
                <w:kern w:val="0"/>
                <w:sz w:val="24"/>
                <w:szCs w:val="24"/>
              </w:rPr>
              <w:t>中国重汽集团济南动力有限公司</w:t>
            </w:r>
          </w:p>
          <w:p>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hint="eastAsia" w:ascii="宋体" w:hAnsi="宋体" w:eastAsia="宋体" w:cs="宋体"/>
                <w:color w:val="000000"/>
                <w:kern w:val="0"/>
                <w:sz w:val="24"/>
                <w:szCs w:val="24"/>
              </w:rPr>
              <w:t>中国建设银行济南市天桥区支行</w:t>
            </w:r>
          </w:p>
          <w:p>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hint="eastAsia" w:ascii="宋体" w:hAnsi="宋体" w:eastAsia="宋体" w:cs="宋体"/>
                <w:color w:val="000000"/>
                <w:kern w:val="0"/>
                <w:sz w:val="24"/>
                <w:szCs w:val="24"/>
              </w:rPr>
              <w:t>37001616508050150300</w:t>
            </w:r>
          </w:p>
          <w:p>
            <w:pPr>
              <w:ind w:firstLine="482" w:firstLineChars="200"/>
              <w:rPr>
                <w:rFonts w:hint="eastAsia" w:ascii="宋体" w:hAnsi="宋体" w:eastAsia="宋体" w:cs="宋体"/>
                <w:sz w:val="24"/>
                <w:szCs w:val="24"/>
              </w:rPr>
            </w:pPr>
            <w:r>
              <w:rPr>
                <w:rFonts w:hint="eastAsia" w:ascii="宋体" w:hAnsi="宋体" w:eastAsia="宋体" w:cs="宋体"/>
                <w:b/>
                <w:bCs/>
                <w:color w:val="000000"/>
                <w:kern w:val="0"/>
                <w:sz w:val="24"/>
                <w:szCs w:val="24"/>
              </w:rPr>
              <w:t>联行号：</w:t>
            </w:r>
            <w:r>
              <w:rPr>
                <w:rFonts w:hint="eastAsia" w:ascii="宋体" w:hAnsi="宋体" w:eastAsia="宋体" w:cs="宋体"/>
                <w:color w:val="000000"/>
                <w:kern w:val="0"/>
                <w:sz w:val="24"/>
                <w:szCs w:val="24"/>
              </w:rPr>
              <w:t>105451000362</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rPr>
            </w:pPr>
            <w:r>
              <w:rPr>
                <w:rFonts w:hint="eastAsia" w:eastAsia="宋体" w:cs="Times New Roman"/>
                <w:sz w:val="24"/>
                <w:szCs w:val="28"/>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8"/>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5年</w:t>
            </w:r>
            <w:r>
              <w:rPr>
                <w:rFonts w:hint="eastAsia" w:ascii="宋体" w:hAnsi="宋体" w:cs="宋体"/>
                <w:sz w:val="24"/>
                <w:szCs w:val="24"/>
                <w:highlight w:val="yellow"/>
                <w:lang w:val="en-US" w:eastAsia="zh-CN"/>
              </w:rPr>
              <w:t>11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16</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pPr>
              <w:pStyle w:val="38"/>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8"/>
              <w:spacing w:after="0" w:line="240" w:lineRule="auto"/>
              <w:ind w:left="0" w:leftChars="0" w:firstLine="480"/>
              <w:rPr>
                <w:rFonts w:hint="eastAsia"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2025</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11</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17</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r>
              <w:rPr>
                <w:rFonts w:hint="eastAsia" w:ascii="宋体" w:hAnsi="宋体" w:eastAsia="宋体" w:cs="宋体"/>
                <w:kern w:val="0"/>
                <w:sz w:val="24"/>
                <w:szCs w:val="24"/>
                <w:highlight w:val="yellow"/>
              </w:rPr>
              <w:t>。</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w:t>
            </w:r>
            <w:r>
              <w:rPr>
                <w:rFonts w:hint="eastAsia" w:ascii="宋体" w:hAnsi="宋体" w:eastAsia="宋体" w:cs="宋体"/>
                <w:sz w:val="24"/>
                <w:szCs w:val="24"/>
                <w:highlight w:val="yellow"/>
                <w:lang w:val="en-US" w:eastAsia="zh-CN"/>
              </w:rPr>
              <w:t>三楼</w:t>
            </w:r>
            <w:r>
              <w:rPr>
                <w:rFonts w:hint="eastAsia" w:ascii="宋体" w:hAnsi="宋体" w:eastAsia="宋体" w:cs="宋体"/>
                <w:sz w:val="24"/>
                <w:szCs w:val="24"/>
                <w:highlight w:val="yellow"/>
              </w:rPr>
              <w:t>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b/>
                <w:bCs/>
                <w:sz w:val="24"/>
                <w:szCs w:val="24"/>
              </w:rPr>
            </w:pPr>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ind w:firstLine="482" w:firstLineChars="200"/>
              <w:rPr>
                <w:rFonts w:hint="eastAsia" w:ascii="宋体" w:hAnsi="宋体" w:eastAsia="宋体" w:cs="宋体"/>
                <w:sz w:val="24"/>
                <w:szCs w:val="24"/>
              </w:rPr>
            </w:pPr>
            <w:r>
              <w:rPr>
                <w:rFonts w:hint="eastAsia" w:ascii="宋体" w:hAnsi="宋体" w:eastAsia="宋体" w:cs="宋体"/>
                <w:b/>
                <w:bCs/>
                <w:sz w:val="24"/>
                <w:szCs w:val="24"/>
              </w:rPr>
              <w:t>评标方法：资质标审核→唱标→技术标评审→商务标评审。</w:t>
            </w:r>
            <w:r>
              <w:rPr>
                <w:rFonts w:hint="eastAsia" w:ascii="宋体" w:hAnsi="宋体" w:eastAsia="宋体" w:cs="宋体"/>
                <w:b/>
                <w:bCs/>
                <w:sz w:val="24"/>
                <w:szCs w:val="24"/>
                <w:lang w:val="en-US" w:eastAsia="zh-CN"/>
              </w:rPr>
              <w:t>合理最低价</w:t>
            </w:r>
            <w:r>
              <w:rPr>
                <w:rFonts w:hint="eastAsia" w:ascii="宋体" w:hAnsi="宋体" w:eastAsia="宋体" w:cs="Times New Roman"/>
                <w:b/>
                <w:bCs/>
                <w:color w:val="000000"/>
                <w:sz w:val="24"/>
                <w:szCs w:val="24"/>
              </w:rPr>
              <w:t>中标</w:t>
            </w:r>
            <w:r>
              <w:rPr>
                <w:rFonts w:hint="eastAsia" w:ascii="宋体" w:hAnsi="宋体" w:eastAsia="宋体" w:cs="宋体"/>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交货期：</w:t>
            </w:r>
          </w:p>
          <w:p>
            <w:pPr>
              <w:pStyle w:val="20"/>
              <w:ind w:firstLine="480" w:firstLineChars="200"/>
              <w:rPr>
                <w:rFonts w:hint="eastAsia" w:hAnsi="宋体" w:eastAsia="宋体" w:cs="宋体"/>
                <w:sz w:val="24"/>
                <w:szCs w:val="24"/>
                <w:highlight w:val="red"/>
              </w:rPr>
            </w:pPr>
            <w:r>
              <w:rPr>
                <w:rFonts w:hint="eastAsia" w:hAnsi="宋体" w:eastAsia="宋体" w:cs="宋体"/>
                <w:sz w:val="24"/>
                <w:szCs w:val="24"/>
                <w:highlight w:val="red"/>
              </w:rPr>
              <w:t>自合同签定生效之日起，120个日历日之内交货至供货地点</w:t>
            </w:r>
          </w:p>
          <w:p>
            <w:pPr>
              <w:pStyle w:val="20"/>
              <w:ind w:firstLine="480" w:firstLineChars="200"/>
              <w:rPr>
                <w:rFonts w:hint="eastAsia" w:hAnsi="宋体" w:eastAsia="宋体" w:cs="宋体"/>
                <w:color w:val="000000"/>
                <w:sz w:val="24"/>
                <w:szCs w:val="24"/>
                <w:highlight w:val="yellow"/>
              </w:rPr>
            </w:pPr>
            <w:r>
              <w:rPr>
                <w:rFonts w:hint="eastAsia" w:hAnsi="宋体" w:eastAsia="宋体" w:cs="宋体"/>
                <w:color w:val="000000"/>
                <w:sz w:val="24"/>
                <w:szCs w:val="24"/>
                <w:highlight w:val="yellow"/>
              </w:rPr>
              <w:t>接续</w:t>
            </w:r>
            <w:r>
              <w:rPr>
                <w:rFonts w:hint="eastAsia" w:hAnsi="宋体" w:eastAsia="宋体" w:cs="宋体"/>
                <w:color w:val="000000"/>
                <w:sz w:val="24"/>
                <w:szCs w:val="24"/>
                <w:highlight w:val="yellow"/>
                <w:lang w:val="en-US" w:eastAsia="zh-CN"/>
              </w:rPr>
              <w:t>30</w:t>
            </w:r>
            <w:r>
              <w:rPr>
                <w:rFonts w:hint="eastAsia" w:hAnsi="宋体" w:eastAsia="宋体" w:cs="宋体"/>
                <w:color w:val="000000"/>
                <w:sz w:val="24"/>
                <w:szCs w:val="24"/>
                <w:highlight w:val="yellow"/>
              </w:rPr>
              <w:t>个日历日之内安装调试完毕。</w:t>
            </w:r>
          </w:p>
          <w:p>
            <w:pPr>
              <w:pStyle w:val="20"/>
              <w:ind w:firstLine="480" w:firstLineChars="200"/>
              <w:rPr>
                <w:rFonts w:hint="eastAsia" w:hAnsi="宋体" w:eastAsia="宋体" w:cs="宋体"/>
                <w:color w:val="000000"/>
                <w:sz w:val="24"/>
                <w:szCs w:val="24"/>
                <w:highlight w:val="yellow"/>
              </w:rPr>
            </w:pPr>
            <w:r>
              <w:rPr>
                <w:rFonts w:hint="eastAsia" w:hAnsi="宋体" w:eastAsia="宋体" w:cs="宋体"/>
                <w:color w:val="000000"/>
                <w:sz w:val="24"/>
                <w:szCs w:val="24"/>
                <w:highlight w:val="yellow"/>
              </w:rPr>
              <w:t>接续</w:t>
            </w:r>
            <w:r>
              <w:rPr>
                <w:rFonts w:hint="eastAsia" w:hAnsi="宋体" w:eastAsia="宋体" w:cs="宋体"/>
                <w:color w:val="000000"/>
                <w:sz w:val="24"/>
                <w:szCs w:val="24"/>
                <w:highlight w:val="yellow"/>
                <w:lang w:val="en-US" w:eastAsia="zh-CN"/>
              </w:rPr>
              <w:t>90</w:t>
            </w:r>
            <w:r>
              <w:rPr>
                <w:rFonts w:hint="eastAsia" w:hAnsi="宋体" w:eastAsia="宋体" w:cs="宋体"/>
                <w:color w:val="000000"/>
                <w:sz w:val="24"/>
                <w:szCs w:val="24"/>
                <w:highlight w:val="yellow"/>
              </w:rPr>
              <w:t>个日历日内，完成终验收。</w:t>
            </w:r>
          </w:p>
          <w:p>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安装调试工期超过要求时间的，投标人应当随标书提供详细的工期计划。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20"/>
              <w:ind w:firstLine="482" w:firstLineChars="200"/>
              <w:rPr>
                <w:rFonts w:hint="eastAsia"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highlight w:val="yellow"/>
                <w:u w:val="single"/>
              </w:rPr>
              <w:t>济南市莱芜区口镇重汽工业园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ind w:firstLine="482" w:firstLineChars="200"/>
              <w:rPr>
                <w:rFonts w:hint="eastAsia" w:ascii="宋体" w:hAnsi="宋体" w:eastAsia="宋体" w:cs="宋体"/>
                <w:b/>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rPr>
              <w:t>2</w:t>
            </w:r>
            <w:r>
              <w:rPr>
                <w:rFonts w:hint="eastAsia" w:ascii="宋体" w:hAnsi="宋体" w:eastAsia="宋体" w:cs="宋体"/>
                <w:b/>
                <w:sz w:val="24"/>
                <w:szCs w:val="24"/>
                <w:highlight w:val="yellow"/>
              </w:rPr>
              <w:t>年</w:t>
            </w:r>
            <w:r>
              <w:rPr>
                <w:rFonts w:hint="eastAsia" w:ascii="宋体" w:hAnsi="宋体" w:eastAsia="宋体" w:cs="宋体"/>
                <w:b/>
                <w:sz w:val="24"/>
                <w:szCs w:val="24"/>
              </w:rPr>
              <w:t>。</w:t>
            </w:r>
          </w:p>
          <w:p>
            <w:pPr>
              <w:pStyle w:val="13"/>
              <w:ind w:firstLine="480" w:firstLineChars="200"/>
              <w:rPr>
                <w:rFonts w:hint="eastAsia" w:ascii="宋体" w:hAnsi="宋体" w:eastAsia="宋体" w:cs="宋体"/>
                <w:sz w:val="24"/>
                <w:szCs w:val="24"/>
              </w:rPr>
            </w:pP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0"/>
              <w:ind w:firstLine="482" w:firstLineChars="200"/>
              <w:rPr>
                <w:rFonts w:hint="eastAsia" w:hAnsi="宋体" w:eastAsia="宋体" w:cs="宋体"/>
                <w:color w:val="000000"/>
                <w:sz w:val="24"/>
                <w:szCs w:val="24"/>
                <w:highlight w:val="none"/>
              </w:rPr>
            </w:pPr>
            <w:r>
              <w:rPr>
                <w:rFonts w:hint="eastAsia" w:hAnsi="宋体" w:eastAsia="宋体" w:cs="宋体"/>
                <w:b/>
                <w:bCs/>
                <w:color w:val="000000"/>
                <w:sz w:val="24"/>
                <w:szCs w:val="24"/>
                <w:highlight w:val="none"/>
              </w:rPr>
              <w:t>付款方式：</w:t>
            </w:r>
            <w:r>
              <w:rPr>
                <w:rFonts w:hint="eastAsia" w:hAnsi="宋体" w:eastAsia="宋体" w:cs="宋体"/>
                <w:b/>
                <w:bCs/>
                <w:color w:val="000000"/>
                <w:sz w:val="24"/>
                <w:szCs w:val="24"/>
                <w:highlight w:val="none"/>
                <w:u w:val="single"/>
              </w:rPr>
              <w:t>半年期商业汇票（包括银行承兑汇票和商业承兑汇票）</w:t>
            </w:r>
            <w:r>
              <w:rPr>
                <w:rFonts w:hint="eastAsia" w:hAnsi="宋体" w:eastAsia="宋体" w:cs="宋体"/>
                <w:color w:val="000000"/>
                <w:sz w:val="24"/>
                <w:szCs w:val="24"/>
                <w:highlight w:val="none"/>
              </w:rPr>
              <w:t>：</w:t>
            </w:r>
          </w:p>
          <w:p>
            <w:pPr>
              <w:pStyle w:val="20"/>
              <w:shd w:val="clear" w:color="auto" w:fill="FFFF00"/>
              <w:ind w:firstLine="482"/>
              <w:rPr>
                <w:rFonts w:hint="eastAsia" w:hAnsi="宋体" w:eastAsia="宋体" w:cs="宋体"/>
                <w:color w:val="000000"/>
                <w:sz w:val="24"/>
                <w:szCs w:val="24"/>
                <w:highlight w:val="none"/>
              </w:rPr>
            </w:pPr>
            <w:r>
              <w:rPr>
                <w:rFonts w:hint="eastAsia" w:hAnsi="宋体" w:eastAsia="宋体" w:cs="宋体"/>
                <w:color w:val="000000"/>
                <w:sz w:val="24"/>
                <w:szCs w:val="24"/>
                <w:highlight w:val="none"/>
              </w:rPr>
              <w:t>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pPr>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A.合同签订生效后，中标人提交金额为合同价款30%的收据并提供合同价款30%的增值税专用发票（含复印件二份），经招标人依照财务制度审核通过后30日支付；</w:t>
            </w:r>
          </w:p>
          <w:p>
            <w:pPr>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B.设备全部到齐，且验收合格后，中标人提交金额为合同价款60%的收据并提供合同价款70%的增值税专用发票（含复印件二份），经招标人依照财务制度审核通过后30日支付；</w:t>
            </w:r>
          </w:p>
          <w:p>
            <w:pPr>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C.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p>
            <w:pPr>
              <w:ind w:firstLine="480" w:firstLineChars="200"/>
              <w:rPr>
                <w:rFonts w:hint="eastAsia" w:ascii="宋体" w:hAnsi="宋体" w:eastAsia="宋体" w:cs="宋体"/>
                <w:color w:val="000000"/>
                <w:sz w:val="24"/>
                <w:szCs w:val="24"/>
                <w:highlight w:val="yellow"/>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宋体" w:hAnsi="宋体" w:cs="宋体"/>
                <w:bCs/>
                <w:sz w:val="24"/>
                <w:szCs w:val="24"/>
              </w:rPr>
            </w:pPr>
            <w:r>
              <w:rPr>
                <w:rFonts w:hint="eastAsia" w:ascii="宋体" w:hAnsi="宋体" w:eastAsia="宋体" w:cs="宋体"/>
                <w:b/>
                <w:color w:val="000000"/>
                <w:sz w:val="24"/>
                <w:szCs w:val="24"/>
              </w:rPr>
              <w:t>增值税专用发票开票信息：</w:t>
            </w:r>
            <w:r>
              <w:rPr>
                <w:rFonts w:hint="eastAsia" w:ascii="宋体" w:hAnsi="宋体" w:eastAsia="宋体" w:cs="宋体"/>
                <w:b/>
                <w:color w:val="000000"/>
                <w:sz w:val="24"/>
                <w:szCs w:val="24"/>
                <w:highlight w:val="yellow"/>
              </w:rPr>
              <w:t>（本项目开票信息，由合同签约单位提供）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3"/>
              <w:jc w:val="center"/>
              <w:rPr>
                <w:rFonts w:hint="eastAsia"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3"/>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3"/>
              <w:ind w:firstLine="480" w:firstLineChars="200"/>
              <w:rPr>
                <w:rFonts w:hint="eastAsia"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rPr>
              <w:t>30日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pPr>
        <w:pStyle w:val="20"/>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pPr>
        <w:pStyle w:val="20"/>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pPr>
        <w:keepNext/>
        <w:keepLines/>
        <w:numPr>
          <w:ilvl w:val="0"/>
          <w:numId w:val="3"/>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pPr>
        <w:pStyle w:val="20"/>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（附件15）</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（附件16）</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w:t>
      </w:r>
      <w:r>
        <w:rPr>
          <w:rFonts w:hint="eastAsia" w:ascii="宋体" w:hAnsi="宋体" w:eastAsia="宋体" w:cs="宋体"/>
          <w:color w:val="000000"/>
          <w:sz w:val="24"/>
          <w:szCs w:val="24"/>
          <w:highlight w:val="yellow"/>
          <w:lang w:val="en-US" w:eastAsia="zh-CN"/>
        </w:rPr>
        <w:t>2</w:t>
      </w:r>
      <w:r>
        <w:rPr>
          <w:rFonts w:hint="eastAsia" w:ascii="宋体" w:hAnsi="宋体" w:eastAsia="宋体" w:cs="宋体"/>
          <w:color w:val="000000"/>
          <w:sz w:val="24"/>
          <w:szCs w:val="24"/>
        </w:rPr>
        <w:t>准备资料并上传，资质审查通过即为报名成功，公示期间请尽快报名。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20"/>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对于投标条件详见招标文件“第一部分投标须知前附表1.6”。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20"/>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20"/>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0"/>
        <w:spacing w:line="360" w:lineRule="auto"/>
        <w:ind w:firstLine="480" w:firstLineChars="200"/>
        <w:rPr>
          <w:rFonts w:hint="eastAsia" w:hAnsi="宋体" w:eastAsia="宋体" w:cs="宋体"/>
          <w:color w:val="000000"/>
          <w:sz w:val="24"/>
          <w:szCs w:val="24"/>
          <w:highlight w:val="yellow"/>
        </w:rPr>
      </w:pPr>
      <w:r>
        <w:rPr>
          <w:rFonts w:hint="eastAsia" w:hAnsi="宋体" w:eastAsia="宋体" w:cs="宋体"/>
          <w:color w:val="000000"/>
          <w:sz w:val="24"/>
          <w:szCs w:val="24"/>
          <w:highlight w:val="yellow"/>
        </w:rPr>
        <w:t>4.7设备设施颜色严格执行我公司企业标准《设备设施颜色标识》（Q/ZZ30070</w:t>
      </w:r>
    </w:p>
    <w:p>
      <w:pPr>
        <w:pStyle w:val="20"/>
        <w:spacing w:line="360" w:lineRule="auto"/>
        <w:rPr>
          <w:rFonts w:hint="eastAsia" w:hAnsi="宋体" w:eastAsia="宋体" w:cs="宋体"/>
          <w:color w:val="000000"/>
          <w:sz w:val="24"/>
          <w:szCs w:val="24"/>
          <w:highlight w:val="yellow"/>
        </w:rPr>
      </w:pPr>
      <w:r>
        <w:rPr>
          <w:rFonts w:hint="eastAsia" w:hAnsi="宋体" w:eastAsia="宋体" w:cs="宋体"/>
          <w:color w:val="000000"/>
          <w:sz w:val="24"/>
          <w:szCs w:val="24"/>
          <w:highlight w:val="yellow"/>
        </w:rPr>
        <w:t>—2020）。</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rPr>
        <w:t>中国重汽官网</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4.投标报名</w:t>
      </w:r>
    </w:p>
    <w:p>
      <w:pPr>
        <w:keepNext/>
        <w:keepLines/>
        <w:spacing w:line="360" w:lineRule="auto"/>
        <w:ind w:firstLine="482"/>
        <w:rPr>
          <w:rFonts w:hint="eastAsia"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5"/>
        <w:ind w:firstLine="480"/>
        <w:rPr>
          <w:rFonts w:hint="eastAsia" w:eastAsia="宋体" w:cs="宋体"/>
        </w:rPr>
      </w:pPr>
      <w:r>
        <w:rPr>
          <w:rFonts w:hint="eastAsia" w:eastAsia="宋体" w:cs="宋体"/>
        </w:rPr>
        <w:t>4.2招标人银行账户信息如下：见《投标须知前附表》4.2。</w:t>
      </w:r>
    </w:p>
    <w:p>
      <w:pPr>
        <w:pStyle w:val="115"/>
        <w:ind w:firstLine="480"/>
        <w:rPr>
          <w:rFonts w:hint="eastAsia" w:eastAsia="宋体" w:cs="宋体"/>
        </w:rPr>
      </w:pPr>
      <w:r>
        <w:rPr>
          <w:rFonts w:hint="eastAsia" w:eastAsia="宋体" w:cs="宋体"/>
        </w:rPr>
        <w:t>转账附言：公司名称+项目名称+投标保证金；</w:t>
      </w:r>
    </w:p>
    <w:p>
      <w:pPr>
        <w:pStyle w:val="115"/>
        <w:ind w:firstLine="480"/>
        <w:rPr>
          <w:rFonts w:hint="eastAsia" w:eastAsia="宋体" w:cs="宋体"/>
        </w:rPr>
      </w:pPr>
      <w:r>
        <w:rPr>
          <w:rFonts w:hint="eastAsia" w:eastAsia="宋体" w:cs="宋体"/>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5"/>
        <w:ind w:firstLine="480"/>
        <w:rPr>
          <w:rFonts w:hint="eastAsia" w:eastAsia="宋体" w:cs="宋体"/>
        </w:rPr>
      </w:pPr>
      <w:r>
        <w:rPr>
          <w:rFonts w:hint="eastAsia" w:eastAsia="宋体" w:cs="宋体"/>
        </w:rPr>
        <w:t>4.3说明</w:t>
      </w:r>
    </w:p>
    <w:p>
      <w:pPr>
        <w:pStyle w:val="115"/>
        <w:ind w:firstLine="480"/>
        <w:rPr>
          <w:rFonts w:hint="eastAsia" w:eastAsia="宋体" w:cs="宋体"/>
        </w:rPr>
      </w:pPr>
      <w:r>
        <w:rPr>
          <w:rFonts w:hint="eastAsia" w:eastAsia="宋体" w:cs="宋体"/>
        </w:rPr>
        <w:t>4.3.1 投标人在向招标人出示《投标保证金缴纳凭证》后方可进行投标；</w:t>
      </w:r>
    </w:p>
    <w:p>
      <w:pPr>
        <w:pStyle w:val="115"/>
        <w:ind w:firstLine="480"/>
        <w:rPr>
          <w:rFonts w:hint="eastAsia" w:eastAsia="宋体" w:cs="宋体"/>
        </w:rPr>
      </w:pPr>
      <w:r>
        <w:rPr>
          <w:rFonts w:hint="eastAsia" w:eastAsia="宋体" w:cs="宋体"/>
        </w:rPr>
        <w:t>4.3.2 发生以下情况时，招标人有权没收保证金：</w:t>
      </w:r>
    </w:p>
    <w:p>
      <w:pPr>
        <w:pStyle w:val="115"/>
        <w:ind w:firstLine="480"/>
        <w:rPr>
          <w:rFonts w:hint="eastAsia" w:eastAsia="宋体" w:cs="宋体"/>
        </w:rPr>
      </w:pPr>
      <w:r>
        <w:rPr>
          <w:rFonts w:hint="eastAsia" w:eastAsia="宋体" w:cs="宋体"/>
        </w:rPr>
        <w:t>4.3.2.1 截至开标前3天，投标人无正当理由且未以书面形式递交说明而在投标截止日不来投标的；</w:t>
      </w:r>
    </w:p>
    <w:p>
      <w:pPr>
        <w:pStyle w:val="115"/>
        <w:ind w:firstLine="480"/>
        <w:rPr>
          <w:rFonts w:hint="eastAsia" w:eastAsia="宋体" w:cs="宋体"/>
        </w:rPr>
      </w:pPr>
      <w:r>
        <w:rPr>
          <w:rFonts w:hint="eastAsia" w:eastAsia="宋体" w:cs="宋体"/>
        </w:rPr>
        <w:t>4.3.2.2 投标人递送投标文件后，无正当理由放弃投标的；</w:t>
      </w:r>
    </w:p>
    <w:p>
      <w:pPr>
        <w:pStyle w:val="115"/>
        <w:ind w:firstLine="480"/>
        <w:rPr>
          <w:rFonts w:hint="eastAsia" w:eastAsia="宋体" w:cs="宋体"/>
        </w:rPr>
      </w:pPr>
      <w:r>
        <w:rPr>
          <w:rFonts w:hint="eastAsia" w:eastAsia="宋体" w:cs="宋体"/>
        </w:rPr>
        <w:t>4.3.2.3若为视频开标，招标过程中澄清函等资料原件未按要求提交的；</w:t>
      </w:r>
    </w:p>
    <w:p>
      <w:pPr>
        <w:pStyle w:val="115"/>
        <w:ind w:firstLine="480"/>
        <w:rPr>
          <w:rFonts w:hint="eastAsia" w:eastAsia="宋体" w:cs="宋体"/>
        </w:rPr>
      </w:pPr>
      <w:r>
        <w:rPr>
          <w:rFonts w:hint="eastAsia" w:eastAsia="宋体" w:cs="宋体"/>
        </w:rPr>
        <w:t>4.3.2.4自中标通知书发出之日起30日内，中标人无正当理由不签订合同的；</w:t>
      </w:r>
    </w:p>
    <w:p>
      <w:pPr>
        <w:pStyle w:val="115"/>
        <w:ind w:firstLine="480"/>
        <w:rPr>
          <w:rFonts w:hint="eastAsia" w:eastAsia="宋体" w:cs="宋体"/>
        </w:rPr>
      </w:pPr>
      <w:r>
        <w:rPr>
          <w:rFonts w:hint="eastAsia" w:eastAsia="宋体" w:cs="宋体"/>
        </w:rPr>
        <w:t>4.3.2.5供应商在响应文件中提供虚假材料的；</w:t>
      </w:r>
    </w:p>
    <w:p>
      <w:pPr>
        <w:pStyle w:val="115"/>
        <w:ind w:firstLine="480"/>
        <w:rPr>
          <w:rFonts w:hint="eastAsia" w:eastAsia="宋体" w:cs="宋体"/>
        </w:rPr>
      </w:pPr>
      <w:r>
        <w:rPr>
          <w:rFonts w:hint="eastAsia" w:eastAsia="宋体" w:cs="宋体"/>
        </w:rPr>
        <w:t>4.3.2.6投标人在投标过程中被查实有串标、围标、陪标等违规违纪行为的；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4.3.2.7投标人有违约违规行为或被投诉、举报的，在调查处理期间，保证金暂不退还，待调查处理结束后按有关规定处理。</w:t>
      </w:r>
    </w:p>
    <w:p>
      <w:pPr>
        <w:pStyle w:val="115"/>
        <w:ind w:firstLine="480"/>
        <w:rPr>
          <w:rFonts w:hint="eastAsia" w:eastAsia="宋体" w:cs="宋体"/>
        </w:rPr>
      </w:pPr>
      <w:r>
        <w:rPr>
          <w:rFonts w:hint="eastAsia" w:eastAsia="宋体" w:cs="宋体"/>
        </w:rPr>
        <w:t>4.4投标报名截止时间</w:t>
      </w:r>
    </w:p>
    <w:p>
      <w:pPr>
        <w:pStyle w:val="115"/>
        <w:ind w:firstLine="480"/>
        <w:rPr>
          <w:rFonts w:hint="eastAsia" w:eastAsia="宋体" w:cs="宋体"/>
        </w:rPr>
      </w:pPr>
      <w:r>
        <w:rPr>
          <w:rFonts w:hint="eastAsia" w:eastAsia="宋体" w:cs="宋体"/>
        </w:rPr>
        <w:t>报名方式：见《投标须知前附表》2.3。</w:t>
      </w:r>
    </w:p>
    <w:p>
      <w:pPr>
        <w:pStyle w:val="115"/>
        <w:ind w:firstLine="480"/>
        <w:rPr>
          <w:rFonts w:hint="eastAsia" w:eastAsia="宋体" w:cs="宋体"/>
        </w:rPr>
      </w:pPr>
      <w:r>
        <w:rPr>
          <w:rFonts w:hint="eastAsia" w:eastAsia="宋体" w:cs="宋体"/>
        </w:rPr>
        <w:t>报名提交资料：</w:t>
      </w:r>
      <w:r>
        <w:rPr>
          <w:rFonts w:hint="eastAsia" w:eastAsia="宋体" w:cs="宋体"/>
          <w:highlight w:val="yellow"/>
        </w:rPr>
        <w:t>均为盖章电子扫描版，用“公司名称+文件名称”命名</w:t>
      </w:r>
      <w:r>
        <w:rPr>
          <w:rFonts w:hint="eastAsia" w:eastAsia="宋体" w:cs="宋体"/>
        </w:rPr>
        <w:t>。</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pPr>
        <w:spacing w:line="360" w:lineRule="auto"/>
        <w:ind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yellow"/>
        </w:rPr>
        <w:t>原则上来现场参与开标。</w:t>
      </w:r>
      <w:bookmarkStart w:id="6" w:name="_Toc33265653"/>
      <w:bookmarkStart w:id="7" w:name="_Toc33266627"/>
      <w:bookmarkStart w:id="8" w:name="_Toc33267001"/>
      <w:bookmarkStart w:id="9" w:name="_Toc33285487"/>
      <w:bookmarkStart w:id="10" w:name="_Toc33266914"/>
      <w:bookmarkStart w:id="11" w:name="_Toc33266950"/>
      <w:bookmarkStart w:id="12" w:name="_Toc33265752"/>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pPr>
        <w:adjustRightInd w:val="0"/>
        <w:snapToGrid w:val="0"/>
        <w:spacing w:line="360" w:lineRule="auto"/>
        <w:ind w:firstLine="480" w:firstLineChars="200"/>
        <w:rPr>
          <w:rFonts w:hint="eastAsia" w:ascii="仿宋_GB2312" w:hAnsi="仿宋_GB2312" w:eastAsia="仿宋_GB2312" w:cs="仿宋_GB2312"/>
          <w:b/>
          <w:color w:val="000000"/>
          <w:sz w:val="24"/>
          <w:szCs w:val="24"/>
          <w:highlight w:val="green"/>
        </w:rPr>
      </w:pPr>
      <w:r>
        <w:rPr>
          <w:rFonts w:hint="eastAsia" w:ascii="仿宋_GB2312" w:hAnsi="仿宋_GB2312" w:eastAsia="仿宋_GB2312" w:cs="仿宋_GB2312"/>
          <w:sz w:val="24"/>
          <w:szCs w:val="24"/>
          <w:highlight w:val="green"/>
        </w:rPr>
        <w:t>本次招标采用</w:t>
      </w:r>
      <w:bookmarkStart w:id="14" w:name="_Toc33285489"/>
      <w:bookmarkStart w:id="15" w:name="_Toc33267002"/>
      <w:bookmarkStart w:id="16" w:name="_Toc33266915"/>
      <w:bookmarkStart w:id="17" w:name="_Toc33266951"/>
      <w:bookmarkStart w:id="18" w:name="_Toc33265654"/>
      <w:bookmarkStart w:id="19" w:name="_Toc33266628"/>
      <w:bookmarkStart w:id="20" w:name="_Toc33265753"/>
      <w:bookmarkStart w:id="21" w:name="_Toc395116634"/>
      <w:r>
        <w:rPr>
          <w:rFonts w:hint="eastAsia" w:ascii="仿宋_GB2312" w:hAnsi="仿宋_GB2312" w:eastAsia="仿宋_GB2312" w:cs="仿宋_GB2312"/>
          <w:b/>
          <w:sz w:val="24"/>
          <w:szCs w:val="24"/>
          <w:highlight w:val="green"/>
        </w:rPr>
        <w:t>技术标入围后，原则上</w:t>
      </w:r>
      <w:r>
        <w:rPr>
          <w:rFonts w:hint="eastAsia" w:ascii="仿宋_GB2312" w:hAnsi="仿宋_GB2312" w:eastAsia="仿宋_GB2312" w:cs="仿宋_GB2312"/>
          <w:b/>
          <w:bCs/>
          <w:sz w:val="24"/>
          <w:szCs w:val="24"/>
          <w:highlight w:val="green"/>
        </w:rPr>
        <w:t>合理最低价</w:t>
      </w:r>
      <w:r>
        <w:rPr>
          <w:rFonts w:hint="eastAsia" w:ascii="仿宋_GB2312" w:hAnsi="仿宋_GB2312" w:eastAsia="仿宋_GB2312" w:cs="仿宋_GB2312"/>
          <w:b/>
          <w:sz w:val="24"/>
          <w:szCs w:val="24"/>
          <w:highlight w:val="green"/>
        </w:rPr>
        <w:t>中标</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color w:val="000000"/>
          <w:sz w:val="24"/>
          <w:szCs w:val="24"/>
          <w:highlight w:val="green"/>
        </w:rPr>
        <w:t>本着公平、公正、公开的原则，在满足技术要求的前提下，选择合理最低价确定中标人</w:t>
      </w:r>
      <w:r>
        <w:rPr>
          <w:rFonts w:hint="eastAsia" w:ascii="仿宋_GB2312" w:hAnsi="仿宋_GB2312" w:eastAsia="仿宋_GB2312" w:cs="仿宋_GB2312"/>
          <w:b/>
          <w:color w:val="000000"/>
          <w:sz w:val="24"/>
          <w:szCs w:val="24"/>
          <w:highlight w:val="green"/>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评标流程：</w:t>
      </w:r>
    </w:p>
    <w:p>
      <w:pPr>
        <w:pStyle w:val="20"/>
        <w:spacing w:line="360" w:lineRule="auto"/>
        <w:ind w:firstLine="482" w:firstLineChars="200"/>
        <w:rPr>
          <w:rFonts w:hint="default" w:ascii="仿宋_GB2312" w:hAnsi="仿宋_GB2312" w:eastAsia="仿宋_GB2312" w:cs="仿宋_GB2312"/>
          <w:b/>
          <w:color w:val="000000"/>
          <w:sz w:val="24"/>
          <w:szCs w:val="24"/>
          <w:lang w:val="en-US" w:eastAsia="zh-CN"/>
        </w:rPr>
      </w:pPr>
      <w:r>
        <w:rPr>
          <w:rFonts w:hint="eastAsia" w:ascii="仿宋_GB2312" w:hAnsi="仿宋_GB2312" w:eastAsia="仿宋_GB2312" w:cs="仿宋_GB2312"/>
          <w:b/>
          <w:color w:val="000000"/>
          <w:sz w:val="24"/>
          <w:szCs w:val="24"/>
          <w:lang w:val="en-US" w:eastAsia="zh-CN"/>
        </w:rPr>
        <w:t>1.合理最低价评标：</w:t>
      </w:r>
    </w:p>
    <w:p>
      <w:pPr>
        <w:pStyle w:val="20"/>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green"/>
        </w:rPr>
        <w:t>1.1-1.1</w:t>
      </w:r>
      <w:r>
        <w:rPr>
          <w:rFonts w:hint="eastAsia" w:ascii="仿宋_GB2312" w:hAnsi="仿宋_GB2312" w:eastAsia="仿宋_GB2312" w:cs="仿宋_GB2312"/>
          <w:b/>
          <w:bCs/>
          <w:color w:val="000000"/>
          <w:sz w:val="24"/>
          <w:szCs w:val="24"/>
          <w:highlight w:val="green"/>
          <w:lang w:val="en-US" w:eastAsia="zh-CN"/>
        </w:rPr>
        <w:t>2</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pPr>
        <w:numPr>
          <w:ilvl w:val="0"/>
          <w:numId w:val="7"/>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pPr>
        <w:adjustRightInd w:val="0"/>
        <w:snapToGrid w:val="0"/>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中标人确定：技术标入围后，</w:t>
      </w:r>
      <w:r>
        <w:rPr>
          <w:rFonts w:hint="eastAsia" w:ascii="仿宋_GB2312" w:hAnsi="仿宋_GB2312" w:eastAsia="仿宋_GB2312" w:cs="仿宋_GB2312"/>
          <w:b/>
          <w:sz w:val="24"/>
          <w:szCs w:val="24"/>
          <w:highlight w:val="green"/>
          <w:lang w:val="en-US" w:eastAsia="zh-CN"/>
        </w:rPr>
        <w:t>原则上合理最低价确定中标</w:t>
      </w:r>
      <w:r>
        <w:rPr>
          <w:rFonts w:hint="eastAsia" w:ascii="仿宋_GB2312" w:hAnsi="仿宋_GB2312" w:eastAsia="仿宋_GB2312" w:cs="仿宋_GB2312"/>
          <w:b/>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5.合同以双方最终签署的版本为准。</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20"/>
        <w:spacing w:line="360" w:lineRule="auto"/>
        <w:rPr>
          <w:rFonts w:hint="eastAsia"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20"/>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（12）不同投标人的投标文件异常一致；</w:t>
      </w:r>
    </w:p>
    <w:p>
      <w:pPr>
        <w:pStyle w:val="20"/>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（13）投标报价呈规律性差异的；</w:t>
      </w:r>
    </w:p>
    <w:p>
      <w:pPr>
        <w:pStyle w:val="20"/>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（14）投标人报价均超过投标限价的；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5</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8"/>
      <w:bookmarkStart w:id="23" w:name="OLE_LINK26"/>
      <w:bookmarkStart w:id="24" w:name="OLE_LINK27"/>
      <w:bookmarkStart w:id="25" w:name="OLE_LINK29"/>
      <w:bookmarkStart w:id="26" w:name="OLE_LINK25"/>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20"/>
        <w:spacing w:line="360" w:lineRule="auto"/>
        <w:ind w:firstLine="480" w:firstLineChars="200"/>
        <w:rPr>
          <w:rFonts w:hint="eastAsia" w:hAnsi="宋体" w:eastAsia="宋体" w:cs="宋体"/>
          <w:bCs/>
          <w:sz w:val="24"/>
          <w:szCs w:val="24"/>
        </w:rPr>
      </w:pPr>
      <w:r>
        <w:rPr>
          <w:rFonts w:hint="eastAsia"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20"/>
        <w:spacing w:line="360" w:lineRule="auto"/>
        <w:jc w:val="center"/>
        <w:rPr>
          <w:rFonts w:hint="eastAsia"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20"/>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highlight w:val="yellow"/>
        </w:rPr>
        <w:t>电子版投标文件为纸质盖章版的扫描件</w:t>
      </w:r>
      <w:r>
        <w:rPr>
          <w:rFonts w:hint="eastAsia" w:eastAsia="宋体" w:cs="宋体"/>
          <w:bCs/>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pPr>
        <w:spacing w:line="360" w:lineRule="auto"/>
        <w:ind w:firstLine="482" w:firstLineChars="200"/>
        <w:rPr>
          <w:rFonts w:hint="eastAsia"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1.1营业执照副本复印件（需加盖公章）；</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1.2投标函（附件1）；</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highlight w:val="none"/>
        </w:rPr>
      </w:pPr>
      <w:bookmarkStart w:id="28" w:name="_Toc212369515"/>
      <w:r>
        <w:rPr>
          <w:rFonts w:hint="eastAsia" w:ascii="宋体" w:hAnsi="宋体" w:eastAsia="宋体" w:cs="宋体"/>
          <w:color w:val="000000"/>
          <w:kern w:val="2"/>
          <w:sz w:val="24"/>
          <w:szCs w:val="24"/>
          <w:highlight w:val="none"/>
          <w:lang w:val="en-US" w:eastAsia="zh-CN" w:bidi="ar"/>
        </w:rPr>
        <w:t>1.3法定代表人授权书（附件2）；法定代表人参加投标的，提供法人身份证明文件即可；被授权人参加投标的，需提供法定代表人授权委托书</w:t>
      </w:r>
      <w:r>
        <w:rPr>
          <w:rFonts w:hint="eastAsia" w:ascii="宋体" w:hAnsi="宋体" w:eastAsia="宋体" w:cs="宋体"/>
          <w:b/>
          <w:bCs w:val="0"/>
          <w:color w:val="000000"/>
          <w:kern w:val="2"/>
          <w:sz w:val="24"/>
          <w:szCs w:val="24"/>
          <w:highlight w:val="none"/>
          <w:lang w:val="en-US" w:eastAsia="zh-CN" w:bidi="ar"/>
        </w:rPr>
        <w:t>（含法人身份证和被授权人身份证正反面复印件）和</w:t>
      </w:r>
      <w:r>
        <w:rPr>
          <w:rFonts w:hint="eastAsia" w:ascii="宋体" w:hAnsi="宋体" w:eastAsia="宋体" w:cs="宋体"/>
          <w:kern w:val="2"/>
          <w:sz w:val="24"/>
          <w:szCs w:val="24"/>
          <w:highlight w:val="yellow"/>
          <w:lang w:val="en-US" w:eastAsia="zh-CN" w:bidi="ar"/>
        </w:rPr>
        <w:t>被授权人</w:t>
      </w:r>
      <w:r>
        <w:rPr>
          <w:rFonts w:hint="eastAsia" w:ascii="宋体" w:hAnsi="宋体" w:eastAsia="宋体" w:cs="宋体"/>
          <w:kern w:val="0"/>
          <w:sz w:val="24"/>
          <w:szCs w:val="24"/>
          <w:highlight w:val="yellow"/>
          <w:lang w:val="en-US" w:eastAsia="zh-CN" w:bidi="ar"/>
        </w:rPr>
        <w:t>近6个月及以上在授权单位的社保缴纳证明</w:t>
      </w:r>
      <w:r>
        <w:rPr>
          <w:rFonts w:hint="eastAsia" w:ascii="宋体" w:hAnsi="宋体" w:eastAsia="宋体" w:cs="宋体"/>
          <w:b/>
          <w:bCs w:val="0"/>
          <w:color w:val="000000"/>
          <w:kern w:val="2"/>
          <w:sz w:val="24"/>
          <w:szCs w:val="24"/>
          <w:highlight w:val="none"/>
          <w:lang w:val="en-US" w:eastAsia="zh-CN" w:bidi="ar"/>
        </w:rPr>
        <w:t>；</w:t>
      </w:r>
      <w:r>
        <w:rPr>
          <w:rFonts w:hint="eastAsia" w:ascii="宋体" w:hAnsi="宋体" w:eastAsia="宋体" w:cs="宋体"/>
          <w:color w:val="000000"/>
          <w:kern w:val="2"/>
          <w:sz w:val="24"/>
          <w:szCs w:val="24"/>
          <w:highlight w:val="yellow"/>
          <w:lang w:val="en-US" w:eastAsia="zh-CN" w:bidi="ar"/>
        </w:rPr>
        <w:t>国内拟投标人具有依法缴纳社会保障资金的良好记录</w:t>
      </w:r>
      <w:r>
        <w:rPr>
          <w:rFonts w:hint="eastAsia" w:ascii="宋体" w:hAnsi="宋体" w:eastAsia="宋体" w:cs="宋体"/>
          <w:color w:val="000000"/>
          <w:kern w:val="2"/>
          <w:sz w:val="24"/>
          <w:szCs w:val="24"/>
          <w:highlight w:val="none"/>
          <w:lang w:val="en-US" w:eastAsia="zh-CN" w:bidi="ar"/>
        </w:rPr>
        <w:t>（</w:t>
      </w:r>
      <w:r>
        <w:rPr>
          <w:rFonts w:hint="eastAsia" w:ascii="宋体" w:hAnsi="宋体" w:eastAsia="宋体" w:cs="宋体"/>
          <w:kern w:val="2"/>
          <w:sz w:val="24"/>
          <w:szCs w:val="24"/>
          <w:highlight w:val="none"/>
          <w:lang w:val="en-US" w:eastAsia="zh-CN" w:bidi="ar"/>
        </w:rPr>
        <w:t>提供2024年度至今任意一个月社会保险的凭据证明材料复印件</w:t>
      </w:r>
      <w:r>
        <w:rPr>
          <w:rFonts w:hint="eastAsia" w:ascii="宋体" w:hAnsi="宋体" w:eastAsia="宋体" w:cs="宋体"/>
          <w:color w:val="000000"/>
          <w:kern w:val="2"/>
          <w:sz w:val="24"/>
          <w:szCs w:val="24"/>
          <w:highlight w:val="none"/>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仿宋_GB2312"/>
          <w:kern w:val="2"/>
          <w:sz w:val="24"/>
          <w:szCs w:val="24"/>
          <w:highlight w:val="yellow"/>
        </w:rPr>
      </w:pPr>
      <w:r>
        <w:rPr>
          <w:rFonts w:hint="eastAsia" w:ascii="宋体" w:hAnsi="宋体" w:eastAsia="宋体" w:cs="宋体"/>
          <w:color w:val="000000"/>
          <w:kern w:val="2"/>
          <w:sz w:val="24"/>
          <w:szCs w:val="24"/>
          <w:highlight w:val="none"/>
          <w:lang w:val="en-US" w:eastAsia="zh-CN" w:bidi="ar"/>
        </w:rPr>
        <w:t>1.4近三年经第三方机构审计的财务报表（报告页、资产负债表、损益表、现金流量表）复印件（需加盖公章），必须连续，（如投标人公司没有经审计的财务报告，可提供加盖公章的近三年财务报表，包括但不限于资产负债表、利润表、现金流量表），且未显示异常，同时填写投标人基本情况表（附件3）；</w:t>
      </w:r>
      <w:r>
        <w:rPr>
          <w:rFonts w:hint="eastAsia" w:ascii="宋体" w:hAnsi="宋体" w:eastAsia="宋体" w:cs="宋体"/>
          <w:kern w:val="2"/>
          <w:sz w:val="24"/>
          <w:szCs w:val="24"/>
          <w:highlight w:val="yellow"/>
          <w:lang w:val="en-US" w:eastAsia="zh-CN" w:bidi="ar"/>
        </w:rPr>
        <w:t>投标人必须为具有生产资质的制造商，具备五年及以上完全自主独立的设计及生产制造能力，本项目</w:t>
      </w:r>
      <w:r>
        <w:rPr>
          <w:rFonts w:hint="eastAsia" w:ascii="宋体" w:hAnsi="宋体" w:eastAsia="宋体" w:cs="宋体"/>
          <w:color w:val="FF0000"/>
          <w:kern w:val="2"/>
          <w:sz w:val="24"/>
          <w:szCs w:val="24"/>
          <w:highlight w:val="yellow"/>
          <w:lang w:val="en-US" w:eastAsia="zh-CN" w:bidi="ar"/>
        </w:rPr>
        <w:t>不接受代理商或贸易商</w:t>
      </w:r>
      <w:r>
        <w:rPr>
          <w:rFonts w:hint="eastAsia" w:ascii="宋体" w:hAnsi="宋体" w:eastAsia="宋体" w:cs="宋体"/>
          <w:kern w:val="2"/>
          <w:sz w:val="24"/>
          <w:szCs w:val="24"/>
          <w:highlight w:val="yellow"/>
          <w:lang w:val="en-US" w:eastAsia="zh-CN" w:bidi="ar"/>
        </w:rPr>
        <w:t>参与投标，且必须通过ISO9001、ISO14001等质量体系认证，环境管理体系认证和高新技术企业证（提供复印件并加盖公章）；</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1.5近三年内在经营活动中无与本项目有关的违法及重大违规行为的声明；</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1.6</w:t>
      </w:r>
      <w:r>
        <w:rPr>
          <w:rFonts w:hint="eastAsia" w:ascii="宋体" w:hAnsi="宋体" w:eastAsia="宋体" w:cs="宋体"/>
          <w:kern w:val="2"/>
          <w:sz w:val="24"/>
          <w:szCs w:val="24"/>
          <w:highlight w:val="none"/>
          <w:lang w:val="en-US" w:eastAsia="zh-CN" w:bidi="ar"/>
        </w:rPr>
        <w:t>投标方信用记录良好，无失信被执行人记录、无采购违法、受行政处罚等行为。（提供在信用中国官网、中国政府采购网、中国执行信息公开网、国家税务总局网站的信息查询结果截屏，并加盖单位公章，做入投标文件中</w:t>
      </w:r>
      <w:r>
        <w:rPr>
          <w:rFonts w:hint="eastAsia" w:ascii="宋体" w:hAnsi="宋体" w:eastAsia="宋体" w:cs="宋体"/>
          <w:color w:val="000000"/>
          <w:kern w:val="2"/>
          <w:sz w:val="24"/>
          <w:szCs w:val="24"/>
          <w:highlight w:val="none"/>
          <w:lang w:val="en-US" w:eastAsia="zh-CN" w:bidi="ar"/>
        </w:rPr>
        <w:t>；（</w:t>
      </w:r>
      <w:r>
        <w:rPr>
          <w:rFonts w:hint="eastAsia" w:ascii="宋体" w:hAnsi="宋体" w:eastAsia="宋体" w:cs="宋体"/>
          <w:color w:val="000000"/>
          <w:kern w:val="2"/>
          <w:sz w:val="24"/>
          <w:szCs w:val="24"/>
          <w:highlight w:val="yellow"/>
          <w:lang w:val="en-US" w:eastAsia="zh-CN" w:bidi="ar"/>
        </w:rPr>
        <w:t>附投标当日系统内相关截图</w:t>
      </w:r>
      <w:r>
        <w:rPr>
          <w:rFonts w:hint="eastAsia" w:ascii="宋体" w:hAnsi="宋体" w:eastAsia="宋体" w:cs="宋体"/>
          <w:color w:val="000000"/>
          <w:kern w:val="2"/>
          <w:sz w:val="24"/>
          <w:szCs w:val="24"/>
          <w:highlight w:val="none"/>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等线" w:hAnsi="等线" w:eastAsia="等线" w:cs="Times New Roman"/>
          <w:kern w:val="2"/>
          <w:sz w:val="21"/>
          <w:szCs w:val="21"/>
          <w:highlight w:val="none"/>
        </w:rPr>
      </w:pPr>
      <w:r>
        <w:rPr>
          <w:rFonts w:hint="eastAsia" w:ascii="宋体" w:hAnsi="宋体" w:eastAsia="宋体" w:cs="宋体"/>
          <w:color w:val="000000"/>
          <w:kern w:val="2"/>
          <w:sz w:val="24"/>
          <w:szCs w:val="24"/>
          <w:highlight w:val="none"/>
          <w:lang w:val="en-US" w:eastAsia="zh-CN" w:bidi="ar"/>
        </w:rPr>
        <w:t>1.7</w:t>
      </w:r>
      <w:r>
        <w:rPr>
          <w:rFonts w:hint="eastAsia" w:ascii="宋体" w:hAnsi="宋体" w:eastAsia="宋体" w:cs="宋体"/>
          <w:kern w:val="2"/>
          <w:sz w:val="24"/>
          <w:szCs w:val="24"/>
          <w:highlight w:val="none"/>
          <w:lang w:val="en-US" w:eastAsia="zh-CN" w:bidi="ar"/>
        </w:rPr>
        <w:t>企业对外担保说明（写明贵单位对外有无对外担保和质押业务，需加盖公章）</w:t>
      </w:r>
      <w:r>
        <w:rPr>
          <w:rFonts w:hint="eastAsia" w:ascii="宋体" w:hAnsi="宋体" w:eastAsia="宋体" w:cs="宋体"/>
          <w:color w:val="000000"/>
          <w:kern w:val="2"/>
          <w:sz w:val="24"/>
          <w:szCs w:val="24"/>
          <w:highlight w:val="none"/>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1.8企业信用证明材料（</w:t>
      </w:r>
      <w:r>
        <w:rPr>
          <w:rFonts w:hint="eastAsia" w:ascii="宋体" w:hAnsi="宋体" w:eastAsia="宋体" w:cs="宋体"/>
          <w:color w:val="000000"/>
          <w:kern w:val="2"/>
          <w:sz w:val="24"/>
          <w:szCs w:val="24"/>
          <w:highlight w:val="yellow"/>
          <w:lang w:val="en-US" w:eastAsia="zh-CN" w:bidi="ar"/>
        </w:rPr>
        <w:t>信用报告</w:t>
      </w:r>
      <w:r>
        <w:rPr>
          <w:rFonts w:hint="eastAsia" w:ascii="宋体" w:hAnsi="宋体" w:eastAsia="宋体" w:cs="宋体"/>
          <w:color w:val="000000"/>
          <w:kern w:val="2"/>
          <w:sz w:val="24"/>
          <w:szCs w:val="24"/>
          <w:highlight w:val="none"/>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1.9</w:t>
      </w:r>
      <w:r>
        <w:rPr>
          <w:rFonts w:hint="eastAsia" w:ascii="宋体" w:hAnsi="宋体" w:eastAsia="宋体" w:cs="宋体"/>
          <w:kern w:val="2"/>
          <w:sz w:val="24"/>
          <w:szCs w:val="24"/>
          <w:highlight w:val="none"/>
          <w:lang w:val="en-US" w:eastAsia="zh-CN" w:bidi="ar"/>
        </w:rPr>
        <w:t>投标方在本项目所使用控制软件必须具备完全的自主知识产权，投标方需提供相关证明材料，包括软件的专利证书、著作权登记证明等，以证明其软件具备自主知识产权</w:t>
      </w:r>
      <w:r>
        <w:rPr>
          <w:rFonts w:hint="eastAsia" w:ascii="宋体" w:hAnsi="宋体" w:eastAsia="宋体" w:cs="宋体"/>
          <w:color w:val="000000"/>
          <w:kern w:val="2"/>
          <w:sz w:val="24"/>
          <w:szCs w:val="24"/>
          <w:highlight w:val="none"/>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1.10企业最近半年的完税证明，并附</w:t>
      </w:r>
      <w:r>
        <w:rPr>
          <w:rFonts w:hint="eastAsia" w:ascii="宋体" w:hAnsi="宋体" w:eastAsia="宋体" w:cs="宋体"/>
          <w:kern w:val="2"/>
          <w:sz w:val="24"/>
          <w:szCs w:val="24"/>
          <w:highlight w:val="none"/>
          <w:lang w:val="en-US" w:eastAsia="zh-CN" w:bidi="ar"/>
        </w:rPr>
        <w:t>年度纳税信用评价信息（可从电子税务局查询截图，需加盖公章）</w:t>
      </w:r>
      <w:r>
        <w:rPr>
          <w:rFonts w:hint="eastAsia" w:ascii="宋体" w:hAnsi="宋体" w:eastAsia="宋体" w:cs="宋体"/>
          <w:color w:val="000000"/>
          <w:kern w:val="2"/>
          <w:sz w:val="24"/>
          <w:szCs w:val="24"/>
          <w:highlight w:val="none"/>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1.11保密承诺函（附件4）；</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0"/>
        <w:jc w:val="left"/>
        <w:textAlignment w:val="auto"/>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1.12</w:t>
      </w:r>
      <w:r>
        <w:rPr>
          <w:rFonts w:hint="eastAsia" w:ascii="宋体" w:hAnsi="宋体" w:eastAsia="宋体" w:cs="宋体"/>
          <w:sz w:val="24"/>
          <w:szCs w:val="24"/>
          <w:highlight w:val="none"/>
          <w:lang w:val="en-US" w:eastAsia="zh-CN"/>
        </w:rPr>
        <w:t>自挂网之日起以往三年时间内，有向主机厂和电驱系统企业已成功交付使用的IPX9K防水试验箱项目案例。</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000000"/>
          <w:kern w:val="2"/>
          <w:sz w:val="24"/>
          <w:szCs w:val="24"/>
          <w:highlight w:val="none"/>
        </w:rPr>
      </w:pPr>
      <w:r>
        <w:rPr>
          <w:rFonts w:hint="eastAsia" w:ascii="宋体" w:hAnsi="宋体" w:eastAsia="宋体" w:cs="宋体"/>
          <w:color w:val="000000"/>
          <w:kern w:val="2"/>
          <w:sz w:val="24"/>
          <w:szCs w:val="24"/>
          <w:highlight w:val="none"/>
          <w:lang w:val="en-US" w:eastAsia="zh-CN" w:bidi="ar"/>
        </w:rPr>
        <w:t>1.13投标保证金缴纳凭证</w:t>
      </w:r>
      <w:r>
        <w:rPr>
          <w:rFonts w:hint="eastAsia" w:ascii="宋体" w:hAnsi="宋体" w:eastAsia="宋体" w:cs="宋体"/>
          <w:color w:val="000000"/>
          <w:kern w:val="2"/>
          <w:sz w:val="24"/>
          <w:szCs w:val="24"/>
          <w:highlight w:val="yellow"/>
          <w:lang w:val="en-US" w:eastAsia="zh-CN" w:bidi="ar"/>
        </w:rPr>
        <w:t>，同时</w:t>
      </w:r>
      <w:r>
        <w:rPr>
          <w:rFonts w:hint="eastAsia" w:ascii="宋体" w:hAnsi="宋体" w:eastAsia="宋体" w:cs="宋体"/>
          <w:color w:val="000000"/>
          <w:kern w:val="2"/>
          <w:sz w:val="24"/>
          <w:szCs w:val="24"/>
          <w:highlight w:val="none"/>
          <w:lang w:val="en-US" w:eastAsia="zh-CN" w:bidi="ar"/>
        </w:rPr>
        <w:t>正文描述付款账号、户名、开户行名称、开户行行号、保证金金额。</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sz w:val="24"/>
          <w:szCs w:val="24"/>
          <w:highlight w:val="yellow"/>
        </w:rPr>
      </w:pPr>
      <w:r>
        <w:rPr>
          <w:rFonts w:hint="eastAsia" w:ascii="宋体" w:hAnsi="宋体" w:eastAsia="宋体" w:cs="宋体"/>
          <w:bCs/>
          <w:color w:val="000000"/>
          <w:sz w:val="24"/>
          <w:szCs w:val="24"/>
        </w:rPr>
        <w:t>2.2</w:t>
      </w:r>
      <w:r>
        <w:rPr>
          <w:rFonts w:hint="eastAsia" w:hAnsi="宋体" w:eastAsia="宋体" w:cs="宋体"/>
          <w:color w:val="000000"/>
          <w:sz w:val="24"/>
          <w:szCs w:val="24"/>
          <w:highlight w:val="yellow"/>
        </w:rPr>
        <w:t>设备分项配置表（附件5-2），列明项目设备分项配置规格型号、品牌等信息（要求分项明细与附表9-1完全对应）</w:t>
      </w:r>
      <w:r>
        <w:rPr>
          <w:rFonts w:hint="eastAsia" w:hAnsi="宋体" w:eastAsia="宋体" w:cs="宋体"/>
          <w:b/>
          <w:color w:val="000000"/>
          <w:sz w:val="24"/>
          <w:szCs w:val="24"/>
          <w:highlight w:val="yellow"/>
        </w:rPr>
        <w:t>；</w:t>
      </w:r>
    </w:p>
    <w:p>
      <w:pPr>
        <w:spacing w:line="360" w:lineRule="auto"/>
        <w:ind w:firstLine="480" w:firstLineChars="200"/>
        <w:rPr>
          <w:rFonts w:hint="eastAsia" w:hAnsi="宋体" w:eastAsia="宋体" w:cs="宋体"/>
          <w:b/>
          <w:color w:val="000000"/>
          <w:sz w:val="24"/>
          <w:szCs w:val="24"/>
          <w:highlight w:val="yellow"/>
        </w:rPr>
      </w:pPr>
      <w:r>
        <w:rPr>
          <w:rFonts w:hint="eastAsia" w:ascii="宋体" w:hAnsi="宋体" w:eastAsia="宋体" w:cs="宋体"/>
          <w:bCs/>
          <w:color w:val="000000"/>
          <w:sz w:val="24"/>
          <w:szCs w:val="24"/>
        </w:rPr>
        <w:t>2.3</w:t>
      </w:r>
      <w:r>
        <w:rPr>
          <w:rFonts w:hint="eastAsia" w:ascii="宋体" w:hAnsi="宋体" w:eastAsia="宋体" w:cs="宋体"/>
          <w:b/>
          <w:bCs/>
          <w:kern w:val="0"/>
          <w:sz w:val="24"/>
          <w:szCs w:val="20"/>
        </w:rPr>
        <w:t>提供本项目生命周期内所涉及到所有备品备件、易损件和专用耗材明细表（附件5-3），用于质保期外，招标人能够根据清单快速找到同规格产品。</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2.4提供</w:t>
      </w:r>
      <w:r>
        <w:rPr>
          <w:rFonts w:hint="eastAsia" w:ascii="宋体" w:hAnsi="宋体" w:eastAsia="宋体" w:cs="宋体"/>
          <w:color w:val="000000"/>
          <w:sz w:val="24"/>
          <w:szCs w:val="24"/>
          <w:highlight w:val="yellow"/>
        </w:rPr>
        <w:t>2022年8月1日</w:t>
      </w:r>
      <w:r>
        <w:rPr>
          <w:rFonts w:hint="eastAsia" w:ascii="宋体" w:hAnsi="宋体" w:eastAsia="宋体" w:cs="宋体"/>
          <w:color w:val="000000"/>
          <w:sz w:val="24"/>
          <w:szCs w:val="24"/>
        </w:rPr>
        <w:t>以来同类产品的制造销售业绩（附件6，用户名单、联系方式），并附合同复印件。该同类项目业绩一览表必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2.8投标产品技术支持材料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2.9设备质量承诺函（附件7）；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2.10投标人需提交的其它资料；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2.10投标人需提交的其它资料。</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lang w:val="en-US" w:eastAsia="zh-CN"/>
        </w:rPr>
        <w:t>·</w:t>
      </w:r>
      <w:r>
        <w:rPr>
          <w:rFonts w:hint="eastAsia" w:ascii="Calibri" w:hAnsi="Calibri" w:eastAsia="宋体" w:cs="Times New Roman"/>
          <w:b/>
          <w:bCs/>
          <w:kern w:val="44"/>
          <w:sz w:val="36"/>
          <w:szCs w:val="44"/>
        </w:rPr>
        <w:t>第四部分 技术标书</w:t>
      </w:r>
    </w:p>
    <w:p>
      <w:pPr>
        <w:pStyle w:val="20"/>
      </w:pPr>
    </w:p>
    <w:p>
      <w:pPr>
        <w:keepNext/>
        <w:keepLines/>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hint="eastAsia" w:ascii="Calibri" w:hAnsi="宋体" w:eastAsia="宋体" w:cs="Times New Roman"/>
          <w:b/>
          <w:bCs/>
          <w:spacing w:val="-8"/>
          <w:sz w:val="48"/>
          <w:szCs w:val="44"/>
          <w:lang w:eastAsia="zh-CN"/>
        </w:rPr>
      </w:pPr>
      <w:r>
        <w:rPr>
          <w:rFonts w:hint="eastAsia" w:ascii="Calibri" w:hAnsi="宋体" w:eastAsia="宋体" w:cs="Times New Roman"/>
          <w:b/>
          <w:bCs/>
          <w:spacing w:val="-8"/>
          <w:sz w:val="48"/>
          <w:szCs w:val="44"/>
          <w:lang w:eastAsia="zh-CN"/>
        </w:rPr>
        <w:t>IP9K防水试验箱项目</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p>
    <w:p>
      <w:pPr>
        <w:jc w:val="right"/>
        <w:rPr>
          <w:rFonts w:ascii="Calibri" w:hAnsi="Calibri" w:eastAsia="宋体" w:cs="Times New Roman"/>
          <w:color w:val="000000"/>
          <w:sz w:val="28"/>
          <w:szCs w:val="28"/>
        </w:rPr>
      </w:pPr>
    </w:p>
    <w:p>
      <w:pPr>
        <w:pStyle w:val="20"/>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20"/>
      </w:pPr>
    </w:p>
    <w:p>
      <w:pPr>
        <w:pStyle w:val="20"/>
        <w:rPr>
          <w:rFonts w:hint="eastAsia" w:ascii="黑体" w:hAnsi="宋体" w:eastAsia="黑体" w:cs="Times New Roman"/>
          <w:color w:val="000000"/>
          <w:sz w:val="72"/>
          <w:szCs w:val="72"/>
        </w:rPr>
      </w:pPr>
    </w:p>
    <w:p>
      <w:pPr>
        <w:pStyle w:val="20"/>
        <w:rPr>
          <w:rFonts w:hint="eastAsia" w:ascii="黑体" w:hAnsi="宋体" w:eastAsia="黑体" w:cs="Times New Roman"/>
          <w:color w:val="000000"/>
          <w:sz w:val="72"/>
          <w:szCs w:val="72"/>
        </w:rPr>
      </w:pPr>
    </w:p>
    <w:p>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w:t>
      </w:r>
      <w:r>
        <w:rPr>
          <w:rFonts w:hint="eastAsia" w:ascii="华文仿宋" w:hAnsi="华文仿宋" w:eastAsia="华文仿宋"/>
          <w:b/>
          <w:bCs/>
          <w:sz w:val="32"/>
          <w:szCs w:val="28"/>
          <w:lang w:val="en-US" w:eastAsia="zh-CN"/>
        </w:rPr>
        <w:t>赵强</w:t>
      </w:r>
      <w:r>
        <w:rPr>
          <w:rFonts w:hint="eastAsia" w:ascii="华文仿宋" w:hAnsi="华文仿宋" w:eastAsia="华文仿宋"/>
          <w:b/>
          <w:bCs/>
          <w:sz w:val="32"/>
          <w:szCs w:val="28"/>
        </w:rPr>
        <w:t xml:space="preserve">           </w:t>
      </w: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w:t>
      </w:r>
      <w:r>
        <w:rPr>
          <w:rFonts w:hint="eastAsia" w:ascii="华文仿宋" w:hAnsi="华文仿宋" w:eastAsia="华文仿宋"/>
          <w:b/>
          <w:bCs/>
          <w:sz w:val="32"/>
          <w:szCs w:val="28"/>
          <w:lang w:val="en-US" w:eastAsia="zh-CN"/>
        </w:rPr>
        <w:t>江国斌</w:t>
      </w:r>
      <w:r>
        <w:rPr>
          <w:rFonts w:hint="eastAsia" w:ascii="华文仿宋" w:hAnsi="华文仿宋" w:eastAsia="华文仿宋"/>
          <w:b/>
          <w:bCs/>
          <w:sz w:val="32"/>
          <w:szCs w:val="28"/>
        </w:rPr>
        <w:t xml:space="preserve">             </w:t>
      </w:r>
    </w:p>
    <w:p>
      <w:pPr>
        <w:spacing w:line="860" w:lineRule="exact"/>
        <w:rPr>
          <w:rFonts w:hint="default" w:ascii="华文仿宋" w:hAnsi="华文仿宋" w:eastAsia="华文仿宋"/>
          <w:b/>
          <w:bCs/>
          <w:sz w:val="32"/>
          <w:szCs w:val="28"/>
          <w:lang w:val="en-US" w:eastAsia="zh-CN"/>
        </w:rPr>
      </w:pPr>
      <w:r>
        <w:rPr>
          <w:rFonts w:hint="eastAsia" w:ascii="华文仿宋" w:hAnsi="华文仿宋" w:eastAsia="华文仿宋"/>
          <w:b/>
          <w:bCs/>
          <w:sz w:val="32"/>
          <w:szCs w:val="28"/>
        </w:rPr>
        <w:t xml:space="preserve">                 批准：</w:t>
      </w:r>
      <w:r>
        <w:rPr>
          <w:rFonts w:hint="eastAsia" w:ascii="华文仿宋" w:hAnsi="华文仿宋" w:eastAsia="华文仿宋"/>
          <w:b/>
          <w:bCs/>
          <w:sz w:val="32"/>
          <w:szCs w:val="28"/>
          <w:lang w:val="en-US" w:eastAsia="zh-CN"/>
        </w:rPr>
        <w:t>郭晓勐</w:t>
      </w:r>
    </w:p>
    <w:p>
      <w:pPr>
        <w:pStyle w:val="20"/>
        <w:rPr>
          <w:b/>
          <w:bCs/>
        </w:rPr>
      </w:pPr>
    </w:p>
    <w:p>
      <w:pPr>
        <w:jc w:val="center"/>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pStyle w:val="15"/>
      </w:pP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6</w:t>
      </w:r>
      <w:r>
        <w:rPr>
          <w:rFonts w:hint="eastAsia" w:ascii="Calibri" w:hAnsi="Calibri" w:eastAsia="宋体" w:cs="Times New Roman"/>
          <w:color w:val="000000"/>
          <w:sz w:val="28"/>
          <w:szCs w:val="28"/>
        </w:rPr>
        <w:t>月</w:t>
      </w:r>
    </w:p>
    <w:p>
      <w:pPr>
        <w:spacing w:line="360" w:lineRule="auto"/>
        <w:rPr>
          <w:rFonts w:hint="eastAsia" w:ascii="宋体" w:hAnsi="宋体" w:eastAsia="宋体" w:cs="Times New Roman"/>
          <w:b/>
          <w:sz w:val="36"/>
          <w:szCs w:val="36"/>
        </w:rPr>
      </w:pPr>
    </w:p>
    <w:p>
      <w:pPr>
        <w:pStyle w:val="15"/>
        <w:sectPr>
          <w:footerReference r:id="rId9" w:type="default"/>
          <w:pgSz w:w="11907" w:h="16840"/>
          <w:pgMar w:top="1304" w:right="1418" w:bottom="1304" w:left="1418" w:header="724" w:footer="851" w:gutter="0"/>
          <w:pgNumType w:start="1"/>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rPr>
      </w:pPr>
      <w:bookmarkStart w:id="32"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bookmarkEnd w:id="32"/>
    </w:p>
    <w:p>
      <w:pPr>
        <w:keepNext/>
        <w:keepLines/>
        <w:spacing w:before="120" w:after="120" w:line="480" w:lineRule="exact"/>
        <w:jc w:val="center"/>
        <w:outlineLvl w:val="2"/>
        <w:rPr>
          <w:rFonts w:ascii="Arial" w:hAnsi="Arial" w:eastAsia="宋体" w:cs="Times New Roman"/>
          <w:b/>
          <w:bCs/>
          <w:sz w:val="24"/>
          <w:szCs w:val="24"/>
        </w:rPr>
      </w:pPr>
      <w:bookmarkStart w:id="33"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33"/>
    </w:p>
    <w:p>
      <w:pPr>
        <w:spacing w:line="360" w:lineRule="auto"/>
        <w:outlineLvl w:val="3"/>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olor w:val="000000"/>
          <w:sz w:val="24"/>
          <w:szCs w:val="24"/>
          <w:u w:val="single"/>
          <w:lang w:eastAsia="zh-CN"/>
        </w:rPr>
        <w:t>IP9K防水试验箱项目</w:t>
      </w:r>
    </w:p>
    <w:p>
      <w:pPr>
        <w:spacing w:line="360" w:lineRule="auto"/>
        <w:outlineLvl w:val="3"/>
        <w:rPr>
          <w:rFonts w:hint="eastAsia" w:ascii="宋体" w:hAnsi="宋体" w:eastAsia="宋体" w:cs="宋体"/>
          <w:sz w:val="24"/>
          <w:szCs w:val="24"/>
          <w:highlight w:val="none"/>
          <w:u w:val="single"/>
          <w:shd w:val="pct10" w:color="auto" w:fill="FFFFFF"/>
        </w:rPr>
      </w:pPr>
      <w:r>
        <w:rPr>
          <w:rFonts w:hint="eastAsia" w:ascii="宋体" w:hAnsi="宋体" w:eastAsia="宋体" w:cs="宋体"/>
          <w:sz w:val="24"/>
          <w:szCs w:val="24"/>
          <w:highlight w:val="none"/>
        </w:rPr>
        <w:t>二、建设地点：</w:t>
      </w:r>
      <w:r>
        <w:rPr>
          <w:rFonts w:hint="eastAsia" w:ascii="宋体" w:hAnsi="宋体" w:eastAsia="宋体" w:cs="宋体"/>
          <w:color w:val="000000"/>
          <w:sz w:val="24"/>
          <w:szCs w:val="24"/>
          <w:highlight w:val="none"/>
          <w:u w:val="single"/>
        </w:rPr>
        <w:t>济南市莱芜区口镇重汽工业园</w:t>
      </w:r>
    </w:p>
    <w:p>
      <w:pPr>
        <w:spacing w:line="360" w:lineRule="auto"/>
        <w:outlineLvl w:val="3"/>
        <w:rPr>
          <w:rFonts w:hint="eastAsia" w:ascii="宋体" w:hAnsi="宋体" w:eastAsia="宋体" w:cs="宋体"/>
          <w:sz w:val="24"/>
          <w:szCs w:val="24"/>
          <w:highlight w:val="none"/>
        </w:rPr>
      </w:pPr>
      <w:r>
        <w:rPr>
          <w:rFonts w:hint="eastAsia" w:ascii="宋体" w:hAnsi="宋体" w:eastAsia="宋体" w:cs="宋体"/>
          <w:sz w:val="24"/>
          <w:szCs w:val="24"/>
          <w:highlight w:val="none"/>
        </w:rPr>
        <w:t>三、使用地点：</w:t>
      </w:r>
      <w:r>
        <w:rPr>
          <w:rFonts w:hint="eastAsia" w:ascii="宋体" w:hAnsi="宋体" w:eastAsia="宋体" w:cs="宋体"/>
          <w:color w:val="000000"/>
          <w:sz w:val="24"/>
          <w:szCs w:val="24"/>
          <w:highlight w:val="none"/>
          <w:u w:val="single"/>
        </w:rPr>
        <w:t>济南市莱芜区口镇重汽工业园</w:t>
      </w:r>
    </w:p>
    <w:p>
      <w:pPr>
        <w:spacing w:line="360" w:lineRule="auto"/>
        <w:outlineLvl w:val="3"/>
        <w:rPr>
          <w:rFonts w:hint="eastAsia" w:ascii="宋体" w:hAnsi="宋体" w:eastAsia="宋体" w:cs="宋体"/>
          <w:sz w:val="24"/>
          <w:szCs w:val="24"/>
          <w:highlight w:val="none"/>
        </w:rPr>
      </w:pPr>
      <w:r>
        <w:rPr>
          <w:rFonts w:hint="eastAsia" w:ascii="宋体" w:hAnsi="宋体" w:eastAsia="宋体" w:cs="宋体"/>
          <w:sz w:val="24"/>
          <w:szCs w:val="24"/>
          <w:highlight w:val="none"/>
        </w:rPr>
        <w:t>四、工作制度：全年工作</w:t>
      </w:r>
      <w:r>
        <w:rPr>
          <w:rFonts w:ascii="宋体" w:hAnsi="宋体" w:eastAsia="宋体" w:cs="宋体"/>
          <w:sz w:val="24"/>
          <w:szCs w:val="24"/>
          <w:highlight w:val="none"/>
        </w:rPr>
        <w:t>274天、两班制、设备年时基数4380小时</w:t>
      </w:r>
    </w:p>
    <w:p>
      <w:pPr>
        <w:spacing w:line="360" w:lineRule="auto"/>
        <w:outlineLvl w:val="3"/>
        <w:rPr>
          <w:rFonts w:hint="eastAsia" w:ascii="宋体" w:hAnsi="宋体" w:eastAsia="宋体" w:cs="宋体"/>
          <w:sz w:val="24"/>
          <w:szCs w:val="24"/>
          <w:highlight w:val="none"/>
        </w:rPr>
      </w:pPr>
      <w:r>
        <w:rPr>
          <w:rFonts w:hint="eastAsia" w:ascii="宋体" w:hAnsi="宋体" w:eastAsia="宋体" w:cs="宋体"/>
          <w:sz w:val="24"/>
          <w:szCs w:val="24"/>
          <w:highlight w:val="none"/>
        </w:rPr>
        <w:t>五、使用地点区域自然环境：</w:t>
      </w:r>
    </w:p>
    <w:p>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1.海拔高度：</w:t>
      </w:r>
      <w:r>
        <w:rPr>
          <w:rFonts w:ascii="宋体" w:hAnsi="宋体" w:eastAsia="宋体" w:cs="宋体"/>
          <w:bCs/>
          <w:sz w:val="24"/>
          <w:szCs w:val="24"/>
          <w:highlight w:val="none"/>
        </w:rPr>
        <w:t>1000m以下</w:t>
      </w:r>
      <w:r>
        <w:rPr>
          <w:rFonts w:hint="eastAsia" w:ascii="宋体" w:hAnsi="宋体" w:eastAsia="宋体" w:cs="宋体"/>
          <w:bCs/>
          <w:sz w:val="24"/>
          <w:szCs w:val="24"/>
          <w:highlight w:val="none"/>
        </w:rPr>
        <w:t>。</w:t>
      </w:r>
    </w:p>
    <w:p>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2.环境温度：室外极端最低温度</w:t>
      </w:r>
      <w:r>
        <w:rPr>
          <w:rFonts w:ascii="宋体" w:hAnsi="宋体" w:eastAsia="宋体" w:cs="宋体"/>
          <w:bCs/>
          <w:sz w:val="24"/>
          <w:szCs w:val="24"/>
          <w:highlight w:val="none"/>
        </w:rPr>
        <w:t>-20℃、极端最高温度45℃，昼夜最大温差25℃。</w:t>
      </w:r>
    </w:p>
    <w:p>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3.相对湿度：年平均</w:t>
      </w:r>
      <w:r>
        <w:rPr>
          <w:rFonts w:ascii="宋体" w:hAnsi="宋体" w:eastAsia="宋体" w:cs="宋体"/>
          <w:bCs/>
          <w:sz w:val="24"/>
          <w:szCs w:val="24"/>
          <w:highlight w:val="none"/>
        </w:rPr>
        <w:t>59%，</w:t>
      </w:r>
      <w:r>
        <w:rPr>
          <w:rFonts w:hint="eastAsia" w:ascii="宋体" w:hAnsi="宋体" w:eastAsia="宋体" w:cs="宋体"/>
          <w:bCs/>
          <w:sz w:val="24"/>
          <w:szCs w:val="24"/>
          <w:highlight w:val="none"/>
        </w:rPr>
        <w:t>最大95%、最小15%。</w:t>
      </w:r>
    </w:p>
    <w:p>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3.相对湿度：</w:t>
      </w:r>
      <w:r>
        <w:rPr>
          <w:rFonts w:ascii="宋体" w:hAnsi="宋体" w:eastAsia="宋体" w:cs="宋体"/>
          <w:bCs/>
          <w:sz w:val="24"/>
          <w:szCs w:val="24"/>
          <w:highlight w:val="none"/>
        </w:rPr>
        <w:t>地震设防裂度：七度</w:t>
      </w:r>
      <w:r>
        <w:rPr>
          <w:rFonts w:hint="eastAsia" w:ascii="宋体" w:hAnsi="宋体" w:eastAsia="宋体" w:cs="宋体"/>
          <w:bCs/>
          <w:sz w:val="24"/>
          <w:szCs w:val="24"/>
          <w:highlight w:val="none"/>
        </w:rPr>
        <w:t>。</w:t>
      </w:r>
    </w:p>
    <w:p>
      <w:pPr>
        <w:spacing w:line="360" w:lineRule="auto"/>
        <w:outlineLvl w:val="3"/>
        <w:rPr>
          <w:rFonts w:hint="eastAsia" w:ascii="宋体" w:hAnsi="宋体" w:eastAsia="宋体" w:cs="宋体"/>
          <w:bCs/>
          <w:sz w:val="24"/>
          <w:szCs w:val="24"/>
          <w:highlight w:val="none"/>
        </w:rPr>
      </w:pPr>
      <w:r>
        <w:rPr>
          <w:rFonts w:hint="eastAsia" w:ascii="宋体" w:hAnsi="宋体" w:eastAsia="宋体" w:cs="宋体"/>
          <w:bCs/>
          <w:sz w:val="24"/>
          <w:szCs w:val="24"/>
          <w:highlight w:val="none"/>
        </w:rPr>
        <w:t>六、使用试验室环境条件：</w:t>
      </w:r>
    </w:p>
    <w:p>
      <w:pPr>
        <w:pStyle w:val="20"/>
        <w:spacing w:line="360" w:lineRule="auto"/>
        <w:ind w:firstLine="480"/>
        <w:rPr>
          <w:rFonts w:hint="eastAsia" w:hAnsi="宋体" w:eastAsia="宋体" w:cs="宋体"/>
          <w:bCs/>
          <w:sz w:val="24"/>
          <w:szCs w:val="24"/>
          <w:highlight w:val="none"/>
        </w:rPr>
      </w:pPr>
      <w:r>
        <w:rPr>
          <w:rFonts w:hAnsi="宋体" w:eastAsia="宋体" w:cs="宋体"/>
          <w:bCs/>
          <w:sz w:val="24"/>
          <w:szCs w:val="24"/>
          <w:highlight w:val="none"/>
        </w:rPr>
        <w:t>1</w:t>
      </w:r>
      <w:r>
        <w:rPr>
          <w:rFonts w:hint="eastAsia" w:hAnsi="宋体" w:eastAsia="宋体" w:cs="宋体"/>
          <w:bCs/>
          <w:sz w:val="24"/>
          <w:szCs w:val="24"/>
          <w:highlight w:val="none"/>
        </w:rPr>
        <w:t>.</w:t>
      </w:r>
      <w:r>
        <w:rPr>
          <w:rFonts w:hAnsi="宋体" w:eastAsia="宋体" w:cs="宋体"/>
          <w:bCs/>
          <w:sz w:val="24"/>
          <w:szCs w:val="24"/>
          <w:highlight w:val="none"/>
        </w:rPr>
        <w:t>电力：中国制式，供电电压380V±15%。</w:t>
      </w:r>
    </w:p>
    <w:p>
      <w:pPr>
        <w:pStyle w:val="20"/>
        <w:spacing w:line="360" w:lineRule="auto"/>
        <w:ind w:firstLine="480"/>
        <w:rPr>
          <w:rFonts w:hint="eastAsia" w:hAnsi="宋体" w:eastAsia="宋体" w:cs="宋体"/>
          <w:bCs/>
          <w:sz w:val="24"/>
          <w:szCs w:val="24"/>
          <w:highlight w:val="none"/>
        </w:rPr>
      </w:pPr>
      <w:r>
        <w:rPr>
          <w:rFonts w:hAnsi="宋体" w:eastAsia="宋体" w:cs="宋体"/>
          <w:bCs/>
          <w:sz w:val="24"/>
          <w:szCs w:val="24"/>
          <w:highlight w:val="none"/>
        </w:rPr>
        <w:t>2</w:t>
      </w:r>
      <w:r>
        <w:rPr>
          <w:rFonts w:hint="eastAsia" w:hAnsi="宋体" w:eastAsia="宋体" w:cs="宋体"/>
          <w:bCs/>
          <w:sz w:val="24"/>
          <w:szCs w:val="24"/>
          <w:highlight w:val="none"/>
        </w:rPr>
        <w:t>.</w:t>
      </w:r>
      <w:r>
        <w:rPr>
          <w:rFonts w:hAnsi="宋体" w:eastAsia="宋体" w:cs="宋体"/>
          <w:bCs/>
          <w:sz w:val="24"/>
          <w:szCs w:val="24"/>
          <w:highlight w:val="none"/>
        </w:rPr>
        <w:t>电力：中国制式，供电电压220V±15%，50Hz±2%。</w:t>
      </w:r>
    </w:p>
    <w:p>
      <w:pPr>
        <w:pStyle w:val="20"/>
        <w:spacing w:line="360" w:lineRule="auto"/>
        <w:ind w:firstLine="480"/>
        <w:rPr>
          <w:rFonts w:hint="eastAsia" w:hAnsi="宋体" w:eastAsia="宋体" w:cs="宋体"/>
          <w:bCs/>
          <w:sz w:val="24"/>
          <w:szCs w:val="24"/>
          <w:highlight w:val="none"/>
        </w:rPr>
      </w:pPr>
      <w:r>
        <w:rPr>
          <w:rFonts w:hAnsi="宋体" w:eastAsia="宋体" w:cs="宋体"/>
          <w:bCs/>
          <w:sz w:val="24"/>
          <w:szCs w:val="24"/>
          <w:highlight w:val="none"/>
        </w:rPr>
        <w:t>3</w:t>
      </w:r>
      <w:r>
        <w:rPr>
          <w:rFonts w:hint="eastAsia" w:hAnsi="宋体" w:eastAsia="宋体" w:cs="宋体"/>
          <w:bCs/>
          <w:sz w:val="24"/>
          <w:szCs w:val="24"/>
          <w:highlight w:val="none"/>
        </w:rPr>
        <w:t>.</w:t>
      </w:r>
      <w:r>
        <w:rPr>
          <w:rFonts w:hAnsi="宋体" w:eastAsia="宋体" w:cs="宋体"/>
          <w:bCs/>
          <w:sz w:val="24"/>
          <w:szCs w:val="24"/>
          <w:highlight w:val="none"/>
        </w:rPr>
        <w:t>电力（消防）：中国制式，供电电压220V±15%，50Hz±2%。</w:t>
      </w:r>
    </w:p>
    <w:p>
      <w:pPr>
        <w:pStyle w:val="20"/>
        <w:spacing w:line="360" w:lineRule="auto"/>
        <w:ind w:firstLine="480"/>
        <w:rPr>
          <w:rFonts w:hint="eastAsia" w:hAnsi="宋体" w:eastAsia="宋体" w:cs="宋体"/>
          <w:bCs/>
          <w:sz w:val="24"/>
          <w:szCs w:val="24"/>
          <w:highlight w:val="none"/>
        </w:rPr>
      </w:pPr>
      <w:r>
        <w:rPr>
          <w:rFonts w:hAnsi="宋体" w:eastAsia="宋体" w:cs="宋体"/>
          <w:bCs/>
          <w:sz w:val="24"/>
          <w:szCs w:val="24"/>
          <w:highlight w:val="none"/>
        </w:rPr>
        <w:t>4</w:t>
      </w:r>
      <w:r>
        <w:rPr>
          <w:rFonts w:hint="eastAsia" w:hAnsi="宋体" w:eastAsia="宋体" w:cs="宋体"/>
          <w:bCs/>
          <w:sz w:val="24"/>
          <w:szCs w:val="24"/>
          <w:highlight w:val="none"/>
        </w:rPr>
        <w:t>.</w:t>
      </w:r>
      <w:r>
        <w:rPr>
          <w:rFonts w:hAnsi="宋体" w:eastAsia="宋体" w:cs="宋体"/>
          <w:bCs/>
          <w:sz w:val="24"/>
          <w:szCs w:val="24"/>
          <w:highlight w:val="none"/>
        </w:rPr>
        <w:t>给水：市政自来水。</w:t>
      </w:r>
    </w:p>
    <w:p>
      <w:pPr>
        <w:pStyle w:val="20"/>
        <w:spacing w:line="360" w:lineRule="auto"/>
        <w:ind w:firstLine="480"/>
        <w:rPr>
          <w:rFonts w:hint="eastAsia" w:hAnsi="宋体" w:eastAsia="宋体" w:cs="宋体"/>
          <w:bCs/>
          <w:sz w:val="24"/>
          <w:szCs w:val="24"/>
          <w:highlight w:val="none"/>
        </w:rPr>
      </w:pPr>
      <w:r>
        <w:rPr>
          <w:rFonts w:hAnsi="宋体" w:eastAsia="宋体" w:cs="宋体"/>
          <w:bCs/>
          <w:sz w:val="24"/>
          <w:szCs w:val="24"/>
          <w:highlight w:val="none"/>
        </w:rPr>
        <w:t>5</w:t>
      </w:r>
      <w:r>
        <w:rPr>
          <w:rFonts w:hint="eastAsia" w:hAnsi="宋体" w:eastAsia="宋体" w:cs="宋体"/>
          <w:bCs/>
          <w:sz w:val="24"/>
          <w:szCs w:val="24"/>
          <w:highlight w:val="none"/>
        </w:rPr>
        <w:t>.</w:t>
      </w:r>
      <w:r>
        <w:rPr>
          <w:rFonts w:hAnsi="宋体" w:eastAsia="宋体" w:cs="宋体"/>
          <w:bCs/>
          <w:sz w:val="24"/>
          <w:szCs w:val="24"/>
          <w:highlight w:val="none"/>
        </w:rPr>
        <w:t>消防水：</w:t>
      </w:r>
      <w:r>
        <w:rPr>
          <w:rFonts w:hint="eastAsia" w:hAnsi="宋体" w:eastAsia="宋体" w:cs="宋体"/>
          <w:bCs/>
          <w:sz w:val="24"/>
          <w:szCs w:val="24"/>
          <w:highlight w:val="none"/>
        </w:rPr>
        <w:t>80</w:t>
      </w:r>
      <w:r>
        <w:rPr>
          <w:rFonts w:hAnsi="宋体" w:eastAsia="宋体" w:cs="宋体"/>
          <w:bCs/>
          <w:sz w:val="24"/>
          <w:szCs w:val="24"/>
          <w:highlight w:val="none"/>
        </w:rPr>
        <w:t>m³/h。</w:t>
      </w:r>
    </w:p>
    <w:p>
      <w:pPr>
        <w:pStyle w:val="20"/>
        <w:spacing w:line="360" w:lineRule="auto"/>
        <w:ind w:firstLine="480"/>
        <w:rPr>
          <w:rFonts w:hint="eastAsia" w:hAnsi="宋体" w:eastAsia="宋体" w:cs="宋体"/>
          <w:bCs/>
          <w:sz w:val="24"/>
          <w:szCs w:val="24"/>
          <w:highlight w:val="none"/>
        </w:rPr>
      </w:pPr>
      <w:r>
        <w:rPr>
          <w:rFonts w:hAnsi="宋体" w:eastAsia="宋体" w:cs="宋体"/>
          <w:bCs/>
          <w:sz w:val="24"/>
          <w:szCs w:val="24"/>
          <w:highlight w:val="none"/>
        </w:rPr>
        <w:t>6</w:t>
      </w:r>
      <w:r>
        <w:rPr>
          <w:rFonts w:hint="eastAsia" w:hAnsi="宋体" w:eastAsia="宋体" w:cs="宋体"/>
          <w:bCs/>
          <w:sz w:val="24"/>
          <w:szCs w:val="24"/>
          <w:highlight w:val="none"/>
        </w:rPr>
        <w:t>.</w:t>
      </w:r>
      <w:r>
        <w:rPr>
          <w:rFonts w:hAnsi="宋体" w:eastAsia="宋体" w:cs="宋体"/>
          <w:bCs/>
          <w:sz w:val="24"/>
          <w:szCs w:val="24"/>
          <w:highlight w:val="none"/>
        </w:rPr>
        <w:t>冷却水：50m³/h，压力0.4-0.45M</w:t>
      </w:r>
      <w:r>
        <w:rPr>
          <w:rFonts w:hint="eastAsia" w:hAnsi="宋体" w:eastAsia="宋体" w:cs="宋体"/>
          <w:bCs/>
          <w:sz w:val="24"/>
          <w:szCs w:val="24"/>
          <w:highlight w:val="none"/>
          <w:lang w:val="en-US" w:eastAsia="zh-CN"/>
        </w:rPr>
        <w:t>P</w:t>
      </w:r>
      <w:r>
        <w:rPr>
          <w:rFonts w:hAnsi="宋体" w:eastAsia="宋体" w:cs="宋体"/>
          <w:bCs/>
          <w:sz w:val="24"/>
          <w:szCs w:val="24"/>
          <w:highlight w:val="none"/>
        </w:rPr>
        <w:t>a。</w:t>
      </w:r>
    </w:p>
    <w:p>
      <w:pPr>
        <w:pStyle w:val="20"/>
        <w:spacing w:line="360" w:lineRule="auto"/>
        <w:ind w:firstLine="480"/>
        <w:rPr>
          <w:rFonts w:hint="eastAsia" w:hAnsi="宋体" w:eastAsia="宋体" w:cs="宋体"/>
          <w:bCs/>
          <w:sz w:val="24"/>
          <w:szCs w:val="24"/>
          <w:highlight w:val="none"/>
        </w:rPr>
      </w:pPr>
      <w:r>
        <w:rPr>
          <w:rFonts w:hint="eastAsia" w:hAnsi="宋体" w:eastAsia="宋体" w:cs="宋体"/>
          <w:bCs/>
          <w:sz w:val="24"/>
          <w:szCs w:val="24"/>
          <w:highlight w:val="none"/>
        </w:rPr>
        <w:t>7.</w:t>
      </w:r>
      <w:r>
        <w:rPr>
          <w:rFonts w:hAnsi="宋体" w:eastAsia="宋体" w:cs="宋体"/>
          <w:bCs/>
          <w:sz w:val="24"/>
          <w:szCs w:val="24"/>
          <w:highlight w:val="none"/>
        </w:rPr>
        <w:t>压缩空气：8m³/h，压力0.4M</w:t>
      </w:r>
      <w:r>
        <w:rPr>
          <w:rFonts w:hint="eastAsia" w:hAnsi="宋体" w:eastAsia="宋体" w:cs="宋体"/>
          <w:bCs/>
          <w:sz w:val="24"/>
          <w:szCs w:val="24"/>
          <w:highlight w:val="none"/>
          <w:lang w:val="en-US" w:eastAsia="zh-CN"/>
        </w:rPr>
        <w:t>P</w:t>
      </w:r>
      <w:r>
        <w:rPr>
          <w:rFonts w:hAnsi="宋体" w:eastAsia="宋体" w:cs="宋体"/>
          <w:bCs/>
          <w:sz w:val="24"/>
          <w:szCs w:val="24"/>
          <w:highlight w:val="none"/>
        </w:rPr>
        <w:t>a。</w:t>
      </w:r>
    </w:p>
    <w:p>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pPr>
        <w:spacing w:line="420" w:lineRule="exact"/>
        <w:outlineLvl w:val="3"/>
        <w:rPr>
          <w:rFonts w:hint="eastAsia"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sz w:val="24"/>
          <w:szCs w:val="24"/>
          <w:lang w:eastAsia="zh-CN"/>
        </w:rPr>
        <w:t>IP9K防水试验箱</w:t>
      </w:r>
      <w:r>
        <w:rPr>
          <w:rFonts w:hint="eastAsia" w:ascii="宋体" w:hAnsi="宋体" w:eastAsia="宋体" w:cs="宋体"/>
          <w:sz w:val="24"/>
          <w:szCs w:val="24"/>
        </w:rPr>
        <w:t>（详见下表）</w:t>
      </w:r>
    </w:p>
    <w:p>
      <w:pPr>
        <w:spacing w:line="420" w:lineRule="exact"/>
        <w:outlineLvl w:val="3"/>
        <w:rPr>
          <w:rFonts w:hint="eastAsia"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u w:val="single"/>
          <w:shd w:val="pct10" w:color="auto" w:fill="FFFFFF"/>
        </w:rPr>
        <w:t>1套</w:t>
      </w:r>
      <w:r>
        <w:rPr>
          <w:rFonts w:hint="eastAsia" w:ascii="宋体" w:hAnsi="宋体" w:eastAsia="宋体" w:cs="宋体"/>
          <w:sz w:val="24"/>
          <w:szCs w:val="24"/>
        </w:rPr>
        <w:t>（详见下表）</w:t>
      </w:r>
    </w:p>
    <w:p>
      <w:pPr>
        <w:spacing w:line="420" w:lineRule="exact"/>
        <w:outlineLvl w:val="3"/>
        <w:rPr>
          <w:rFonts w:hint="eastAsia" w:ascii="宋体" w:hAnsi="宋体" w:eastAsia="宋体" w:cs="宋体"/>
          <w:b/>
          <w:sz w:val="24"/>
          <w:szCs w:val="24"/>
        </w:rPr>
      </w:pPr>
      <w:r>
        <w:rPr>
          <w:rFonts w:hint="eastAsia" w:ascii="宋体" w:hAnsi="宋体" w:eastAsia="宋体" w:cs="宋体"/>
          <w:b/>
          <w:sz w:val="24"/>
          <w:szCs w:val="24"/>
        </w:rPr>
        <w:t>三、分投分中：不允许</w:t>
      </w:r>
    </w:p>
    <w:p>
      <w:pPr>
        <w:jc w:val="center"/>
        <w:rPr>
          <w:rFonts w:hint="eastAsia"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39"/>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714"/>
        <w:gridCol w:w="3764"/>
        <w:gridCol w:w="1513"/>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序号</w:t>
            </w:r>
          </w:p>
        </w:tc>
        <w:tc>
          <w:tcPr>
            <w:tcW w:w="1714" w:type="dxa"/>
            <w:vAlign w:val="center"/>
          </w:tcPr>
          <w:p>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名称</w:t>
            </w:r>
          </w:p>
        </w:tc>
        <w:tc>
          <w:tcPr>
            <w:tcW w:w="3764" w:type="dxa"/>
            <w:vAlign w:val="center"/>
          </w:tcPr>
          <w:p>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型号规格</w:t>
            </w:r>
          </w:p>
        </w:tc>
        <w:tc>
          <w:tcPr>
            <w:tcW w:w="1513" w:type="dxa"/>
            <w:vAlign w:val="center"/>
          </w:tcPr>
          <w:p>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单位</w:t>
            </w:r>
          </w:p>
        </w:tc>
        <w:tc>
          <w:tcPr>
            <w:tcW w:w="1105" w:type="dxa"/>
            <w:vAlign w:val="center"/>
          </w:tcPr>
          <w:p>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spacing w:line="36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p>
        </w:tc>
        <w:tc>
          <w:tcPr>
            <w:tcW w:w="1714" w:type="dxa"/>
            <w:shd w:val="clear" w:color="auto" w:fill="auto"/>
          </w:tcPr>
          <w:p>
            <w:pPr>
              <w:spacing w:line="360" w:lineRule="exact"/>
              <w:jc w:val="center"/>
              <w:rPr>
                <w:rFonts w:hint="default"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IP9K防水试验箱</w:t>
            </w:r>
          </w:p>
        </w:tc>
        <w:tc>
          <w:tcPr>
            <w:tcW w:w="3764" w:type="dxa"/>
            <w:vAlign w:val="center"/>
          </w:tcPr>
          <w:p>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见第二章技术要求</w:t>
            </w:r>
          </w:p>
        </w:tc>
        <w:tc>
          <w:tcPr>
            <w:tcW w:w="1513" w:type="dxa"/>
            <w:vAlign w:val="center"/>
          </w:tcPr>
          <w:p>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套</w:t>
            </w:r>
          </w:p>
        </w:tc>
        <w:tc>
          <w:tcPr>
            <w:tcW w:w="1105" w:type="dxa"/>
            <w:vAlign w:val="center"/>
          </w:tcPr>
          <w:p>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1</w:t>
            </w:r>
          </w:p>
        </w:tc>
      </w:tr>
    </w:tbl>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numPr>
          <w:ilvl w:val="0"/>
          <w:numId w:val="10"/>
        </w:num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本表“供货方式”指：交钥匙方式——包括制造、运输、定点卸货、安装、调试和协助验收以及约定培训等。</w:t>
      </w:r>
    </w:p>
    <w:p>
      <w:pPr>
        <w:pStyle w:val="20"/>
        <w:spacing w:line="360" w:lineRule="auto"/>
        <w:jc w:val="center"/>
        <w:rPr>
          <w:rFonts w:hint="eastAsia" w:hAnsi="宋体" w:eastAsia="宋体" w:cs="宋体"/>
          <w:bCs/>
          <w:sz w:val="24"/>
          <w:szCs w:val="24"/>
        </w:rPr>
      </w:pPr>
      <w:r>
        <w:rPr>
          <w:rFonts w:hint="eastAsia" w:hAnsi="宋体" w:eastAsia="宋体" w:cs="宋体"/>
          <w:bCs/>
          <w:sz w:val="24"/>
          <w:szCs w:val="24"/>
        </w:rPr>
        <w:t>主要器件品牌表（可选同等或更优质量品牌）</w:t>
      </w:r>
    </w:p>
    <w:tbl>
      <w:tblPr>
        <w:tblStyle w:val="40"/>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2554"/>
        <w:gridCol w:w="326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Cs w:val="21"/>
              </w:rPr>
            </w:pPr>
            <w:r>
              <w:rPr>
                <w:rFonts w:hint="eastAsia" w:ascii="宋体" w:hAnsi="宋体" w:eastAsia="宋体" w:cs="宋体"/>
                <w:kern w:val="0"/>
                <w:szCs w:val="21"/>
              </w:rPr>
              <w:t>序号</w:t>
            </w:r>
          </w:p>
        </w:tc>
        <w:tc>
          <w:tcPr>
            <w:tcW w:w="2551"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Cs w:val="21"/>
              </w:rPr>
            </w:pPr>
            <w:r>
              <w:rPr>
                <w:rFonts w:hint="eastAsia" w:ascii="宋体" w:hAnsi="宋体" w:eastAsia="宋体" w:cs="宋体"/>
                <w:kern w:val="0"/>
                <w:szCs w:val="21"/>
              </w:rPr>
              <w:t>器件名称</w:t>
            </w:r>
          </w:p>
        </w:tc>
        <w:tc>
          <w:tcPr>
            <w:tcW w:w="3256"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Cs w:val="21"/>
              </w:rPr>
            </w:pPr>
            <w:r>
              <w:rPr>
                <w:rFonts w:hint="eastAsia" w:ascii="宋体" w:hAnsi="宋体" w:eastAsia="宋体" w:cs="宋体"/>
                <w:kern w:val="0"/>
                <w:szCs w:val="21"/>
              </w:rPr>
              <w:t>品牌</w:t>
            </w:r>
          </w:p>
        </w:tc>
        <w:tc>
          <w:tcPr>
            <w:tcW w:w="2265"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Cs w:val="21"/>
              </w:rPr>
            </w:pPr>
            <w:r>
              <w:rPr>
                <w:rFonts w:hint="eastAsia" w:ascii="宋体" w:hAnsi="宋体" w:eastAsia="宋体" w:cs="宋体"/>
                <w:kern w:val="0"/>
                <w:szCs w:val="21"/>
              </w:rPr>
              <w:t>品牌原产地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Cs w:val="21"/>
                <w:lang w:eastAsia="zh-CN"/>
              </w:rPr>
            </w:pPr>
            <w:r>
              <w:rPr>
                <w:rFonts w:hint="eastAsia" w:ascii="宋体" w:hAnsi="宋体" w:eastAsia="宋体" w:cs="宋体"/>
                <w:color w:val="000000"/>
                <w:szCs w:val="21"/>
                <w:lang w:val="en-US" w:eastAsia="zh-CN"/>
              </w:rPr>
              <w:t>1</w:t>
            </w:r>
          </w:p>
        </w:tc>
        <w:tc>
          <w:tcPr>
            <w:tcW w:w="255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Cs w:val="21"/>
              </w:rPr>
            </w:pPr>
            <w:r>
              <w:rPr>
                <w:rFonts w:hint="eastAsia" w:ascii="宋体" w:hAnsi="宋体" w:eastAsia="宋体" w:cs="宋体"/>
                <w:color w:val="000000"/>
                <w:kern w:val="0"/>
                <w:szCs w:val="21"/>
              </w:rPr>
              <w:t>漏电断路器</w:t>
            </w:r>
          </w:p>
        </w:tc>
        <w:tc>
          <w:tcPr>
            <w:tcW w:w="325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Cs w:val="21"/>
              </w:rPr>
            </w:pPr>
            <w:r>
              <w:rPr>
                <w:rFonts w:hint="eastAsia" w:ascii="宋体" w:hAnsi="宋体" w:eastAsia="宋体" w:cs="宋体"/>
                <w:color w:val="000000"/>
                <w:kern w:val="0"/>
                <w:szCs w:val="21"/>
              </w:rPr>
              <w:t>施耐德</w:t>
            </w:r>
          </w:p>
        </w:tc>
        <w:tc>
          <w:tcPr>
            <w:tcW w:w="2265"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Cs w:val="21"/>
              </w:rPr>
            </w:pPr>
            <w:r>
              <w:rPr>
                <w:rFonts w:hint="eastAsia" w:ascii="宋体" w:hAnsi="宋体" w:eastAsia="宋体" w:cs="宋体"/>
                <w:color w:val="000000"/>
                <w:szCs w:val="21"/>
              </w:rPr>
              <w:t>法国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Cs w:val="21"/>
                <w:lang w:eastAsia="zh-CN"/>
              </w:rPr>
            </w:pPr>
            <w:r>
              <w:rPr>
                <w:rFonts w:hint="eastAsia" w:ascii="宋体" w:hAnsi="宋体" w:eastAsia="宋体" w:cs="宋体"/>
                <w:color w:val="000000"/>
                <w:szCs w:val="21"/>
                <w:lang w:val="en-US" w:eastAsia="zh-CN"/>
              </w:rPr>
              <w:t>2</w:t>
            </w:r>
          </w:p>
        </w:tc>
        <w:tc>
          <w:tcPr>
            <w:tcW w:w="255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Cs w:val="21"/>
              </w:rPr>
            </w:pPr>
            <w:r>
              <w:rPr>
                <w:rFonts w:hint="eastAsia" w:ascii="宋体" w:hAnsi="宋体" w:eastAsia="宋体" w:cs="宋体"/>
                <w:color w:val="000000"/>
                <w:kern w:val="0"/>
                <w:szCs w:val="21"/>
              </w:rPr>
              <w:t>空气开关</w:t>
            </w:r>
          </w:p>
        </w:tc>
        <w:tc>
          <w:tcPr>
            <w:tcW w:w="325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Cs w:val="21"/>
              </w:rPr>
            </w:pPr>
            <w:r>
              <w:rPr>
                <w:rFonts w:hint="eastAsia" w:ascii="宋体" w:hAnsi="宋体" w:eastAsia="宋体" w:cs="宋体"/>
                <w:color w:val="000000"/>
                <w:kern w:val="0"/>
                <w:szCs w:val="21"/>
              </w:rPr>
              <w:t>施耐德</w:t>
            </w:r>
          </w:p>
        </w:tc>
        <w:tc>
          <w:tcPr>
            <w:tcW w:w="2265"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Cs w:val="21"/>
              </w:rPr>
            </w:pPr>
            <w:r>
              <w:rPr>
                <w:rFonts w:hint="eastAsia" w:ascii="宋体" w:hAnsi="宋体" w:eastAsia="宋体" w:cs="宋体"/>
                <w:color w:val="000000"/>
                <w:szCs w:val="21"/>
              </w:rPr>
              <w:t>法国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Cs w:val="21"/>
                <w:lang w:eastAsia="zh-CN"/>
              </w:rPr>
            </w:pPr>
            <w:r>
              <w:rPr>
                <w:rFonts w:hint="eastAsia" w:ascii="宋体" w:hAnsi="宋体" w:eastAsia="宋体" w:cs="宋体"/>
                <w:color w:val="000000"/>
                <w:szCs w:val="21"/>
                <w:lang w:val="en-US" w:eastAsia="zh-CN"/>
              </w:rPr>
              <w:t>3</w:t>
            </w:r>
          </w:p>
        </w:tc>
        <w:tc>
          <w:tcPr>
            <w:tcW w:w="255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Cs w:val="21"/>
              </w:rPr>
            </w:pPr>
            <w:r>
              <w:rPr>
                <w:rFonts w:hint="eastAsia" w:ascii="宋体" w:hAnsi="宋体" w:eastAsia="宋体" w:cs="宋体"/>
                <w:color w:val="000000"/>
                <w:kern w:val="0"/>
                <w:szCs w:val="21"/>
              </w:rPr>
              <w:t>交流接触器</w:t>
            </w:r>
          </w:p>
        </w:tc>
        <w:tc>
          <w:tcPr>
            <w:tcW w:w="325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Cs w:val="21"/>
              </w:rPr>
            </w:pPr>
            <w:r>
              <w:rPr>
                <w:rFonts w:hint="eastAsia" w:ascii="宋体" w:hAnsi="宋体" w:eastAsia="宋体" w:cs="宋体"/>
                <w:color w:val="000000"/>
                <w:kern w:val="0"/>
                <w:szCs w:val="21"/>
              </w:rPr>
              <w:t>施耐德</w:t>
            </w:r>
          </w:p>
        </w:tc>
        <w:tc>
          <w:tcPr>
            <w:tcW w:w="2265"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Cs w:val="21"/>
              </w:rPr>
            </w:pPr>
            <w:r>
              <w:rPr>
                <w:rFonts w:hint="eastAsia" w:ascii="宋体" w:hAnsi="宋体" w:eastAsia="宋体" w:cs="宋体"/>
                <w:color w:val="000000"/>
                <w:szCs w:val="21"/>
              </w:rPr>
              <w:t>法国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Cs w:val="21"/>
                <w:lang w:eastAsia="zh-CN"/>
              </w:rPr>
            </w:pPr>
            <w:r>
              <w:rPr>
                <w:rFonts w:hint="eastAsia" w:ascii="宋体" w:hAnsi="宋体" w:eastAsia="宋体" w:cs="宋体"/>
                <w:color w:val="000000"/>
                <w:szCs w:val="21"/>
                <w:lang w:val="en-US" w:eastAsia="zh-CN"/>
              </w:rPr>
              <w:t>4</w:t>
            </w:r>
          </w:p>
        </w:tc>
        <w:tc>
          <w:tcPr>
            <w:tcW w:w="2551"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Cs w:val="21"/>
              </w:rPr>
            </w:pPr>
            <w:r>
              <w:rPr>
                <w:rFonts w:hint="eastAsia" w:ascii="宋体" w:hAnsi="宋体" w:eastAsia="宋体" w:cs="宋体"/>
                <w:szCs w:val="21"/>
              </w:rPr>
              <w:t>PLC控制器</w:t>
            </w:r>
          </w:p>
        </w:tc>
        <w:tc>
          <w:tcPr>
            <w:tcW w:w="3256"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Cs w:val="21"/>
              </w:rPr>
            </w:pPr>
            <w:r>
              <w:rPr>
                <w:rFonts w:hint="eastAsia" w:ascii="宋体" w:hAnsi="宋体" w:eastAsia="宋体" w:cs="宋体"/>
                <w:szCs w:val="21"/>
              </w:rPr>
              <w:t>SIEMENS</w:t>
            </w:r>
          </w:p>
        </w:tc>
        <w:tc>
          <w:tcPr>
            <w:tcW w:w="2265"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Cs w:val="21"/>
              </w:rPr>
            </w:pPr>
            <w:r>
              <w:rPr>
                <w:rFonts w:hint="eastAsia" w:ascii="宋体" w:hAnsi="宋体" w:eastAsia="宋体" w:cs="宋体"/>
                <w:color w:val="000000"/>
                <w:szCs w:val="21"/>
              </w:rPr>
              <w:t>德国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Cs w:val="21"/>
                <w:lang w:eastAsia="zh-CN"/>
              </w:rPr>
            </w:pPr>
            <w:r>
              <w:rPr>
                <w:rFonts w:hint="eastAsia" w:ascii="宋体" w:hAnsi="宋体" w:eastAsia="宋体" w:cs="宋体"/>
                <w:color w:val="000000"/>
                <w:szCs w:val="21"/>
                <w:lang w:val="en-US" w:eastAsia="zh-CN"/>
              </w:rPr>
              <w:t>5</w:t>
            </w:r>
          </w:p>
        </w:tc>
        <w:tc>
          <w:tcPr>
            <w:tcW w:w="2551"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水泵</w:t>
            </w:r>
          </w:p>
        </w:tc>
        <w:tc>
          <w:tcPr>
            <w:tcW w:w="3256"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凯泉</w:t>
            </w:r>
          </w:p>
        </w:tc>
        <w:tc>
          <w:tcPr>
            <w:tcW w:w="2265"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中国</w:t>
            </w:r>
          </w:p>
        </w:tc>
      </w:tr>
    </w:tbl>
    <w:p>
      <w:pPr>
        <w:numPr>
          <w:ilvl w:val="0"/>
          <w:numId w:val="0"/>
        </w:numPr>
        <w:spacing w:line="360" w:lineRule="auto"/>
        <w:rPr>
          <w:rFonts w:hint="eastAsia" w:ascii="宋体" w:hAnsi="宋体" w:eastAsia="宋体" w:cs="宋体"/>
          <w:bCs/>
          <w:sz w:val="24"/>
          <w:szCs w:val="24"/>
        </w:rPr>
      </w:pPr>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四、采购货物特别说明</w:t>
      </w:r>
    </w:p>
    <w:p>
      <w:pPr>
        <w:pStyle w:val="15"/>
        <w:spacing w:before="0" w:after="0" w:afterLines="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p>
    <w:p>
      <w:pPr>
        <w:widowControl/>
        <w:jc w:val="left"/>
        <w:rPr>
          <w:rFonts w:hint="eastAsia"/>
        </w:rPr>
      </w:pPr>
      <w:r>
        <w:br w:type="page"/>
      </w:r>
    </w:p>
    <w:p>
      <w:pPr>
        <w:keepNext/>
        <w:keepLines/>
        <w:spacing w:before="120" w:after="120" w:line="480" w:lineRule="exact"/>
        <w:jc w:val="center"/>
        <w:outlineLvl w:val="1"/>
        <w:rPr>
          <w:rFonts w:hint="eastAsia" w:ascii="宋体" w:hAnsi="宋体" w:eastAsia="宋体" w:cs="宋体"/>
          <w:bCs/>
          <w:kern w:val="44"/>
          <w:sz w:val="24"/>
          <w:szCs w:val="24"/>
        </w:rPr>
      </w:pPr>
      <w:r>
        <w:rPr>
          <w:rFonts w:hint="eastAsia" w:ascii="宋体" w:hAnsi="宋体" w:eastAsia="宋体" w:cs="宋体"/>
          <w:b/>
          <w:bCs/>
          <w:kern w:val="44"/>
          <w:sz w:val="24"/>
          <w:szCs w:val="24"/>
        </w:rPr>
        <w:t>第二章  技术要求</w:t>
      </w:r>
    </w:p>
    <w:p>
      <w:pPr>
        <w:pStyle w:val="3"/>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bookmarkStart w:id="34" w:name="_Hlk132112785"/>
      <w:r>
        <w:rPr>
          <w:rFonts w:hint="eastAsia" w:ascii="宋体" w:hAnsi="宋体" w:eastAsia="宋体" w:cs="宋体"/>
          <w:lang w:val="en-US" w:eastAsia="zh-CN"/>
        </w:rPr>
        <w:t>一、基本要求</w:t>
      </w:r>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b/>
          <w:sz w:val="28"/>
          <w:szCs w:val="20"/>
          <w:lang w:val="en-US" w:eastAsia="zh-CN"/>
        </w:rPr>
      </w:pPr>
      <w:r>
        <w:rPr>
          <w:rFonts w:hint="eastAsia" w:ascii="宋体" w:hAnsi="宋体" w:eastAsia="宋体" w:cs="宋体"/>
          <w:b/>
          <w:sz w:val="24"/>
          <w:szCs w:val="18"/>
          <w:lang w:val="en-US" w:eastAsia="zh-CN"/>
        </w:rPr>
        <w:t>（一）</w:t>
      </w:r>
      <w:r>
        <w:rPr>
          <w:rFonts w:hint="eastAsia" w:ascii="宋体" w:hAnsi="宋体" w:cs="宋体"/>
          <w:b/>
          <w:sz w:val="24"/>
          <w:szCs w:val="18"/>
          <w:lang w:val="en-US" w:eastAsia="zh-CN"/>
        </w:rPr>
        <w:t>能效</w:t>
      </w:r>
      <w:r>
        <w:rPr>
          <w:rFonts w:hint="eastAsia" w:ascii="宋体" w:hAnsi="宋体" w:eastAsia="宋体" w:cs="宋体"/>
          <w:b/>
          <w:sz w:val="24"/>
          <w:szCs w:val="18"/>
          <w:lang w:val="en-US" w:eastAsia="zh-CN"/>
        </w:rPr>
        <w:t>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原则上，电机功率≥7.5kW，必须选用一级能效。电机功率＜7.5kW，优先选用一级能效；其中对于能源供应类设备及年运行时间≥2000h工艺设备的电机必须选用一级能效。杜绝选用三级及以下能效。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lang w:val="en-US" w:eastAsia="zh-CN"/>
        </w:rPr>
        <w:t>空调必须选用一级能效，变压器最低选用二级能效，对于特殊场景、特殊用途其他设备结合性价比综合考虑、充分论证。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kern w:val="2"/>
          <w:sz w:val="24"/>
          <w:szCs w:val="18"/>
          <w:lang w:val="en-US" w:eastAsia="zh-CN" w:bidi="ar-SA"/>
        </w:rPr>
      </w:pPr>
      <w:r>
        <w:rPr>
          <w:rFonts w:hint="eastAsia" w:ascii="宋体" w:hAnsi="宋体" w:eastAsia="宋体" w:cs="宋体"/>
          <w:b/>
          <w:kern w:val="2"/>
          <w:sz w:val="24"/>
          <w:szCs w:val="18"/>
          <w:lang w:val="en-US" w:eastAsia="zh-CN" w:bidi="ar-SA"/>
        </w:rPr>
        <w:t>（二）新增设备技术文件要求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程序源码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供方须提供设备对应软件程序的完整源代码（包括但不限于上位机程序、SCADA程序、产线MES程序等），并免费提供相应的参数点位信息。带有明确注释，能够通过注释理解程序运行过程，包含触摸屏、PLC、CNC等；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程序权限</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供方提供的软件程序不得设置任何密码或保护措施；程序不得限制修改等权限，功能模块亦不得设定密码保护。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设备入场资料</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设备入场前，供方需提供软件程序源码及各级用户名和密码，确保与现场程序一致。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lang w:val="en-US" w:eastAsia="zh-CN"/>
        </w:rPr>
        <w:t>设备模型图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提供二维模型图和轻量化处理的后的GLTF格式的三维模型图；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val="en-US" w:eastAsia="zh-CN"/>
        </w:rPr>
        <w:t>设备点址表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电子版和纸质版的设备点位表，具体要求参照下文标准格式；设备应提供专门用于和IOT平台进行数据交互的地址空间，该地址空间应包含但不限于重汽对该类型设备的需求数据，同时应保证与需求点位的逻辑一致性。通过提供的点位地址，平台能够读写设备实时数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lang w:val="en-US" w:eastAsia="zh-CN"/>
        </w:rPr>
        <w:t>电气原理图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提供电器原理图电子版和纸质版；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eastAsia="zh-CN"/>
        </w:rPr>
        <w:t>布局图和工艺流程图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提供生产线布局图和产线工艺流程图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8、</w:t>
      </w:r>
      <w:r>
        <w:rPr>
          <w:rFonts w:hint="eastAsia" w:ascii="宋体" w:hAnsi="宋体" w:eastAsia="宋体" w:cs="宋体"/>
          <w:sz w:val="24"/>
          <w:szCs w:val="24"/>
          <w:highlight w:val="none"/>
          <w:lang w:val="en-US" w:eastAsia="zh-CN"/>
        </w:rPr>
        <w:t>终验收资料</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在终验收前，供方需提供最新的软件程序源码，并须与实际现场一致。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kern w:val="2"/>
          <w:sz w:val="24"/>
          <w:szCs w:val="18"/>
          <w:lang w:val="en-US" w:eastAsia="zh-CN" w:bidi="ar-SA"/>
        </w:rPr>
      </w:pPr>
      <w:r>
        <w:rPr>
          <w:rFonts w:hint="eastAsia" w:ascii="宋体" w:hAnsi="宋体" w:eastAsia="宋体" w:cs="宋体"/>
          <w:b/>
          <w:kern w:val="2"/>
          <w:sz w:val="24"/>
          <w:szCs w:val="18"/>
          <w:lang w:val="en-US" w:eastAsia="zh-CN" w:bidi="ar-SA"/>
        </w:rPr>
        <w:t>（三）接口协议数采要求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接口开放</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供方应免费开放所有通讯接口，包括但不限于以太网、RS232、RS485、PROFIBUS、PROFINET、MODBUS等常见接口，以及设备专有接口，接口支持实时读写设备数据。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lang w:val="en-US" w:eastAsia="zh-CN"/>
        </w:rPr>
        <w:t>工控网络接入</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设备及上位控制系统（工控机）应接入工厂工控网络，以实现数据采集。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系统接口</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供方应免费提供应用层系统接口，包括WebAPI、MQTT（具体接口要求详见第三部分）。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lang w:val="en-US" w:eastAsia="zh-CN"/>
        </w:rPr>
        <w:t>反控接口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除自身运行模式外，还需要一个远程控制模式，提供额外的控制接口，用于产线自动化改造或远程控制（远程控制按照实际生产设备的需求确定）。可以使用该接口控制设备启停、加工等操作，实现仅在远程控制的条件下完成生产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val="en-US" w:eastAsia="zh-CN"/>
        </w:rPr>
        <w:t>通信速率</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用于数据采集的接口应保证平台请求所有需求点位数据并作出应答的周期小于1秒。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lang w:val="en-US" w:eastAsia="zh-CN"/>
        </w:rPr>
        <w:t>数据交互功能</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供方应免费提供数据交互功能，支持实时数据、历史数据、报警信息等的交互。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eastAsia="zh-CN"/>
        </w:rPr>
        <w:t>数据采集连续性</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设备在上电状态下必须持续采集数据，不受设备待机、休眠等状态的影响（主动上传设备除外）。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8、</w:t>
      </w:r>
      <w:r>
        <w:rPr>
          <w:rFonts w:hint="eastAsia" w:ascii="宋体" w:hAnsi="宋体" w:eastAsia="宋体" w:cs="宋体"/>
          <w:sz w:val="24"/>
          <w:szCs w:val="24"/>
          <w:highlight w:val="none"/>
          <w:lang w:val="en-US" w:eastAsia="zh-CN"/>
        </w:rPr>
        <w:t>上位机权限</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所有上位机程序、专用软件及数据库必须提供全部权限的用户名和密码。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9、</w:t>
      </w:r>
      <w:r>
        <w:rPr>
          <w:rFonts w:hint="eastAsia" w:ascii="宋体" w:hAnsi="宋体" w:eastAsia="宋体" w:cs="宋体"/>
          <w:sz w:val="24"/>
          <w:szCs w:val="24"/>
          <w:highlight w:val="none"/>
          <w:lang w:val="en-US" w:eastAsia="zh-CN"/>
        </w:rPr>
        <w:t>调试支持</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在设备使用期间，供方需免费派遣技术人员与甲方调试团队协同进行设备通讯接口调试工作。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10、</w:t>
      </w:r>
      <w:r>
        <w:rPr>
          <w:rFonts w:hint="eastAsia" w:ascii="宋体" w:hAnsi="宋体" w:eastAsia="宋体" w:cs="宋体"/>
          <w:sz w:val="24"/>
          <w:szCs w:val="24"/>
          <w:highlight w:val="none"/>
          <w:lang w:val="en-US" w:eastAsia="zh-CN"/>
        </w:rPr>
        <w:t>技术文档</w:t>
      </w:r>
      <w:r>
        <w:rPr>
          <w:rFonts w:hint="eastAsia" w:ascii="宋体" w:hAnsi="宋体" w:eastAsia="宋体" w:cs="宋体"/>
          <w:sz w:val="24"/>
          <w:szCs w:val="24"/>
          <w:highlight w:val="none"/>
          <w:lang w:val="en-US" w:eastAsia="zh-CN"/>
        </w:rPr>
        <w:br w:type="textWrapping"/>
      </w:r>
      <w:r>
        <w:rPr>
          <w:rFonts w:hint="eastAsia" w:ascii="宋体" w:hAnsi="宋体" w:eastAsia="宋体" w:cs="宋体"/>
          <w:sz w:val="24"/>
          <w:szCs w:val="24"/>
          <w:highlight w:val="none"/>
          <w:lang w:val="en-US" w:eastAsia="zh-CN"/>
        </w:rPr>
        <w:t>设备入场前，供方必须提供接口技术文档及参数说明，内容包括但不限于接口协议、通讯速率、数据格式等。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kern w:val="2"/>
          <w:sz w:val="24"/>
          <w:szCs w:val="18"/>
          <w:lang w:val="en-US" w:eastAsia="zh-CN" w:bidi="ar-SA"/>
        </w:rPr>
      </w:pPr>
      <w:r>
        <w:rPr>
          <w:rFonts w:hint="eastAsia" w:ascii="宋体" w:hAnsi="宋体" w:eastAsia="宋体" w:cs="宋体"/>
          <w:b/>
          <w:kern w:val="2"/>
          <w:sz w:val="24"/>
          <w:szCs w:val="18"/>
          <w:lang w:val="en-US" w:eastAsia="zh-CN" w:bidi="ar-SA"/>
        </w:rPr>
        <w:t>（四）点位需求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点位属性：按照需求提供设备点位地址、点位名称、点位含义说明、数据类型、单位，字符串、数组等要标明长度；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lang w:val="en-US" w:eastAsia="zh-CN"/>
        </w:rPr>
        <w:t>数据格式：接口提供的物理量点位应为不包含系数、以标准单位标称的工程量数据，如果需要数据格式转换或系数转换的在设备内部进行。例如部分设备只提供整形数据，某点位温度数值为215，系数为0.1，单位为℃。需要提供的数据类型为浮点型数据，值为21.5，单位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数据：设备需求数据包含通用数据和专用数据两部分，通用数据所有设备都需要提供，专用数据需要根据具体设备类型确认需求点位。通用点位包含三类，一是实时状态数据，二是生产结果数据，三是设备能耗数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(1)实时状态数据：数据能够反映设备实时运行状态；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lang w:val="en-US" w:eastAsia="zh-CN"/>
        </w:rPr>
        <w:t>)生产结果数据：以固定结构提供生产结果数据，包含工件编码、入站时间、入口、出站时间、出口、操作员、配件编码、质量状态等，所有数据应在加工完成后统一刷新，即所有数据都是绑定到同一工件，按照此组数据能够完成对工件加工过程的追溯。多工位设备按每个工位提供一组生产数据点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)对于生产结果数据，设备本身必须保留最近一定量生产数据的备份，以预防设备和SCADA通道连接中断时生产数据丢失。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lang w:val="en-US" w:eastAsia="zh-CN"/>
        </w:rPr>
        <w:t>以报警代码的方式提供报警信息，需要提供报警代码、报警状态、报警说明以及报警处理办法，报警代码以纯数值格式表示，报警等级符合重汽告警管理规范。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val="en-US" w:eastAsia="zh-CN"/>
        </w:rPr>
        <w:t>提供的设备状态数据应当是连续变化、不间断的，以符合数据采集的需求。即点位不能只在部分时间存有实时数据，其他时间数据回归初始值或无意义；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lang w:val="en-US" w:eastAsia="zh-CN"/>
        </w:rPr>
        <w:t>在设备状态信息中提供报警状态和报警代码之外，还需要提供报警代码对应的报警等级、报警内容和处理办法。设备当前报警代码、报警等级、报警文本和处理办法均绑定设备指定点位，读取相应点位即可获得当前报警的报警代码、报警等级、说明文本、报警参数和处理办法。PLC等接口不支持中文文本传输的设备，需提供报警代码、报警等级、报警文本和处理办法等的对应关系表。从设备中读取报警代码和报警参数，通过查找报警明细表能够获得报警等级、报警文本和处理办法等报警相关的所有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kern w:val="2"/>
          <w:sz w:val="24"/>
          <w:szCs w:val="18"/>
          <w:lang w:val="en-US" w:eastAsia="zh-CN" w:bidi="ar-SA"/>
        </w:rPr>
      </w:pPr>
      <w:r>
        <w:rPr>
          <w:rFonts w:hint="eastAsia" w:ascii="宋体" w:hAnsi="宋体" w:eastAsia="宋体" w:cs="宋体"/>
          <w:b/>
          <w:kern w:val="2"/>
          <w:sz w:val="24"/>
          <w:szCs w:val="18"/>
          <w:lang w:val="en-US" w:eastAsia="zh-CN" w:bidi="ar-SA"/>
        </w:rPr>
        <w:t>（五）数采接口要求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 xml:space="preserve"> 接口基本要求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标准化接口调用：各供应商必须严格按照本标准调用接口，确保数据格式统一。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接口地址与访问方式：接口采用HTTP风格，并支持HTTPS加密传输。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数据上传WebAPI接口说明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(1)设备状态接口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接口地址：https:// ***/api/params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数据格式：JSON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示例：</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controller</w:t>
      </w:r>
      <w:r>
        <w:rPr>
          <w:rFonts w:hint="eastAsia" w:ascii="宋体" w:hAnsi="宋体" w:eastAsia="宋体" w:cs="宋体"/>
          <w:color w:val="auto"/>
          <w:sz w:val="24"/>
          <w:szCs w:val="24"/>
        </w:rPr>
        <w:t>": "MFG-001-202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"timestamp": "202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-0</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-20</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14:30:00</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"params":{</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device_state</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"tag1</w:t>
      </w:r>
      <w:r>
        <w:rPr>
          <w:rFonts w:hint="eastAsia" w:ascii="宋体" w:hAnsi="宋体" w:eastAsia="宋体" w:cs="宋体"/>
          <w:color w:val="auto"/>
          <w:sz w:val="24"/>
          <w:szCs w:val="24"/>
        </w:rPr>
        <w:t>": "TEMP_01"</w:t>
      </w:r>
      <w:r>
        <w:rPr>
          <w:rFonts w:hint="eastAsia" w:ascii="宋体" w:hAnsi="宋体" w:eastAsia="宋体" w:cs="宋体"/>
          <w:color w:val="auto"/>
          <w:sz w:val="24"/>
          <w:szCs w:val="24"/>
          <w:lang w:val="en-US" w:eastAsia="zh-CN"/>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"tag</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 "TEMP_0</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"tag</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"TEMP_0</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(2)设备报警接口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接口地址：https:// ***/api/alarm</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数据格式：JSON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示例：</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controller</w:t>
      </w:r>
      <w:r>
        <w:rPr>
          <w:rFonts w:hint="eastAsia" w:ascii="宋体" w:hAnsi="宋体" w:eastAsia="宋体" w:cs="宋体"/>
          <w:color w:val="auto"/>
          <w:sz w:val="24"/>
          <w:szCs w:val="24"/>
        </w:rPr>
        <w:t>": "MFG-001-202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"alarm</w:t>
      </w:r>
      <w:r>
        <w:rPr>
          <w:rFonts w:hint="eastAsia" w:ascii="宋体" w:hAnsi="宋体" w:eastAsia="宋体" w:cs="宋体"/>
          <w:color w:val="auto"/>
          <w:sz w:val="24"/>
          <w:szCs w:val="24"/>
          <w:lang w:val="en-US" w:eastAsia="zh-CN"/>
        </w:rPr>
        <w:t>_code</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001</w:t>
      </w:r>
      <w:r>
        <w:rPr>
          <w:rFonts w:hint="eastAsia" w:ascii="宋体" w:hAnsi="宋体" w:eastAsia="宋体" w:cs="宋体"/>
          <w:color w:val="auto"/>
          <w:sz w:val="24"/>
          <w:szCs w:val="24"/>
        </w:rPr>
        <w:t xml:space="preserve">", </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alarm_detail</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报警描述</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alarm_type</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报警类型</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alarm_level</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级别</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alarm_time</w:t>
      </w:r>
      <w:r>
        <w:rPr>
          <w:rFonts w:hint="eastAsia" w:ascii="宋体" w:hAnsi="宋体" w:eastAsia="宋体" w:cs="宋体"/>
          <w:color w:val="auto"/>
          <w:sz w:val="24"/>
          <w:szCs w:val="24"/>
        </w:rPr>
        <w:t>": "202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-0</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-20</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14:30:00</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alarm_1</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预留1</w:t>
      </w:r>
      <w:r>
        <w:rPr>
          <w:rFonts w:hint="eastAsia" w:ascii="宋体" w:hAnsi="宋体" w:eastAsia="宋体" w:cs="宋体"/>
          <w:color w:val="auto"/>
          <w:sz w:val="24"/>
          <w:szCs w:val="24"/>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alarm_2</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预留2</w:t>
      </w:r>
      <w:r>
        <w:rPr>
          <w:rFonts w:hint="eastAsia" w:ascii="宋体" w:hAnsi="宋体" w:eastAsia="宋体" w:cs="宋体"/>
          <w:color w:val="auto"/>
          <w:sz w:val="24"/>
          <w:szCs w:val="24"/>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p>
    <w:p>
      <w:pPr>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 xml:space="preserve">请求报文格式：采用JSON格式，主要字段包括：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 xml:space="preserve">controller: </w:t>
      </w:r>
      <w:r>
        <w:rPr>
          <w:rFonts w:hint="eastAsia" w:ascii="宋体" w:hAnsi="宋体" w:eastAsia="宋体" w:cs="宋体"/>
          <w:b w:val="0"/>
          <w:bCs/>
          <w:color w:val="auto"/>
          <w:sz w:val="24"/>
          <w:szCs w:val="24"/>
        </w:rPr>
        <w:t>字符串，设备唯一标识。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timestamp：数据采集时间。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Params：参数块，用于包含设备采集的各项数据</w:t>
      </w:r>
      <w:r>
        <w:rPr>
          <w:rFonts w:hint="eastAsia" w:ascii="宋体" w:hAnsi="宋体" w:eastAsia="宋体" w:cs="宋体"/>
          <w:b w:val="0"/>
          <w:bCs/>
          <w:color w:val="auto"/>
          <w:sz w:val="24"/>
          <w:szCs w:val="24"/>
        </w:rPr>
        <w:t>（例如设备运行模式、信号强度、在线状态等可根据</w:t>
      </w:r>
      <w:r>
        <w:rPr>
          <w:rFonts w:hint="eastAsia" w:ascii="宋体" w:hAnsi="宋体" w:eastAsia="宋体" w:cs="宋体"/>
          <w:b w:val="0"/>
          <w:bCs/>
          <w:color w:val="auto"/>
          <w:sz w:val="24"/>
          <w:szCs w:val="24"/>
          <w:lang w:val="en-US" w:eastAsia="zh-CN"/>
        </w:rPr>
        <w:t>采集内容</w:t>
      </w:r>
      <w:r>
        <w:rPr>
          <w:rFonts w:hint="eastAsia" w:ascii="宋体" w:hAnsi="宋体" w:eastAsia="宋体" w:cs="宋体"/>
          <w:b w:val="0"/>
          <w:bCs/>
          <w:color w:val="auto"/>
          <w:sz w:val="24"/>
          <w:szCs w:val="24"/>
        </w:rPr>
        <w:t>需要增补）；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device_state：设备运行状态（0：运行，1：停止，2：待机）；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tag1：根据实际采集的内容，确定的属性</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对报警信息字段：如alarm_code（报警编号）、alarm_detail（报警描述）、alarm_type（报警类型）、alarm_level（报警级别）。</w:t>
      </w:r>
    </w:p>
    <w:p>
      <w:pPr>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 xml:space="preserve">响应格式：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返回统一状态码及说明信息，示例：成功返回200和“上传成功”，错误时返回相应错误码及描述。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安全认证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认证机制：采用Token进行身份认证。所有请求必须在HTTP Header中附带合法的认证信息。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数据加密：必须使用HTTPS协议，确保数据传输安全。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异常处理与日志记录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错误码：标准定义各类错误码（如401、404、500等），并附带详细错误说明，便于调试。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日志记录：所有接口调用均需记录详细日志（包括请求、响应及异常信息），以便后续问题追踪。</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MQTT接口（实时通道）说明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主题规范：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mqtt/000000/{采集模型(重汽提供)}/{设备编码(重汽提供)}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QoS等级：Level 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报文示例：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"controller": "MFG-001-2025",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"timestamp":"Fri Mar 08 09:50:00 CST 2024"</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"params":{</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"device_state":"0"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"tag1": "TEMP_01",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"tag2": "TEMP_02",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"tag3": "TEMP_03",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"alarm_code": "001",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"alarm_detail": “报警描述”,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"alarm_type": "报警类型",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"alarm_level": "级别",</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"alarm_time":"2025-02-20 14:30:00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"alarm_info":[],</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报文格式：主要字段包括：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controller：字符串，设备唯一标识。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timestamp：时间戳。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params：参数块，用于包含设备采集的各项数据（例如设备运行模式、信号强度、在线状态等可根据采集内容需要增补）；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device_state：必须字段，设备状态（0：开机，1：关机，2：待机）；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以及报警相关字段（alarm_code、alarm_detail、alarm_type、alarm_level、alarm_time）。</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发布与订阅规范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(1)连接前，设备供应商必须通过认证，确保连接合法。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(2)建议使用QoS 1，确保消息至少一次送达，并支持重传机制。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异常处理与重连机制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(1)定义MQTT连接中断后的重连策略。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(2)对于消息发送失败情况，要求设备或网关具备自动重发机制，并记录失败原因以便分析。</w:t>
      </w:r>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b/>
          <w:sz w:val="24"/>
          <w:szCs w:val="18"/>
          <w:lang w:val="en-US" w:eastAsia="zh-CN"/>
        </w:rPr>
      </w:pPr>
      <w:r>
        <w:rPr>
          <w:rFonts w:hint="eastAsia" w:ascii="宋体" w:hAnsi="宋体" w:eastAsia="宋体" w:cs="宋体"/>
          <w:b/>
          <w:sz w:val="24"/>
          <w:szCs w:val="18"/>
          <w:lang w:val="en-US" w:eastAsia="zh-CN"/>
        </w:rPr>
        <w:t>（</w:t>
      </w:r>
      <w:r>
        <w:rPr>
          <w:rFonts w:hint="eastAsia" w:ascii="宋体" w:hAnsi="宋体" w:cs="宋体"/>
          <w:b/>
          <w:sz w:val="24"/>
          <w:szCs w:val="18"/>
          <w:lang w:val="en-US" w:eastAsia="zh-CN"/>
        </w:rPr>
        <w:t>六</w:t>
      </w:r>
      <w:r>
        <w:rPr>
          <w:rFonts w:hint="eastAsia" w:ascii="宋体" w:hAnsi="宋体" w:eastAsia="宋体" w:cs="宋体"/>
          <w:b/>
          <w:sz w:val="24"/>
          <w:szCs w:val="18"/>
          <w:lang w:val="en-US" w:eastAsia="zh-CN"/>
        </w:rPr>
        <w:t>）空压机要求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空压机必须协助买方进行压力容器登记注册，并提供资料，包括但不限于：</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产品合格证；</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压力容器产品证明书，包含：</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锅炉压力容器安全质量监督检验证书（副本）、压力容器产品合格证、压力容器产品数据表、压力容器制造质量计划、压力容器外观及几何尺寸检验报告、产品主要受压元件使用材料一览、产品质量证明书、机组名牌照片、压力试验检验报告、（焊接）工艺过程卡、无损探伤报告单、焊缝射线检测报告、X射线摄片记录、压力容器强度计算书、系列管板应力分析报告、总图。</w:t>
      </w:r>
    </w:p>
    <w:p>
      <w:pPr>
        <w:pStyle w:val="3"/>
        <w:rPr>
          <w:rFonts w:hint="eastAsia"/>
          <w:highlight w:val="none"/>
          <w:lang w:val="en-US" w:eastAsia="zh-CN"/>
        </w:rPr>
      </w:pPr>
      <w:r>
        <w:rPr>
          <w:rFonts w:hint="eastAsia"/>
          <w:highlight w:val="none"/>
          <w:lang w:val="en-US" w:eastAsia="zh-CN"/>
        </w:rPr>
        <w:t>（七）急停按钮</w:t>
      </w:r>
    </w:p>
    <w:p>
      <w:pPr>
        <w:pStyle w:val="3"/>
        <w:keepNext/>
        <w:keepLines/>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1、原则上应布置至少一个急停按键，位于控制桌（控制桌的中轴线上，距离桌边55cm）或者试验间内侧人行出入口旁（距离门框20cm，标高130cm），或者两个位置都布置。</w:t>
      </w:r>
    </w:p>
    <w:p>
      <w:pPr>
        <w:pStyle w:val="3"/>
        <w:keepNext/>
        <w:keepLines/>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2、按钮开关选用施耐德XB2BS545C，开关盒选用施耐德XALB01YC塑料按钮盒，防护罩选用施耐德ZB2BZ1605C</w:t>
      </w:r>
      <w:r>
        <w:rPr>
          <w:rFonts w:hint="eastAsia" w:ascii="宋体" w:hAnsi="宋体" w:cs="宋体"/>
          <w:b w:val="0"/>
          <w:bCs w:val="0"/>
          <w:kern w:val="2"/>
          <w:sz w:val="24"/>
          <w:szCs w:val="24"/>
          <w:highlight w:val="none"/>
          <w:lang w:val="en-US" w:eastAsia="zh-CN" w:bidi="ar-SA"/>
        </w:rPr>
        <w:t>。</w:t>
      </w:r>
    </w:p>
    <w:p>
      <w:pPr>
        <w:pStyle w:val="3"/>
        <w:keepNext/>
        <w:keepLines/>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3、舱体和中小设备本体急停按键按实际需要配置。</w:t>
      </w:r>
    </w:p>
    <w:p>
      <w:pPr>
        <w:rPr>
          <w:rFonts w:hint="eastAsia" w:ascii="Arial" w:hAnsi="Arial" w:eastAsia="宋体" w:cs="Times New Roman"/>
          <w:b/>
          <w:bCs/>
          <w:kern w:val="2"/>
          <w:sz w:val="24"/>
          <w:szCs w:val="32"/>
          <w:highlight w:val="none"/>
          <w:lang w:val="en-US" w:eastAsia="zh-CN" w:bidi="ar-SA"/>
        </w:rPr>
      </w:pPr>
      <w:r>
        <w:rPr>
          <w:rFonts w:hint="eastAsia" w:ascii="Arial" w:hAnsi="Arial" w:eastAsia="宋体" w:cs="Times New Roman"/>
          <w:b/>
          <w:bCs/>
          <w:kern w:val="2"/>
          <w:sz w:val="24"/>
          <w:szCs w:val="32"/>
          <w:highlight w:val="none"/>
          <w:lang w:val="en-US" w:eastAsia="zh-CN" w:bidi="ar-SA"/>
        </w:rPr>
        <w:t>（</w:t>
      </w:r>
      <w:r>
        <w:rPr>
          <w:rFonts w:hint="eastAsia" w:ascii="Arial" w:hAnsi="Arial" w:cs="Times New Roman"/>
          <w:b/>
          <w:bCs/>
          <w:kern w:val="2"/>
          <w:sz w:val="24"/>
          <w:szCs w:val="32"/>
          <w:highlight w:val="none"/>
          <w:lang w:val="en-US" w:eastAsia="zh-CN" w:bidi="ar-SA"/>
        </w:rPr>
        <w:t>八</w:t>
      </w:r>
      <w:r>
        <w:rPr>
          <w:rFonts w:hint="eastAsia" w:ascii="Arial" w:hAnsi="Arial" w:eastAsia="宋体" w:cs="Times New Roman"/>
          <w:b/>
          <w:bCs/>
          <w:kern w:val="2"/>
          <w:sz w:val="24"/>
          <w:szCs w:val="32"/>
          <w:highlight w:val="none"/>
          <w:lang w:val="en-US" w:eastAsia="zh-CN" w:bidi="ar-SA"/>
        </w:rPr>
        <w:t>）屏幕尺寸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1、设备主控台架屏幕横向放置，监控屏幕置于桌面最右侧</w:t>
      </w:r>
      <w:r>
        <w:rPr>
          <w:rFonts w:hint="eastAsia" w:ascii="宋体" w:hAnsi="宋体" w:cs="宋体"/>
          <w:b w:val="0"/>
          <w:bCs w:val="0"/>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2、屏幕尺寸为34英寸，21:9比例。</w:t>
      </w:r>
    </w:p>
    <w:p>
      <w:pPr>
        <w:pStyle w:val="3"/>
        <w:rPr>
          <w:rFonts w:hint="eastAsia"/>
          <w:highlight w:val="none"/>
          <w:lang w:val="en-US" w:eastAsia="zh-CN"/>
        </w:rPr>
      </w:pPr>
      <w:r>
        <w:rPr>
          <w:rFonts w:hint="eastAsia"/>
          <w:highlight w:val="none"/>
          <w:lang w:val="en-US" w:eastAsia="zh-CN"/>
        </w:rPr>
        <w:t>（九）主控柜位置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原则上放置于主控台架一侧（远离试验室人行门入口）</w:t>
      </w:r>
      <w:r>
        <w:rPr>
          <w:rFonts w:hint="eastAsia" w:ascii="宋体" w:hAnsi="宋体" w:cs="宋体"/>
          <w:b w:val="0"/>
          <w:bCs w:val="0"/>
          <w:kern w:val="2"/>
          <w:sz w:val="24"/>
          <w:szCs w:val="24"/>
          <w:highlight w:val="none"/>
          <w:lang w:val="en-US" w:eastAsia="zh-CN" w:bidi="ar-SA"/>
        </w:rPr>
        <w:t>。</w:t>
      </w:r>
    </w:p>
    <w:p>
      <w:pPr>
        <w:pStyle w:val="3"/>
        <w:rPr>
          <w:rFonts w:hint="eastAsia"/>
          <w:lang w:val="en-US" w:eastAsia="zh-CN"/>
        </w:rPr>
      </w:pPr>
    </w:p>
    <w:p>
      <w:pPr>
        <w:pStyle w:val="4"/>
        <w:keepNext/>
        <w:keepLines/>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eastAsia" w:ascii="宋体" w:hAnsi="宋体" w:eastAsia="宋体" w:cs="宋体"/>
          <w:b/>
          <w:sz w:val="24"/>
          <w:szCs w:val="18"/>
          <w:lang w:val="en-US" w:eastAsia="zh-CN"/>
        </w:rPr>
      </w:pPr>
      <w:r>
        <w:rPr>
          <w:rFonts w:hint="eastAsia" w:ascii="宋体" w:hAnsi="宋体" w:eastAsia="宋体" w:cs="宋体"/>
          <w:b/>
          <w:sz w:val="24"/>
          <w:szCs w:val="18"/>
          <w:lang w:val="en-US" w:eastAsia="zh-CN"/>
        </w:rPr>
        <w:t>（</w:t>
      </w:r>
      <w:r>
        <w:rPr>
          <w:rFonts w:hint="eastAsia" w:ascii="宋体" w:hAnsi="宋体" w:cs="宋体"/>
          <w:b/>
          <w:sz w:val="24"/>
          <w:szCs w:val="18"/>
          <w:lang w:val="en-US" w:eastAsia="zh-CN"/>
        </w:rPr>
        <w:t>十</w:t>
      </w:r>
      <w:r>
        <w:rPr>
          <w:rFonts w:hint="eastAsia" w:ascii="宋体" w:hAnsi="宋体" w:eastAsia="宋体" w:cs="宋体"/>
          <w:b/>
          <w:sz w:val="24"/>
          <w:szCs w:val="18"/>
          <w:lang w:val="en-US" w:eastAsia="zh-CN"/>
        </w:rPr>
        <w:t>）其它要求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所有设备外观喷涂颜色按中国重型汽车集团有限公司Q/ZZ 30070—2020《设备设施颜色标识》规定执行</w:t>
      </w:r>
      <w:r>
        <w:rPr>
          <w:rFonts w:hint="eastAsia" w:ascii="宋体" w:hAnsi="宋体" w:cs="宋体"/>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highlight w:val="none"/>
          <w:lang w:val="en-US" w:eastAsia="zh-CN"/>
        </w:rPr>
        <w:t>2、</w:t>
      </w:r>
      <w:r>
        <w:rPr>
          <w:rFonts w:hint="eastAsia" w:ascii="宋体" w:hAnsi="宋体" w:cs="宋体"/>
          <w:sz w:val="24"/>
          <w:szCs w:val="24"/>
          <w:highlight w:val="none"/>
          <w:lang w:val="en-US" w:eastAsia="zh-CN"/>
        </w:rPr>
        <w:t>设备验收前需符合</w:t>
      </w:r>
      <w:r>
        <w:rPr>
          <w:rFonts w:hint="eastAsia" w:ascii="宋体" w:hAnsi="宋体" w:eastAsia="宋体" w:cs="宋体"/>
          <w:sz w:val="24"/>
          <w:szCs w:val="24"/>
          <w:highlight w:val="none"/>
          <w:lang w:val="en-US" w:eastAsia="zh-CN"/>
        </w:rPr>
        <w:t>中国重型汽车集团有限公司</w:t>
      </w:r>
      <w:r>
        <w:rPr>
          <w:rFonts w:hint="eastAsia" w:ascii="宋体" w:hAnsi="宋体" w:cs="宋体"/>
          <w:sz w:val="24"/>
          <w:szCs w:val="24"/>
          <w:highlight w:val="none"/>
          <w:lang w:val="en-US" w:eastAsia="zh-CN"/>
        </w:rPr>
        <w:t>JNATCB0117A2-2025《设备通用技术标准管理办法》规范。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、嵌入式软件必须免费升级。</w:t>
      </w:r>
    </w:p>
    <w:p>
      <w:pPr>
        <w:pStyle w:val="116"/>
        <w:spacing w:line="360" w:lineRule="auto"/>
        <w:outlineLvl w:val="2"/>
        <w:rPr>
          <w:rFonts w:hint="eastAsia" w:eastAsia="宋体" w:cs="宋体"/>
          <w:b/>
          <w:bCs w:val="0"/>
          <w:sz w:val="24"/>
          <w:szCs w:val="24"/>
        </w:rPr>
      </w:pPr>
      <w:r>
        <w:rPr>
          <w:rFonts w:hint="eastAsia" w:eastAsia="宋体" w:cs="宋体"/>
          <w:b/>
          <w:bCs w:val="0"/>
          <w:sz w:val="24"/>
          <w:szCs w:val="24"/>
        </w:rPr>
        <w:t>三、技术要求</w:t>
      </w:r>
    </w:p>
    <w:p>
      <w:pPr>
        <w:ind w:firstLine="482" w:firstLineChars="200"/>
        <w:jc w:val="left"/>
        <w:rPr>
          <w:rFonts w:hint="eastAsia" w:ascii="宋体" w:hAnsi="宋体" w:eastAsia="宋体" w:cs="宋体"/>
          <w:b/>
          <w:sz w:val="24"/>
          <w:szCs w:val="24"/>
        </w:rPr>
      </w:pPr>
      <w:r>
        <w:rPr>
          <w:rFonts w:hint="eastAsia" w:ascii="宋体" w:hAnsi="宋体" w:eastAsia="宋体" w:cs="宋体"/>
          <w:b/>
          <w:sz w:val="24"/>
          <w:szCs w:val="24"/>
        </w:rPr>
        <w:t>说明：本章内容中凡标有“★”号的，均须无条件的满足，如果某个标题前标有“★”的，则该标题下的所有内容都须无条件的满足。</w:t>
      </w:r>
    </w:p>
    <w:p>
      <w:pPr>
        <w:jc w:val="left"/>
        <w:rPr>
          <w:rFonts w:hint="eastAsia" w:ascii="宋体" w:hAnsi="宋体" w:eastAsia="宋体" w:cs="宋体"/>
          <w:b/>
          <w:sz w:val="24"/>
          <w:szCs w:val="24"/>
        </w:rPr>
      </w:pPr>
    </w:p>
    <w:p>
      <w:pPr>
        <w:spacing w:line="420" w:lineRule="exact"/>
        <w:outlineLvl w:val="3"/>
        <w:rPr>
          <w:rFonts w:hint="eastAsia" w:ascii="宋体" w:hAnsi="宋体" w:eastAsia="宋体" w:cs="宋体"/>
          <w:b/>
          <w:bCs/>
          <w:sz w:val="24"/>
          <w:szCs w:val="24"/>
        </w:rPr>
      </w:pPr>
      <w:r>
        <w:rPr>
          <w:rFonts w:hint="eastAsia" w:ascii="宋体" w:hAnsi="宋体" w:eastAsia="宋体" w:cs="宋体"/>
          <w:b/>
          <w:bCs/>
          <w:sz w:val="24"/>
          <w:szCs w:val="24"/>
        </w:rPr>
        <w:t>1功能用途、生产能力、使用寿命要求</w:t>
      </w:r>
    </w:p>
    <w:p>
      <w:pPr>
        <w:tabs>
          <w:tab w:val="left" w:pos="709"/>
        </w:tabs>
        <w:spacing w:line="360" w:lineRule="auto"/>
        <w:ind w:firstLine="480" w:firstLineChars="200"/>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IP9K防水试验箱项目用于电机和多合一控制器IP9K防水试验,评估设备在高压高温水射流下防护性能的测试设备。试验中，将样品从任何方向暴露在高温水射流环境中，以完成入侵防护（IP）测试系统中最高等级的防水测试。本项目由中标方按物料清单进行供货，提供物料集成支持及调试。按全年工作274天、两班制、设备年时基数4380小时进行使用，使用寿命十年以上。</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3"/>
        <w:rPr>
          <w:rFonts w:hint="eastAsia"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sz w:val="24"/>
          <w:szCs w:val="24"/>
        </w:rPr>
        <w:t>★</w:t>
      </w:r>
      <w:r>
        <w:rPr>
          <w:rFonts w:hint="eastAsia" w:ascii="宋体" w:hAnsi="宋体" w:eastAsia="宋体" w:cs="宋体"/>
          <w:b/>
          <w:bCs/>
          <w:sz w:val="24"/>
          <w:szCs w:val="24"/>
        </w:rPr>
        <w:t>技术性能参数要求</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4"/>
        <w:rPr>
          <w:rFonts w:hint="eastAsia" w:ascii="宋体" w:hAnsi="宋体" w:eastAsia="宋体" w:cs="Times New Roman"/>
          <w:sz w:val="24"/>
          <w:szCs w:val="24"/>
          <w:lang w:val="en-US" w:eastAsia="zh-CN"/>
        </w:rPr>
      </w:pPr>
      <w:r>
        <w:rPr>
          <w:rFonts w:hint="eastAsia" w:ascii="宋体" w:hAnsi="宋体" w:eastAsia="宋体" w:cs="宋体"/>
          <w:b/>
          <w:bCs/>
          <w:sz w:val="24"/>
          <w:szCs w:val="24"/>
        </w:rPr>
        <w:t>2</w:t>
      </w:r>
      <w:r>
        <w:rPr>
          <w:rFonts w:ascii="宋体" w:hAnsi="宋体" w:eastAsia="宋体" w:cs="宋体"/>
          <w:b/>
          <w:bCs/>
          <w:sz w:val="24"/>
          <w:szCs w:val="24"/>
        </w:rPr>
        <w:t>.</w:t>
      </w:r>
      <w:r>
        <w:rPr>
          <w:rFonts w:hint="eastAsia" w:ascii="宋体" w:hAnsi="宋体" w:eastAsia="宋体" w:cs="宋体"/>
          <w:b/>
          <w:bCs/>
          <w:sz w:val="24"/>
          <w:szCs w:val="24"/>
          <w:lang w:val="en-US" w:eastAsia="zh-CN"/>
        </w:rPr>
        <w:t>1</w:t>
      </w:r>
      <w:r>
        <w:rPr>
          <w:rFonts w:hint="eastAsia" w:ascii="Times New Roman" w:hAnsi="Times New Roman" w:eastAsia="宋体" w:cs="Times New Roman"/>
          <w:szCs w:val="20"/>
        </w:rPr>
        <w:t xml:space="preserve"> </w:t>
      </w:r>
      <w:r>
        <w:rPr>
          <w:rFonts w:hint="eastAsia" w:ascii="宋体" w:hAnsi="宋体" w:eastAsia="宋体" w:cs="宋体"/>
          <w:b/>
          <w:bCs/>
          <w:sz w:val="24"/>
          <w:szCs w:val="24"/>
          <w:lang w:eastAsia="zh-CN"/>
        </w:rPr>
        <w:t>IP9K防水试验箱</w:t>
      </w:r>
      <w:r>
        <w:rPr>
          <w:rFonts w:hint="eastAsia" w:ascii="宋体" w:hAnsi="宋体" w:eastAsia="宋体" w:cs="宋体"/>
          <w:b/>
          <w:bCs/>
          <w:sz w:val="24"/>
          <w:szCs w:val="24"/>
        </w:rPr>
        <w:t>技术</w:t>
      </w:r>
      <w:r>
        <w:rPr>
          <w:rFonts w:hint="eastAsia" w:ascii="宋体" w:hAnsi="宋体" w:eastAsia="宋体" w:cs="宋体"/>
          <w:b/>
          <w:bCs/>
          <w:sz w:val="24"/>
          <w:szCs w:val="24"/>
          <w:lang w:val="en-US" w:eastAsia="zh-CN"/>
        </w:rPr>
        <w:t>要求</w:t>
      </w:r>
    </w:p>
    <w:tbl>
      <w:tblPr>
        <w:tblStyle w:val="39"/>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2449"/>
        <w:gridCol w:w="3579"/>
        <w:gridCol w:w="1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04"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1、基本参数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序号</w:t>
            </w:r>
          </w:p>
        </w:tc>
        <w:tc>
          <w:tcPr>
            <w:tcW w:w="244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项目</w:t>
            </w:r>
          </w:p>
        </w:tc>
        <w:tc>
          <w:tcPr>
            <w:tcW w:w="35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具体要求</w:t>
            </w:r>
          </w:p>
        </w:tc>
        <w:tc>
          <w:tcPr>
            <w:tcW w:w="128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Merge w:val="restart"/>
            <w:shd w:val="clear" w:color="auto" w:fill="auto"/>
            <w:vAlign w:val="center"/>
          </w:tcPr>
          <w:p>
            <w:pPr>
              <w:keepNext w:val="0"/>
              <w:keepLines w:val="0"/>
              <w:pageBreakBefore w:val="0"/>
              <w:widowControl w:val="0"/>
              <w:numPr>
                <w:ilvl w:val="0"/>
                <w:numId w:val="13"/>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宋体"/>
                <w:color w:val="000000"/>
                <w:sz w:val="21"/>
                <w:szCs w:val="21"/>
              </w:rPr>
            </w:pPr>
          </w:p>
        </w:tc>
        <w:tc>
          <w:tcPr>
            <w:tcW w:w="2449"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需满足的测试场景</w:t>
            </w:r>
          </w:p>
        </w:tc>
        <w:tc>
          <w:tcPr>
            <w:tcW w:w="35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IPX6K</w:t>
            </w:r>
          </w:p>
        </w:tc>
        <w:tc>
          <w:tcPr>
            <w:tcW w:w="128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Merge w:val="continue"/>
            <w:shd w:val="clear" w:color="auto" w:fill="auto"/>
            <w:vAlign w:val="center"/>
          </w:tcPr>
          <w:p>
            <w:pPr>
              <w:keepNext w:val="0"/>
              <w:keepLines w:val="0"/>
              <w:pageBreakBefore w:val="0"/>
              <w:widowControl w:val="0"/>
              <w:tabs>
                <w:tab w:val="left" w:pos="420"/>
              </w:tabs>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宋体"/>
                <w:color w:val="000000"/>
                <w:sz w:val="21"/>
                <w:szCs w:val="21"/>
              </w:rPr>
            </w:pPr>
          </w:p>
        </w:tc>
        <w:tc>
          <w:tcPr>
            <w:tcW w:w="2449"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p>
        </w:tc>
        <w:tc>
          <w:tcPr>
            <w:tcW w:w="35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IPX9K</w:t>
            </w:r>
          </w:p>
        </w:tc>
        <w:tc>
          <w:tcPr>
            <w:tcW w:w="128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pPr>
              <w:keepNext w:val="0"/>
              <w:keepLines w:val="0"/>
              <w:pageBreakBefore w:val="0"/>
              <w:widowControl w:val="0"/>
              <w:numPr>
                <w:ilvl w:val="0"/>
                <w:numId w:val="13"/>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宋体"/>
                <w:color w:val="000000"/>
                <w:sz w:val="21"/>
                <w:szCs w:val="21"/>
              </w:rPr>
            </w:pPr>
          </w:p>
        </w:tc>
        <w:tc>
          <w:tcPr>
            <w:tcW w:w="244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设备内尺寸</w:t>
            </w:r>
          </w:p>
        </w:tc>
        <w:tc>
          <w:tcPr>
            <w:tcW w:w="35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W×D×H=2000mm×2000mm×2000mm</w:t>
            </w:r>
          </w:p>
        </w:tc>
        <w:tc>
          <w:tcPr>
            <w:tcW w:w="128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pPr>
              <w:keepNext w:val="0"/>
              <w:keepLines w:val="0"/>
              <w:pageBreakBefore w:val="0"/>
              <w:widowControl w:val="0"/>
              <w:numPr>
                <w:ilvl w:val="0"/>
                <w:numId w:val="13"/>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宋体"/>
                <w:color w:val="000000"/>
                <w:sz w:val="21"/>
                <w:szCs w:val="21"/>
              </w:rPr>
            </w:pPr>
          </w:p>
        </w:tc>
        <w:tc>
          <w:tcPr>
            <w:tcW w:w="2449"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IPX6K性能</w:t>
            </w:r>
          </w:p>
        </w:tc>
        <w:tc>
          <w:tcPr>
            <w:tcW w:w="35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喷嘴直径：Ø6.3mm，Ø12.5mm</w:t>
            </w:r>
          </w:p>
        </w:tc>
        <w:tc>
          <w:tcPr>
            <w:tcW w:w="128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pPr>
              <w:keepNext w:val="0"/>
              <w:keepLines w:val="0"/>
              <w:pageBreakBefore w:val="0"/>
              <w:widowControl w:val="0"/>
              <w:numPr>
                <w:ilvl w:val="0"/>
                <w:numId w:val="13"/>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宋体"/>
                <w:color w:val="000000"/>
                <w:sz w:val="21"/>
                <w:szCs w:val="21"/>
              </w:rPr>
            </w:pPr>
          </w:p>
        </w:tc>
        <w:tc>
          <w:tcPr>
            <w:tcW w:w="2449"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p>
        </w:tc>
        <w:tc>
          <w:tcPr>
            <w:tcW w:w="35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喷嘴软管：2根</w:t>
            </w:r>
          </w:p>
        </w:tc>
        <w:tc>
          <w:tcPr>
            <w:tcW w:w="128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pPr>
              <w:keepNext w:val="0"/>
              <w:keepLines w:val="0"/>
              <w:pageBreakBefore w:val="0"/>
              <w:widowControl w:val="0"/>
              <w:numPr>
                <w:ilvl w:val="0"/>
                <w:numId w:val="13"/>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宋体"/>
                <w:color w:val="000000"/>
                <w:sz w:val="21"/>
                <w:szCs w:val="21"/>
              </w:rPr>
            </w:pPr>
          </w:p>
        </w:tc>
        <w:tc>
          <w:tcPr>
            <w:tcW w:w="2449"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p>
        </w:tc>
        <w:tc>
          <w:tcPr>
            <w:tcW w:w="35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喷射方向：从箱体的左侧</w:t>
            </w:r>
          </w:p>
        </w:tc>
        <w:tc>
          <w:tcPr>
            <w:tcW w:w="128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pPr>
              <w:keepNext w:val="0"/>
              <w:keepLines w:val="0"/>
              <w:pageBreakBefore w:val="0"/>
              <w:widowControl w:val="0"/>
              <w:numPr>
                <w:ilvl w:val="0"/>
                <w:numId w:val="13"/>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宋体"/>
                <w:color w:val="000000"/>
                <w:sz w:val="21"/>
                <w:szCs w:val="21"/>
              </w:rPr>
            </w:pPr>
          </w:p>
        </w:tc>
        <w:tc>
          <w:tcPr>
            <w:tcW w:w="2449"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p>
        </w:tc>
        <w:tc>
          <w:tcPr>
            <w:tcW w:w="35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水平喷淋距离：</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离试验品2.5m～3m</w:t>
            </w:r>
          </w:p>
        </w:tc>
        <w:tc>
          <w:tcPr>
            <w:tcW w:w="128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pPr>
              <w:keepNext w:val="0"/>
              <w:keepLines w:val="0"/>
              <w:pageBreakBefore w:val="0"/>
              <w:widowControl w:val="0"/>
              <w:numPr>
                <w:ilvl w:val="0"/>
                <w:numId w:val="13"/>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宋体"/>
                <w:color w:val="000000"/>
                <w:sz w:val="21"/>
                <w:szCs w:val="21"/>
              </w:rPr>
            </w:pPr>
          </w:p>
        </w:tc>
        <w:tc>
          <w:tcPr>
            <w:tcW w:w="2449"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p>
        </w:tc>
        <w:tc>
          <w:tcPr>
            <w:tcW w:w="35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喷嘴流量可调范围：</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12.5L/min～100L/min</w:t>
            </w:r>
          </w:p>
        </w:tc>
        <w:tc>
          <w:tcPr>
            <w:tcW w:w="128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pPr>
              <w:keepNext w:val="0"/>
              <w:keepLines w:val="0"/>
              <w:pageBreakBefore w:val="0"/>
              <w:widowControl w:val="0"/>
              <w:numPr>
                <w:ilvl w:val="0"/>
                <w:numId w:val="13"/>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宋体"/>
                <w:color w:val="000000"/>
                <w:sz w:val="21"/>
                <w:szCs w:val="21"/>
              </w:rPr>
            </w:pPr>
          </w:p>
        </w:tc>
        <w:tc>
          <w:tcPr>
            <w:tcW w:w="2449"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p>
        </w:tc>
        <w:tc>
          <w:tcPr>
            <w:tcW w:w="35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直喷水压力可调范围：</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30kPa～1000kPa</w:t>
            </w:r>
          </w:p>
        </w:tc>
        <w:tc>
          <w:tcPr>
            <w:tcW w:w="128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pPr>
              <w:keepNext w:val="0"/>
              <w:keepLines w:val="0"/>
              <w:pageBreakBefore w:val="0"/>
              <w:widowControl w:val="0"/>
              <w:numPr>
                <w:ilvl w:val="0"/>
                <w:numId w:val="13"/>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宋体"/>
                <w:color w:val="000000"/>
                <w:sz w:val="21"/>
                <w:szCs w:val="21"/>
              </w:rPr>
            </w:pPr>
          </w:p>
        </w:tc>
        <w:tc>
          <w:tcPr>
            <w:tcW w:w="2449"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IPX9K性能</w:t>
            </w:r>
          </w:p>
        </w:tc>
        <w:tc>
          <w:tcPr>
            <w:tcW w:w="35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水温范围：环境温度+5℃～+80℃</w:t>
            </w:r>
          </w:p>
        </w:tc>
        <w:tc>
          <w:tcPr>
            <w:tcW w:w="128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pPr>
              <w:keepNext w:val="0"/>
              <w:keepLines w:val="0"/>
              <w:pageBreakBefore w:val="0"/>
              <w:widowControl w:val="0"/>
              <w:numPr>
                <w:ilvl w:val="0"/>
                <w:numId w:val="13"/>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宋体"/>
                <w:color w:val="000000"/>
                <w:sz w:val="21"/>
                <w:szCs w:val="21"/>
              </w:rPr>
            </w:pPr>
          </w:p>
        </w:tc>
        <w:tc>
          <w:tcPr>
            <w:tcW w:w="2449"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p>
        </w:tc>
        <w:tc>
          <w:tcPr>
            <w:tcW w:w="35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喷嘴数目：4个</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(0°,30°,60°,90°)</w:t>
            </w:r>
          </w:p>
        </w:tc>
        <w:tc>
          <w:tcPr>
            <w:tcW w:w="128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pPr>
              <w:keepNext w:val="0"/>
              <w:keepLines w:val="0"/>
              <w:pageBreakBefore w:val="0"/>
              <w:widowControl w:val="0"/>
              <w:numPr>
                <w:ilvl w:val="0"/>
                <w:numId w:val="13"/>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宋体"/>
                <w:color w:val="000000"/>
                <w:sz w:val="21"/>
                <w:szCs w:val="21"/>
              </w:rPr>
            </w:pPr>
          </w:p>
        </w:tc>
        <w:tc>
          <w:tcPr>
            <w:tcW w:w="2449"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p>
        </w:tc>
        <w:tc>
          <w:tcPr>
            <w:tcW w:w="35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喷水距离：150mm～200mm，可调</w:t>
            </w:r>
          </w:p>
        </w:tc>
        <w:tc>
          <w:tcPr>
            <w:tcW w:w="128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pPr>
              <w:keepNext w:val="0"/>
              <w:keepLines w:val="0"/>
              <w:pageBreakBefore w:val="0"/>
              <w:widowControl w:val="0"/>
              <w:numPr>
                <w:ilvl w:val="0"/>
                <w:numId w:val="13"/>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宋体"/>
                <w:color w:val="000000"/>
                <w:sz w:val="21"/>
                <w:szCs w:val="21"/>
              </w:rPr>
            </w:pPr>
          </w:p>
        </w:tc>
        <w:tc>
          <w:tcPr>
            <w:tcW w:w="2449"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p>
        </w:tc>
        <w:tc>
          <w:tcPr>
            <w:tcW w:w="35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水流量：14L/min～16L/min</w:t>
            </w:r>
          </w:p>
        </w:tc>
        <w:tc>
          <w:tcPr>
            <w:tcW w:w="128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pPr>
              <w:keepNext w:val="0"/>
              <w:keepLines w:val="0"/>
              <w:pageBreakBefore w:val="0"/>
              <w:widowControl w:val="0"/>
              <w:numPr>
                <w:ilvl w:val="0"/>
                <w:numId w:val="13"/>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宋体"/>
                <w:color w:val="000000"/>
                <w:sz w:val="21"/>
                <w:szCs w:val="21"/>
              </w:rPr>
            </w:pPr>
          </w:p>
        </w:tc>
        <w:tc>
          <w:tcPr>
            <w:tcW w:w="2449"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p>
        </w:tc>
        <w:tc>
          <w:tcPr>
            <w:tcW w:w="35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水压：80bar～100bar</w:t>
            </w:r>
          </w:p>
        </w:tc>
        <w:tc>
          <w:tcPr>
            <w:tcW w:w="128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pPr>
              <w:keepNext w:val="0"/>
              <w:keepLines w:val="0"/>
              <w:pageBreakBefore w:val="0"/>
              <w:widowControl w:val="0"/>
              <w:numPr>
                <w:ilvl w:val="0"/>
                <w:numId w:val="13"/>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宋体"/>
                <w:color w:val="000000"/>
                <w:sz w:val="21"/>
                <w:szCs w:val="21"/>
              </w:rPr>
            </w:pPr>
          </w:p>
        </w:tc>
        <w:tc>
          <w:tcPr>
            <w:tcW w:w="2449"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测试平台参数</w:t>
            </w:r>
          </w:p>
        </w:tc>
        <w:tc>
          <w:tcPr>
            <w:tcW w:w="35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测试平台直径：Ø1000mm</w:t>
            </w:r>
          </w:p>
        </w:tc>
        <w:tc>
          <w:tcPr>
            <w:tcW w:w="128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pPr>
              <w:keepNext w:val="0"/>
              <w:keepLines w:val="0"/>
              <w:pageBreakBefore w:val="0"/>
              <w:widowControl w:val="0"/>
              <w:numPr>
                <w:ilvl w:val="0"/>
                <w:numId w:val="13"/>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宋体"/>
                <w:color w:val="000000"/>
                <w:sz w:val="21"/>
                <w:szCs w:val="21"/>
              </w:rPr>
            </w:pPr>
          </w:p>
        </w:tc>
        <w:tc>
          <w:tcPr>
            <w:tcW w:w="2449"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p>
        </w:tc>
        <w:tc>
          <w:tcPr>
            <w:tcW w:w="35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测试平台转速：4～17r/min</w:t>
            </w:r>
          </w:p>
        </w:tc>
        <w:tc>
          <w:tcPr>
            <w:tcW w:w="128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pPr>
              <w:keepNext w:val="0"/>
              <w:keepLines w:val="0"/>
              <w:pageBreakBefore w:val="0"/>
              <w:widowControl w:val="0"/>
              <w:numPr>
                <w:ilvl w:val="0"/>
                <w:numId w:val="13"/>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宋体"/>
                <w:color w:val="000000"/>
                <w:sz w:val="21"/>
                <w:szCs w:val="21"/>
              </w:rPr>
            </w:pPr>
          </w:p>
        </w:tc>
        <w:tc>
          <w:tcPr>
            <w:tcW w:w="2449"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p>
        </w:tc>
        <w:tc>
          <w:tcPr>
            <w:tcW w:w="35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测试平台高度：手动调节距离100mm</w:t>
            </w:r>
          </w:p>
        </w:tc>
        <w:tc>
          <w:tcPr>
            <w:tcW w:w="128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pPr>
              <w:keepNext w:val="0"/>
              <w:keepLines w:val="0"/>
              <w:pageBreakBefore w:val="0"/>
              <w:widowControl w:val="0"/>
              <w:numPr>
                <w:ilvl w:val="0"/>
                <w:numId w:val="13"/>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宋体"/>
                <w:color w:val="000000"/>
                <w:sz w:val="21"/>
                <w:szCs w:val="21"/>
              </w:rPr>
            </w:pPr>
          </w:p>
        </w:tc>
        <w:tc>
          <w:tcPr>
            <w:tcW w:w="2449"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p>
        </w:tc>
        <w:tc>
          <w:tcPr>
            <w:tcW w:w="35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测试平台载重：500kg</w:t>
            </w:r>
          </w:p>
        </w:tc>
        <w:tc>
          <w:tcPr>
            <w:tcW w:w="128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pPr>
              <w:keepNext w:val="0"/>
              <w:keepLines w:val="0"/>
              <w:pageBreakBefore w:val="0"/>
              <w:widowControl w:val="0"/>
              <w:numPr>
                <w:ilvl w:val="0"/>
                <w:numId w:val="13"/>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宋体"/>
                <w:color w:val="000000"/>
                <w:sz w:val="21"/>
                <w:szCs w:val="21"/>
              </w:rPr>
            </w:pPr>
          </w:p>
        </w:tc>
        <w:tc>
          <w:tcPr>
            <w:tcW w:w="2449"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p>
        </w:tc>
        <w:tc>
          <w:tcPr>
            <w:tcW w:w="35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转速变频可调</w:t>
            </w:r>
          </w:p>
        </w:tc>
        <w:tc>
          <w:tcPr>
            <w:tcW w:w="128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pPr>
              <w:keepNext w:val="0"/>
              <w:keepLines w:val="0"/>
              <w:pageBreakBefore w:val="0"/>
              <w:widowControl w:val="0"/>
              <w:numPr>
                <w:ilvl w:val="0"/>
                <w:numId w:val="13"/>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宋体"/>
                <w:color w:val="000000"/>
                <w:sz w:val="21"/>
                <w:szCs w:val="21"/>
              </w:rPr>
            </w:pPr>
          </w:p>
        </w:tc>
        <w:tc>
          <w:tcPr>
            <w:tcW w:w="244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喷嘴</w:t>
            </w:r>
          </w:p>
        </w:tc>
        <w:tc>
          <w:tcPr>
            <w:tcW w:w="35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喷嘴布置：根据ISO 20653</w:t>
            </w:r>
          </w:p>
        </w:tc>
        <w:tc>
          <w:tcPr>
            <w:tcW w:w="128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pPr>
              <w:keepNext w:val="0"/>
              <w:keepLines w:val="0"/>
              <w:pageBreakBefore w:val="0"/>
              <w:widowControl w:val="0"/>
              <w:numPr>
                <w:ilvl w:val="0"/>
                <w:numId w:val="13"/>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宋体"/>
                <w:color w:val="000000"/>
                <w:sz w:val="21"/>
                <w:szCs w:val="21"/>
              </w:rPr>
            </w:pPr>
          </w:p>
        </w:tc>
        <w:tc>
          <w:tcPr>
            <w:tcW w:w="244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外壳材料</w:t>
            </w:r>
          </w:p>
        </w:tc>
        <w:tc>
          <w:tcPr>
            <w:tcW w:w="35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≥1.5mm镀锌板</w:t>
            </w:r>
          </w:p>
        </w:tc>
        <w:tc>
          <w:tcPr>
            <w:tcW w:w="128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pPr>
              <w:keepNext w:val="0"/>
              <w:keepLines w:val="0"/>
              <w:pageBreakBefore w:val="0"/>
              <w:widowControl w:val="0"/>
              <w:numPr>
                <w:ilvl w:val="0"/>
                <w:numId w:val="13"/>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宋体"/>
                <w:color w:val="000000"/>
                <w:sz w:val="21"/>
                <w:szCs w:val="21"/>
              </w:rPr>
            </w:pPr>
          </w:p>
        </w:tc>
        <w:tc>
          <w:tcPr>
            <w:tcW w:w="244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内胆材料</w:t>
            </w:r>
          </w:p>
        </w:tc>
        <w:tc>
          <w:tcPr>
            <w:tcW w:w="35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≥1mm不锈钢</w:t>
            </w:r>
          </w:p>
        </w:tc>
        <w:tc>
          <w:tcPr>
            <w:tcW w:w="128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pPr>
              <w:keepNext w:val="0"/>
              <w:keepLines w:val="0"/>
              <w:pageBreakBefore w:val="0"/>
              <w:widowControl w:val="0"/>
              <w:numPr>
                <w:ilvl w:val="0"/>
                <w:numId w:val="13"/>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宋体"/>
                <w:color w:val="000000"/>
                <w:sz w:val="21"/>
                <w:szCs w:val="21"/>
              </w:rPr>
            </w:pPr>
          </w:p>
        </w:tc>
        <w:tc>
          <w:tcPr>
            <w:tcW w:w="244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底板承重</w:t>
            </w:r>
          </w:p>
        </w:tc>
        <w:tc>
          <w:tcPr>
            <w:tcW w:w="35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＞700kg</w:t>
            </w:r>
          </w:p>
        </w:tc>
        <w:tc>
          <w:tcPr>
            <w:tcW w:w="128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pPr>
              <w:keepNext w:val="0"/>
              <w:keepLines w:val="0"/>
              <w:pageBreakBefore w:val="0"/>
              <w:widowControl w:val="0"/>
              <w:numPr>
                <w:ilvl w:val="0"/>
                <w:numId w:val="13"/>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宋体"/>
                <w:color w:val="000000"/>
                <w:sz w:val="21"/>
                <w:szCs w:val="21"/>
              </w:rPr>
            </w:pPr>
          </w:p>
        </w:tc>
        <w:tc>
          <w:tcPr>
            <w:tcW w:w="244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门观察窗</w:t>
            </w:r>
          </w:p>
        </w:tc>
        <w:tc>
          <w:tcPr>
            <w:tcW w:w="35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2个，带内嵌式照明及加热防雾防凝露</w:t>
            </w:r>
          </w:p>
        </w:tc>
        <w:tc>
          <w:tcPr>
            <w:tcW w:w="128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pPr>
              <w:keepNext w:val="0"/>
              <w:keepLines w:val="0"/>
              <w:pageBreakBefore w:val="0"/>
              <w:widowControl w:val="0"/>
              <w:numPr>
                <w:ilvl w:val="0"/>
                <w:numId w:val="13"/>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宋体"/>
                <w:color w:val="000000"/>
                <w:sz w:val="21"/>
                <w:szCs w:val="21"/>
              </w:rPr>
            </w:pPr>
          </w:p>
        </w:tc>
        <w:tc>
          <w:tcPr>
            <w:tcW w:w="244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水箱</w:t>
            </w:r>
          </w:p>
        </w:tc>
        <w:tc>
          <w:tcPr>
            <w:tcW w:w="35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200L，带自动补水功能及去离子水自制装置一套，并满足其用量</w:t>
            </w:r>
          </w:p>
        </w:tc>
        <w:tc>
          <w:tcPr>
            <w:tcW w:w="128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shd w:val="clear" w:color="auto" w:fill="auto"/>
            <w:vAlign w:val="center"/>
          </w:tcPr>
          <w:p>
            <w:pPr>
              <w:keepNext w:val="0"/>
              <w:keepLines w:val="0"/>
              <w:pageBreakBefore w:val="0"/>
              <w:widowControl w:val="0"/>
              <w:numPr>
                <w:ilvl w:val="0"/>
                <w:numId w:val="13"/>
              </w:numPr>
              <w:kinsoku/>
              <w:wordWrap/>
              <w:overflowPunct/>
              <w:topLinePunct w:val="0"/>
              <w:autoSpaceDE/>
              <w:autoSpaceDN/>
              <w:bidi w:val="0"/>
              <w:adjustRightInd/>
              <w:snapToGrid/>
              <w:spacing w:line="360" w:lineRule="exact"/>
              <w:ind w:left="425" w:leftChars="0" w:hanging="425" w:firstLineChars="0"/>
              <w:jc w:val="center"/>
              <w:textAlignment w:val="auto"/>
              <w:rPr>
                <w:rFonts w:hint="eastAsia" w:ascii="宋体" w:hAnsi="宋体" w:eastAsia="宋体" w:cs="宋体"/>
                <w:color w:val="000000"/>
                <w:sz w:val="21"/>
                <w:szCs w:val="21"/>
              </w:rPr>
            </w:pPr>
          </w:p>
        </w:tc>
        <w:tc>
          <w:tcPr>
            <w:tcW w:w="244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故障保护</w:t>
            </w:r>
          </w:p>
        </w:tc>
        <w:tc>
          <w:tcPr>
            <w:tcW w:w="357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防止干焚、喷嘴不工作运行预警、平台过载运行警告、同步配备三色报警指示灯及蜂鸣器</w:t>
            </w:r>
          </w:p>
        </w:tc>
        <w:tc>
          <w:tcPr>
            <w:tcW w:w="128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r>
    </w:tbl>
    <w:p>
      <w:pPr>
        <w:spacing w:line="420" w:lineRule="exact"/>
        <w:rPr>
          <w:rFonts w:hint="eastAsia" w:ascii="宋体" w:hAnsi="宋体" w:eastAsia="宋体" w:cs="Times New Roman"/>
          <w:sz w:val="24"/>
          <w:szCs w:val="24"/>
        </w:rPr>
        <w:sectPr>
          <w:footerReference r:id="rId10" w:type="default"/>
          <w:pgSz w:w="11906" w:h="16838"/>
          <w:pgMar w:top="1588" w:right="1418" w:bottom="1134" w:left="1418" w:header="851" w:footer="992" w:gutter="0"/>
          <w:pgNumType w:fmt="numberInDash"/>
          <w:cols w:space="720" w:num="1"/>
          <w:titlePg/>
          <w:docGrid w:type="lines" w:linePitch="312" w:charSpace="0"/>
        </w:sectPr>
      </w:pPr>
    </w:p>
    <w:bookmarkEnd w:id="34"/>
    <w:p>
      <w:pPr>
        <w:pStyle w:val="121"/>
        <w:spacing w:line="360" w:lineRule="auto"/>
        <w:rPr>
          <w:rFonts w:hint="eastAsia" w:ascii="宋体" w:hAnsi="宋体" w:cs="宋体"/>
          <w:color w:val="auto"/>
        </w:rPr>
      </w:pPr>
      <w:r>
        <w:rPr>
          <w:rFonts w:hint="eastAsia" w:ascii="宋体" w:hAnsi="宋体" w:cs="宋体"/>
          <w:color w:val="auto"/>
        </w:rPr>
        <w:t>四、执行标准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highlight w:val="none"/>
        </w:rPr>
        <w:t>采购货物的产品质量、技术标准</w:t>
      </w:r>
      <w:r>
        <w:rPr>
          <w:rFonts w:hint="eastAsia" w:ascii="宋体" w:hAnsi="宋体" w:eastAsia="宋体" w:cs="宋体"/>
          <w:sz w:val="24"/>
          <w:szCs w:val="24"/>
        </w:rPr>
        <w:t>如在招投标文件中无相应说明，则按中华人民共和国有关部门颁发的最新的国标或专业（部）标准执行及相应的国际标准。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7.涉及的主要标准表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5644"/>
        <w:gridCol w:w="2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序号</w:t>
            </w:r>
          </w:p>
        </w:tc>
        <w:tc>
          <w:tcPr>
            <w:tcW w:w="564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标准名称</w:t>
            </w:r>
          </w:p>
        </w:tc>
        <w:tc>
          <w:tcPr>
            <w:tcW w:w="266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val="0"/>
                <w:bCs/>
                <w:sz w:val="21"/>
                <w:szCs w:val="21"/>
              </w:rPr>
            </w:pPr>
            <w:r>
              <w:rPr>
                <w:rFonts w:hint="eastAsia" w:ascii="宋体" w:hAnsi="宋体" w:eastAsia="宋体" w:cs="宋体"/>
                <w:b w:val="0"/>
                <w:bCs/>
                <w:sz w:val="21"/>
                <w:szCs w:val="21"/>
              </w:rPr>
              <w:t>标准编号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7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564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电动汽车用驱动电机系统</w:t>
            </w:r>
          </w:p>
        </w:tc>
        <w:tc>
          <w:tcPr>
            <w:tcW w:w="266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GB/T 18488-2024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7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564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外壳防护等级（IP代码）</w:t>
            </w:r>
          </w:p>
        </w:tc>
        <w:tc>
          <w:tcPr>
            <w:tcW w:w="266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GB/T 4208-2017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7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564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Electrical and Electronic Units in Motor Vehicles up to 3.5t</w:t>
            </w:r>
          </w:p>
        </w:tc>
        <w:tc>
          <w:tcPr>
            <w:tcW w:w="2663"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VW 80000-2021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7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bidi="ar-SA"/>
              </w:rPr>
              <w:t>4</w:t>
            </w:r>
          </w:p>
        </w:tc>
        <w:tc>
          <w:tcPr>
            <w:tcW w:w="5644" w:type="dxa"/>
            <w:shd w:val="clear" w:color="auto" w:fill="auto"/>
            <w:vAlign w:val="top"/>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Road vehicles-Degrees of protection(IP code)-Protection of electrical equipment against foreign objects water and access</w:t>
            </w:r>
          </w:p>
        </w:tc>
        <w:tc>
          <w:tcPr>
            <w:tcW w:w="266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rPr>
              <w:t>ISO 20653</w:t>
            </w:r>
            <w:r>
              <w:rPr>
                <w:rFonts w:hint="eastAsia" w:ascii="宋体" w:hAnsi="宋体" w:eastAsia="宋体" w:cs="宋体"/>
                <w:snapToGrid w:val="0"/>
                <w:kern w:val="0"/>
                <w:sz w:val="21"/>
                <w:szCs w:val="21"/>
                <w:highlight w:val="none"/>
                <w:lang w:val="en-US" w:eastAsia="zh-CN"/>
              </w:rPr>
              <w:t>-2023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7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5</w:t>
            </w:r>
          </w:p>
        </w:tc>
        <w:tc>
          <w:tcPr>
            <w:tcW w:w="5644" w:type="dxa"/>
            <w:shd w:val="clear" w:color="auto" w:fill="auto"/>
            <w:vAlign w:val="top"/>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空调用通风机安全要求</w:t>
            </w:r>
          </w:p>
        </w:tc>
        <w:tc>
          <w:tcPr>
            <w:tcW w:w="266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GB 10080—2001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6</w:t>
            </w:r>
          </w:p>
        </w:tc>
        <w:tc>
          <w:tcPr>
            <w:tcW w:w="0" w:type="auto"/>
            <w:shd w:val="clear" w:color="auto" w:fill="auto"/>
            <w:vAlign w:val="top"/>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空气处理机组 安全要求</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GB 10891—1989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7</w:t>
            </w:r>
          </w:p>
        </w:tc>
        <w:tc>
          <w:tcPr>
            <w:tcW w:w="0" w:type="auto"/>
            <w:shd w:val="clear" w:color="auto" w:fill="auto"/>
            <w:vAlign w:val="top"/>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采暖通风与空气调节设计规范</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GBJ 19-1987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8</w:t>
            </w:r>
          </w:p>
        </w:tc>
        <w:tc>
          <w:tcPr>
            <w:tcW w:w="0" w:type="auto"/>
            <w:shd w:val="clear" w:color="auto" w:fill="auto"/>
            <w:vAlign w:val="top"/>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整体式机电一体化空调机组</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 xml:space="preserve">JB/T 8544—1997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9</w:t>
            </w:r>
          </w:p>
        </w:tc>
        <w:tc>
          <w:tcPr>
            <w:tcW w:w="0" w:type="auto"/>
            <w:shd w:val="clear" w:color="auto" w:fill="auto"/>
            <w:vAlign w:val="top"/>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空调设备用加湿器 型式与基本参数</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JB/T 146.1—1991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10</w:t>
            </w:r>
          </w:p>
        </w:tc>
        <w:tc>
          <w:tcPr>
            <w:tcW w:w="0" w:type="auto"/>
            <w:shd w:val="clear" w:color="auto" w:fill="auto"/>
            <w:vAlign w:val="top"/>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空调设备用加湿器 性能试验方法</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 xml:space="preserve">JB/T5146.3—1991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11</w:t>
            </w:r>
          </w:p>
        </w:tc>
        <w:tc>
          <w:tcPr>
            <w:tcW w:w="0" w:type="auto"/>
            <w:shd w:val="clear" w:color="auto" w:fill="auto"/>
            <w:vAlign w:val="top"/>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组合式空调机组</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 xml:space="preserve">GB/T 4294—1993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12</w:t>
            </w:r>
          </w:p>
        </w:tc>
        <w:tc>
          <w:tcPr>
            <w:tcW w:w="0" w:type="auto"/>
            <w:shd w:val="clear" w:color="auto" w:fill="auto"/>
            <w:vAlign w:val="top"/>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采暖通风与空气调节设备 涂装技术条件</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JB/T 9062—1999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13</w:t>
            </w:r>
          </w:p>
        </w:tc>
        <w:tc>
          <w:tcPr>
            <w:tcW w:w="0" w:type="auto"/>
            <w:shd w:val="clear" w:color="auto" w:fill="auto"/>
            <w:vAlign w:val="top"/>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蒸汽压缩循环冷水（热泵）机组 工商业用和类似用途的冷水（热泵） 机组。</w:t>
            </w:r>
          </w:p>
        </w:tc>
        <w:tc>
          <w:tcPr>
            <w:tcW w:w="0" w:type="auto"/>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napToGrid w:val="0"/>
                <w:kern w:val="0"/>
                <w:sz w:val="21"/>
                <w:szCs w:val="21"/>
                <w:highlight w:val="none"/>
                <w:lang w:val="en-US" w:eastAsia="zh-CN"/>
              </w:rPr>
              <w:t xml:space="preserve">GB/T18430.1—2001 </w:t>
            </w:r>
          </w:p>
        </w:tc>
      </w:tr>
    </w:tbl>
    <w:p>
      <w:pPr>
        <w:spacing w:line="360" w:lineRule="auto"/>
        <w:ind w:firstLine="480" w:firstLineChars="200"/>
        <w:rPr>
          <w:rFonts w:hint="default" w:ascii="宋体" w:hAnsi="宋体" w:eastAsia="宋体" w:cs="宋体"/>
          <w:sz w:val="24"/>
          <w:szCs w:val="24"/>
          <w:lang w:val="en-US" w:eastAsia="zh-CN"/>
        </w:rPr>
      </w:pP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w:t>
      </w:r>
    </w:p>
    <w:tbl>
      <w:tblPr>
        <w:tblStyle w:val="39"/>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1"/>
                <w:szCs w:val="21"/>
              </w:rPr>
            </w:pPr>
            <w:r>
              <w:rPr>
                <w:rFonts w:hint="eastAsia" w:ascii="宋体" w:hAnsi="宋体" w:eastAsia="宋体" w:cs="宋体"/>
                <w:sz w:val="21"/>
                <w:szCs w:val="21"/>
              </w:rPr>
              <w:t>序号</w:t>
            </w:r>
          </w:p>
        </w:tc>
        <w:tc>
          <w:tcPr>
            <w:tcW w:w="297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1"/>
                <w:szCs w:val="21"/>
              </w:rPr>
            </w:pPr>
            <w:r>
              <w:rPr>
                <w:rFonts w:hint="eastAsia" w:ascii="宋体" w:hAnsi="宋体" w:eastAsia="宋体" w:cs="宋体"/>
                <w:sz w:val="21"/>
                <w:szCs w:val="21"/>
              </w:rPr>
              <w:t>名称</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1"/>
                <w:szCs w:val="21"/>
              </w:rPr>
            </w:pPr>
            <w:r>
              <w:rPr>
                <w:rFonts w:hint="eastAsia" w:ascii="宋体" w:hAnsi="宋体" w:eastAsia="宋体" w:cs="宋体"/>
                <w:sz w:val="21"/>
                <w:szCs w:val="21"/>
              </w:rPr>
              <w:t>单位</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1"/>
                <w:szCs w:val="21"/>
              </w:rPr>
            </w:pPr>
            <w:r>
              <w:rPr>
                <w:rFonts w:hint="eastAsia" w:ascii="宋体" w:hAnsi="宋体" w:eastAsia="宋体" w:cs="宋体"/>
                <w:sz w:val="21"/>
                <w:szCs w:val="21"/>
              </w:rPr>
              <w:t>数量</w:t>
            </w: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sz w:val="21"/>
                <w:szCs w:val="21"/>
              </w:rPr>
            </w:pPr>
            <w:r>
              <w:rPr>
                <w:rFonts w:hint="eastAsia" w:ascii="宋体" w:hAnsi="宋体" w:eastAsia="宋体" w:cs="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p>
        </w:tc>
        <w:tc>
          <w:tcPr>
            <w:tcW w:w="297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IP9K防水试验箱</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sz w:val="21"/>
                <w:szCs w:val="21"/>
              </w:rPr>
            </w:pPr>
            <w:r>
              <w:rPr>
                <w:rFonts w:hint="eastAsia" w:ascii="宋体" w:hAnsi="宋体" w:eastAsia="宋体" w:cs="宋体"/>
                <w:sz w:val="21"/>
                <w:szCs w:val="21"/>
              </w:rPr>
              <w:t>套</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8"/>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p>
        </w:tc>
        <w:tc>
          <w:tcPr>
            <w:tcW w:w="297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sz w:val="21"/>
                <w:szCs w:val="21"/>
              </w:rPr>
            </w:pPr>
            <w:r>
              <w:rPr>
                <w:rFonts w:hint="eastAsia" w:ascii="宋体" w:hAnsi="宋体" w:eastAsia="宋体" w:cs="宋体"/>
                <w:sz w:val="21"/>
                <w:szCs w:val="21"/>
              </w:rPr>
              <w:t>加工、组装、管理</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sz w:val="21"/>
                <w:szCs w:val="21"/>
              </w:rPr>
            </w:pPr>
            <w:r>
              <w:rPr>
                <w:rFonts w:hint="eastAsia" w:ascii="宋体" w:hAnsi="宋体" w:eastAsia="宋体" w:cs="宋体"/>
                <w:sz w:val="21"/>
                <w:szCs w:val="21"/>
              </w:rPr>
              <w:t>套</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8"/>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p>
        </w:tc>
        <w:tc>
          <w:tcPr>
            <w:tcW w:w="297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sz w:val="21"/>
                <w:szCs w:val="21"/>
              </w:rPr>
            </w:pPr>
            <w:r>
              <w:rPr>
                <w:rFonts w:hint="eastAsia" w:ascii="宋体" w:hAnsi="宋体" w:eastAsia="宋体" w:cs="宋体"/>
                <w:sz w:val="21"/>
                <w:szCs w:val="21"/>
              </w:rPr>
              <w:t>包装、运输、保险</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sz w:val="21"/>
                <w:szCs w:val="21"/>
              </w:rPr>
            </w:pPr>
            <w:r>
              <w:rPr>
                <w:rFonts w:hint="eastAsia" w:ascii="宋体" w:hAnsi="宋体" w:eastAsia="宋体" w:cs="宋体"/>
                <w:sz w:val="21"/>
                <w:szCs w:val="21"/>
              </w:rPr>
              <w:t>套</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8"/>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p>
        </w:tc>
        <w:tc>
          <w:tcPr>
            <w:tcW w:w="297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sz w:val="21"/>
                <w:szCs w:val="21"/>
              </w:rPr>
            </w:pPr>
            <w:r>
              <w:rPr>
                <w:rFonts w:hint="eastAsia" w:ascii="宋体" w:hAnsi="宋体" w:eastAsia="宋体" w:cs="宋体"/>
                <w:sz w:val="21"/>
                <w:szCs w:val="21"/>
              </w:rPr>
              <w:t>安装调试、培训、技术服务</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sz w:val="21"/>
                <w:szCs w:val="21"/>
              </w:rPr>
            </w:pPr>
            <w:r>
              <w:rPr>
                <w:rFonts w:hint="eastAsia" w:ascii="宋体" w:hAnsi="宋体" w:eastAsia="宋体" w:cs="宋体"/>
                <w:sz w:val="21"/>
                <w:szCs w:val="21"/>
              </w:rPr>
              <w:t>套</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8"/>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5</w:t>
            </w:r>
          </w:p>
        </w:tc>
        <w:tc>
          <w:tcPr>
            <w:tcW w:w="297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sz w:val="21"/>
                <w:szCs w:val="21"/>
              </w:rPr>
            </w:pPr>
            <w:r>
              <w:rPr>
                <w:rFonts w:hint="eastAsia" w:ascii="宋体" w:hAnsi="宋体" w:eastAsia="宋体" w:cs="宋体"/>
                <w:sz w:val="21"/>
                <w:szCs w:val="21"/>
              </w:rPr>
              <w:t>备品备件</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sz w:val="21"/>
                <w:szCs w:val="21"/>
              </w:rPr>
            </w:pPr>
            <w:r>
              <w:rPr>
                <w:rFonts w:hint="eastAsia" w:ascii="宋体" w:hAnsi="宋体" w:eastAsia="宋体" w:cs="宋体"/>
                <w:sz w:val="21"/>
                <w:szCs w:val="21"/>
              </w:rPr>
              <w:t>套</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pStyle w:val="128"/>
              <w:keepNext w:val="0"/>
              <w:keepLines w:val="0"/>
              <w:pageBreakBefore w:val="0"/>
              <w:widowControl w:val="0"/>
              <w:kinsoku/>
              <w:wordWrap/>
              <w:overflowPunct/>
              <w:topLinePunct w:val="0"/>
              <w:autoSpaceDE/>
              <w:autoSpaceDN/>
              <w:bidi w:val="0"/>
              <w:adjustRightInd/>
              <w:snapToGrid/>
              <w:spacing w:line="36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297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设备计量</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sz w:val="21"/>
                <w:szCs w:val="21"/>
              </w:rPr>
            </w:pPr>
            <w:r>
              <w:rPr>
                <w:rFonts w:hint="eastAsia" w:ascii="宋体" w:hAnsi="宋体" w:eastAsia="宋体" w:cs="宋体"/>
                <w:sz w:val="21"/>
                <w:szCs w:val="21"/>
              </w:rPr>
              <w:t>\</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省级以上CNAS计量机构</w:t>
            </w:r>
          </w:p>
        </w:tc>
      </w:tr>
    </w:tbl>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1.备品备件、易损件和专用耗材是招标人为保证货物质保期之后正常运行三年所自备自用的备品备件、易损件和专用耗材。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lang w:val="en-US" w:eastAsia="zh-CN"/>
        </w:rPr>
        <w:t>3</w:t>
      </w:r>
      <w:r>
        <w:rPr>
          <w:rFonts w:hint="eastAsia" w:ascii="宋体" w:hAnsi="宋体" w:eastAsia="宋体" w:cs="宋体"/>
          <w:bCs/>
          <w:sz w:val="24"/>
          <w:szCs w:val="24"/>
          <w:u w:val="single"/>
          <w:shd w:val="pct10" w:color="auto" w:fill="FFFFFF"/>
        </w:rPr>
        <w:t>0</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.在终验收前，提供确定的维修所需要且买方可以自行采购的外购件、外协件、电气元件及主要原材料的供货厂家明细表。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b/>
          <w:bCs/>
          <w:sz w:val="24"/>
          <w:szCs w:val="24"/>
        </w:rPr>
        <w:t>在终验收前，提供包括货物的备品备件、易损件和专用耗材的图纸及技术参数、技术要求等资料</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.本条款所列的技术资料、图片、影像等，投标人应各提供5套，其中2套为电子版光盘；每份技术文件应装有目录清单。</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.本条款所列要求，如招标人认为投标人提供的资料不能满足要求时，有权要求投标人免费补充或增加。</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35" w:name="_Toc169605883"/>
    </w:p>
    <w:p>
      <w:pPr>
        <w:pStyle w:val="20"/>
        <w:spacing w:line="360" w:lineRule="auto"/>
        <w:ind w:firstLine="420"/>
      </w:pPr>
    </w:p>
    <w:p>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第二节  供货方式</w:t>
      </w:r>
      <w:bookmarkEnd w:id="35"/>
    </w:p>
    <w:p>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8"/>
        </w:rPr>
        <w:t>济南莱芜区口镇重汽工业园</w:t>
      </w:r>
    </w:p>
    <w:p>
      <w:pPr>
        <w:spacing w:line="360" w:lineRule="auto"/>
        <w:ind w:firstLine="482" w:firstLineChars="200"/>
        <w:jc w:val="left"/>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1.自合同签定生效之日起，</w:t>
      </w:r>
      <w:r>
        <w:rPr>
          <w:rFonts w:hint="eastAsia" w:ascii="宋体" w:hAnsi="宋体" w:eastAsia="宋体" w:cs="宋体"/>
          <w:sz w:val="24"/>
          <w:szCs w:val="24"/>
          <w:highlight w:val="none"/>
          <w:lang w:val="en-US" w:eastAsia="zh-CN"/>
        </w:rPr>
        <w:t>120</w:t>
      </w:r>
      <w:r>
        <w:rPr>
          <w:rFonts w:hint="eastAsia" w:ascii="宋体" w:hAnsi="宋体" w:eastAsia="宋体" w:cs="宋体"/>
          <w:sz w:val="24"/>
          <w:szCs w:val="24"/>
          <w:highlight w:val="none"/>
        </w:rPr>
        <w:t>个日历日之内交货至供货地点</w:t>
      </w:r>
    </w:p>
    <w:p>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2.接续</w:t>
      </w:r>
      <w:r>
        <w:rPr>
          <w:rFonts w:hint="eastAsia" w:ascii="宋体" w:hAnsi="宋体" w:eastAsia="宋体" w:cs="宋体"/>
          <w:sz w:val="24"/>
          <w:szCs w:val="24"/>
          <w:highlight w:val="none"/>
          <w:lang w:val="en-US" w:eastAsia="zh-CN"/>
        </w:rPr>
        <w:t>30</w:t>
      </w:r>
      <w:r>
        <w:rPr>
          <w:rFonts w:hint="eastAsia" w:ascii="宋体" w:hAnsi="宋体" w:eastAsia="宋体" w:cs="宋体"/>
          <w:sz w:val="24"/>
          <w:szCs w:val="24"/>
          <w:highlight w:val="none"/>
        </w:rPr>
        <w:t>个日历日之内安装调试完毕。</w:t>
      </w:r>
    </w:p>
    <w:p>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3.接续在90个日历日之内完成终验收。</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安装调试时间或终验收时间超过规定时间的，投标人应当随标书提供详细的工期计划。</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szCs w:val="20"/>
        </w:rPr>
      </w:pPr>
    </w:p>
    <w:p>
      <w:pPr>
        <w:widowControl/>
        <w:jc w:val="left"/>
        <w:rPr>
          <w:rFonts w:ascii="宋体" w:hAnsi="Calibri" w:eastAsia="宋体" w:cs="Times New Roman"/>
          <w:szCs w:val="20"/>
        </w:rPr>
      </w:pPr>
      <w:r>
        <w:rPr>
          <w:rFonts w:ascii="宋体" w:hAnsi="Calibri" w:eastAsia="宋体" w:cs="Times New Roman"/>
          <w:szCs w:val="20"/>
        </w:rPr>
        <w:br w:type="page"/>
      </w:r>
    </w:p>
    <w:p>
      <w:pPr>
        <w:keepNext/>
        <w:keepLines/>
        <w:spacing w:line="360" w:lineRule="auto"/>
        <w:jc w:val="center"/>
        <w:outlineLvl w:val="1"/>
        <w:rPr>
          <w:rFonts w:ascii="Calibri" w:hAnsi="Calibri" w:eastAsia="宋体" w:cs="Times New Roman"/>
          <w:b/>
          <w:bCs/>
          <w:kern w:val="44"/>
          <w:sz w:val="28"/>
          <w:szCs w:val="28"/>
        </w:rPr>
      </w:pPr>
      <w:bookmarkStart w:id="36"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36"/>
    </w:p>
    <w:p>
      <w:pPr>
        <w:pStyle w:val="121"/>
        <w:spacing w:line="360" w:lineRule="auto"/>
      </w:pPr>
      <w:r>
        <w:rPr>
          <w:rFonts w:hint="eastAsia"/>
        </w:rPr>
        <w:t>一、质保期及质保要求</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rPr>
        <w:t>24</w:t>
      </w:r>
      <w:r>
        <w:rPr>
          <w:rFonts w:hint="eastAsia" w:ascii="宋体" w:hAnsi="宋体" w:eastAsia="宋体" w:cs="宋体"/>
          <w:sz w:val="24"/>
          <w:szCs w:val="24"/>
        </w:rPr>
        <w:t>个月。</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w:t>
      </w:r>
      <w:r>
        <w:rPr>
          <w:rFonts w:hint="eastAsia" w:ascii="宋体" w:hAnsi="宋体" w:eastAsia="宋体" w:cs="宋体"/>
          <w:color w:val="000000" w:themeColor="text1"/>
          <w:sz w:val="24"/>
          <w:szCs w:val="24"/>
          <w14:textFill>
            <w14:solidFill>
              <w14:schemeClr w14:val="tx1"/>
            </w14:solidFill>
          </w14:textFill>
        </w:rPr>
        <w:t>当免费。</w:t>
      </w:r>
    </w:p>
    <w:p>
      <w:pPr>
        <w:spacing w:line="360" w:lineRule="auto"/>
        <w:ind w:firstLine="480" w:firstLineChars="200"/>
        <w:rPr>
          <w:rFonts w:hint="eastAsia" w:ascii="宋体" w:hAnsi="宋体" w:eastAsia="宋体" w:cs="宋体"/>
          <w:bCs/>
          <w:color w:val="000000" w:themeColor="text1"/>
          <w:sz w:val="24"/>
          <w:szCs w:val="20"/>
          <w14:textFill>
            <w14:solidFill>
              <w14:schemeClr w14:val="tx1"/>
            </w14:solidFill>
          </w14:textFill>
        </w:rPr>
      </w:pPr>
      <w:r>
        <w:rPr>
          <w:rFonts w:hint="eastAsia" w:ascii="宋体" w:hAnsi="宋体" w:eastAsia="宋体" w:cs="宋体"/>
          <w:bCs/>
          <w:color w:val="000000" w:themeColor="text1"/>
          <w:sz w:val="24"/>
          <w:szCs w:val="20"/>
          <w14:textFill>
            <w14:solidFill>
              <w14:schemeClr w14:val="tx1"/>
            </w14:solidFill>
          </w14:textFill>
        </w:rPr>
        <w:t>5.质量保证期满后，投标方保证向招标方提供及时的、质优的、价格优惠的技术服务和备品备件供应。</w:t>
      </w:r>
    </w:p>
    <w:p>
      <w:pPr>
        <w:pStyle w:val="20"/>
        <w:ind w:firstLine="420"/>
      </w:pPr>
    </w:p>
    <w:p>
      <w:pPr>
        <w:pStyle w:val="121"/>
        <w:spacing w:line="360" w:lineRule="auto"/>
        <w:rPr>
          <w:rFonts w:hint="eastAsia"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w:t>
      </w:r>
      <w:r>
        <w:rPr>
          <w:rFonts w:hint="eastAsia" w:ascii="宋体" w:hAnsi="宋体" w:eastAsia="宋体" w:cs="宋体"/>
          <w:color w:val="000000" w:themeColor="text1"/>
          <w:sz w:val="24"/>
          <w:szCs w:val="24"/>
          <w14:textFill>
            <w14:solidFill>
              <w14:schemeClr w14:val="tx1"/>
            </w14:solidFill>
          </w14:textFill>
        </w:rPr>
        <w:t>培训包含联调后整套性能试验台的使用，培训工作日不少于</w:t>
      </w:r>
      <w:r>
        <w:rPr>
          <w:rFonts w:hint="eastAsia" w:ascii="宋体" w:hAnsi="宋体" w:eastAsia="宋体" w:cs="宋体"/>
          <w:color w:val="000000" w:themeColor="text1"/>
          <w:sz w:val="24"/>
          <w:szCs w:val="24"/>
          <w:highlight w:val="none"/>
          <w:u w:val="single"/>
          <w:shd w:val="pct10" w:color="auto" w:fill="FFFFFF"/>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个日历日。</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121"/>
        <w:spacing w:line="360" w:lineRule="auto"/>
        <w:rPr>
          <w:rFonts w:hint="eastAsia"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pPr>
        <w:pStyle w:val="121"/>
        <w:spacing w:line="360" w:lineRule="auto"/>
        <w:rPr>
          <w:rFonts w:hint="eastAsia" w:ascii="宋体" w:hAnsi="宋体" w:cs="宋体"/>
        </w:rPr>
      </w:pPr>
      <w:r>
        <w:rPr>
          <w:rFonts w:hint="eastAsia" w:ascii="宋体" w:hAnsi="宋体" w:cs="宋体"/>
        </w:rPr>
        <w:t>四、售后服务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pPr>
        <w:pStyle w:val="121"/>
        <w:spacing w:line="360" w:lineRule="auto"/>
        <w:rPr>
          <w:rFonts w:hint="eastAsia" w:ascii="宋体" w:hAnsi="宋体" w:cs="宋体"/>
        </w:rPr>
      </w:pPr>
      <w:r>
        <w:rPr>
          <w:rFonts w:hint="eastAsia" w:ascii="宋体" w:hAnsi="宋体" w:cs="宋体"/>
        </w:rPr>
        <w:t>五、其它服务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r>
        <w:rPr>
          <w:rFonts w:eastAsia="宋体"/>
        </w:rPr>
        <w:br w:type="page"/>
      </w:r>
    </w:p>
    <w:p>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 xml:space="preserve">第五章 </w:t>
      </w:r>
      <w:r>
        <w:rPr>
          <w:rFonts w:hint="eastAsia" w:ascii="Calibri" w:hAnsi="Calibri" w:eastAsia="宋体" w:cs="Times New Roman"/>
          <w:b/>
          <w:bCs/>
          <w:kern w:val="44"/>
          <w:sz w:val="28"/>
          <w:szCs w:val="28"/>
          <w:highlight w:val="none"/>
        </w:rPr>
        <w:t xml:space="preserve"> 终验收</w:t>
      </w:r>
    </w:p>
    <w:p>
      <w:pPr>
        <w:pStyle w:val="121"/>
        <w:spacing w:line="360" w:lineRule="auto"/>
        <w:rPr>
          <w:rFonts w:hint="eastAsia" w:ascii="宋体" w:hAnsi="宋体" w:cs="宋体"/>
        </w:rPr>
      </w:pPr>
      <w:r>
        <w:rPr>
          <w:rFonts w:hint="eastAsia" w:ascii="宋体" w:hAnsi="宋体" w:cs="宋体"/>
        </w:rPr>
        <w:t>一、验收依据和验收标准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pPr>
        <w:pStyle w:val="121"/>
        <w:spacing w:line="360" w:lineRule="auto"/>
        <w:rPr>
          <w:rFonts w:hint="eastAsia" w:ascii="宋体" w:hAnsi="宋体" w:cs="宋体"/>
        </w:rPr>
      </w:pPr>
      <w:r>
        <w:rPr>
          <w:rFonts w:hint="eastAsia" w:ascii="宋体" w:hAnsi="宋体" w:cs="宋体"/>
        </w:rPr>
        <w:t>二、检验</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2.2应依据合同规定的要求，提供买卖双方达成一致的货物的验收标准和装箱单，作为买方检验的依据。</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21"/>
        <w:spacing w:line="360" w:lineRule="auto"/>
        <w:rPr>
          <w:rFonts w:hint="eastAsia" w:ascii="宋体" w:hAnsi="宋体" w:cs="宋体"/>
          <w:highlight w:val="none"/>
        </w:rPr>
      </w:pPr>
      <w:r>
        <w:rPr>
          <w:rFonts w:hint="eastAsia" w:ascii="宋体" w:hAnsi="宋体" w:cs="宋体"/>
          <w:highlight w:val="none"/>
        </w:rPr>
        <w:t>三、验收基本条件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.终验收一般条件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1.1卖方已经按照“供货范围”要求提供了验收资料，并且资料齐全、完整和有效。</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1.2货物应完整且所有的零部件应该安装牢固，外观无损伤，所有的焊缝饱满、无残渣等缺陷。</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1.3货物的油漆质量应饱满、有光泽，无掉漆、无色差、无“桔皮”等不良现象（特殊标志除外）。</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1.4货物标牌完整、清晰、明确。</w:t>
      </w:r>
    </w:p>
    <w:p>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sz w:val="24"/>
          <w:szCs w:val="24"/>
        </w:rPr>
        <w:t>1.5货物的安全要求符合中国最新的相关法律、法规、标准和规范以及合同要求。</w:t>
      </w:r>
    </w:p>
    <w:p>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1.6</w:t>
      </w:r>
      <w:r>
        <w:rPr>
          <w:rFonts w:hint="eastAsia" w:ascii="宋体" w:hAnsi="宋体" w:eastAsia="宋体" w:cs="宋体"/>
          <w:color w:val="000000" w:themeColor="text1"/>
          <w:sz w:val="24"/>
          <w:szCs w:val="24"/>
          <w14:textFill>
            <w14:solidFill>
              <w14:schemeClr w14:val="tx1"/>
            </w14:solidFill>
          </w14:textFill>
        </w:rPr>
        <w:t>货物安装调试完毕，并至少经过了验收要求的负荷试运行。</w:t>
      </w:r>
    </w:p>
    <w:p>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1.7</w:t>
      </w:r>
      <w:r>
        <w:rPr>
          <w:rFonts w:hint="eastAsia" w:ascii="宋体" w:hAnsi="宋体" w:eastAsia="宋体" w:cs="宋体"/>
          <w:color w:val="000000" w:themeColor="text1"/>
          <w:sz w:val="24"/>
          <w:szCs w:val="24"/>
          <w14:textFill>
            <w14:solidFill>
              <w14:schemeClr w14:val="tx1"/>
            </w14:solidFill>
          </w14:textFill>
        </w:rPr>
        <w:t>货物正常运行时，噪声等环境影响因素满足国家和当地环保主管部门规定，安全措施落实、有效。</w:t>
      </w:r>
    </w:p>
    <w:p>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1.8</w:t>
      </w:r>
      <w:r>
        <w:rPr>
          <w:rFonts w:hint="eastAsia" w:ascii="宋体" w:hAnsi="宋体" w:eastAsia="宋体" w:cs="宋体"/>
          <w:color w:val="000000" w:themeColor="text1"/>
          <w:sz w:val="24"/>
          <w:szCs w:val="24"/>
          <w14:textFill>
            <w14:solidFill>
              <w14:schemeClr w14:val="tx1"/>
            </w14:solidFill>
          </w14:textFill>
        </w:rPr>
        <w:t>计量仪器、仪表配套合理，采用中国的法定计量单位，计量准确、灵敏可靠。保证设计指标和仪器说明书的参数的实现（提供合格证或第三方鉴定文件）。</w:t>
      </w:r>
    </w:p>
    <w:p>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1.9</w:t>
      </w:r>
      <w:r>
        <w:rPr>
          <w:rFonts w:hint="eastAsia" w:ascii="宋体" w:hAnsi="宋体" w:eastAsia="宋体" w:cs="宋体"/>
          <w:color w:val="000000" w:themeColor="text1"/>
          <w:sz w:val="24"/>
          <w:szCs w:val="24"/>
          <w14:textFill>
            <w14:solidFill>
              <w14:schemeClr w14:val="tx1"/>
            </w14:solidFill>
          </w14:textFill>
        </w:rPr>
        <w:t>试运行期间或之后无维修、调整等行为（特殊情况除外）。</w:t>
      </w:r>
    </w:p>
    <w:p>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1.10</w:t>
      </w:r>
      <w:r>
        <w:rPr>
          <w:rFonts w:hint="eastAsia" w:ascii="宋体" w:hAnsi="宋体" w:eastAsia="宋体" w:cs="宋体"/>
          <w:color w:val="000000" w:themeColor="text1"/>
          <w:sz w:val="24"/>
          <w:szCs w:val="24"/>
          <w14:textFill>
            <w14:solidFill>
              <w14:schemeClr w14:val="tx1"/>
            </w14:solidFill>
          </w14:textFill>
        </w:rPr>
        <w:t>货物质量、技术性能等，达到签定的技术标书和合同规定的终验收标准。</w:t>
      </w: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.终验收基本要求</w:t>
      </w:r>
    </w:p>
    <w:p>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.1按照第二章技术要求第三条内容，明确到具体条款；试验结果要量化、稳定性高、精度高等。</w:t>
      </w:r>
    </w:p>
    <w:p>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.2出现下列问题之一，视作验收失败：</w:t>
      </w:r>
    </w:p>
    <w:p>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.2.1</w:t>
      </w:r>
      <w:r>
        <w:rPr>
          <w:rFonts w:hint="eastAsia" w:ascii="宋体" w:hAnsi="宋体" w:eastAsia="宋体" w:cs="宋体"/>
          <w:color w:val="000000" w:themeColor="text1"/>
          <w:sz w:val="24"/>
          <w:szCs w:val="24"/>
          <w:lang w:eastAsia="zh-CN"/>
          <w14:textFill>
            <w14:solidFill>
              <w14:schemeClr w14:val="tx1"/>
            </w14:solidFill>
          </w14:textFill>
        </w:rPr>
        <w:t>IP9K防水试验箱</w:t>
      </w:r>
      <w:r>
        <w:rPr>
          <w:rFonts w:hint="eastAsia" w:ascii="宋体" w:hAnsi="宋体" w:eastAsia="宋体" w:cs="宋体"/>
          <w:color w:val="000000" w:themeColor="text1"/>
          <w:sz w:val="24"/>
          <w:szCs w:val="24"/>
          <w14:textFill>
            <w14:solidFill>
              <w14:schemeClr w14:val="tx1"/>
            </w14:solidFill>
          </w14:textFill>
        </w:rPr>
        <w:t>验收时，其参数无法满足招标书中的技术要求。</w:t>
      </w:r>
    </w:p>
    <w:p>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.2.2在整个验收过程中发生关键零部件损坏或重大故障；</w:t>
      </w:r>
    </w:p>
    <w:p>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.2.3一般性故障超过</w:t>
      </w:r>
      <w:r>
        <w:rPr>
          <w:rFonts w:hint="eastAsia" w:ascii="宋体" w:hAnsi="宋体" w:eastAsia="宋体" w:cs="宋体"/>
          <w:color w:val="000000" w:themeColor="text1"/>
          <w:sz w:val="24"/>
          <w:szCs w:val="24"/>
          <w:u w:val="single"/>
          <w:shd w:val="pct10" w:color="auto" w:fill="FFFFFF"/>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次；</w:t>
      </w:r>
    </w:p>
    <w:p>
      <w:pPr>
        <w:adjustRightInd w:val="0"/>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.2.4更换的零部件货值超过总货值的</w:t>
      </w:r>
      <w:r>
        <w:rPr>
          <w:rFonts w:hint="eastAsia" w:ascii="宋体" w:hAnsi="宋体" w:eastAsia="宋体" w:cs="宋体"/>
          <w:color w:val="000000" w:themeColor="text1"/>
          <w:sz w:val="24"/>
          <w:szCs w:val="24"/>
          <w:u w:val="single"/>
          <w:shd w:val="pct10" w:color="auto" w:fill="FFFFFF"/>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2.5</w:t>
      </w:r>
      <w:r>
        <w:rPr>
          <w:rFonts w:hint="eastAsia" w:ascii="宋体" w:hAnsi="宋体" w:eastAsia="宋体" w:cs="宋体"/>
          <w:color w:val="000000"/>
          <w:sz w:val="24"/>
          <w:szCs w:val="24"/>
        </w:rPr>
        <w:t>累计负载运行实际性能（或生产率）达不到合同规定；</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终验收原则上要求一次完成。若一次验收不成功，最多允许两次；如果出现第三次验收失败，重新作价或退货；</w:t>
      </w:r>
    </w:p>
    <w:p>
      <w:pPr>
        <w:adjustRightInd w:val="0"/>
        <w:snapToGrid w:val="0"/>
        <w:spacing w:line="360" w:lineRule="auto"/>
        <w:ind w:firstLine="480" w:firstLineChars="200"/>
        <w:rPr>
          <w:rFonts w:hAnsi="宋体" w:eastAsia="宋体" w:cs="宋体"/>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终验收通过后买卖双方共同签署终验收报告，并移交、核对全部供货范围内物品。</w:t>
      </w:r>
    </w:p>
    <w:p>
      <w:pPr>
        <w:pStyle w:val="134"/>
        <w:spacing w:line="360" w:lineRule="auto"/>
        <w:outlineLvl w:val="1"/>
        <w:rPr>
          <w:rFonts w:ascii="宋体" w:hAnsi="宋体" w:eastAsia="宋体" w:cs="宋体"/>
          <w:b/>
          <w:bCs w:val="0"/>
          <w:iCs/>
          <w:color w:val="auto"/>
          <w:sz w:val="24"/>
        </w:rPr>
      </w:pPr>
      <w:bookmarkStart w:id="37" w:name="_Toc131008493"/>
      <w:bookmarkStart w:id="38" w:name="_Toc465187647"/>
      <w:bookmarkStart w:id="39" w:name="_Toc30824"/>
      <w:r>
        <w:rPr>
          <w:rFonts w:hint="eastAsia" w:ascii="宋体" w:hAnsi="宋体" w:eastAsia="宋体" w:cs="宋体"/>
          <w:b/>
          <w:bCs w:val="0"/>
          <w:iCs/>
          <w:color w:val="auto"/>
          <w:sz w:val="24"/>
        </w:rPr>
        <w:t>第六章  投标技术文件一般要求</w:t>
      </w:r>
      <w:bookmarkEnd w:id="37"/>
      <w:bookmarkEnd w:id="38"/>
      <w:bookmarkEnd w:id="39"/>
    </w:p>
    <w:p>
      <w:pPr>
        <w:pStyle w:val="121"/>
        <w:spacing w:line="360" w:lineRule="auto"/>
        <w:rPr>
          <w:rFonts w:ascii="宋体" w:hAnsi="宋体" w:cs="宋体"/>
          <w:color w:val="auto"/>
        </w:rPr>
      </w:pPr>
      <w:r>
        <w:rPr>
          <w:rFonts w:hint="eastAsia" w:ascii="宋体" w:hAnsi="宋体" w:cs="宋体"/>
          <w:color w:val="auto"/>
        </w:rPr>
        <w:t>一、技术文件一般内容要求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w:t>
      </w:r>
      <w:r>
        <w:rPr>
          <w:rFonts w:hint="eastAsia" w:ascii="宋体" w:hAnsi="宋体" w:eastAsia="宋体" w:cs="宋体"/>
          <w:b/>
          <w:bCs/>
          <w:sz w:val="24"/>
          <w:szCs w:val="24"/>
        </w:rPr>
        <w:t>6.1备品备件、易损件和专用耗材明细表：</w:t>
      </w:r>
    </w:p>
    <w:p>
      <w:pPr>
        <w:adjustRightInd w:val="0"/>
        <w:snapToGrid w:val="0"/>
        <w:spacing w:line="360" w:lineRule="auto"/>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必须提供本项目生命周期内所涉及到所有备品备件、易损件和专用耗材明细表，以便于质保期外，招标人能够根据清单快速找到同规格产品。</w:t>
      </w:r>
    </w:p>
    <w:p>
      <w:pPr>
        <w:adjustRightInd w:val="0"/>
        <w:snapToGrid w:val="0"/>
        <w:spacing w:line="420" w:lineRule="exact"/>
        <w:ind w:firstLine="1890" w:firstLineChars="900"/>
        <w:rPr>
          <w:rFonts w:hint="eastAsia" w:ascii="宋体" w:hAnsi="宋体" w:eastAsia="宋体" w:cs="宋体"/>
          <w:highlight w:val="none"/>
        </w:rPr>
      </w:pPr>
      <w:r>
        <w:rPr>
          <w:rFonts w:hint="eastAsia" w:ascii="宋体" w:hAnsi="宋体" w:eastAsia="宋体" w:cs="宋体"/>
          <w:highlight w:val="none"/>
        </w:rPr>
        <w:t>备品备件、易损件和专用耗材明细表             单位：元</w:t>
      </w:r>
    </w:p>
    <w:tbl>
      <w:tblPr>
        <w:tblStyle w:val="39"/>
        <w:tblW w:w="9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509"/>
        <w:gridCol w:w="894"/>
        <w:gridCol w:w="1379"/>
        <w:gridCol w:w="1379"/>
        <w:gridCol w:w="839"/>
        <w:gridCol w:w="1121"/>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509"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894" w:type="dxa"/>
          </w:tcPr>
          <w:p>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379" w:type="dxa"/>
          </w:tcPr>
          <w:p>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rPr>
              <w:t>制造商</w:t>
            </w:r>
          </w:p>
        </w:tc>
        <w:tc>
          <w:tcPr>
            <w:tcW w:w="1379"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839" w:type="dxa"/>
          </w:tcPr>
          <w:p>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1121"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单</w:t>
            </w:r>
            <w:r>
              <w:rPr>
                <w:rFonts w:hint="eastAsia" w:ascii="宋体" w:hAnsi="宋体" w:eastAsia="宋体" w:cs="宋体"/>
              </w:rPr>
              <w:t>价</w:t>
            </w:r>
          </w:p>
        </w:tc>
        <w:tc>
          <w:tcPr>
            <w:tcW w:w="1622" w:type="dxa"/>
          </w:tcPr>
          <w:p>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更换周期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pPr>
              <w:adjustRightInd w:val="0"/>
              <w:snapToGrid w:val="0"/>
              <w:spacing w:line="360" w:lineRule="exact"/>
              <w:jc w:val="center"/>
              <w:rPr>
                <w:rFonts w:hint="eastAsia" w:ascii="宋体" w:hAnsi="宋体" w:eastAsia="宋体" w:cs="宋体"/>
              </w:rPr>
            </w:pPr>
          </w:p>
        </w:tc>
        <w:tc>
          <w:tcPr>
            <w:tcW w:w="1509" w:type="dxa"/>
          </w:tcPr>
          <w:p>
            <w:pPr>
              <w:adjustRightInd w:val="0"/>
              <w:snapToGrid w:val="0"/>
              <w:spacing w:line="360" w:lineRule="exact"/>
              <w:rPr>
                <w:rFonts w:hint="eastAsia" w:ascii="宋体" w:hAnsi="宋体" w:eastAsia="宋体" w:cs="宋体"/>
              </w:rPr>
            </w:pPr>
          </w:p>
        </w:tc>
        <w:tc>
          <w:tcPr>
            <w:tcW w:w="894" w:type="dxa"/>
          </w:tcPr>
          <w:p>
            <w:pPr>
              <w:adjustRightInd w:val="0"/>
              <w:snapToGrid w:val="0"/>
              <w:spacing w:line="360" w:lineRule="exact"/>
              <w:rPr>
                <w:rFonts w:hint="eastAsia" w:ascii="宋体" w:hAnsi="宋体" w:eastAsia="宋体" w:cs="宋体"/>
              </w:rPr>
            </w:pPr>
          </w:p>
        </w:tc>
        <w:tc>
          <w:tcPr>
            <w:tcW w:w="1379" w:type="dxa"/>
          </w:tcPr>
          <w:p>
            <w:pPr>
              <w:adjustRightInd w:val="0"/>
              <w:snapToGrid w:val="0"/>
              <w:spacing w:line="360" w:lineRule="exact"/>
              <w:rPr>
                <w:rFonts w:hint="eastAsia" w:ascii="宋体" w:hAnsi="宋体" w:eastAsia="宋体" w:cs="宋体"/>
              </w:rPr>
            </w:pPr>
          </w:p>
        </w:tc>
        <w:tc>
          <w:tcPr>
            <w:tcW w:w="1379" w:type="dxa"/>
          </w:tcPr>
          <w:p>
            <w:pPr>
              <w:adjustRightInd w:val="0"/>
              <w:snapToGrid w:val="0"/>
              <w:spacing w:line="360" w:lineRule="exact"/>
              <w:jc w:val="center"/>
              <w:rPr>
                <w:rFonts w:hint="eastAsia" w:ascii="宋体" w:hAnsi="宋体" w:eastAsia="宋体" w:cs="宋体"/>
              </w:rPr>
            </w:pPr>
          </w:p>
        </w:tc>
        <w:tc>
          <w:tcPr>
            <w:tcW w:w="839" w:type="dxa"/>
          </w:tcPr>
          <w:p>
            <w:pPr>
              <w:adjustRightInd w:val="0"/>
              <w:snapToGrid w:val="0"/>
              <w:spacing w:line="360" w:lineRule="exact"/>
              <w:jc w:val="center"/>
              <w:rPr>
                <w:rFonts w:hint="eastAsia" w:ascii="宋体" w:hAnsi="宋体" w:eastAsia="宋体" w:cs="宋体"/>
              </w:rPr>
            </w:pPr>
          </w:p>
        </w:tc>
        <w:tc>
          <w:tcPr>
            <w:tcW w:w="1121" w:type="dxa"/>
          </w:tcPr>
          <w:p>
            <w:pPr>
              <w:adjustRightInd w:val="0"/>
              <w:snapToGrid w:val="0"/>
              <w:spacing w:line="360" w:lineRule="exact"/>
              <w:jc w:val="center"/>
              <w:rPr>
                <w:rFonts w:hint="eastAsia" w:ascii="宋体" w:hAnsi="宋体" w:eastAsia="宋体" w:cs="宋体"/>
              </w:rPr>
            </w:pPr>
          </w:p>
        </w:tc>
        <w:tc>
          <w:tcPr>
            <w:tcW w:w="1622"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pPr>
              <w:adjustRightInd w:val="0"/>
              <w:snapToGrid w:val="0"/>
              <w:spacing w:line="360" w:lineRule="exact"/>
              <w:jc w:val="center"/>
              <w:rPr>
                <w:rFonts w:hint="eastAsia" w:ascii="宋体" w:hAnsi="宋体" w:eastAsia="宋体" w:cs="宋体"/>
              </w:rPr>
            </w:pPr>
          </w:p>
        </w:tc>
        <w:tc>
          <w:tcPr>
            <w:tcW w:w="1509" w:type="dxa"/>
          </w:tcPr>
          <w:p>
            <w:pPr>
              <w:adjustRightInd w:val="0"/>
              <w:snapToGrid w:val="0"/>
              <w:spacing w:line="360" w:lineRule="exact"/>
              <w:rPr>
                <w:rFonts w:hint="eastAsia" w:ascii="宋体" w:hAnsi="宋体" w:eastAsia="宋体" w:cs="宋体"/>
              </w:rPr>
            </w:pPr>
          </w:p>
        </w:tc>
        <w:tc>
          <w:tcPr>
            <w:tcW w:w="894" w:type="dxa"/>
          </w:tcPr>
          <w:p>
            <w:pPr>
              <w:adjustRightInd w:val="0"/>
              <w:snapToGrid w:val="0"/>
              <w:spacing w:line="360" w:lineRule="exact"/>
              <w:rPr>
                <w:rFonts w:hint="eastAsia" w:ascii="宋体" w:hAnsi="宋体" w:eastAsia="宋体" w:cs="宋体"/>
              </w:rPr>
            </w:pPr>
          </w:p>
        </w:tc>
        <w:tc>
          <w:tcPr>
            <w:tcW w:w="1379" w:type="dxa"/>
          </w:tcPr>
          <w:p>
            <w:pPr>
              <w:adjustRightInd w:val="0"/>
              <w:snapToGrid w:val="0"/>
              <w:spacing w:line="360" w:lineRule="exact"/>
              <w:rPr>
                <w:rFonts w:hint="eastAsia" w:ascii="宋体" w:hAnsi="宋体" w:eastAsia="宋体" w:cs="宋体"/>
              </w:rPr>
            </w:pPr>
          </w:p>
        </w:tc>
        <w:tc>
          <w:tcPr>
            <w:tcW w:w="1379" w:type="dxa"/>
          </w:tcPr>
          <w:p>
            <w:pPr>
              <w:adjustRightInd w:val="0"/>
              <w:snapToGrid w:val="0"/>
              <w:spacing w:line="360" w:lineRule="exact"/>
              <w:jc w:val="center"/>
              <w:rPr>
                <w:rFonts w:hint="eastAsia" w:ascii="宋体" w:hAnsi="宋体" w:eastAsia="宋体" w:cs="宋体"/>
              </w:rPr>
            </w:pPr>
          </w:p>
        </w:tc>
        <w:tc>
          <w:tcPr>
            <w:tcW w:w="839" w:type="dxa"/>
          </w:tcPr>
          <w:p>
            <w:pPr>
              <w:adjustRightInd w:val="0"/>
              <w:snapToGrid w:val="0"/>
              <w:spacing w:line="360" w:lineRule="exact"/>
              <w:jc w:val="center"/>
              <w:rPr>
                <w:rFonts w:hint="eastAsia" w:ascii="宋体" w:hAnsi="宋体" w:eastAsia="宋体" w:cs="宋体"/>
              </w:rPr>
            </w:pPr>
          </w:p>
        </w:tc>
        <w:tc>
          <w:tcPr>
            <w:tcW w:w="1121" w:type="dxa"/>
          </w:tcPr>
          <w:p>
            <w:pPr>
              <w:adjustRightInd w:val="0"/>
              <w:snapToGrid w:val="0"/>
              <w:spacing w:line="360" w:lineRule="exact"/>
              <w:jc w:val="center"/>
              <w:rPr>
                <w:rFonts w:hint="eastAsia" w:ascii="宋体" w:hAnsi="宋体" w:eastAsia="宋体" w:cs="宋体"/>
              </w:rPr>
            </w:pPr>
          </w:p>
        </w:tc>
        <w:tc>
          <w:tcPr>
            <w:tcW w:w="1622"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pPr>
              <w:adjustRightInd w:val="0"/>
              <w:snapToGrid w:val="0"/>
              <w:spacing w:line="360" w:lineRule="exact"/>
              <w:jc w:val="center"/>
              <w:rPr>
                <w:rFonts w:hint="eastAsia" w:ascii="宋体" w:hAnsi="宋体" w:eastAsia="宋体" w:cs="宋体"/>
              </w:rPr>
            </w:pPr>
          </w:p>
        </w:tc>
        <w:tc>
          <w:tcPr>
            <w:tcW w:w="1509" w:type="dxa"/>
          </w:tcPr>
          <w:p>
            <w:pPr>
              <w:adjustRightInd w:val="0"/>
              <w:snapToGrid w:val="0"/>
              <w:spacing w:line="360" w:lineRule="exact"/>
              <w:rPr>
                <w:rFonts w:hint="eastAsia" w:ascii="宋体" w:hAnsi="宋体" w:eastAsia="宋体" w:cs="宋体"/>
              </w:rPr>
            </w:pPr>
          </w:p>
        </w:tc>
        <w:tc>
          <w:tcPr>
            <w:tcW w:w="894" w:type="dxa"/>
          </w:tcPr>
          <w:p>
            <w:pPr>
              <w:adjustRightInd w:val="0"/>
              <w:snapToGrid w:val="0"/>
              <w:spacing w:line="360" w:lineRule="exact"/>
              <w:rPr>
                <w:rFonts w:hint="eastAsia" w:ascii="宋体" w:hAnsi="宋体" w:eastAsia="宋体" w:cs="宋体"/>
              </w:rPr>
            </w:pPr>
          </w:p>
        </w:tc>
        <w:tc>
          <w:tcPr>
            <w:tcW w:w="1379" w:type="dxa"/>
          </w:tcPr>
          <w:p>
            <w:pPr>
              <w:adjustRightInd w:val="0"/>
              <w:snapToGrid w:val="0"/>
              <w:spacing w:line="360" w:lineRule="exact"/>
              <w:rPr>
                <w:rFonts w:hint="eastAsia" w:ascii="宋体" w:hAnsi="宋体" w:eastAsia="宋体" w:cs="宋体"/>
              </w:rPr>
            </w:pPr>
          </w:p>
        </w:tc>
        <w:tc>
          <w:tcPr>
            <w:tcW w:w="1379" w:type="dxa"/>
          </w:tcPr>
          <w:p>
            <w:pPr>
              <w:adjustRightInd w:val="0"/>
              <w:snapToGrid w:val="0"/>
              <w:spacing w:line="360" w:lineRule="exact"/>
              <w:jc w:val="center"/>
              <w:rPr>
                <w:rFonts w:hint="eastAsia" w:ascii="宋体" w:hAnsi="宋体" w:eastAsia="宋体" w:cs="宋体"/>
              </w:rPr>
            </w:pPr>
          </w:p>
        </w:tc>
        <w:tc>
          <w:tcPr>
            <w:tcW w:w="839" w:type="dxa"/>
          </w:tcPr>
          <w:p>
            <w:pPr>
              <w:adjustRightInd w:val="0"/>
              <w:snapToGrid w:val="0"/>
              <w:spacing w:line="360" w:lineRule="exact"/>
              <w:jc w:val="center"/>
              <w:rPr>
                <w:rFonts w:hint="eastAsia" w:ascii="宋体" w:hAnsi="宋体" w:eastAsia="宋体" w:cs="宋体"/>
              </w:rPr>
            </w:pPr>
          </w:p>
        </w:tc>
        <w:tc>
          <w:tcPr>
            <w:tcW w:w="1121" w:type="dxa"/>
          </w:tcPr>
          <w:p>
            <w:pPr>
              <w:adjustRightInd w:val="0"/>
              <w:snapToGrid w:val="0"/>
              <w:spacing w:line="360" w:lineRule="exact"/>
              <w:jc w:val="center"/>
              <w:rPr>
                <w:rFonts w:hint="eastAsia" w:ascii="宋体" w:hAnsi="宋体" w:eastAsia="宋体" w:cs="宋体"/>
              </w:rPr>
            </w:pPr>
          </w:p>
        </w:tc>
        <w:tc>
          <w:tcPr>
            <w:tcW w:w="1622"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pPr>
              <w:adjustRightInd w:val="0"/>
              <w:snapToGrid w:val="0"/>
              <w:spacing w:line="360" w:lineRule="exact"/>
              <w:jc w:val="center"/>
              <w:rPr>
                <w:rFonts w:hint="eastAsia" w:ascii="宋体" w:hAnsi="宋体" w:eastAsia="宋体" w:cs="宋体"/>
              </w:rPr>
            </w:pPr>
          </w:p>
        </w:tc>
        <w:tc>
          <w:tcPr>
            <w:tcW w:w="1509" w:type="dxa"/>
          </w:tcPr>
          <w:p>
            <w:pPr>
              <w:adjustRightInd w:val="0"/>
              <w:snapToGrid w:val="0"/>
              <w:spacing w:line="360" w:lineRule="exact"/>
              <w:rPr>
                <w:rFonts w:hint="eastAsia" w:ascii="宋体" w:hAnsi="宋体" w:eastAsia="宋体" w:cs="宋体"/>
              </w:rPr>
            </w:pPr>
          </w:p>
        </w:tc>
        <w:tc>
          <w:tcPr>
            <w:tcW w:w="894" w:type="dxa"/>
          </w:tcPr>
          <w:p>
            <w:pPr>
              <w:adjustRightInd w:val="0"/>
              <w:snapToGrid w:val="0"/>
              <w:spacing w:line="360" w:lineRule="exact"/>
              <w:rPr>
                <w:rFonts w:hint="eastAsia" w:ascii="宋体" w:hAnsi="宋体" w:eastAsia="宋体" w:cs="宋体"/>
              </w:rPr>
            </w:pPr>
          </w:p>
        </w:tc>
        <w:tc>
          <w:tcPr>
            <w:tcW w:w="1379" w:type="dxa"/>
          </w:tcPr>
          <w:p>
            <w:pPr>
              <w:adjustRightInd w:val="0"/>
              <w:snapToGrid w:val="0"/>
              <w:spacing w:line="360" w:lineRule="exact"/>
              <w:rPr>
                <w:rFonts w:hint="eastAsia" w:ascii="宋体" w:hAnsi="宋体" w:eastAsia="宋体" w:cs="宋体"/>
              </w:rPr>
            </w:pPr>
          </w:p>
        </w:tc>
        <w:tc>
          <w:tcPr>
            <w:tcW w:w="1379" w:type="dxa"/>
          </w:tcPr>
          <w:p>
            <w:pPr>
              <w:adjustRightInd w:val="0"/>
              <w:snapToGrid w:val="0"/>
              <w:spacing w:line="360" w:lineRule="exact"/>
              <w:jc w:val="center"/>
              <w:rPr>
                <w:rFonts w:hint="eastAsia" w:ascii="宋体" w:hAnsi="宋体" w:eastAsia="宋体" w:cs="宋体"/>
              </w:rPr>
            </w:pPr>
          </w:p>
        </w:tc>
        <w:tc>
          <w:tcPr>
            <w:tcW w:w="839" w:type="dxa"/>
          </w:tcPr>
          <w:p>
            <w:pPr>
              <w:adjustRightInd w:val="0"/>
              <w:snapToGrid w:val="0"/>
              <w:spacing w:line="360" w:lineRule="exact"/>
              <w:jc w:val="center"/>
              <w:rPr>
                <w:rFonts w:hint="eastAsia" w:ascii="宋体" w:hAnsi="宋体" w:eastAsia="宋体" w:cs="宋体"/>
              </w:rPr>
            </w:pPr>
          </w:p>
        </w:tc>
        <w:tc>
          <w:tcPr>
            <w:tcW w:w="1121" w:type="dxa"/>
          </w:tcPr>
          <w:p>
            <w:pPr>
              <w:adjustRightInd w:val="0"/>
              <w:snapToGrid w:val="0"/>
              <w:spacing w:line="360" w:lineRule="exact"/>
              <w:jc w:val="center"/>
              <w:rPr>
                <w:rFonts w:hint="eastAsia" w:ascii="宋体" w:hAnsi="宋体" w:eastAsia="宋体" w:cs="宋体"/>
              </w:rPr>
            </w:pPr>
          </w:p>
        </w:tc>
        <w:tc>
          <w:tcPr>
            <w:tcW w:w="1622"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95" w:type="dxa"/>
          </w:tcPr>
          <w:p>
            <w:pPr>
              <w:adjustRightInd w:val="0"/>
              <w:snapToGrid w:val="0"/>
              <w:spacing w:line="360" w:lineRule="exact"/>
              <w:jc w:val="center"/>
              <w:rPr>
                <w:rFonts w:hint="eastAsia" w:ascii="宋体" w:hAnsi="宋体" w:eastAsia="宋体" w:cs="宋体"/>
              </w:rPr>
            </w:pPr>
          </w:p>
        </w:tc>
        <w:tc>
          <w:tcPr>
            <w:tcW w:w="1509" w:type="dxa"/>
          </w:tcPr>
          <w:p>
            <w:pPr>
              <w:adjustRightInd w:val="0"/>
              <w:snapToGrid w:val="0"/>
              <w:spacing w:line="360" w:lineRule="exact"/>
              <w:rPr>
                <w:rFonts w:hint="eastAsia" w:ascii="宋体" w:hAnsi="宋体" w:eastAsia="宋体" w:cs="宋体"/>
              </w:rPr>
            </w:pPr>
          </w:p>
        </w:tc>
        <w:tc>
          <w:tcPr>
            <w:tcW w:w="894" w:type="dxa"/>
          </w:tcPr>
          <w:p>
            <w:pPr>
              <w:adjustRightInd w:val="0"/>
              <w:snapToGrid w:val="0"/>
              <w:spacing w:line="360" w:lineRule="exact"/>
              <w:rPr>
                <w:rFonts w:hint="eastAsia" w:ascii="宋体" w:hAnsi="宋体" w:eastAsia="宋体" w:cs="宋体"/>
              </w:rPr>
            </w:pPr>
          </w:p>
        </w:tc>
        <w:tc>
          <w:tcPr>
            <w:tcW w:w="1379" w:type="dxa"/>
          </w:tcPr>
          <w:p>
            <w:pPr>
              <w:adjustRightInd w:val="0"/>
              <w:snapToGrid w:val="0"/>
              <w:spacing w:line="360" w:lineRule="exact"/>
              <w:rPr>
                <w:rFonts w:hint="eastAsia" w:ascii="宋体" w:hAnsi="宋体" w:eastAsia="宋体" w:cs="宋体"/>
              </w:rPr>
            </w:pPr>
          </w:p>
        </w:tc>
        <w:tc>
          <w:tcPr>
            <w:tcW w:w="1379" w:type="dxa"/>
          </w:tcPr>
          <w:p>
            <w:pPr>
              <w:adjustRightInd w:val="0"/>
              <w:snapToGrid w:val="0"/>
              <w:spacing w:line="360" w:lineRule="exact"/>
              <w:jc w:val="center"/>
              <w:rPr>
                <w:rFonts w:hint="eastAsia" w:ascii="宋体" w:hAnsi="宋体" w:eastAsia="宋体" w:cs="宋体"/>
              </w:rPr>
            </w:pPr>
          </w:p>
        </w:tc>
        <w:tc>
          <w:tcPr>
            <w:tcW w:w="839" w:type="dxa"/>
          </w:tcPr>
          <w:p>
            <w:pPr>
              <w:adjustRightInd w:val="0"/>
              <w:snapToGrid w:val="0"/>
              <w:spacing w:line="360" w:lineRule="exact"/>
              <w:jc w:val="center"/>
              <w:rPr>
                <w:rFonts w:hint="eastAsia" w:ascii="宋体" w:hAnsi="宋体" w:eastAsia="宋体" w:cs="宋体"/>
              </w:rPr>
            </w:pPr>
          </w:p>
        </w:tc>
        <w:tc>
          <w:tcPr>
            <w:tcW w:w="1121" w:type="dxa"/>
          </w:tcPr>
          <w:p>
            <w:pPr>
              <w:adjustRightInd w:val="0"/>
              <w:snapToGrid w:val="0"/>
              <w:spacing w:line="360" w:lineRule="exact"/>
              <w:jc w:val="center"/>
              <w:rPr>
                <w:rFonts w:hint="eastAsia" w:ascii="宋体" w:hAnsi="宋体" w:eastAsia="宋体" w:cs="宋体"/>
              </w:rPr>
            </w:pPr>
          </w:p>
        </w:tc>
        <w:tc>
          <w:tcPr>
            <w:tcW w:w="1622"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95" w:type="dxa"/>
          </w:tcPr>
          <w:p>
            <w:pPr>
              <w:adjustRightInd w:val="0"/>
              <w:snapToGrid w:val="0"/>
              <w:spacing w:line="360" w:lineRule="exact"/>
              <w:jc w:val="center"/>
              <w:rPr>
                <w:rFonts w:hint="eastAsia" w:ascii="宋体" w:hAnsi="宋体" w:eastAsia="宋体" w:cs="宋体"/>
              </w:rPr>
            </w:pPr>
          </w:p>
        </w:tc>
        <w:tc>
          <w:tcPr>
            <w:tcW w:w="1509" w:type="dxa"/>
          </w:tcPr>
          <w:p>
            <w:pPr>
              <w:adjustRightInd w:val="0"/>
              <w:snapToGrid w:val="0"/>
              <w:spacing w:line="360" w:lineRule="exact"/>
              <w:rPr>
                <w:rFonts w:hint="eastAsia" w:ascii="宋体" w:hAnsi="宋体" w:eastAsia="宋体" w:cs="宋体"/>
              </w:rPr>
            </w:pPr>
          </w:p>
        </w:tc>
        <w:tc>
          <w:tcPr>
            <w:tcW w:w="894" w:type="dxa"/>
          </w:tcPr>
          <w:p>
            <w:pPr>
              <w:adjustRightInd w:val="0"/>
              <w:snapToGrid w:val="0"/>
              <w:spacing w:line="360" w:lineRule="exact"/>
              <w:rPr>
                <w:rFonts w:hint="eastAsia" w:ascii="宋体" w:hAnsi="宋体" w:eastAsia="宋体" w:cs="宋体"/>
              </w:rPr>
            </w:pPr>
          </w:p>
        </w:tc>
        <w:tc>
          <w:tcPr>
            <w:tcW w:w="1379" w:type="dxa"/>
          </w:tcPr>
          <w:p>
            <w:pPr>
              <w:adjustRightInd w:val="0"/>
              <w:snapToGrid w:val="0"/>
              <w:spacing w:line="360" w:lineRule="exact"/>
              <w:rPr>
                <w:rFonts w:hint="eastAsia" w:ascii="宋体" w:hAnsi="宋体" w:eastAsia="宋体" w:cs="宋体"/>
              </w:rPr>
            </w:pPr>
          </w:p>
        </w:tc>
        <w:tc>
          <w:tcPr>
            <w:tcW w:w="1379" w:type="dxa"/>
          </w:tcPr>
          <w:p>
            <w:pPr>
              <w:adjustRightInd w:val="0"/>
              <w:snapToGrid w:val="0"/>
              <w:spacing w:line="360" w:lineRule="exact"/>
              <w:jc w:val="center"/>
              <w:rPr>
                <w:rFonts w:hint="eastAsia" w:ascii="宋体" w:hAnsi="宋体" w:eastAsia="宋体" w:cs="宋体"/>
              </w:rPr>
            </w:pPr>
          </w:p>
        </w:tc>
        <w:tc>
          <w:tcPr>
            <w:tcW w:w="839" w:type="dxa"/>
          </w:tcPr>
          <w:p>
            <w:pPr>
              <w:adjustRightInd w:val="0"/>
              <w:snapToGrid w:val="0"/>
              <w:spacing w:line="360" w:lineRule="exact"/>
              <w:jc w:val="center"/>
              <w:rPr>
                <w:rFonts w:hint="eastAsia" w:ascii="宋体" w:hAnsi="宋体" w:eastAsia="宋体" w:cs="宋体"/>
              </w:rPr>
            </w:pPr>
          </w:p>
        </w:tc>
        <w:tc>
          <w:tcPr>
            <w:tcW w:w="1121" w:type="dxa"/>
          </w:tcPr>
          <w:p>
            <w:pPr>
              <w:adjustRightInd w:val="0"/>
              <w:snapToGrid w:val="0"/>
              <w:spacing w:line="360" w:lineRule="exact"/>
              <w:jc w:val="center"/>
              <w:rPr>
                <w:rFonts w:hint="eastAsia" w:ascii="宋体" w:hAnsi="宋体" w:eastAsia="宋体" w:cs="宋体"/>
              </w:rPr>
            </w:pPr>
          </w:p>
        </w:tc>
        <w:tc>
          <w:tcPr>
            <w:tcW w:w="1622" w:type="dxa"/>
          </w:tcPr>
          <w:p>
            <w:pPr>
              <w:adjustRightInd w:val="0"/>
              <w:snapToGrid w:val="0"/>
              <w:spacing w:line="360" w:lineRule="exact"/>
              <w:rPr>
                <w:rFonts w:hint="eastAsia" w:ascii="宋体" w:hAnsi="宋体" w:eastAsia="宋体" w:cs="宋体"/>
              </w:rPr>
            </w:pPr>
          </w:p>
        </w:tc>
      </w:tr>
    </w:tbl>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21"/>
        <w:spacing w:line="360" w:lineRule="auto"/>
        <w:rPr>
          <w:rFonts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121"/>
        <w:spacing w:line="360" w:lineRule="auto"/>
        <w:rPr>
          <w:rFonts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pStyle w:val="2"/>
        <w:spacing w:before="120" w:after="120" w:line="360" w:lineRule="auto"/>
        <w:rPr>
          <w:rFonts w:ascii="宋体" w:hAnsi="宋体" w:eastAsia="宋体" w:cs="宋体"/>
          <w:b w:val="0"/>
          <w:sz w:val="24"/>
          <w:szCs w:val="24"/>
        </w:rPr>
        <w:sectPr>
          <w:footerReference r:id="rId13" w:type="first"/>
          <w:headerReference r:id="rId11" w:type="default"/>
          <w:footerReference r:id="rId12" w:type="default"/>
          <w:pgSz w:w="11906" w:h="16838"/>
          <w:pgMar w:top="1588" w:right="1418" w:bottom="1134" w:left="1418" w:header="851" w:footer="992" w:gutter="0"/>
          <w:cols w:space="720" w:num="1"/>
          <w:titlePg/>
          <w:docGrid w:linePitch="312" w:charSpace="0"/>
        </w:sectPr>
      </w:pPr>
      <w:bookmarkStart w:id="40" w:name="_Toc465187648"/>
    </w:p>
    <w:p>
      <w:pPr>
        <w:pStyle w:val="134"/>
        <w:spacing w:line="360" w:lineRule="auto"/>
        <w:outlineLvl w:val="1"/>
        <w:rPr>
          <w:rFonts w:ascii="宋体" w:hAnsi="宋体" w:eastAsia="宋体" w:cs="宋体"/>
          <w:b/>
          <w:bCs w:val="0"/>
          <w:iCs/>
          <w:color w:val="auto"/>
          <w:sz w:val="24"/>
        </w:rPr>
      </w:pPr>
      <w:bookmarkStart w:id="41" w:name="_Toc19570"/>
      <w:bookmarkStart w:id="42" w:name="_Toc131008494"/>
      <w:r>
        <w:rPr>
          <w:rFonts w:hint="eastAsia" w:ascii="宋体" w:hAnsi="宋体" w:eastAsia="宋体" w:cs="宋体"/>
          <w:b/>
          <w:bCs w:val="0"/>
          <w:iCs/>
          <w:color w:val="auto"/>
          <w:sz w:val="24"/>
        </w:rPr>
        <w:t>第七章  其它要求及说明</w:t>
      </w:r>
      <w:bookmarkEnd w:id="40"/>
      <w:bookmarkEnd w:id="41"/>
      <w:bookmarkEnd w:id="42"/>
    </w:p>
    <w:p>
      <w:pPr>
        <w:pStyle w:val="121"/>
        <w:spacing w:line="360" w:lineRule="auto"/>
        <w:rPr>
          <w:rFonts w:ascii="宋体" w:hAnsi="宋体" w:cs="宋体"/>
          <w:color w:val="auto"/>
        </w:rPr>
      </w:pPr>
      <w:r>
        <w:rPr>
          <w:rFonts w:hint="eastAsia" w:ascii="宋体" w:hAnsi="宋体" w:cs="宋体"/>
          <w:color w:val="auto"/>
        </w:rPr>
        <w:t>一、要求</w:t>
      </w:r>
    </w:p>
    <w:p>
      <w:pPr>
        <w:pStyle w:val="23"/>
        <w:spacing w:line="360" w:lineRule="auto"/>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pStyle w:val="121"/>
        <w:spacing w:line="360" w:lineRule="auto"/>
        <w:rPr>
          <w:rFonts w:ascii="宋体" w:hAnsi="宋体" w:cs="宋体"/>
          <w:color w:val="auto"/>
        </w:rPr>
      </w:pPr>
      <w:r>
        <w:rPr>
          <w:rFonts w:hint="eastAsia" w:ascii="宋体" w:hAnsi="宋体" w:cs="宋体"/>
          <w:color w:val="auto"/>
        </w:rPr>
        <w:t>二、其他</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r>
        <w:rPr>
          <w:rFonts w:hint="eastAsia" w:ascii="宋体" w:hAnsi="宋体" w:eastAsia="宋体" w:cs="宋体"/>
          <w:sz w:val="24"/>
          <w:szCs w:val="24"/>
          <w:lang w:eastAsia="zh-CN"/>
        </w:rPr>
        <w:t>。</w:t>
      </w:r>
    </w:p>
    <w:p>
      <w:pPr>
        <w:widowControl/>
        <w:jc w:val="left"/>
        <w:rPr>
          <w:rFonts w:hint="eastAsia" w:ascii="宋体" w:hAnsi="宋体" w:eastAsia="宋体" w:cs="Times New Roman"/>
          <w:b/>
          <w:color w:val="000000"/>
          <w:sz w:val="24"/>
          <w:szCs w:val="24"/>
        </w:rPr>
      </w:pPr>
      <w:r>
        <w:rPr>
          <w:rFonts w:hAnsi="宋体" w:eastAsia="宋体" w:cs="Times New Roman"/>
          <w:b/>
          <w:color w:val="000000"/>
          <w:sz w:val="24"/>
          <w:szCs w:val="24"/>
        </w:rPr>
        <w:br w:type="page"/>
      </w:r>
    </w:p>
    <w:p>
      <w:pPr>
        <w:pStyle w:val="20"/>
      </w:pPr>
    </w:p>
    <w:p>
      <w:pPr>
        <w:spacing w:line="360" w:lineRule="auto"/>
        <w:jc w:val="center"/>
        <w:outlineLvl w:val="0"/>
        <w:rPr>
          <w:rFonts w:ascii="宋体" w:hAnsi="Calibri" w:eastAsia="宋体" w:cs="Times New Roman"/>
          <w:b/>
          <w:sz w:val="36"/>
          <w:szCs w:val="36"/>
        </w:rPr>
      </w:pPr>
      <w:bookmarkStart w:id="43"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3"/>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left"/>
        <w:rPr>
          <w:rFonts w:hint="eastAsia" w:ascii="宋体" w:hAnsi="宋体"/>
          <w:sz w:val="20"/>
          <w:szCs w:val="20"/>
        </w:rPr>
      </w:pPr>
    </w:p>
    <w:p>
      <w:pPr>
        <w:adjustRightInd w:val="0"/>
        <w:snapToGrid w:val="0"/>
        <w:spacing w:line="360" w:lineRule="auto"/>
        <w:jc w:val="left"/>
        <w:rPr>
          <w:rFonts w:hint="eastAsia" w:ascii="宋体" w:hAnsi="宋体"/>
          <w:sz w:val="20"/>
          <w:szCs w:val="20"/>
        </w:rPr>
      </w:pP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pPr>
        <w:pStyle w:val="20"/>
        <w:jc w:val="center"/>
      </w:pPr>
      <w:r>
        <w:rPr>
          <w:rFonts w:hint="eastAsia" w:hAnsi="宋体" w:eastAsia="宋体" w:cs="宋体"/>
          <w:b/>
          <w:sz w:val="24"/>
          <w:szCs w:val="24"/>
        </w:rPr>
        <w:t>（合同以双方最终签署的版本为准）</w:t>
      </w: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jc w:val="left"/>
        <w:rPr>
          <w:rFonts w:hint="eastAsia" w:ascii="宋体" w:hAnsi="宋体"/>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hint="eastAsia" w:ascii="宋体" w:hAnsi="宋体" w:cs="宋体"/>
          <w:bCs/>
          <w:sz w:val="24"/>
          <w:u w:val="single"/>
        </w:rPr>
      </w:pPr>
      <w:r>
        <w:rPr>
          <w:rFonts w:hint="eastAsia" w:ascii="宋体" w:hAnsi="宋体" w:cs="宋体"/>
          <w:bCs/>
          <w:sz w:val="24"/>
        </w:rPr>
        <w:t xml:space="preserve">                                       </w:t>
      </w:r>
    </w:p>
    <w:p>
      <w:pPr>
        <w:spacing w:line="360" w:lineRule="auto"/>
        <w:rPr>
          <w:rFonts w:hint="eastAsia" w:ascii="宋体" w:hAnsi="宋体" w:cs="宋体"/>
          <w:bCs/>
          <w:sz w:val="22"/>
        </w:rPr>
        <w:sectPr>
          <w:headerReference r:id="rId14" w:type="default"/>
          <w:footerReference r:id="rId15" w:type="default"/>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cs="宋体"/>
          <w:bCs/>
          <w:sz w:val="22"/>
        </w:rPr>
        <w:t xml:space="preserve"> </w:t>
      </w:r>
      <w:bookmarkStart w:id="44" w:name="_Toc25120"/>
      <w:bookmarkStart w:id="45" w:name="_Toc3778"/>
      <w:bookmarkStart w:id="46" w:name="_Toc16330037"/>
      <w:bookmarkStart w:id="47" w:name="_Toc5379"/>
      <w:bookmarkStart w:id="48" w:name="_Toc24623"/>
      <w:bookmarkStart w:id="49"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 合同设备</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2 包装</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3 运输标记</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4 检验</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5 权利担保</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6 交货</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hint="eastAsia"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7 安装、调试</w:t>
      </w:r>
    </w:p>
    <w:p>
      <w:pPr>
        <w:pStyle w:val="13"/>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8 价款与支付</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8.3.1合同生效签订后, 卖方提交金额为合同含税价款30 %的收据及合同金额30%的增值税专用发票（税率为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8.3.2设备全部到齐无质量问题，经安装、调试最终验收合格后，卖方提交金额为合同含税价款60 %的收据及合同金额70%增值税专用发票（税率为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hint="eastAsia"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10法定责任</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11 违约责任</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pPr>
        <w:spacing w:line="360" w:lineRule="auto"/>
        <w:ind w:left="397" w:leftChars="189"/>
        <w:rPr>
          <w:rFonts w:hint="eastAsia"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13 不可抗力</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14 通讯</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3"/>
        <w:tabs>
          <w:tab w:val="right" w:leader="dot" w:pos="9061"/>
        </w:tabs>
        <w:spacing w:before="312" w:beforeLines="100"/>
        <w:rPr>
          <w:rFonts w:hint="eastAsia"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16 附件</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17 其他规定</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3"/>
        <w:tabs>
          <w:tab w:val="right" w:leader="dot" w:pos="9061"/>
        </w:tabs>
        <w:spacing w:before="312" w:beforeLines="100"/>
        <w:ind w:firstLine="529" w:firstLineChars="189"/>
        <w:rPr>
          <w:rFonts w:hint="eastAsia" w:ascii="黑体" w:hAnsi="黑体" w:eastAsia="黑体" w:cstheme="minorEastAsia"/>
          <w:b w:val="0"/>
          <w:sz w:val="28"/>
          <w:szCs w:val="28"/>
        </w:rPr>
      </w:pPr>
      <w:r>
        <w:rPr>
          <w:rFonts w:hint="eastAsia" w:ascii="黑体" w:hAnsi="黑体" w:eastAsia="黑体" w:cstheme="minorEastAsia"/>
          <w:b w:val="0"/>
          <w:sz w:val="28"/>
          <w:szCs w:val="28"/>
        </w:rPr>
        <w:t>18 签署事项</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hint="eastAsia"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hint="eastAsia"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hint="eastAsia" w:asciiTheme="minorEastAsia" w:hAnsiTheme="minorEastAsia" w:cstheme="minorEastAsia"/>
          <w:sz w:val="20"/>
          <w:szCs w:val="20"/>
        </w:rPr>
      </w:pPr>
      <w:r>
        <w:rPr>
          <w:rFonts w:hint="eastAsia"/>
        </w:rPr>
        <w:t xml:space="preserve">    </w:t>
      </w:r>
    </w:p>
    <w:p>
      <w:pPr>
        <w:spacing w:line="360" w:lineRule="auto"/>
        <w:rPr>
          <w:rFonts w:hint="eastAsia" w:ascii="宋体" w:hAnsi="宋体"/>
          <w:snapToGrid w:val="0"/>
          <w:kern w:val="0"/>
          <w:sz w:val="20"/>
          <w:szCs w:val="20"/>
          <w:lang w:eastAsia="zh-Hans"/>
        </w:rPr>
      </w:pPr>
    </w:p>
    <w:p>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hint="eastAsia" w:ascii="仿宋_GB2312" w:eastAsia="仿宋_GB2312"/>
          <w:sz w:val="24"/>
          <w:szCs w:val="24"/>
        </w:rPr>
      </w:pPr>
    </w:p>
    <w:p>
      <w:pPr>
        <w:pStyle w:val="3"/>
        <w:tabs>
          <w:tab w:val="right" w:leader="dot" w:pos="9061"/>
        </w:tabs>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9"/>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29"/>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rPr>
          <w:rFonts w:hint="eastAsia" w:ascii="等线" w:hAnsi="等线" w:eastAsia="等线" w:cs="等线"/>
          <w:sz w:val="20"/>
          <w:szCs w:val="20"/>
        </w:rPr>
      </w:pPr>
      <w:r>
        <w:rPr>
          <w:rFonts w:hint="eastAsia" w:ascii="等线" w:hAnsi="等线" w:eastAsia="等线" w:cs="等线"/>
          <w:sz w:val="20"/>
          <w:szCs w:val="20"/>
        </w:rPr>
        <w:br w:type="page"/>
      </w:r>
    </w:p>
    <w:p>
      <w:pPr>
        <w:pStyle w:val="3"/>
        <w:tabs>
          <w:tab w:val="right" w:leader="dot" w:pos="9061"/>
        </w:tabs>
        <w:rPr>
          <w:rFonts w:hint="eastAsia" w:ascii="黑体" w:hAnsi="黑体" w:eastAsia="黑体" w:cs="等线"/>
          <w:b w:val="0"/>
          <w:i/>
          <w:sz w:val="28"/>
          <w:szCs w:val="28"/>
        </w:rPr>
      </w:pPr>
      <w:r>
        <w:rPr>
          <w:rFonts w:hint="eastAsia" w:ascii="黑体" w:hAnsi="黑体" w:eastAsia="黑体" w:cs="等线"/>
          <w:b w:val="0"/>
          <w:sz w:val="28"/>
          <w:szCs w:val="28"/>
        </w:rPr>
        <w:t xml:space="preserve">附件二 </w:t>
      </w:r>
      <w:bookmarkEnd w:id="44"/>
      <w:bookmarkEnd w:id="45"/>
      <w:bookmarkEnd w:id="46"/>
      <w:bookmarkEnd w:id="47"/>
      <w:bookmarkEnd w:id="48"/>
      <w:r>
        <w:rPr>
          <w:rFonts w:hint="eastAsia" w:ascii="黑体" w:hAnsi="黑体" w:eastAsia="黑体" w:cs="等线"/>
          <w:b w:val="0"/>
          <w:sz w:val="28"/>
          <w:szCs w:val="28"/>
        </w:rPr>
        <w:t>技术协议书</w:t>
      </w:r>
    </w:p>
    <w:p>
      <w:pPr>
        <w:ind w:right="360"/>
        <w:rPr>
          <w:rFonts w:hint="eastAsia" w:ascii="等线" w:hAnsi="等线" w:eastAsia="等线" w:cs="等线"/>
          <w:sz w:val="20"/>
          <w:szCs w:val="20"/>
        </w:rPr>
      </w:pPr>
    </w:p>
    <w:p>
      <w:pPr>
        <w:jc w:val="right"/>
        <w:rPr>
          <w:rFonts w:hint="eastAsia" w:asciiTheme="minorEastAsia" w:hAnsiTheme="minorEastAsia" w:cstheme="minorEastAsia"/>
          <w:sz w:val="20"/>
          <w:szCs w:val="20"/>
        </w:rPr>
      </w:pPr>
    </w:p>
    <w:p>
      <w:pPr>
        <w:jc w:val="right"/>
        <w:rPr>
          <w:rFonts w:hint="eastAsia" w:asciiTheme="minorEastAsia" w:hAnsiTheme="minorEastAsia" w:cstheme="minorEastAsia"/>
          <w:sz w:val="20"/>
          <w:szCs w:val="20"/>
        </w:rPr>
      </w:pPr>
    </w:p>
    <w:p>
      <w:pPr>
        <w:jc w:val="right"/>
        <w:rPr>
          <w:rFonts w:hint="eastAsia" w:asciiTheme="minorEastAsia" w:hAnsiTheme="minorEastAsia" w:cstheme="minorEastAsia"/>
          <w:sz w:val="20"/>
          <w:szCs w:val="20"/>
        </w:rPr>
      </w:pPr>
      <w:r>
        <w:rPr>
          <w:rFonts w:hint="eastAsia" w:asciiTheme="minorEastAsia" w:hAnsiTheme="minorEastAsia" w:cstheme="minorEastAsia"/>
          <w:sz w:val="20"/>
          <w:szCs w:val="20"/>
        </w:rPr>
        <w:t xml:space="preserve">                                      </w:t>
      </w:r>
    </w:p>
    <w:p>
      <w:pPr>
        <w:jc w:val="right"/>
        <w:rPr>
          <w:rFonts w:hint="eastAsia" w:asciiTheme="minorEastAsia" w:hAnsiTheme="minorEastAsia" w:cstheme="minorEastAsia"/>
          <w:sz w:val="20"/>
          <w:szCs w:val="20"/>
        </w:rPr>
      </w:pPr>
    </w:p>
    <w:p>
      <w:pPr>
        <w:wordWrap w:val="0"/>
        <w:ind w:right="480"/>
        <w:rPr>
          <w:rFonts w:hint="eastAsia" w:asciiTheme="minorEastAsia" w:hAnsiTheme="minorEastAsia" w:cstheme="minorEastAsia"/>
          <w:sz w:val="20"/>
          <w:szCs w:val="20"/>
        </w:rPr>
      </w:pPr>
    </w:p>
    <w:p>
      <w:pPr>
        <w:jc w:val="right"/>
        <w:rPr>
          <w:rFonts w:hint="eastAsia" w:ascii="楷体_GB2312" w:hAnsi="宋体" w:eastAsia="楷体_GB2312"/>
          <w:sz w:val="24"/>
        </w:rPr>
      </w:pPr>
      <w:bookmarkStart w:id="50" w:name="_Toc14341849"/>
    </w:p>
    <w:p>
      <w:pPr>
        <w:ind w:right="480"/>
        <w:jc w:val="center"/>
        <w:rPr>
          <w:rFonts w:hint="eastAsia"/>
          <w:sz w:val="24"/>
          <w:szCs w:val="24"/>
        </w:rPr>
      </w:pPr>
      <w:r>
        <w:rPr>
          <w:rFonts w:hint="eastAsia" w:ascii="楷体_GB2312" w:hAnsi="宋体" w:eastAsia="楷体_GB2312"/>
          <w:sz w:val="24"/>
        </w:rPr>
        <w:t xml:space="preserve">                                    </w:t>
      </w:r>
    </w:p>
    <w:bookmarkEnd w:id="50"/>
    <w:p>
      <w:pPr>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pPr>
        <w:spacing w:before="118"/>
        <w:ind w:right="30"/>
        <w:jc w:val="center"/>
        <w:outlineLvl w:val="1"/>
        <w:rPr>
          <w:rFonts w:hint="eastAsia"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15"/>
        <w:spacing w:before="8" w:after="156"/>
        <w:rPr>
          <w:rFonts w:hint="eastAsia" w:ascii="楷体" w:hAnsi="楷体" w:eastAsia="楷体" w:cs="楷体"/>
          <w:sz w:val="44"/>
          <w:szCs w:val="28"/>
        </w:rPr>
      </w:pPr>
    </w:p>
    <w:p>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hint="eastAsia" w:ascii="楷体" w:hAnsi="楷体" w:eastAsia="楷体" w:cs="楷体"/>
          <w:b/>
          <w:sz w:val="28"/>
          <w:szCs w:val="21"/>
        </w:rPr>
      </w:pPr>
      <w:r>
        <w:rPr>
          <w:rFonts w:hint="eastAsia" w:ascii="楷体" w:hAnsi="楷体" w:eastAsia="楷体" w:cs="楷体"/>
          <w:b/>
          <w:sz w:val="28"/>
          <w:szCs w:val="21"/>
        </w:rPr>
        <w:t>乙方：</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重汽集团纪委</w:t>
      </w:r>
      <w:r>
        <w:rPr>
          <w:rFonts w:hint="eastAsia" w:ascii="楷体" w:hAnsi="楷体" w:eastAsia="楷体" w:cs="楷体"/>
          <w:spacing w:val="-2"/>
          <w:sz w:val="28"/>
          <w:szCs w:val="28"/>
        </w:rPr>
        <w:t>、</w:t>
      </w:r>
      <w:r>
        <w:rPr>
          <w:rFonts w:ascii="楷体" w:hAnsi="楷体" w:eastAsia="楷体" w:cs="楷体"/>
          <w:spacing w:val="-2"/>
          <w:sz w:val="28"/>
          <w:szCs w:val="28"/>
        </w:rPr>
        <w:t>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rPr>
        <w:t>、</w:t>
      </w:r>
      <w:r>
        <w:rPr>
          <w:rFonts w:ascii="楷体" w:hAnsi="楷体" w:eastAsia="楷体" w:cs="楷体"/>
          <w:spacing w:val="-2"/>
          <w:sz w:val="28"/>
          <w:szCs w:val="28"/>
        </w:rPr>
        <w:t>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rPr>
        <w:t>、</w:t>
      </w:r>
      <w:r>
        <w:rPr>
          <w:rFonts w:ascii="楷体" w:hAnsi="楷体" w:eastAsia="楷体" w:cs="楷体"/>
          <w:spacing w:val="-2"/>
          <w:sz w:val="28"/>
          <w:szCs w:val="28"/>
        </w:rPr>
        <w:t>监察部门检举并提供证据。</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9"/>
        <w:tabs>
          <w:tab w:val="left" w:pos="1244"/>
        </w:tabs>
        <w:adjustRightInd w:val="0"/>
        <w:spacing w:line="305" w:lineRule="auto"/>
        <w:ind w:firstLine="552"/>
        <w:rPr>
          <w:rFonts w:hint="eastAsia"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5"/>
        <w:spacing w:before="9" w:after="156"/>
        <w:rPr>
          <w:rFonts w:hint="eastAsia" w:ascii="楷体" w:hAnsi="楷体" w:eastAsia="楷体" w:cs="楷体"/>
          <w:sz w:val="40"/>
          <w:szCs w:val="28"/>
        </w:rPr>
      </w:pPr>
    </w:p>
    <w:p>
      <w:pPr>
        <w:tabs>
          <w:tab w:val="left" w:pos="5457"/>
        </w:tabs>
        <w:spacing w:before="1"/>
        <w:ind w:left="117"/>
        <w:rPr>
          <w:rFonts w:hint="eastAsia"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5"/>
        <w:spacing w:after="156"/>
        <w:rPr>
          <w:rFonts w:hint="eastAsia" w:ascii="楷体" w:hAnsi="楷体" w:eastAsia="楷体" w:cs="楷体"/>
          <w:b/>
          <w:sz w:val="24"/>
          <w:szCs w:val="28"/>
        </w:rPr>
      </w:pPr>
    </w:p>
    <w:p>
      <w:pPr>
        <w:pStyle w:val="15"/>
        <w:spacing w:before="1" w:after="156"/>
        <w:rPr>
          <w:rFonts w:hint="eastAsia" w:ascii="楷体" w:hAnsi="楷体" w:eastAsia="楷体" w:cs="楷体"/>
          <w:b/>
          <w:sz w:val="24"/>
          <w:szCs w:val="28"/>
        </w:rPr>
      </w:pPr>
    </w:p>
    <w:p>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15"/>
        <w:spacing w:after="156"/>
        <w:rPr>
          <w:rFonts w:hint="eastAsia" w:ascii="楷体" w:hAnsi="楷体" w:eastAsia="楷体" w:cs="楷体"/>
          <w:b/>
          <w:sz w:val="24"/>
          <w:szCs w:val="28"/>
        </w:rPr>
      </w:pPr>
    </w:p>
    <w:p>
      <w:pPr>
        <w:pStyle w:val="15"/>
        <w:spacing w:before="4" w:after="156"/>
        <w:rPr>
          <w:rFonts w:hint="eastAsia" w:ascii="楷体" w:hAnsi="楷体" w:eastAsia="楷体" w:cs="楷体"/>
          <w:b/>
          <w:sz w:val="24"/>
          <w:szCs w:val="28"/>
        </w:rPr>
      </w:pPr>
    </w:p>
    <w:p>
      <w:pPr>
        <w:tabs>
          <w:tab w:val="left" w:pos="5457"/>
        </w:tabs>
        <w:ind w:left="117"/>
        <w:rPr>
          <w:rFonts w:hint="eastAsia"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rPr>
          <w:rFonts w:hint="eastAsia" w:eastAsia="仿宋" w:cs="Times New Roman"/>
          <w:b/>
          <w:szCs w:val="21"/>
        </w:r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9"/>
    </w:p>
    <w:p>
      <w:pPr>
        <w:keepNext/>
        <w:keepLines/>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0"/>
        <w:rPr>
          <w:rFonts w:ascii="Times New Roman" w:hAnsi="Times New Roman" w:eastAsia="宋体" w:cs="Times New Roman"/>
          <w:b/>
          <w:bCs/>
          <w:color w:val="000000"/>
          <w:sz w:val="24"/>
          <w:szCs w:val="24"/>
        </w:rPr>
        <w:sectPr>
          <w:footerReference r:id="rId18" w:type="first"/>
          <w:headerReference r:id="rId16" w:type="default"/>
          <w:footerReference r:id="rId1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51" w:name="_Toc212369550"/>
      <w:bookmarkStart w:id="52" w:name="_Toc639004"/>
      <w:bookmarkStart w:id="53" w:name="_Toc25811"/>
      <w:bookmarkStart w:id="54"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51"/>
      <w:bookmarkEnd w:id="52"/>
      <w:bookmarkEnd w:id="53"/>
      <w:bookmarkEnd w:id="54"/>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u w:val="single"/>
          <w:lang w:eastAsia="zh-CN"/>
        </w:rPr>
        <w:t>IP9K防水试验箱项目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提交纸质投标文件：资质证明文件、商务文件和技术文件正本一份；电子版投标文件一份。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highlight w:val="yellow"/>
          <w:u w:val="single"/>
          <w:lang w:eastAsia="zh-CN"/>
        </w:rPr>
        <w:t>IP9K防水试验箱项目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Times New Roman" w:hAnsi="Times New Roman" w:eastAsia="宋体" w:cs="Times New Roman"/>
          <w:b/>
          <w:bCs/>
          <w:color w:val="000000"/>
          <w:sz w:val="24"/>
          <w:szCs w:val="24"/>
        </w:rPr>
        <w:t>附件3 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3"/>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3"/>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3"/>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3"/>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3"/>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3"/>
              <w:spacing w:before="111"/>
              <w:ind w:left="509"/>
              <w:rPr>
                <w:rFonts w:hint="eastAsia"/>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3"/>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14"/>
              <w:ind w:left="720"/>
              <w:rPr>
                <w:rFonts w:hint="eastAsia"/>
              </w:rPr>
            </w:pPr>
            <w:r>
              <w:t xml:space="preserve">品牌区分 </w:t>
            </w:r>
          </w:p>
        </w:tc>
        <w:tc>
          <w:tcPr>
            <w:tcW w:w="7500" w:type="dxa"/>
            <w:gridSpan w:val="6"/>
          </w:tcPr>
          <w:p>
            <w:pPr>
              <w:pStyle w:val="133"/>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3"/>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3"/>
              <w:spacing w:before="15"/>
              <w:ind w:left="279"/>
              <w:rPr>
                <w:rFonts w:hint="eastAsia"/>
              </w:rPr>
            </w:pPr>
            <w:r>
              <w:rPr>
                <w:spacing w:val="-2"/>
              </w:rPr>
              <w:t>质量</w:t>
            </w:r>
            <w:r>
              <w:t xml:space="preserve"> </w:t>
            </w:r>
          </w:p>
          <w:p>
            <w:pPr>
              <w:pStyle w:val="133"/>
              <w:spacing w:before="30" w:line="277" w:lineRule="exact"/>
              <w:ind w:left="279"/>
              <w:rPr>
                <w:rFonts w:hint="eastAsia"/>
              </w:rPr>
            </w:pPr>
            <w:r>
              <w:rPr>
                <w:rFonts w:hint="eastAsia"/>
              </w:rPr>
              <w:t>体系</w:t>
            </w:r>
          </w:p>
        </w:tc>
        <w:tc>
          <w:tcPr>
            <w:tcW w:w="2820" w:type="dxa"/>
            <w:gridSpan w:val="2"/>
          </w:tcPr>
          <w:p>
            <w:pPr>
              <w:pStyle w:val="133"/>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3"/>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pPr>
        <w:pStyle w:val="20"/>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Calibri" w:eastAsia="宋体" w:cs="Times New Roman"/>
          <w:sz w:val="24"/>
          <w:szCs w:val="20"/>
          <w:lang w:eastAsia="zh-CN"/>
        </w:rPr>
      </w:pPr>
      <w:r>
        <w:rPr>
          <w:rFonts w:hint="eastAsia" w:ascii="宋体" w:hAnsi="宋体" w:eastAsia="宋体" w:cs="Times New Roman"/>
          <w:sz w:val="24"/>
          <w:szCs w:val="20"/>
        </w:rPr>
        <w:t>项目名称：</w:t>
      </w:r>
      <w:r>
        <w:rPr>
          <w:rFonts w:hint="eastAsia" w:ascii="宋体" w:hAnsi="宋体" w:eastAsia="宋体" w:cs="宋体"/>
          <w:b/>
          <w:bCs/>
          <w:sz w:val="24"/>
          <w:szCs w:val="24"/>
          <w:u w:val="single"/>
          <w:lang w:eastAsia="zh-CN"/>
        </w:rPr>
        <w:t>IP9K防水试验箱项目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u w:val="single"/>
          <w:lang w:eastAsia="zh-CN"/>
        </w:rPr>
        <w:t>IP9K防水试验箱项目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31"/>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471" w:type="dxa"/>
          </w:tcPr>
          <w:p>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72" w:type="dxa"/>
          </w:tcPr>
          <w:p>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pPr>
              <w:spacing w:before="98" w:line="185" w:lineRule="auto"/>
              <w:ind w:left="51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pPr>
              <w:spacing w:before="100" w:line="182" w:lineRule="auto"/>
              <w:ind w:left="798"/>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pPr>
              <w:spacing w:before="100" w:line="182" w:lineRule="auto"/>
              <w:ind w:left="1007"/>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pPr>
              <w:spacing w:before="99" w:line="183"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01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608" w:type="dxa"/>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pStyle w:val="128"/>
              <w:spacing w:before="60" w:after="60" w:line="240" w:lineRule="auto"/>
              <w:jc w:val="center"/>
              <w:rPr>
                <w:rFonts w:hint="eastAsia" w:ascii="宋体" w:hAnsi="宋体" w:eastAsia="宋体" w:cstheme="minorBidi"/>
                <w:b/>
                <w:bCs/>
                <w:kern w:val="2"/>
                <w:sz w:val="24"/>
                <w:szCs w:val="24"/>
                <w:lang w:val="en-US" w:eastAsia="zh-CN" w:bidi="ar-SA"/>
              </w:rPr>
            </w:pPr>
            <w:r>
              <w:rPr>
                <w:rFonts w:hint="eastAsia" w:ascii="宋体" w:hAnsi="宋体" w:eastAsia="宋体"/>
                <w:b/>
                <w:bCs/>
                <w:sz w:val="24"/>
                <w:lang w:val="en-US" w:eastAsia="zh-CN"/>
              </w:rPr>
              <w:t>一</w:t>
            </w:r>
          </w:p>
        </w:tc>
        <w:tc>
          <w:tcPr>
            <w:tcW w:w="2471" w:type="dxa"/>
            <w:shd w:val="clear" w:color="auto" w:fill="auto"/>
            <w:vAlign w:val="center"/>
          </w:tcPr>
          <w:p>
            <w:pPr>
              <w:pStyle w:val="128"/>
              <w:spacing w:before="60" w:after="60" w:line="240" w:lineRule="auto"/>
              <w:jc w:val="center"/>
              <w:rPr>
                <w:rFonts w:hint="eastAsia" w:ascii="宋体" w:hAnsi="宋体" w:eastAsia="宋体" w:cstheme="minorBidi"/>
                <w:b/>
                <w:bCs/>
                <w:kern w:val="2"/>
                <w:sz w:val="24"/>
                <w:szCs w:val="24"/>
                <w:lang w:val="en-US" w:eastAsia="zh-CN" w:bidi="ar-SA"/>
              </w:rPr>
            </w:pPr>
            <w:r>
              <w:rPr>
                <w:rFonts w:hint="eastAsia" w:ascii="宋体" w:hAnsi="宋体" w:eastAsia="宋体"/>
                <w:b/>
                <w:bCs/>
                <w:sz w:val="24"/>
                <w:lang w:val="en-US" w:eastAsia="zh-CN"/>
              </w:rPr>
              <w:t>IP9K防水试验箱</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w:t>
            </w:r>
          </w:p>
        </w:tc>
        <w:tc>
          <w:tcPr>
            <w:tcW w:w="2471"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环境舱主体</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1.2</w:t>
            </w:r>
          </w:p>
        </w:tc>
        <w:tc>
          <w:tcPr>
            <w:tcW w:w="2471"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变频器</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1.3</w:t>
            </w:r>
          </w:p>
        </w:tc>
        <w:tc>
          <w:tcPr>
            <w:tcW w:w="2471"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钛管换热器</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1.4</w:t>
            </w:r>
          </w:p>
        </w:tc>
        <w:tc>
          <w:tcPr>
            <w:tcW w:w="2471"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铜管等各种制冷辅件</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1.5</w:t>
            </w:r>
          </w:p>
        </w:tc>
        <w:tc>
          <w:tcPr>
            <w:tcW w:w="2471"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机组架</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1.6</w:t>
            </w:r>
          </w:p>
        </w:tc>
        <w:tc>
          <w:tcPr>
            <w:tcW w:w="2471"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触摸屏控制系统</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1.7</w:t>
            </w:r>
          </w:p>
        </w:tc>
        <w:tc>
          <w:tcPr>
            <w:tcW w:w="2471"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PLC</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1.8</w:t>
            </w:r>
          </w:p>
        </w:tc>
        <w:tc>
          <w:tcPr>
            <w:tcW w:w="2471"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直流电源</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1.9</w:t>
            </w:r>
          </w:p>
        </w:tc>
        <w:tc>
          <w:tcPr>
            <w:tcW w:w="2471"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(漏电)断路器等</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 xml:space="preserve">1.10 </w:t>
            </w:r>
          </w:p>
        </w:tc>
        <w:tc>
          <w:tcPr>
            <w:tcW w:w="2471"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喷嘴</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1.11</w:t>
            </w:r>
          </w:p>
        </w:tc>
        <w:tc>
          <w:tcPr>
            <w:tcW w:w="2471"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旋转平台</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1.12</w:t>
            </w:r>
          </w:p>
        </w:tc>
        <w:tc>
          <w:tcPr>
            <w:tcW w:w="2471"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相序保护器</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1.13</w:t>
            </w:r>
          </w:p>
        </w:tc>
        <w:tc>
          <w:tcPr>
            <w:tcW w:w="2471"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交流接触器</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1.14</w:t>
            </w:r>
          </w:p>
        </w:tc>
        <w:tc>
          <w:tcPr>
            <w:tcW w:w="2471"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电机启动器</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1.15</w:t>
            </w:r>
          </w:p>
        </w:tc>
        <w:tc>
          <w:tcPr>
            <w:tcW w:w="2471"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水箱</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1.16</w:t>
            </w:r>
          </w:p>
        </w:tc>
        <w:tc>
          <w:tcPr>
            <w:tcW w:w="2471"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水泵</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1.17</w:t>
            </w:r>
          </w:p>
        </w:tc>
        <w:tc>
          <w:tcPr>
            <w:tcW w:w="2471"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控制软件</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1.18</w:t>
            </w:r>
          </w:p>
        </w:tc>
        <w:tc>
          <w:tcPr>
            <w:tcW w:w="2471"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加工、组装、管理费用</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1.19</w:t>
            </w:r>
          </w:p>
        </w:tc>
        <w:tc>
          <w:tcPr>
            <w:tcW w:w="2471"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包装、运输、保险费用</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 xml:space="preserve">1.20 </w:t>
            </w:r>
          </w:p>
        </w:tc>
        <w:tc>
          <w:tcPr>
            <w:tcW w:w="2471"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安装调试、培训费用、技术服务费</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1.21</w:t>
            </w:r>
          </w:p>
        </w:tc>
        <w:tc>
          <w:tcPr>
            <w:tcW w:w="2471"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利润、税费、杂费</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1.22</w:t>
            </w:r>
          </w:p>
        </w:tc>
        <w:tc>
          <w:tcPr>
            <w:tcW w:w="2471"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设备计量</w:t>
            </w: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w:t>
            </w:r>
          </w:p>
        </w:tc>
        <w:tc>
          <w:tcPr>
            <w:tcW w:w="2471" w:type="dxa"/>
            <w:vAlign w:val="center"/>
          </w:tcPr>
          <w:p>
            <w:pPr>
              <w:widowControl/>
              <w:jc w:val="left"/>
              <w:textAlignment w:val="center"/>
              <w:rPr>
                <w:rFonts w:hint="eastAsia" w:ascii="宋体" w:hAnsi="宋体" w:eastAsia="宋体" w:cs="宋体"/>
                <w:sz w:val="24"/>
                <w:szCs w:val="24"/>
              </w:rPr>
            </w:pPr>
            <w:r>
              <w:rPr>
                <w:rFonts w:ascii="宋体" w:hAnsi="宋体" w:eastAsia="宋体" w:cs="宋体"/>
                <w:sz w:val="24"/>
                <w:szCs w:val="24"/>
              </w:rPr>
              <w:t>如有其他，可根据技术方案特点自行添加</w:t>
            </w:r>
          </w:p>
        </w:tc>
        <w:tc>
          <w:tcPr>
            <w:tcW w:w="2472" w:type="dxa"/>
          </w:tcPr>
          <w:p>
            <w:pPr>
              <w:rPr>
                <w:rFonts w:hint="eastAsia" w:ascii="Arial"/>
              </w:rPr>
            </w:pPr>
          </w:p>
        </w:tc>
        <w:tc>
          <w:tcPr>
            <w:tcW w:w="1474" w:type="dxa"/>
          </w:tcPr>
          <w:p>
            <w:pPr>
              <w:rPr>
                <w:rFonts w:hint="eastAsia" w:ascii="Arial"/>
              </w:rPr>
            </w:pPr>
          </w:p>
        </w:tc>
        <w:tc>
          <w:tcPr>
            <w:tcW w:w="2014" w:type="dxa"/>
          </w:tcPr>
          <w:p>
            <w:pPr>
              <w:rPr>
                <w:rFonts w:hint="eastAsia" w:ascii="Arial"/>
              </w:rPr>
            </w:pPr>
          </w:p>
        </w:tc>
        <w:tc>
          <w:tcPr>
            <w:tcW w:w="2608" w:type="dxa"/>
            <w:tcBorders>
              <w:left w:val="single" w:color="000000" w:sz="4" w:space="0"/>
            </w:tcBorders>
          </w:tcPr>
          <w:p>
            <w:pPr>
              <w:rPr>
                <w:rFonts w:hint="eastAsia" w:ascii="Arial"/>
              </w:rPr>
            </w:pPr>
          </w:p>
        </w:tc>
        <w:tc>
          <w:tcPr>
            <w:tcW w:w="1496"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105" w:lineRule="exact"/>
        <w:rPr>
          <w:rFonts w:hint="eastAsia"/>
        </w:rPr>
      </w:pPr>
    </w:p>
    <w:p>
      <w:pPr>
        <w:rPr>
          <w:rFonts w:hint="eastAsia" w:eastAsia="宋体"/>
        </w:rPr>
        <w:sectPr>
          <w:footerReference r:id="rId25"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附件5-3</w:t>
      </w:r>
      <w:r>
        <w:rPr>
          <w:rFonts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rPr>
        <w:t>本项目全生命周期内备品备件、易损件和专用耗材明细表</w:t>
      </w:r>
    </w:p>
    <w:p>
      <w:pPr>
        <w:adjustRightInd w:val="0"/>
        <w:snapToGrid w:val="0"/>
        <w:spacing w:line="360" w:lineRule="auto"/>
        <w:rPr>
          <w:rFonts w:hint="eastAsia" w:ascii="宋体" w:hAnsi="宋体" w:eastAsia="宋体" w:cs="宋体"/>
          <w:b/>
          <w:bCs/>
          <w:sz w:val="24"/>
          <w:szCs w:val="24"/>
          <w:highlight w:val="yellow"/>
        </w:rPr>
      </w:pPr>
    </w:p>
    <w:p>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9"/>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518"/>
        <w:gridCol w:w="899"/>
        <w:gridCol w:w="1387"/>
        <w:gridCol w:w="706"/>
        <w:gridCol w:w="847"/>
        <w:gridCol w:w="1646"/>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99"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518"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899"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品牌</w:t>
            </w:r>
          </w:p>
        </w:tc>
        <w:tc>
          <w:tcPr>
            <w:tcW w:w="1387"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0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847"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市场价</w:t>
            </w:r>
          </w:p>
        </w:tc>
        <w:tc>
          <w:tcPr>
            <w:tcW w:w="164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重汽折扣价</w:t>
            </w:r>
          </w:p>
        </w:tc>
        <w:tc>
          <w:tcPr>
            <w:tcW w:w="1978"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更换周期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bl>
    <w:p>
      <w:pPr>
        <w:spacing w:before="78" w:line="219" w:lineRule="auto"/>
        <w:ind w:left="431"/>
        <w:rPr>
          <w:rFonts w:hint="eastAsia" w:ascii="宋体" w:hAnsi="宋体" w:eastAsia="宋体" w:cs="宋体"/>
          <w:spacing w:val="-6"/>
          <w:szCs w:val="21"/>
        </w:rPr>
      </w:pPr>
    </w:p>
    <w:p>
      <w:pPr>
        <w:spacing w:line="240" w:lineRule="atLeast"/>
        <w:rPr>
          <w:rFonts w:hint="eastAsia" w:ascii="宋体" w:hAnsi="宋体" w:eastAsia="宋体" w:cs="宋体"/>
          <w:kern w:val="0"/>
          <w:sz w:val="24"/>
          <w:szCs w:val="20"/>
        </w:rPr>
      </w:pPr>
      <w:r>
        <w:rPr>
          <w:rFonts w:hint="eastAsia" w:ascii="宋体" w:hAnsi="宋体" w:eastAsia="宋体" w:cs="宋体"/>
          <w:kern w:val="0"/>
          <w:sz w:val="24"/>
          <w:szCs w:val="20"/>
        </w:rPr>
        <w:t>注：必须提供本项目生命周期内所涉及到所有备品备件、易损件和专用耗材明细表，以便于质保期外，招标人能够根据清单快速找到同规格产品。</w:t>
      </w:r>
    </w:p>
    <w:p>
      <w:pPr>
        <w:spacing w:line="660" w:lineRule="exact"/>
        <w:rPr>
          <w:rFonts w:hint="eastAsia" w:ascii="宋体" w:hAnsi="宋体"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pPr>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highlight w:val="red"/>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highlight w:val="red"/>
        </w:rPr>
        <w:t>202</w:t>
      </w:r>
      <w:r>
        <w:rPr>
          <w:rFonts w:hint="eastAsia" w:ascii="Times New Roman" w:hAnsi="Times New Roman" w:eastAsia="宋体" w:cs="Times New Roman"/>
          <w:b/>
          <w:bCs/>
          <w:color w:val="000000"/>
          <w:sz w:val="24"/>
          <w:szCs w:val="24"/>
          <w:highlight w:val="red"/>
          <w:lang w:val="en-US" w:eastAsia="zh-CN"/>
        </w:rPr>
        <w:t>2</w:t>
      </w:r>
      <w:r>
        <w:rPr>
          <w:rFonts w:hint="eastAsia" w:ascii="Times New Roman" w:hAnsi="Times New Roman" w:eastAsia="宋体" w:cs="Times New Roman"/>
          <w:b/>
          <w:bCs/>
          <w:color w:val="000000"/>
          <w:sz w:val="24"/>
          <w:szCs w:val="24"/>
          <w:highlight w:val="red"/>
        </w:rPr>
        <w:t>年8月1日至今同类项目业绩一览表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u w:val="single"/>
          <w:lang w:eastAsia="zh-CN"/>
        </w:rPr>
        <w:t>IP9K防水试验箱项目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jc w:val="center"/>
              <w:rPr>
                <w:rFonts w:hint="eastAsia" w:ascii="宋体" w:hAnsi="宋体" w:eastAsia="宋体" w:cs="宋体"/>
                <w:spacing w:val="-1"/>
                <w:sz w:val="24"/>
                <w:szCs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8"/>
              <w:spacing w:beforeLines="0" w:afterLines="0" w:line="240" w:lineRule="auto"/>
              <w:jc w:val="center"/>
              <w:rPr>
                <w:rFonts w:hint="eastAsia" w:ascii="宋体" w:hAnsi="宋体" w:eastAsia="宋体" w:cs="宋体"/>
                <w:spacing w:val="-1"/>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8"/>
              <w:spacing w:beforeLines="0" w:afterLines="0" w:line="240" w:lineRule="auto"/>
              <w:jc w:val="center"/>
              <w:rPr>
                <w:rFonts w:hint="eastAsia" w:ascii="宋体" w:hAnsi="宋体" w:eastAsia="宋体" w:cs="宋体"/>
                <w:bCs/>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8"/>
              <w:spacing w:beforeLines="0" w:afterLines="0" w:line="240" w:lineRule="auto"/>
              <w:jc w:val="center"/>
              <w:rPr>
                <w:rFonts w:hint="eastAsia" w:ascii="宋体" w:hAnsi="宋体" w:eastAsia="宋体" w:cs="宋体"/>
                <w:spacing w:val="-1"/>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8"/>
              <w:spacing w:beforeLines="0" w:afterLines="0" w:line="240" w:lineRule="auto"/>
              <w:jc w:val="center"/>
              <w:rPr>
                <w:rFonts w:hint="eastAsia" w:ascii="宋体" w:hAnsi="宋体" w:eastAsia="宋体" w:cs="宋体"/>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8"/>
              <w:spacing w:beforeLines="0" w:afterLines="0" w:line="240" w:lineRule="auto"/>
              <w:jc w:val="center"/>
              <w:rPr>
                <w:rFonts w:hint="eastAsia" w:ascii="宋体" w:hAnsi="宋体" w:eastAsia="宋体" w:cs="宋体"/>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2022年8月1日</w:t>
            </w:r>
            <w:r>
              <w:rPr>
                <w:rFonts w:ascii="宋体" w:hAnsi="宋体" w:eastAsia="宋体" w:cs="宋体"/>
                <w:sz w:val="24"/>
                <w:szCs w:val="24"/>
                <w:highlight w:val="yellow"/>
              </w:rPr>
              <w:t>至今所有业绩合同总额汇总（必填</w:t>
            </w:r>
            <w:r>
              <w:rPr>
                <w:rFonts w:hint="eastAsia" w:ascii="宋体" w:hAnsi="宋体" w:eastAsia="宋体" w:cs="宋体"/>
                <w:sz w:val="24"/>
                <w:szCs w:val="24"/>
                <w:highlight w:val="yellow"/>
              </w:rPr>
              <w:t>）</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highlight w:val="red"/>
        </w:rPr>
        <w:t>2022年8月1日</w:t>
      </w:r>
      <w:r>
        <w:rPr>
          <w:rFonts w:hint="eastAsia" w:ascii="宋体" w:hAnsi="宋体" w:eastAsia="宋体" w:cs="宋体"/>
          <w:kern w:val="0"/>
          <w:sz w:val="24"/>
          <w:szCs w:val="20"/>
        </w:rPr>
        <w:t>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tabs>
          <w:tab w:val="left" w:pos="1578"/>
          <w:tab w:val="left" w:pos="10083"/>
        </w:tabs>
        <w:spacing w:line="500" w:lineRule="exact"/>
        <w:rPr>
          <w:rFonts w:ascii="宋体" w:hAnsi="Calibri"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Times New Roman"/>
          <w:sz w:val="24"/>
          <w:szCs w:val="20"/>
          <w:u w:val="single"/>
          <w:lang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bCs/>
          <w:sz w:val="24"/>
          <w:szCs w:val="24"/>
          <w:u w:val="single"/>
          <w:lang w:eastAsia="zh-CN"/>
        </w:rPr>
        <w:t>IP9K防水试验箱项目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u w:val="single"/>
          <w:lang w:eastAsia="zh-CN"/>
        </w:rPr>
        <w:t>IP9K防水试验箱项目</w:t>
      </w:r>
      <w:r>
        <w:rPr>
          <w:rFonts w:ascii="宋体" w:hAnsi="宋体" w:eastAsia="宋体" w:cs="Times New Roman"/>
          <w:color w:val="000000"/>
          <w:sz w:val="24"/>
          <w:szCs w:val="24"/>
        </w:rPr>
        <w:t xml:space="preserve">                                                        </w:t>
      </w:r>
    </w:p>
    <w:tbl>
      <w:tblPr>
        <w:tblStyle w:val="3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w:t>
            </w:r>
          </w:p>
        </w:tc>
        <w:tc>
          <w:tcPr>
            <w:tcW w:w="1518" w:type="dxa"/>
            <w:vAlign w:val="center"/>
          </w:tcPr>
          <w:p>
            <w:pPr>
              <w:jc w:val="center"/>
              <w:rPr>
                <w:rFonts w:hint="eastAsia" w:ascii="Times New Roman" w:hAnsi="Times New Roman" w:eastAsia="宋体" w:cs="Times New Roman"/>
                <w:b/>
                <w:szCs w:val="20"/>
                <w:lang w:eastAsia="zh-CN"/>
              </w:rPr>
            </w:pPr>
            <w:r>
              <w:rPr>
                <w:rFonts w:hint="eastAsia" w:ascii="宋体" w:hAnsi="宋体" w:eastAsia="宋体" w:cs="宋体"/>
                <w:b/>
                <w:bCs/>
                <w:sz w:val="24"/>
                <w:szCs w:val="24"/>
                <w:u w:val="single"/>
                <w:lang w:eastAsia="zh-CN"/>
              </w:rPr>
              <w:t>IP9K防水试验箱项目</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0"/>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0"/>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4"/>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spacing w:before="98" w:line="185" w:lineRule="auto"/>
              <w:ind w:left="511"/>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tcPr>
          <w:p>
            <w:pPr>
              <w:spacing w:before="98" w:line="185"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tcPr>
          <w:p>
            <w:pPr>
              <w:spacing w:before="100" w:line="182"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1069" w:type="dxa"/>
          </w:tcPr>
          <w:p>
            <w:pPr>
              <w:spacing w:before="99" w:line="183" w:lineRule="auto"/>
              <w:ind w:firstLine="422" w:firstLineChars="200"/>
              <w:rPr>
                <w:rFonts w:hint="eastAsia" w:ascii="宋体" w:hAnsi="宋体" w:eastAsia="宋体" w:cs="宋体"/>
                <w:szCs w:val="21"/>
              </w:rPr>
            </w:pPr>
            <w:r>
              <w:rPr>
                <w:rFonts w:hint="eastAsia" w:ascii="宋体" w:hAnsi="宋体" w:eastAsia="宋体" w:cs="宋体"/>
                <w:b/>
                <w:bCs/>
                <w:szCs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单位</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总价[5×8]（不含税）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pStyle w:val="128"/>
              <w:spacing w:before="60" w:after="60" w:line="240" w:lineRule="auto"/>
              <w:jc w:val="center"/>
              <w:rPr>
                <w:rFonts w:hint="eastAsia" w:ascii="宋体" w:hAnsi="宋体" w:eastAsia="宋体" w:cstheme="minorBidi"/>
                <w:b/>
                <w:bCs/>
                <w:kern w:val="2"/>
                <w:sz w:val="24"/>
                <w:szCs w:val="24"/>
                <w:lang w:val="en-US" w:eastAsia="zh-CN" w:bidi="ar-SA"/>
              </w:rPr>
            </w:pPr>
            <w:r>
              <w:rPr>
                <w:rFonts w:hint="eastAsia" w:ascii="宋体" w:hAnsi="宋体" w:eastAsia="宋体"/>
                <w:b/>
                <w:bCs/>
                <w:sz w:val="24"/>
                <w:lang w:val="en-US" w:eastAsia="zh-CN"/>
              </w:rPr>
              <w:t>一</w:t>
            </w:r>
          </w:p>
        </w:tc>
        <w:tc>
          <w:tcPr>
            <w:tcW w:w="2238" w:type="dxa"/>
            <w:shd w:val="clear" w:color="auto" w:fill="auto"/>
            <w:vAlign w:val="center"/>
          </w:tcPr>
          <w:p>
            <w:pPr>
              <w:pStyle w:val="128"/>
              <w:spacing w:before="60" w:after="60" w:line="240" w:lineRule="auto"/>
              <w:jc w:val="center"/>
              <w:rPr>
                <w:rFonts w:hint="eastAsia" w:ascii="宋体" w:hAnsi="宋体" w:eastAsia="宋体" w:cstheme="minorBidi"/>
                <w:b/>
                <w:bCs/>
                <w:kern w:val="2"/>
                <w:sz w:val="24"/>
                <w:szCs w:val="24"/>
                <w:lang w:val="en-US" w:eastAsia="zh-CN" w:bidi="ar-SA"/>
              </w:rPr>
            </w:pPr>
            <w:r>
              <w:rPr>
                <w:rFonts w:hint="eastAsia" w:ascii="宋体" w:hAnsi="宋体" w:eastAsia="宋体"/>
                <w:b/>
                <w:bCs/>
                <w:sz w:val="24"/>
                <w:lang w:val="en-US" w:eastAsia="zh-CN"/>
              </w:rPr>
              <w:t>IP9K防水试验箱</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环境舱主体</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1.2</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变频器</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1.3</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钛管换热器</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1.4</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铜管等各种制冷辅件</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1.5</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机组架</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1.6</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触摸屏控制系统</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1.7</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PLC</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1.8</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直流电源</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1.9</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(漏电)断路器等</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 xml:space="preserve">1.10 </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喷嘴</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1.11</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旋转平台</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1.12</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相序保护器</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1.13</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交流接触器</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1.14</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电机启动器</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1.15</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水箱</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1.16</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水泵</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1.17</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控制软件</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1.18</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加工、组装、管理费用</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1.19</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包装、运输、保险费用</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 xml:space="preserve">1.20 </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安装调试、培训费用、技术服务费</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1.21</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利润、税费、杂费</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FFFFFF" w:fill="FFFFFF"/>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1.22</w:t>
            </w:r>
          </w:p>
        </w:tc>
        <w:tc>
          <w:tcPr>
            <w:tcW w:w="2238" w:type="dxa"/>
            <w:shd w:val="clear" w:color="auto" w:fill="auto"/>
            <w:vAlign w:val="center"/>
          </w:tcPr>
          <w:p>
            <w:pPr>
              <w:widowControl/>
              <w:jc w:val="center"/>
              <w:textAlignment w:val="center"/>
              <w:rPr>
                <w:rFonts w:hint="eastAsia" w:ascii="宋体" w:hAnsi="宋体" w:eastAsia="宋体" w:cstheme="minorBidi"/>
                <w:kern w:val="2"/>
                <w:sz w:val="24"/>
                <w:szCs w:val="24"/>
                <w:lang w:val="en-US" w:eastAsia="zh-CN" w:bidi="ar-SA"/>
              </w:rPr>
            </w:pPr>
            <w:r>
              <w:rPr>
                <w:rFonts w:hint="eastAsia" w:ascii="宋体" w:hAnsi="宋体" w:eastAsia="宋体"/>
                <w:sz w:val="24"/>
                <w:szCs w:val="24"/>
                <w:lang w:val="en-US" w:eastAsia="zh-CN"/>
              </w:rPr>
              <w:t>设备计量</w:t>
            </w: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w:t>
            </w:r>
          </w:p>
        </w:tc>
        <w:tc>
          <w:tcPr>
            <w:tcW w:w="2238" w:type="dxa"/>
            <w:vAlign w:val="center"/>
          </w:tcPr>
          <w:p>
            <w:pPr>
              <w:widowControl/>
              <w:jc w:val="left"/>
              <w:textAlignment w:val="center"/>
              <w:rPr>
                <w:rFonts w:hint="eastAsia" w:ascii="宋体" w:hAnsi="宋体" w:eastAsia="宋体" w:cs="宋体"/>
                <w:sz w:val="24"/>
                <w:szCs w:val="24"/>
              </w:rPr>
            </w:pPr>
            <w:r>
              <w:rPr>
                <w:rFonts w:ascii="宋体" w:hAnsi="宋体" w:eastAsia="宋体" w:cs="宋体"/>
                <w:sz w:val="24"/>
                <w:szCs w:val="24"/>
              </w:rPr>
              <w:t>如有其他，可根据技术方案特点自行添加</w:t>
            </w:r>
          </w:p>
        </w:tc>
        <w:tc>
          <w:tcPr>
            <w:tcW w:w="2239" w:type="dxa"/>
          </w:tcPr>
          <w:p>
            <w:pPr>
              <w:rPr>
                <w:rFonts w:hint="eastAsia" w:ascii="宋体" w:hAnsi="宋体" w:eastAsia="宋体" w:cs="宋体"/>
              </w:rPr>
            </w:pPr>
          </w:p>
        </w:tc>
        <w:tc>
          <w:tcPr>
            <w:tcW w:w="1120" w:type="dxa"/>
          </w:tcPr>
          <w:p>
            <w:pPr>
              <w:rPr>
                <w:rFonts w:hint="eastAsia" w:ascii="宋体" w:hAnsi="宋体" w:eastAsia="宋体" w:cs="宋体"/>
              </w:rPr>
            </w:pPr>
          </w:p>
        </w:tc>
        <w:tc>
          <w:tcPr>
            <w:tcW w:w="1120" w:type="dxa"/>
          </w:tcPr>
          <w:p>
            <w:pPr>
              <w:rPr>
                <w:rFonts w:hint="eastAsia" w:ascii="宋体" w:hAnsi="宋体" w:eastAsia="宋体" w:cs="宋体"/>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pPr>
              <w:jc w:val="center"/>
              <w:rPr>
                <w:rFonts w:hint="eastAsia"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pPr>
              <w:rPr>
                <w:rFonts w:hint="eastAsia" w:ascii="Arial"/>
              </w:rPr>
            </w:pPr>
          </w:p>
        </w:tc>
        <w:tc>
          <w:tcPr>
            <w:tcW w:w="1069" w:type="dxa"/>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rPr>
          <w:rFonts w:hint="eastAsia"/>
        </w:rPr>
      </w:pPr>
    </w:p>
    <w:p>
      <w:pPr>
        <w:rPr>
          <w:rFonts w:hint="eastAsia"/>
        </w:rPr>
        <w:sectPr>
          <w:footerReference r:id="rId28" w:type="default"/>
          <w:pgSz w:w="16841" w:h="11907" w:orient="landscape"/>
          <w:pgMar w:top="400" w:right="1387" w:bottom="1168" w:left="1473" w:header="0" w:footer="990" w:gutter="0"/>
          <w:cols w:equalWidth="0" w:num="1">
            <w:col w:w="13980"/>
          </w:cols>
        </w:sectPr>
      </w:pP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9" w:type="default"/>
          <w:pgSz w:w="16841" w:h="11907"/>
          <w:pgMar w:top="400" w:right="1699" w:bottom="1184" w:left="1481"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tcPr>
          <w:p>
            <w:pPr>
              <w:spacing w:before="266" w:line="221" w:lineRule="auto"/>
              <w:jc w:val="center"/>
              <w:rPr>
                <w:rFonts w:hint="eastAsia" w:ascii="宋体" w:hAnsi="宋体" w:eastAsia="宋体" w:cs="宋体"/>
                <w:szCs w:val="21"/>
                <w:highlight w:val="yellow"/>
              </w:rPr>
            </w:pPr>
            <w:r>
              <w:rPr>
                <w:rFonts w:hint="eastAsia" w:ascii="宋体" w:hAnsi="宋体" w:eastAsia="宋体" w:cs="宋体"/>
                <w:sz w:val="24"/>
                <w:szCs w:val="24"/>
              </w:rPr>
              <w:t>加工、组装</w:t>
            </w:r>
          </w:p>
        </w:tc>
        <w:tc>
          <w:tcPr>
            <w:tcW w:w="1126" w:type="dxa"/>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2</w:t>
            </w:r>
          </w:p>
        </w:tc>
        <w:tc>
          <w:tcPr>
            <w:tcW w:w="3625" w:type="dxa"/>
          </w:tcPr>
          <w:p>
            <w:pPr>
              <w:spacing w:before="266" w:line="221" w:lineRule="auto"/>
              <w:jc w:val="center"/>
              <w:rPr>
                <w:rFonts w:hint="eastAsia" w:ascii="宋体" w:hAnsi="宋体" w:eastAsia="宋体" w:cs="宋体"/>
                <w:szCs w:val="21"/>
                <w:highlight w:val="yellow"/>
              </w:rPr>
            </w:pPr>
            <w:r>
              <w:rPr>
                <w:rFonts w:hint="eastAsia" w:ascii="宋体" w:hAnsi="宋体" w:eastAsia="宋体" w:cs="宋体"/>
                <w:spacing w:val="-1"/>
                <w:szCs w:val="21"/>
                <w:highlight w:val="yellow"/>
              </w:rPr>
              <w:t>现场安装调试、验收</w:t>
            </w:r>
          </w:p>
        </w:tc>
        <w:tc>
          <w:tcPr>
            <w:tcW w:w="1126" w:type="dxa"/>
          </w:tcPr>
          <w:p>
            <w:pPr>
              <w:spacing w:before="266" w:line="221" w:lineRule="auto"/>
              <w:jc w:val="center"/>
              <w:rPr>
                <w:rFonts w:hint="eastAsia" w:ascii="宋体" w:hAnsi="宋体" w:eastAsia="宋体" w:cs="宋体"/>
                <w:spacing w:val="-2"/>
                <w:szCs w:val="21"/>
              </w:rPr>
            </w:pPr>
            <w:r>
              <w:rPr>
                <w:rFonts w:hint="eastAsia" w:ascii="宋体" w:hAnsi="宋体" w:eastAsia="宋体" w:cs="宋体"/>
                <w:spacing w:val="-1"/>
                <w:szCs w:val="21"/>
              </w:rPr>
              <w:t>套</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3</w:t>
            </w:r>
          </w:p>
        </w:tc>
        <w:tc>
          <w:tcPr>
            <w:tcW w:w="3625" w:type="dxa"/>
          </w:tcPr>
          <w:p>
            <w:pPr>
              <w:spacing w:before="266" w:line="221" w:lineRule="auto"/>
              <w:jc w:val="center"/>
              <w:rPr>
                <w:rFonts w:hint="eastAsia" w:ascii="宋体" w:hAnsi="宋体" w:eastAsia="宋体" w:cs="宋体"/>
                <w:szCs w:val="21"/>
                <w:highlight w:val="yellow"/>
              </w:rPr>
            </w:pPr>
            <w:r>
              <w:rPr>
                <w:rFonts w:hint="eastAsia" w:ascii="宋体" w:hAnsi="宋体" w:eastAsia="宋体" w:cs="宋体"/>
                <w:spacing w:val="-2"/>
                <w:szCs w:val="21"/>
                <w:highlight w:val="yellow"/>
              </w:rPr>
              <w:t>技术培训材料</w:t>
            </w:r>
          </w:p>
        </w:tc>
        <w:tc>
          <w:tcPr>
            <w:tcW w:w="1126" w:type="dxa"/>
          </w:tcPr>
          <w:p>
            <w:pPr>
              <w:spacing w:before="266" w:line="221" w:lineRule="auto"/>
              <w:jc w:val="center"/>
              <w:rPr>
                <w:rFonts w:hint="eastAsia" w:ascii="宋体" w:hAnsi="宋体" w:eastAsia="宋体" w:cs="宋体"/>
                <w:spacing w:val="-1"/>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4</w:t>
            </w:r>
          </w:p>
        </w:tc>
        <w:tc>
          <w:tcPr>
            <w:tcW w:w="3625" w:type="dxa"/>
          </w:tcPr>
          <w:p>
            <w:pPr>
              <w:spacing w:before="266" w:line="221" w:lineRule="auto"/>
              <w:jc w:val="center"/>
              <w:rPr>
                <w:rFonts w:hint="eastAsia" w:ascii="宋体" w:hAnsi="宋体" w:eastAsia="宋体" w:cs="宋体"/>
                <w:sz w:val="24"/>
                <w:szCs w:val="24"/>
              </w:rPr>
            </w:pPr>
            <w:r>
              <w:rPr>
                <w:rFonts w:hint="eastAsia" w:ascii="宋体" w:hAnsi="宋体" w:eastAsia="宋体" w:cs="宋体"/>
                <w:sz w:val="24"/>
                <w:szCs w:val="24"/>
              </w:rPr>
              <w:t>管理费用</w:t>
            </w:r>
          </w:p>
        </w:tc>
        <w:tc>
          <w:tcPr>
            <w:tcW w:w="1126" w:type="dxa"/>
          </w:tcPr>
          <w:p>
            <w:pPr>
              <w:spacing w:before="266" w:line="221" w:lineRule="auto"/>
              <w:jc w:val="center"/>
              <w:rPr>
                <w:rFonts w:hint="eastAsia" w:ascii="宋体" w:hAnsi="宋体" w:eastAsia="宋体" w:cs="宋体"/>
                <w:spacing w:val="-1"/>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5</w:t>
            </w:r>
          </w:p>
        </w:tc>
        <w:tc>
          <w:tcPr>
            <w:tcW w:w="3625" w:type="dxa"/>
          </w:tcPr>
          <w:p>
            <w:pPr>
              <w:spacing w:before="266" w:line="221" w:lineRule="auto"/>
              <w:jc w:val="center"/>
              <w:rPr>
                <w:rFonts w:hint="eastAsia" w:ascii="宋体" w:hAnsi="宋体" w:eastAsia="宋体" w:cs="宋体"/>
                <w:sz w:val="24"/>
                <w:szCs w:val="24"/>
              </w:rPr>
            </w:pPr>
            <w:r>
              <w:rPr>
                <w:rFonts w:hint="eastAsia" w:ascii="宋体" w:hAnsi="宋体" w:eastAsia="宋体" w:cs="宋体"/>
                <w:sz w:val="24"/>
                <w:szCs w:val="24"/>
              </w:rPr>
              <w:t>利润、税费、杂费</w:t>
            </w:r>
          </w:p>
        </w:tc>
        <w:tc>
          <w:tcPr>
            <w:tcW w:w="1126" w:type="dxa"/>
          </w:tcPr>
          <w:p>
            <w:pPr>
              <w:spacing w:before="266" w:line="221" w:lineRule="auto"/>
              <w:jc w:val="center"/>
              <w:rPr>
                <w:rFonts w:hint="eastAsia" w:ascii="宋体" w:hAnsi="宋体" w:eastAsia="宋体" w:cs="宋体"/>
                <w:spacing w:val="-1"/>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6</w:t>
            </w:r>
          </w:p>
        </w:tc>
        <w:tc>
          <w:tcPr>
            <w:tcW w:w="3625" w:type="dxa"/>
          </w:tcPr>
          <w:p>
            <w:pPr>
              <w:spacing w:before="266" w:line="221" w:lineRule="auto"/>
              <w:jc w:val="center"/>
              <w:rPr>
                <w:rFonts w:hint="eastAsia" w:ascii="宋体" w:hAnsi="宋体" w:eastAsia="宋体" w:cs="宋体"/>
                <w:spacing w:val="-2"/>
                <w:szCs w:val="21"/>
                <w:highlight w:val="yellow"/>
              </w:rPr>
            </w:pPr>
            <w:r>
              <w:rPr>
                <w:rFonts w:hint="eastAsia" w:ascii="宋体" w:hAnsi="宋体" w:eastAsia="宋体" w:cs="宋体"/>
                <w:sz w:val="24"/>
                <w:szCs w:val="24"/>
              </w:rPr>
              <w:t>设备图纸及说明书</w:t>
            </w:r>
          </w:p>
        </w:tc>
        <w:tc>
          <w:tcPr>
            <w:tcW w:w="1126" w:type="dxa"/>
          </w:tcPr>
          <w:p>
            <w:pPr>
              <w:spacing w:before="266" w:line="221" w:lineRule="auto"/>
              <w:jc w:val="center"/>
              <w:rPr>
                <w:rFonts w:hint="eastAsia" w:ascii="宋体" w:hAnsi="宋体" w:eastAsia="宋体" w:cs="宋体"/>
                <w:spacing w:val="-1"/>
                <w:szCs w:val="21"/>
              </w:rPr>
            </w:pPr>
            <w:r>
              <w:rPr>
                <w:rFonts w:hint="eastAsia" w:ascii="宋体" w:hAnsi="宋体" w:eastAsia="宋体" w:cs="宋体"/>
                <w:spacing w:val="-1"/>
                <w:szCs w:val="21"/>
              </w:rPr>
              <w:t>套</w:t>
            </w: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0"/>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30" w:type="default"/>
          <w:pgSz w:w="16841" w:h="11907"/>
          <w:pgMar w:top="400" w:right="1699" w:bottom="1184" w:left="1481" w:header="0" w:footer="1022" w:gutter="0"/>
          <w:cols w:space="720" w:num="1"/>
        </w:sectPr>
      </w:pPr>
    </w:p>
    <w:p>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1"/>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840" w:type="dxa"/>
          </w:tcPr>
          <w:p>
            <w:pPr>
              <w:spacing w:before="101" w:line="185" w:lineRule="auto"/>
              <w:ind w:left="371"/>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2239" w:type="dxa"/>
          </w:tcPr>
          <w:p>
            <w:pPr>
              <w:spacing w:before="103" w:line="182" w:lineRule="auto"/>
              <w:ind w:left="107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1498" w:type="dxa"/>
          </w:tcPr>
          <w:p>
            <w:pPr>
              <w:spacing w:before="102" w:line="183" w:lineRule="auto"/>
              <w:ind w:left="58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1861" w:type="dxa"/>
          </w:tcPr>
          <w:p>
            <w:pPr>
              <w:spacing w:before="103" w:line="182" w:lineRule="auto"/>
              <w:ind w:left="1010"/>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1120" w:type="dxa"/>
          </w:tcPr>
          <w:p>
            <w:pPr>
              <w:spacing w:before="102" w:line="183" w:lineRule="auto"/>
              <w:ind w:left="516"/>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1125" w:type="dxa"/>
          </w:tcPr>
          <w:p>
            <w:pPr>
              <w:spacing w:before="102" w:line="183" w:lineRule="auto"/>
              <w:ind w:left="51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84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253" w:line="224" w:lineRule="auto"/>
        <w:ind w:left="6488"/>
        <w:rPr>
          <w:rFonts w:hint="eastAsia" w:ascii="宋体" w:hAnsi="宋体" w:eastAsia="宋体" w:cs="宋体"/>
          <w:spacing w:val="9"/>
          <w:sz w:val="24"/>
          <w:szCs w:val="24"/>
          <w14:textOutline w14:w="5791" w14:cap="flat" w14:cmpd="sng" w14:algn="ctr">
            <w14:solidFill>
              <w14:srgbClr w14:val="000000"/>
            </w14:solidFill>
            <w14:prstDash w14:val="solid"/>
            <w14:miter w14:val="0"/>
          </w14:textOutline>
        </w:rPr>
      </w:pPr>
    </w:p>
    <w:p>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1</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9-1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2</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9-2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3</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9-3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4</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9-4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5</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0"/>
      </w:pPr>
    </w:p>
    <w:p>
      <w:pPr>
        <w:pStyle w:val="20"/>
      </w:pPr>
    </w:p>
    <w:p>
      <w:pPr>
        <w:spacing w:before="140" w:line="220" w:lineRule="auto"/>
        <w:ind w:left="2" w:firstLine="464" w:firstLineChars="200"/>
        <w:rPr>
          <w:rFonts w:hint="eastAsia" w:ascii="宋体" w:hAnsi="宋体" w:eastAsia="宋体" w:cs="宋体"/>
          <w:spacing w:val="-2"/>
          <w:szCs w:val="21"/>
        </w:rPr>
        <w:sectPr>
          <w:footerReference r:id="rId31"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
                <w:szCs w:val="20"/>
                <w:lang w:eastAsia="zh-CN"/>
              </w:rPr>
            </w:pPr>
            <w:r>
              <w:rPr>
                <w:rFonts w:hint="eastAsia" w:ascii="宋体" w:hAnsi="宋体" w:eastAsia="宋体" w:cs="宋体"/>
                <w:b/>
                <w:bCs/>
                <w:sz w:val="24"/>
                <w:szCs w:val="24"/>
                <w:u w:val="single"/>
                <w:lang w:eastAsia="zh-CN"/>
              </w:rPr>
              <w:t>IP9K防水试验箱项目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eastAsia" w:ascii="宋体" w:hAnsi="宋体" w:eastAsia="宋体" w:cs="宋体"/>
          <w:sz w:val="24"/>
          <w:szCs w:val="24"/>
          <w:lang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u w:val="single"/>
          <w:lang w:eastAsia="zh-CN"/>
        </w:rPr>
        <w:t>IP9K防水试验箱项目</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rPr>
          <w:rFonts w:hint="eastAsia"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pStyle w:val="20"/>
        <w:rPr>
          <w:rFonts w:hint="eastAsia" w:hAnsi="宋体" w:eastAsia="宋体" w:cs="宋体"/>
          <w:sz w:val="24"/>
          <w:szCs w:val="24"/>
        </w:rPr>
      </w:pPr>
    </w:p>
    <w:p>
      <w:pPr>
        <w:pStyle w:val="20"/>
        <w:rPr>
          <w:rFonts w:hint="eastAsia" w:hAnsi="宋体" w:eastAsia="宋体" w:cs="宋体"/>
          <w:sz w:val="24"/>
          <w:szCs w:val="24"/>
        </w:rPr>
      </w:pPr>
    </w:p>
    <w:p>
      <w:pPr>
        <w:spacing w:line="360" w:lineRule="auto"/>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pStyle w:val="20"/>
        <w:rPr>
          <w:rFonts w:hint="eastAsia" w:hAnsi="宋体" w:eastAsia="宋体" w:cs="宋体"/>
          <w:sz w:val="24"/>
          <w:szCs w:val="24"/>
        </w:rPr>
        <w:sectPr>
          <w:footerReference r:id="rId32" w:type="default"/>
          <w:pgSz w:w="11906" w:h="16839"/>
          <w:pgMar w:top="1431" w:right="1417" w:bottom="1179" w:left="1304" w:header="850" w:footer="992" w:gutter="0"/>
          <w:cols w:space="720" w:num="1"/>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Calibri" w:eastAsia="宋体" w:cs="Times New Roman"/>
          <w:sz w:val="24"/>
          <w:szCs w:val="20"/>
          <w:lang w:eastAsia="zh-CN"/>
        </w:rPr>
      </w:pPr>
      <w:r>
        <w:rPr>
          <w:rFonts w:hint="eastAsia" w:ascii="宋体" w:hAnsi="宋体" w:eastAsia="宋体" w:cs="Times New Roman"/>
          <w:sz w:val="24"/>
          <w:szCs w:val="20"/>
        </w:rPr>
        <w:t>项目名称：</w:t>
      </w:r>
      <w:r>
        <w:rPr>
          <w:rFonts w:hint="eastAsia" w:ascii="宋体" w:hAnsi="宋体" w:eastAsia="宋体" w:cs="宋体"/>
          <w:b/>
          <w:bCs/>
          <w:sz w:val="24"/>
          <w:szCs w:val="24"/>
          <w:u w:val="single"/>
          <w:lang w:eastAsia="zh-CN"/>
        </w:rPr>
        <w:t>IP9K防水试验箱项目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0"/>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eastAsia" w:ascii="Times New Roman" w:hAnsi="Times New Roman" w:eastAsia="宋体" w:cs="Times New Roman"/>
                <w:b/>
                <w:szCs w:val="20"/>
                <w:lang w:eastAsia="zh-CN"/>
              </w:rPr>
            </w:pPr>
            <w:r>
              <w:rPr>
                <w:rFonts w:hint="eastAsia" w:ascii="宋体" w:hAnsi="宋体" w:eastAsia="宋体" w:cs="宋体"/>
                <w:b/>
                <w:szCs w:val="20"/>
              </w:rPr>
              <w:t>项目名称：</w:t>
            </w:r>
            <w:r>
              <w:rPr>
                <w:rFonts w:hint="eastAsia" w:ascii="宋体" w:hAnsi="宋体" w:eastAsia="宋体" w:cs="宋体"/>
                <w:b/>
                <w:bCs/>
                <w:sz w:val="24"/>
                <w:szCs w:val="24"/>
                <w:u w:val="single"/>
                <w:lang w:eastAsia="zh-CN"/>
              </w:rPr>
              <w:t>IP9K防水试验箱项目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0"/>
      </w:pPr>
    </w:p>
    <w:p>
      <w:pPr>
        <w:jc w:val="right"/>
        <w:rPr>
          <w:rFonts w:hint="eastAsia"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pPr>
        <w:pStyle w:val="20"/>
        <w:outlineLvl w:val="2"/>
        <w:rPr>
          <w:rFonts w:hint="eastAsia" w:hAnsi="宋体" w:eastAsia="宋体" w:cs="宋体"/>
          <w:b/>
          <w:bCs/>
          <w:color w:val="000000"/>
          <w:sz w:val="24"/>
          <w:szCs w:val="24"/>
        </w:rPr>
      </w:pPr>
      <w:bookmarkStart w:id="55" w:name="_GoBack"/>
      <w:bookmarkEnd w:id="55"/>
      <w:r>
        <w:rPr>
          <w:rFonts w:hint="eastAsia" w:hAnsi="宋体" w:eastAsia="宋体" w:cs="宋体"/>
          <w:b/>
          <w:bCs/>
          <w:color w:val="000000"/>
          <w:sz w:val="24"/>
          <w:szCs w:val="24"/>
        </w:rPr>
        <w:t>附件15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9"/>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0"/>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1"/>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2"/>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spacing w:line="360" w:lineRule="auto"/>
        <w:rPr>
          <w:rFonts w:hint="eastAsia" w:ascii="宋体" w:hAnsi="宋体" w:eastAsia="宋体" w:cs="宋体"/>
          <w:color w:val="000000"/>
          <w:sz w:val="24"/>
          <w:szCs w:val="28"/>
        </w:rPr>
      </w:pPr>
      <w:r>
        <w:rPr>
          <w:rFonts w:hint="eastAsia" w:ascii="宋体" w:hAnsi="宋体" w:eastAsia="宋体" w:cs="宋体"/>
          <w:color w:val="000000"/>
          <w:sz w:val="24"/>
          <w:szCs w:val="28"/>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详见手机短信</w:t>
      </w:r>
    </w:p>
    <w:p>
      <w:pPr>
        <w:rPr>
          <w:rFonts w:hint="eastAsia" w:ascii="宋体" w:hAnsi="宋体" w:eastAsia="宋体" w:cs="宋体"/>
          <w:color w:val="000000"/>
        </w:rPr>
      </w:pPr>
    </w:p>
    <w:p>
      <w:pPr>
        <w:rPr>
          <w:rFonts w:hint="eastAsia"/>
        </w:rPr>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3"/>
                    <a:stretch>
                      <a:fillRect/>
                    </a:stretch>
                  </pic:blipFill>
                  <pic:spPr>
                    <a:xfrm>
                      <a:off x="0" y="0"/>
                      <a:ext cx="5760085" cy="2810122"/>
                    </a:xfrm>
                    <a:prstGeom prst="rect">
                      <a:avLst/>
                    </a:prstGeom>
                  </pic:spPr>
                </pic:pic>
              </a:graphicData>
            </a:graphic>
          </wp:inline>
        </w:drawing>
      </w:r>
    </w:p>
    <w:p>
      <w:pPr>
        <w:pStyle w:val="20"/>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4"/>
                    <a:stretch>
                      <a:fillRect/>
                    </a:stretch>
                  </pic:blipFill>
                  <pic:spPr>
                    <a:xfrm>
                      <a:off x="0" y="0"/>
                      <a:ext cx="5760085" cy="2820042"/>
                    </a:xfrm>
                    <a:prstGeom prst="rect">
                      <a:avLst/>
                    </a:prstGeom>
                  </pic:spPr>
                </pic:pic>
              </a:graphicData>
            </a:graphic>
          </wp:inline>
        </w:drawing>
      </w:r>
    </w:p>
    <w:p>
      <w:pPr>
        <w:pStyle w:val="20"/>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0"/>
      </w:pPr>
      <w:r>
        <w:rPr>
          <w:rFonts w:hint="eastAsia" w:hAnsi="宋体" w:eastAsia="宋体" w:cs="宋体"/>
          <w:b/>
          <w:bCs/>
          <w:color w:val="000000"/>
          <w:sz w:val="24"/>
          <w:szCs w:val="28"/>
          <w:highlight w:val="yellow"/>
        </w:rPr>
        <w:t>2.配套能力“供货类别”选“非生产招标→研发试验设备→产品试验检测中心”，业务主管部门为“产品试验检测中心”。</w:t>
      </w:r>
    </w:p>
    <w:p>
      <w:pPr>
        <w:pStyle w:val="20"/>
        <w:sectPr>
          <w:footerReference r:id="rId33" w:type="default"/>
          <w:pgSz w:w="11906" w:h="16838"/>
          <w:pgMar w:top="1588" w:right="1418" w:bottom="1134" w:left="1418" w:header="851" w:footer="992" w:gutter="0"/>
          <w:cols w:space="720" w:num="1"/>
          <w:titlePg/>
          <w:docGrid w:type="lines" w:linePitch="312" w:charSpace="0"/>
        </w:sectPr>
      </w:pPr>
    </w:p>
    <w:p>
      <w:pPr>
        <w:pStyle w:val="20"/>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7"/>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7"/>
          <w:rFonts w:hint="eastAsia" w:ascii="宋体" w:hAnsi="宋体" w:eastAsia="宋体" w:cs="宋体"/>
          <w:sz w:val="24"/>
          <w:szCs w:val="24"/>
        </w:rPr>
        <w:t>https://ecaitong.sinotruk.com:8012/</w:t>
      </w:r>
      <w:r>
        <w:rPr>
          <w:rStyle w:val="47"/>
          <w:rFonts w:hint="eastAsia" w:ascii="宋体" w:hAnsi="宋体" w:eastAsia="宋体" w:cs="宋体"/>
          <w:sz w:val="24"/>
          <w:szCs w:val="24"/>
        </w:rPr>
        <w:fldChar w:fldCharType="end"/>
      </w:r>
      <w:r>
        <w:rPr>
          <w:rStyle w:val="47"/>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rPr>
      </w:pPr>
      <w:r>
        <mc:AlternateContent>
          <mc:Choice Requires="wps">
            <w:drawing>
              <wp:anchor distT="0" distB="0" distL="114300" distR="114300" simplePos="0" relativeHeight="251684864"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84864;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5"/>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6"/>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7"/>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20"/>
      </w:pPr>
      <w:r>
        <w:rPr>
          <w:rFonts w:hint="eastAsia" w:hAnsi="宋体" w:eastAsia="宋体" w:cs="宋体"/>
          <w:b/>
          <w:bCs/>
          <w:color w:val="000000"/>
          <w:sz w:val="24"/>
          <w:szCs w:val="28"/>
          <w:highlight w:val="yellow"/>
        </w:rPr>
        <w:t>注意：系统内的投标报价单位为“万元”，如开标现场发现填错报价，即直接淘汰。</w:t>
      </w:r>
    </w:p>
    <w:p>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8"/>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9"/>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0"/>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1"/>
                    <a:stretch>
                      <a:fillRect/>
                    </a:stretch>
                  </pic:blipFill>
                  <pic:spPr>
                    <a:xfrm>
                      <a:off x="0" y="0"/>
                      <a:ext cx="5760085" cy="1956600"/>
                    </a:xfrm>
                    <a:prstGeom prst="rect">
                      <a:avLst/>
                    </a:prstGeom>
                  </pic:spPr>
                </pic:pic>
              </a:graphicData>
            </a:graphic>
          </wp:inline>
        </w:drawing>
      </w:r>
    </w:p>
    <w:p>
      <w:pPr>
        <w:rPr>
          <w:rFonts w:hint="eastAsia"/>
        </w:rPr>
      </w:pPr>
    </w:p>
    <w:p>
      <w:pPr>
        <w:rPr>
          <w:rFonts w:hint="eastAsia"/>
        </w:rPr>
      </w:pPr>
    </w:p>
    <w:p>
      <w:pPr>
        <w:rPr>
          <w:rFonts w:hint="eastAsia"/>
        </w:rPr>
      </w:pPr>
    </w:p>
    <w:sectPr>
      <w:headerReference r:id="rId35" w:type="first"/>
      <w:footerReference r:id="rId37" w:type="first"/>
      <w:headerReference r:id="rId34" w:type="default"/>
      <w:footerReference r:id="rId36"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方正小标宋简体">
    <w:altName w:val="微软雅黑"/>
    <w:panose1 w:val="00000000000000000000"/>
    <w:charset w:val="86"/>
    <w:family w:val="script"/>
    <w:pitch w:val="default"/>
    <w:sig w:usb0="00000000" w:usb1="00000000" w:usb2="00000012" w:usb3="00000000" w:csb0="0004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lear" w:pos="4153"/>
      </w:tabs>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hint="eastAsia"/>
                            </w:rPr>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5"/>
                      <w:rPr>
                        <w:rFonts w:hint="eastAsia"/>
                      </w:rPr>
                    </w:pPr>
                    <w:r>
                      <w:fldChar w:fldCharType="begin"/>
                    </w:r>
                    <w:r>
                      <w:instrText xml:space="preserve"> PAGE  \* MERGEFORMAT </w:instrText>
                    </w:r>
                    <w:r>
                      <w:fldChar w:fldCharType="separate"/>
                    </w:r>
                    <w:r>
                      <w:t>38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r>
      <w:rPr>
        <w:rFonts w:hint="eastAsia"/>
      </w:rPr>
      <w:pict>
        <v:shape id="PowerPlusWaterMarkObject6451002" o:spid="_x0000_s1039" o:spt="136" type="#_x0000_t136" style="position:absolute;left:0pt;margin-left:472.35pt;margin-top:385.75pt;height:14pt;width:129pt;mso-position-horizontal-relative:margin;mso-position-vertical-relative:margin;rotation:-2949120f;z-index:-251622400;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5873452" o:spid="_x0000_s1040" o:spt="136" type="#_x0000_t136" style="position:absolute;left:0pt;margin-left:359.95pt;margin-top:498.2pt;height:14pt;width:129pt;mso-position-horizontal-relative:margin;mso-position-vertical-relative:margin;rotation:-2949120f;z-index:-251623424;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5675468" o:spid="_x0000_s1041" o:spt="136" type="#_x0000_t136" style="position:absolute;left:0pt;margin-left:247.5pt;margin-top:610.6pt;height:14pt;width:129pt;mso-position-horizontal-relative:margin;mso-position-vertical-relative:margin;rotation:-2949120f;z-index:-251624448;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4938555" o:spid="_x0000_s1042" o:spt="136" type="#_x0000_t136" style="position:absolute;left:0pt;margin-left:135.05pt;margin-top:723.05pt;height:14pt;width:129pt;mso-position-horizontal-relative:margin;mso-position-vertical-relative:margin;rotation:-2949120f;z-index:-251625472;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4353719" o:spid="_x0000_s1043" o:spt="136" type="#_x0000_t136" style="position:absolute;left:0pt;margin-left:472.35pt;margin-top:26.45pt;height:14pt;width:129pt;mso-position-horizontal-relative:margin;mso-position-vertical-relative:margin;rotation:-2949120f;z-index:-251626496;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4214509" o:spid="_x0000_s1044" o:spt="136" type="#_x0000_t136" style="position:absolute;left:0pt;margin-left:359.95pt;margin-top:138.9pt;height:14pt;width:129pt;mso-position-horizontal-relative:margin;mso-position-vertical-relative:margin;rotation:-2949120f;z-index:-251627520;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4083657" o:spid="_x0000_s1045" o:spt="136" type="#_x0000_t136" style="position:absolute;left:0pt;margin-left:247.5pt;margin-top:251.3pt;height:14pt;width:129pt;mso-position-horizontal-relative:margin;mso-position-vertical-relative:margin;rotation:-2949120f;z-index:-251629568;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3163958" o:spid="_x0000_s1046" o:spt="136" type="#_x0000_t136" style="position:absolute;left:0pt;margin-left:135.05pt;margin-top:363.75pt;height:14pt;width:129pt;mso-position-horizontal-relative:margin;mso-position-vertical-relative:margin;rotation:-2949120f;z-index:-251631616;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2762850" o:spid="_x0000_s1047" o:spt="136" type="#_x0000_t136" style="position:absolute;left:0pt;margin-left:22.65pt;margin-top:476.2pt;height:14pt;width:129pt;mso-position-horizontal-relative:margin;mso-position-vertical-relative:margin;rotation:-2949120f;z-index:-251632640;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2674472" o:spid="_x0000_s1048" o:spt="136" type="#_x0000_t136" style="position:absolute;left:0pt;margin-left:-89.8pt;margin-top:588.6pt;height:14pt;width:129pt;mso-position-horizontal-relative:margin;mso-position-vertical-relative:margin;rotation:-2949120f;z-index:-251633664;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2650579" o:spid="_x0000_s1049" o:spt="136" type="#_x0000_t136" style="position:absolute;left:0pt;margin-left:247.5pt;margin-top:-108pt;height:14pt;width:129pt;mso-position-horizontal-relative:margin;mso-position-vertical-relative:margin;rotation:-2949120f;z-index:-251634688;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2406989" o:spid="_x0000_s1050" o:spt="136" type="#_x0000_t136" style="position:absolute;left:0pt;margin-left:135.05pt;margin-top:4.45pt;height:14pt;width:129pt;mso-position-horizontal-relative:margin;mso-position-vertical-relative:margin;rotation:-2949120f;z-index:-251635712;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1538710" o:spid="_x0000_s1051" o:spt="136" type="#_x0000_t136" style="position:absolute;left:0pt;margin-left:22.65pt;margin-top:116.9pt;height:14pt;width:129pt;mso-position-horizontal-relative:margin;mso-position-vertical-relative:margin;rotation:-2949120f;z-index:-251636736;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r>
      <w:rPr>
        <w:rFonts w:hint="eastAsia"/>
      </w:rPr>
      <w:pict>
        <v:shape id="PowerPlusWaterMarkObject543154" o:spid="_x0000_s1052" o:spt="136" type="#_x0000_t136" style="position:absolute;left:0pt;margin-left:-89.8pt;margin-top:229.3pt;height:14pt;width:129pt;mso-position-horizontal-relative:margin;mso-position-vertical-relative:margin;rotation:-2949120f;z-index:-251637760;mso-width-relative:page;mso-height-relative:page;" fillcolor="#C0C0C0" filled="t" stroked="f" coordsize="21600,21600">
          <v:path/>
          <v:fill on="t" opacity="32768f" focussize="0,0"/>
          <v:stroke on="f"/>
          <v:imagedata o:title=""/>
          <o:lock v:ext="edit" aspectratio="t"/>
          <v:textpath on="t" fitshape="t" fitpath="t" trim="t" xscale="f" string="孔明伟0695472024-06-18" style="font-family:SongTi;font-size:14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p>
  <w:p>
    <w:pPr>
      <w:pStyle w:val="26"/>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B5D58B43"/>
    <w:multiLevelType w:val="singleLevel"/>
    <w:tmpl w:val="B5D58B43"/>
    <w:lvl w:ilvl="0" w:tentative="0">
      <w:start w:val="2"/>
      <w:numFmt w:val="decimal"/>
      <w:lvlText w:val="%1."/>
      <w:lvlJc w:val="left"/>
      <w:pPr>
        <w:tabs>
          <w:tab w:val="left" w:pos="312"/>
        </w:tabs>
      </w:pPr>
    </w:lvl>
  </w:abstractNum>
  <w:abstractNum w:abstractNumId="2">
    <w:nsid w:val="C3D7A017"/>
    <w:multiLevelType w:val="multilevel"/>
    <w:tmpl w:val="C3D7A01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ECCA96C1"/>
    <w:multiLevelType w:val="singleLevel"/>
    <w:tmpl w:val="ECCA96C1"/>
    <w:lvl w:ilvl="0" w:tentative="0">
      <w:start w:val="1"/>
      <w:numFmt w:val="decimal"/>
      <w:lvlText w:val="1.%1"/>
      <w:lvlJc w:val="left"/>
      <w:pPr>
        <w:tabs>
          <w:tab w:val="left" w:pos="420"/>
        </w:tabs>
        <w:ind w:left="425" w:leftChars="0" w:hanging="425" w:firstLineChars="0"/>
      </w:pPr>
      <w:rPr>
        <w:rFonts w:hint="default"/>
        <w:sz w:val="21"/>
      </w:rPr>
    </w:lvl>
  </w:abstractNum>
  <w:abstractNum w:abstractNumId="5">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6">
    <w:nsid w:val="068749BD"/>
    <w:multiLevelType w:val="singleLevel"/>
    <w:tmpl w:val="068749BD"/>
    <w:lvl w:ilvl="0" w:tentative="0">
      <w:start w:val="1"/>
      <w:numFmt w:val="decimal"/>
      <w:suff w:val="nothing"/>
      <w:lvlText w:val="%1、"/>
      <w:lvlJc w:val="left"/>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646260FA"/>
    <w:multiLevelType w:val="multilevel"/>
    <w:tmpl w:val="646260FA"/>
    <w:lvl w:ilvl="0" w:tentative="0">
      <w:start w:val="1"/>
      <w:numFmt w:val="decimal"/>
      <w:pStyle w:val="138"/>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1">
    <w:nsid w:val="6E8C6948"/>
    <w:multiLevelType w:val="singleLevel"/>
    <w:tmpl w:val="6E8C6948"/>
    <w:lvl w:ilvl="0" w:tentative="0">
      <w:start w:val="1"/>
      <w:numFmt w:val="chineseCounting"/>
      <w:suff w:val="space"/>
      <w:lvlText w:val="第%1部分"/>
      <w:lvlJc w:val="left"/>
      <w:rPr>
        <w:rFonts w:hint="eastAsia"/>
      </w:rPr>
    </w:lvl>
  </w:abstractNum>
  <w:abstractNum w:abstractNumId="12">
    <w:nsid w:val="7A612DE2"/>
    <w:multiLevelType w:val="singleLevel"/>
    <w:tmpl w:val="7A612DE2"/>
    <w:lvl w:ilvl="0" w:tentative="0">
      <w:start w:val="2"/>
      <w:numFmt w:val="decimal"/>
      <w:lvlText w:val="%1."/>
      <w:lvlJc w:val="left"/>
      <w:pPr>
        <w:tabs>
          <w:tab w:val="left" w:pos="312"/>
        </w:tabs>
      </w:pPr>
    </w:lvl>
  </w:abstractNum>
  <w:num w:numId="1">
    <w:abstractNumId w:val="10"/>
  </w:num>
  <w:num w:numId="2">
    <w:abstractNumId w:val="11"/>
  </w:num>
  <w:num w:numId="3">
    <w:abstractNumId w:val="0"/>
  </w:num>
  <w:num w:numId="4">
    <w:abstractNumId w:val="12"/>
  </w:num>
  <w:num w:numId="5">
    <w:abstractNumId w:val="7"/>
  </w:num>
  <w:num w:numId="6">
    <w:abstractNumId w:val="5"/>
  </w:num>
  <w:num w:numId="7">
    <w:abstractNumId w:val="9"/>
  </w:num>
  <w:num w:numId="8">
    <w:abstractNumId w:val="3"/>
  </w:num>
  <w:num w:numId="9">
    <w:abstractNumId w:val="8"/>
  </w:num>
  <w:num w:numId="10">
    <w:abstractNumId w:val="1"/>
  </w:num>
  <w:num w:numId="11">
    <w:abstractNumId w:val="2"/>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5D1"/>
    <w:rsid w:val="00022B06"/>
    <w:rsid w:val="00036836"/>
    <w:rsid w:val="0005777A"/>
    <w:rsid w:val="00065382"/>
    <w:rsid w:val="00080223"/>
    <w:rsid w:val="000A5309"/>
    <w:rsid w:val="000D6A51"/>
    <w:rsid w:val="000F45A3"/>
    <w:rsid w:val="001076E5"/>
    <w:rsid w:val="001C1EE3"/>
    <w:rsid w:val="001C713C"/>
    <w:rsid w:val="001D75B9"/>
    <w:rsid w:val="00200F05"/>
    <w:rsid w:val="00220056"/>
    <w:rsid w:val="002626ED"/>
    <w:rsid w:val="00265A40"/>
    <w:rsid w:val="00282FDE"/>
    <w:rsid w:val="0028615B"/>
    <w:rsid w:val="0029130A"/>
    <w:rsid w:val="002F49D4"/>
    <w:rsid w:val="00304629"/>
    <w:rsid w:val="00306AB3"/>
    <w:rsid w:val="003A4540"/>
    <w:rsid w:val="003B4D7D"/>
    <w:rsid w:val="003E0AB3"/>
    <w:rsid w:val="00401C42"/>
    <w:rsid w:val="004076DE"/>
    <w:rsid w:val="00460AFB"/>
    <w:rsid w:val="00470130"/>
    <w:rsid w:val="00483B0A"/>
    <w:rsid w:val="0048779A"/>
    <w:rsid w:val="00495476"/>
    <w:rsid w:val="004B5126"/>
    <w:rsid w:val="004D0330"/>
    <w:rsid w:val="004D0838"/>
    <w:rsid w:val="004F7838"/>
    <w:rsid w:val="004F7F0F"/>
    <w:rsid w:val="00503391"/>
    <w:rsid w:val="00552960"/>
    <w:rsid w:val="00553B27"/>
    <w:rsid w:val="0056018A"/>
    <w:rsid w:val="00567344"/>
    <w:rsid w:val="005829DC"/>
    <w:rsid w:val="005B1856"/>
    <w:rsid w:val="005C0B4E"/>
    <w:rsid w:val="005C421F"/>
    <w:rsid w:val="005D3BBC"/>
    <w:rsid w:val="005F16F0"/>
    <w:rsid w:val="006505D3"/>
    <w:rsid w:val="0065185D"/>
    <w:rsid w:val="00680629"/>
    <w:rsid w:val="00686C52"/>
    <w:rsid w:val="006D6075"/>
    <w:rsid w:val="006F1414"/>
    <w:rsid w:val="006F15E0"/>
    <w:rsid w:val="007432BF"/>
    <w:rsid w:val="007525BF"/>
    <w:rsid w:val="0077033B"/>
    <w:rsid w:val="007800DC"/>
    <w:rsid w:val="007838AA"/>
    <w:rsid w:val="00783D5E"/>
    <w:rsid w:val="00785FD6"/>
    <w:rsid w:val="007B212D"/>
    <w:rsid w:val="007F4254"/>
    <w:rsid w:val="00806A61"/>
    <w:rsid w:val="008153DE"/>
    <w:rsid w:val="00824BFD"/>
    <w:rsid w:val="008453B3"/>
    <w:rsid w:val="00866678"/>
    <w:rsid w:val="008D3B56"/>
    <w:rsid w:val="008D5CEF"/>
    <w:rsid w:val="008F16FB"/>
    <w:rsid w:val="00927F74"/>
    <w:rsid w:val="009360F9"/>
    <w:rsid w:val="00964F00"/>
    <w:rsid w:val="0097676D"/>
    <w:rsid w:val="009B511E"/>
    <w:rsid w:val="009E0F5E"/>
    <w:rsid w:val="009E321E"/>
    <w:rsid w:val="00A03FB0"/>
    <w:rsid w:val="00A21EB2"/>
    <w:rsid w:val="00A31561"/>
    <w:rsid w:val="00A54E95"/>
    <w:rsid w:val="00A80564"/>
    <w:rsid w:val="00A960B2"/>
    <w:rsid w:val="00AE6633"/>
    <w:rsid w:val="00B01FF1"/>
    <w:rsid w:val="00B12C29"/>
    <w:rsid w:val="00B4611C"/>
    <w:rsid w:val="00B72516"/>
    <w:rsid w:val="00B92C97"/>
    <w:rsid w:val="00BA3C70"/>
    <w:rsid w:val="00BB4E42"/>
    <w:rsid w:val="00C01073"/>
    <w:rsid w:val="00C32A8D"/>
    <w:rsid w:val="00C855F6"/>
    <w:rsid w:val="00C92F53"/>
    <w:rsid w:val="00CD5223"/>
    <w:rsid w:val="00CE5010"/>
    <w:rsid w:val="00CE6E17"/>
    <w:rsid w:val="00D0528A"/>
    <w:rsid w:val="00D11B37"/>
    <w:rsid w:val="00D408EF"/>
    <w:rsid w:val="00D5145C"/>
    <w:rsid w:val="00D535A8"/>
    <w:rsid w:val="00D53EB2"/>
    <w:rsid w:val="00D64DAE"/>
    <w:rsid w:val="00D729A1"/>
    <w:rsid w:val="00DB5225"/>
    <w:rsid w:val="00DD1E5E"/>
    <w:rsid w:val="00DE6417"/>
    <w:rsid w:val="00E1627A"/>
    <w:rsid w:val="00E34C35"/>
    <w:rsid w:val="00E650A8"/>
    <w:rsid w:val="00E878B4"/>
    <w:rsid w:val="00EB3D00"/>
    <w:rsid w:val="00F71720"/>
    <w:rsid w:val="00FE040F"/>
    <w:rsid w:val="00FE42B3"/>
    <w:rsid w:val="0133784E"/>
    <w:rsid w:val="014832F2"/>
    <w:rsid w:val="014D51C1"/>
    <w:rsid w:val="01714809"/>
    <w:rsid w:val="01C52478"/>
    <w:rsid w:val="02184C85"/>
    <w:rsid w:val="027408EE"/>
    <w:rsid w:val="02963F39"/>
    <w:rsid w:val="02BA7274"/>
    <w:rsid w:val="03251978"/>
    <w:rsid w:val="0325718A"/>
    <w:rsid w:val="036021E8"/>
    <w:rsid w:val="039E25ED"/>
    <w:rsid w:val="03A10C87"/>
    <w:rsid w:val="042921B6"/>
    <w:rsid w:val="04AD02B8"/>
    <w:rsid w:val="04DF17D4"/>
    <w:rsid w:val="05151950"/>
    <w:rsid w:val="05412745"/>
    <w:rsid w:val="05491761"/>
    <w:rsid w:val="05A351AD"/>
    <w:rsid w:val="05C234EE"/>
    <w:rsid w:val="05D95918"/>
    <w:rsid w:val="05DF009E"/>
    <w:rsid w:val="05F9748A"/>
    <w:rsid w:val="06032214"/>
    <w:rsid w:val="060B4B7B"/>
    <w:rsid w:val="06132F28"/>
    <w:rsid w:val="06160D68"/>
    <w:rsid w:val="06266F78"/>
    <w:rsid w:val="063E7B7A"/>
    <w:rsid w:val="06582413"/>
    <w:rsid w:val="067E33B8"/>
    <w:rsid w:val="069C2954"/>
    <w:rsid w:val="06C11211"/>
    <w:rsid w:val="06E82FCB"/>
    <w:rsid w:val="06F34B95"/>
    <w:rsid w:val="06F7064A"/>
    <w:rsid w:val="073E6F3C"/>
    <w:rsid w:val="07571DAC"/>
    <w:rsid w:val="078A0D17"/>
    <w:rsid w:val="08000695"/>
    <w:rsid w:val="08332819"/>
    <w:rsid w:val="08E64121"/>
    <w:rsid w:val="090D5816"/>
    <w:rsid w:val="0942017F"/>
    <w:rsid w:val="09BA1FBB"/>
    <w:rsid w:val="09CB139F"/>
    <w:rsid w:val="09D73678"/>
    <w:rsid w:val="0A0106F5"/>
    <w:rsid w:val="0A112AB7"/>
    <w:rsid w:val="0A447F32"/>
    <w:rsid w:val="0AD71BC7"/>
    <w:rsid w:val="0ADB7197"/>
    <w:rsid w:val="0AF420EB"/>
    <w:rsid w:val="0B2B2BF5"/>
    <w:rsid w:val="0B2F3908"/>
    <w:rsid w:val="0B3F6206"/>
    <w:rsid w:val="0BDB06E0"/>
    <w:rsid w:val="0BE12DB6"/>
    <w:rsid w:val="0C345AD1"/>
    <w:rsid w:val="0C626CE4"/>
    <w:rsid w:val="0D0C2B7B"/>
    <w:rsid w:val="0D645222"/>
    <w:rsid w:val="0D9308F8"/>
    <w:rsid w:val="0E1A1D85"/>
    <w:rsid w:val="0E2350DD"/>
    <w:rsid w:val="0E696120"/>
    <w:rsid w:val="0E750568"/>
    <w:rsid w:val="0EB93A32"/>
    <w:rsid w:val="0F2D7A80"/>
    <w:rsid w:val="0F4277E5"/>
    <w:rsid w:val="0FA75561"/>
    <w:rsid w:val="0FB83603"/>
    <w:rsid w:val="0FCA77F1"/>
    <w:rsid w:val="0FCD5DCC"/>
    <w:rsid w:val="10270545"/>
    <w:rsid w:val="108A1D4B"/>
    <w:rsid w:val="10A10111"/>
    <w:rsid w:val="10BE093E"/>
    <w:rsid w:val="110F6D60"/>
    <w:rsid w:val="111B0FE9"/>
    <w:rsid w:val="111B387A"/>
    <w:rsid w:val="115F67A8"/>
    <w:rsid w:val="119A7465"/>
    <w:rsid w:val="11C07DA5"/>
    <w:rsid w:val="12491386"/>
    <w:rsid w:val="12746E74"/>
    <w:rsid w:val="12AE3AB8"/>
    <w:rsid w:val="12E60579"/>
    <w:rsid w:val="133C29AD"/>
    <w:rsid w:val="13695B36"/>
    <w:rsid w:val="1372609F"/>
    <w:rsid w:val="13CE1569"/>
    <w:rsid w:val="13DF3855"/>
    <w:rsid w:val="14092DB2"/>
    <w:rsid w:val="145A6A37"/>
    <w:rsid w:val="1467440F"/>
    <w:rsid w:val="148D59E6"/>
    <w:rsid w:val="14F73019"/>
    <w:rsid w:val="15433A9B"/>
    <w:rsid w:val="15D13671"/>
    <w:rsid w:val="15FC2F04"/>
    <w:rsid w:val="15FD3709"/>
    <w:rsid w:val="16181FAC"/>
    <w:rsid w:val="166050EB"/>
    <w:rsid w:val="168756A0"/>
    <w:rsid w:val="16F94849"/>
    <w:rsid w:val="17001571"/>
    <w:rsid w:val="17045E51"/>
    <w:rsid w:val="172011D4"/>
    <w:rsid w:val="17252C3B"/>
    <w:rsid w:val="173F0A2E"/>
    <w:rsid w:val="17770BC2"/>
    <w:rsid w:val="17860E2F"/>
    <w:rsid w:val="17A119AA"/>
    <w:rsid w:val="17AF1095"/>
    <w:rsid w:val="17C55E7C"/>
    <w:rsid w:val="18586F2B"/>
    <w:rsid w:val="192F3CC4"/>
    <w:rsid w:val="1935690C"/>
    <w:rsid w:val="19A766B9"/>
    <w:rsid w:val="19BE4F9F"/>
    <w:rsid w:val="19CE76BA"/>
    <w:rsid w:val="19F26070"/>
    <w:rsid w:val="19F97C8B"/>
    <w:rsid w:val="1A1523CE"/>
    <w:rsid w:val="1A21343D"/>
    <w:rsid w:val="1AA730BD"/>
    <w:rsid w:val="1ABD4410"/>
    <w:rsid w:val="1B333D5D"/>
    <w:rsid w:val="1B41288B"/>
    <w:rsid w:val="1B587618"/>
    <w:rsid w:val="1B5F19C7"/>
    <w:rsid w:val="1C1C709B"/>
    <w:rsid w:val="1C9F6814"/>
    <w:rsid w:val="1D5C514E"/>
    <w:rsid w:val="1D834723"/>
    <w:rsid w:val="1D85395E"/>
    <w:rsid w:val="1D865D14"/>
    <w:rsid w:val="1D8705EC"/>
    <w:rsid w:val="1E43150B"/>
    <w:rsid w:val="1EA93E80"/>
    <w:rsid w:val="1EC024D4"/>
    <w:rsid w:val="1ED33FB6"/>
    <w:rsid w:val="1EE81332"/>
    <w:rsid w:val="1EED2D98"/>
    <w:rsid w:val="1F32415A"/>
    <w:rsid w:val="1F5A4199"/>
    <w:rsid w:val="1F7E2174"/>
    <w:rsid w:val="1FC32513"/>
    <w:rsid w:val="1FC56B12"/>
    <w:rsid w:val="20107567"/>
    <w:rsid w:val="207870A4"/>
    <w:rsid w:val="208717DB"/>
    <w:rsid w:val="20AB56C6"/>
    <w:rsid w:val="2176507C"/>
    <w:rsid w:val="21BA10C4"/>
    <w:rsid w:val="21BE35AF"/>
    <w:rsid w:val="21C11174"/>
    <w:rsid w:val="22244B28"/>
    <w:rsid w:val="22467FD4"/>
    <w:rsid w:val="22784511"/>
    <w:rsid w:val="229451FD"/>
    <w:rsid w:val="22A12DB6"/>
    <w:rsid w:val="234E7F91"/>
    <w:rsid w:val="236356D1"/>
    <w:rsid w:val="23A91C83"/>
    <w:rsid w:val="23C962E8"/>
    <w:rsid w:val="247E4FED"/>
    <w:rsid w:val="24B30BE8"/>
    <w:rsid w:val="24C6643F"/>
    <w:rsid w:val="24E34060"/>
    <w:rsid w:val="24EF2718"/>
    <w:rsid w:val="253A0491"/>
    <w:rsid w:val="253D4C0F"/>
    <w:rsid w:val="25CF2B74"/>
    <w:rsid w:val="25E036B2"/>
    <w:rsid w:val="25E9082A"/>
    <w:rsid w:val="25F42473"/>
    <w:rsid w:val="26AF2D79"/>
    <w:rsid w:val="26B34B91"/>
    <w:rsid w:val="270D66E8"/>
    <w:rsid w:val="27514612"/>
    <w:rsid w:val="27597388"/>
    <w:rsid w:val="278B0DAB"/>
    <w:rsid w:val="279C6B0E"/>
    <w:rsid w:val="27A64735"/>
    <w:rsid w:val="27CC4DF2"/>
    <w:rsid w:val="281864F2"/>
    <w:rsid w:val="28316337"/>
    <w:rsid w:val="286903EF"/>
    <w:rsid w:val="287F5DD3"/>
    <w:rsid w:val="288047CB"/>
    <w:rsid w:val="289E62FA"/>
    <w:rsid w:val="291E2CA6"/>
    <w:rsid w:val="29331862"/>
    <w:rsid w:val="299E147F"/>
    <w:rsid w:val="29C32A87"/>
    <w:rsid w:val="29CF26DC"/>
    <w:rsid w:val="2A1C5DA0"/>
    <w:rsid w:val="2A200D39"/>
    <w:rsid w:val="2A507EFF"/>
    <w:rsid w:val="2A93383F"/>
    <w:rsid w:val="2ADC05A4"/>
    <w:rsid w:val="2AF56183"/>
    <w:rsid w:val="2B0423C1"/>
    <w:rsid w:val="2B6F0D7F"/>
    <w:rsid w:val="2B797443"/>
    <w:rsid w:val="2B8716BD"/>
    <w:rsid w:val="2B8B76FF"/>
    <w:rsid w:val="2BC22DD1"/>
    <w:rsid w:val="2BD5034F"/>
    <w:rsid w:val="2C0B6845"/>
    <w:rsid w:val="2C9E432B"/>
    <w:rsid w:val="2CAC08A7"/>
    <w:rsid w:val="2D025012"/>
    <w:rsid w:val="2D4178F0"/>
    <w:rsid w:val="2DA535EC"/>
    <w:rsid w:val="2DAE631A"/>
    <w:rsid w:val="2DD877E0"/>
    <w:rsid w:val="2DE616C9"/>
    <w:rsid w:val="2DFC2451"/>
    <w:rsid w:val="2E100FD5"/>
    <w:rsid w:val="2E3422F8"/>
    <w:rsid w:val="2E392F37"/>
    <w:rsid w:val="2E6D31FB"/>
    <w:rsid w:val="2E6E566D"/>
    <w:rsid w:val="2E7F188E"/>
    <w:rsid w:val="2EBC0905"/>
    <w:rsid w:val="2EC73739"/>
    <w:rsid w:val="2EFB1B0E"/>
    <w:rsid w:val="2F5C684F"/>
    <w:rsid w:val="303A20E7"/>
    <w:rsid w:val="307776D1"/>
    <w:rsid w:val="30862574"/>
    <w:rsid w:val="30B631E1"/>
    <w:rsid w:val="311933AA"/>
    <w:rsid w:val="317D15BB"/>
    <w:rsid w:val="31A67308"/>
    <w:rsid w:val="31D07E6C"/>
    <w:rsid w:val="32222E32"/>
    <w:rsid w:val="323F65DA"/>
    <w:rsid w:val="32412074"/>
    <w:rsid w:val="325B63D6"/>
    <w:rsid w:val="32A0644D"/>
    <w:rsid w:val="32DE0199"/>
    <w:rsid w:val="335B2774"/>
    <w:rsid w:val="33A4642E"/>
    <w:rsid w:val="33A877AB"/>
    <w:rsid w:val="33D4039C"/>
    <w:rsid w:val="33D47E05"/>
    <w:rsid w:val="340017FF"/>
    <w:rsid w:val="3413677D"/>
    <w:rsid w:val="342B544B"/>
    <w:rsid w:val="343839A4"/>
    <w:rsid w:val="345E036E"/>
    <w:rsid w:val="34DE1E4F"/>
    <w:rsid w:val="34F07DB1"/>
    <w:rsid w:val="358D07D1"/>
    <w:rsid w:val="35B0692A"/>
    <w:rsid w:val="35D354B8"/>
    <w:rsid w:val="35D4025C"/>
    <w:rsid w:val="35F516ED"/>
    <w:rsid w:val="35FC2392"/>
    <w:rsid w:val="362666BC"/>
    <w:rsid w:val="363E0457"/>
    <w:rsid w:val="368A6B11"/>
    <w:rsid w:val="36A77DAA"/>
    <w:rsid w:val="37085B1F"/>
    <w:rsid w:val="372E04CB"/>
    <w:rsid w:val="37742729"/>
    <w:rsid w:val="37C85FF9"/>
    <w:rsid w:val="383557ED"/>
    <w:rsid w:val="38D55634"/>
    <w:rsid w:val="38E070F2"/>
    <w:rsid w:val="390B0AC4"/>
    <w:rsid w:val="390D33AB"/>
    <w:rsid w:val="391E6D06"/>
    <w:rsid w:val="394538AA"/>
    <w:rsid w:val="396D6DE6"/>
    <w:rsid w:val="39CE5179"/>
    <w:rsid w:val="3A074847"/>
    <w:rsid w:val="3AA90FE6"/>
    <w:rsid w:val="3AA9318F"/>
    <w:rsid w:val="3AB62DA0"/>
    <w:rsid w:val="3AC61BD3"/>
    <w:rsid w:val="3B273268"/>
    <w:rsid w:val="3B7D3FD5"/>
    <w:rsid w:val="3B823DDF"/>
    <w:rsid w:val="3BE4369A"/>
    <w:rsid w:val="3C084B3D"/>
    <w:rsid w:val="3C237ED3"/>
    <w:rsid w:val="3C91192E"/>
    <w:rsid w:val="3CAA596A"/>
    <w:rsid w:val="3CB1587B"/>
    <w:rsid w:val="3CB735F2"/>
    <w:rsid w:val="3D186684"/>
    <w:rsid w:val="3D2636A7"/>
    <w:rsid w:val="3D363C36"/>
    <w:rsid w:val="3D4C7C96"/>
    <w:rsid w:val="3D8B2178"/>
    <w:rsid w:val="3DB34909"/>
    <w:rsid w:val="3DD115F5"/>
    <w:rsid w:val="3DE435F0"/>
    <w:rsid w:val="3DE5122C"/>
    <w:rsid w:val="3DF37E53"/>
    <w:rsid w:val="3E3761F9"/>
    <w:rsid w:val="3E3A1504"/>
    <w:rsid w:val="3E401B6A"/>
    <w:rsid w:val="3E8715BE"/>
    <w:rsid w:val="3ED26DE9"/>
    <w:rsid w:val="3EED17D0"/>
    <w:rsid w:val="3F0C0304"/>
    <w:rsid w:val="3F3921EF"/>
    <w:rsid w:val="3FA93EF2"/>
    <w:rsid w:val="3FE25AA0"/>
    <w:rsid w:val="3FEC147E"/>
    <w:rsid w:val="4024153A"/>
    <w:rsid w:val="403703F1"/>
    <w:rsid w:val="40376375"/>
    <w:rsid w:val="40EF47EC"/>
    <w:rsid w:val="412732B7"/>
    <w:rsid w:val="4127791F"/>
    <w:rsid w:val="41281794"/>
    <w:rsid w:val="413C1FDF"/>
    <w:rsid w:val="41806A69"/>
    <w:rsid w:val="41B0259C"/>
    <w:rsid w:val="41BC6F1C"/>
    <w:rsid w:val="41EF2363"/>
    <w:rsid w:val="41F77860"/>
    <w:rsid w:val="423D5A66"/>
    <w:rsid w:val="424A4B98"/>
    <w:rsid w:val="42581D3A"/>
    <w:rsid w:val="4262787F"/>
    <w:rsid w:val="42FE0080"/>
    <w:rsid w:val="43315D2E"/>
    <w:rsid w:val="43824A1C"/>
    <w:rsid w:val="4390486D"/>
    <w:rsid w:val="43D110E1"/>
    <w:rsid w:val="43E873C9"/>
    <w:rsid w:val="441540A8"/>
    <w:rsid w:val="44250817"/>
    <w:rsid w:val="445E7E37"/>
    <w:rsid w:val="44905B1F"/>
    <w:rsid w:val="45007767"/>
    <w:rsid w:val="45316885"/>
    <w:rsid w:val="4567010B"/>
    <w:rsid w:val="4577147D"/>
    <w:rsid w:val="45A95EE9"/>
    <w:rsid w:val="45D84754"/>
    <w:rsid w:val="45FB0F21"/>
    <w:rsid w:val="46167166"/>
    <w:rsid w:val="461A2194"/>
    <w:rsid w:val="465E515F"/>
    <w:rsid w:val="46AE7548"/>
    <w:rsid w:val="47055629"/>
    <w:rsid w:val="47200EE3"/>
    <w:rsid w:val="47435AC2"/>
    <w:rsid w:val="47544B78"/>
    <w:rsid w:val="47587AF7"/>
    <w:rsid w:val="47745A86"/>
    <w:rsid w:val="47E239AC"/>
    <w:rsid w:val="480C3F11"/>
    <w:rsid w:val="480F4B73"/>
    <w:rsid w:val="48334AEC"/>
    <w:rsid w:val="48422874"/>
    <w:rsid w:val="48DB38E3"/>
    <w:rsid w:val="49001B5E"/>
    <w:rsid w:val="490552B7"/>
    <w:rsid w:val="49376DB0"/>
    <w:rsid w:val="49804BB7"/>
    <w:rsid w:val="49826DCB"/>
    <w:rsid w:val="499013E7"/>
    <w:rsid w:val="49C8088A"/>
    <w:rsid w:val="49CB3D06"/>
    <w:rsid w:val="4A301C93"/>
    <w:rsid w:val="4A3302AB"/>
    <w:rsid w:val="4A7F3A12"/>
    <w:rsid w:val="4AC85D49"/>
    <w:rsid w:val="4AE308A9"/>
    <w:rsid w:val="4B294DDA"/>
    <w:rsid w:val="4B5B1206"/>
    <w:rsid w:val="4B95689B"/>
    <w:rsid w:val="4B9A1456"/>
    <w:rsid w:val="4BA32C82"/>
    <w:rsid w:val="4BB072A9"/>
    <w:rsid w:val="4BC62B76"/>
    <w:rsid w:val="4BD73978"/>
    <w:rsid w:val="4BE70627"/>
    <w:rsid w:val="4BED4059"/>
    <w:rsid w:val="4C0A5AE1"/>
    <w:rsid w:val="4C130AB8"/>
    <w:rsid w:val="4C391ADB"/>
    <w:rsid w:val="4C5A284D"/>
    <w:rsid w:val="4C63431C"/>
    <w:rsid w:val="4CB96B43"/>
    <w:rsid w:val="4CC75FCC"/>
    <w:rsid w:val="4CD63947"/>
    <w:rsid w:val="4CFC49F4"/>
    <w:rsid w:val="4D073D73"/>
    <w:rsid w:val="4D1E27BA"/>
    <w:rsid w:val="4D23574A"/>
    <w:rsid w:val="4D4C4DB0"/>
    <w:rsid w:val="4D6238ED"/>
    <w:rsid w:val="4D7322D5"/>
    <w:rsid w:val="4DD7034C"/>
    <w:rsid w:val="4DE312CB"/>
    <w:rsid w:val="4DF5318E"/>
    <w:rsid w:val="4E1F4862"/>
    <w:rsid w:val="4E2E4393"/>
    <w:rsid w:val="4E535EF2"/>
    <w:rsid w:val="4EF11A75"/>
    <w:rsid w:val="4F08773C"/>
    <w:rsid w:val="4F31409F"/>
    <w:rsid w:val="4F5E670E"/>
    <w:rsid w:val="4F846A83"/>
    <w:rsid w:val="50070E2C"/>
    <w:rsid w:val="504B57F2"/>
    <w:rsid w:val="508229B7"/>
    <w:rsid w:val="509A4341"/>
    <w:rsid w:val="50C62BC7"/>
    <w:rsid w:val="50F72A66"/>
    <w:rsid w:val="5123368C"/>
    <w:rsid w:val="5130747C"/>
    <w:rsid w:val="515C765A"/>
    <w:rsid w:val="516610D8"/>
    <w:rsid w:val="51773F73"/>
    <w:rsid w:val="518A1B56"/>
    <w:rsid w:val="51905BB3"/>
    <w:rsid w:val="51946FCB"/>
    <w:rsid w:val="51DD796B"/>
    <w:rsid w:val="51DF373B"/>
    <w:rsid w:val="52EF4CB5"/>
    <w:rsid w:val="52F959F0"/>
    <w:rsid w:val="5302488E"/>
    <w:rsid w:val="53136173"/>
    <w:rsid w:val="539A4AC7"/>
    <w:rsid w:val="53A454FB"/>
    <w:rsid w:val="53D004E8"/>
    <w:rsid w:val="542631B6"/>
    <w:rsid w:val="545F0C78"/>
    <w:rsid w:val="54647343"/>
    <w:rsid w:val="54A61722"/>
    <w:rsid w:val="54B31FAF"/>
    <w:rsid w:val="54E26C0B"/>
    <w:rsid w:val="54FB4092"/>
    <w:rsid w:val="55102B67"/>
    <w:rsid w:val="55326D63"/>
    <w:rsid w:val="555D1A10"/>
    <w:rsid w:val="55CE2B4A"/>
    <w:rsid w:val="561B70EB"/>
    <w:rsid w:val="56AC4A78"/>
    <w:rsid w:val="56DB16B9"/>
    <w:rsid w:val="574436DA"/>
    <w:rsid w:val="57772F69"/>
    <w:rsid w:val="577A3463"/>
    <w:rsid w:val="57F967AD"/>
    <w:rsid w:val="58052975"/>
    <w:rsid w:val="58563107"/>
    <w:rsid w:val="5895693C"/>
    <w:rsid w:val="58E525CA"/>
    <w:rsid w:val="58FD43FD"/>
    <w:rsid w:val="59080439"/>
    <w:rsid w:val="593D045A"/>
    <w:rsid w:val="5960739E"/>
    <w:rsid w:val="59896D0A"/>
    <w:rsid w:val="59B72684"/>
    <w:rsid w:val="59CC6E29"/>
    <w:rsid w:val="59CE7D0B"/>
    <w:rsid w:val="5A082249"/>
    <w:rsid w:val="5A9579AE"/>
    <w:rsid w:val="5AC468CD"/>
    <w:rsid w:val="5AD813C2"/>
    <w:rsid w:val="5AEE6358"/>
    <w:rsid w:val="5B342B9A"/>
    <w:rsid w:val="5B5953B0"/>
    <w:rsid w:val="5B5B1AB4"/>
    <w:rsid w:val="5B630802"/>
    <w:rsid w:val="5B807F68"/>
    <w:rsid w:val="5B9F5D96"/>
    <w:rsid w:val="5BFB631F"/>
    <w:rsid w:val="5C034D53"/>
    <w:rsid w:val="5C903B7A"/>
    <w:rsid w:val="5E1D6F56"/>
    <w:rsid w:val="5E52187F"/>
    <w:rsid w:val="5E6A13CD"/>
    <w:rsid w:val="5E705D15"/>
    <w:rsid w:val="5E92274E"/>
    <w:rsid w:val="5E93326C"/>
    <w:rsid w:val="5E9F1A7A"/>
    <w:rsid w:val="5EAA6F51"/>
    <w:rsid w:val="5EFB4BA4"/>
    <w:rsid w:val="5F5F46B5"/>
    <w:rsid w:val="5F895CFD"/>
    <w:rsid w:val="5FB25360"/>
    <w:rsid w:val="5FBA3CC0"/>
    <w:rsid w:val="5FD90D61"/>
    <w:rsid w:val="60177697"/>
    <w:rsid w:val="602329DB"/>
    <w:rsid w:val="602C13CC"/>
    <w:rsid w:val="607777D6"/>
    <w:rsid w:val="60911000"/>
    <w:rsid w:val="60BC76A1"/>
    <w:rsid w:val="610B7637"/>
    <w:rsid w:val="615F5624"/>
    <w:rsid w:val="61847970"/>
    <w:rsid w:val="61BE4076"/>
    <w:rsid w:val="61D215CF"/>
    <w:rsid w:val="622C5484"/>
    <w:rsid w:val="625C563D"/>
    <w:rsid w:val="626A1704"/>
    <w:rsid w:val="62AD7E76"/>
    <w:rsid w:val="62B362C8"/>
    <w:rsid w:val="62C1330E"/>
    <w:rsid w:val="630C5A29"/>
    <w:rsid w:val="6342085E"/>
    <w:rsid w:val="636F415C"/>
    <w:rsid w:val="64785A9C"/>
    <w:rsid w:val="64917820"/>
    <w:rsid w:val="64AA1CC5"/>
    <w:rsid w:val="651D5BE5"/>
    <w:rsid w:val="655F1E1A"/>
    <w:rsid w:val="656B2909"/>
    <w:rsid w:val="65914A0B"/>
    <w:rsid w:val="65A3045D"/>
    <w:rsid w:val="65D97752"/>
    <w:rsid w:val="65E25E59"/>
    <w:rsid w:val="661047DD"/>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936CBD"/>
    <w:rsid w:val="67B81F4A"/>
    <w:rsid w:val="68011379"/>
    <w:rsid w:val="68252C37"/>
    <w:rsid w:val="68817BAC"/>
    <w:rsid w:val="689A5E59"/>
    <w:rsid w:val="68C6019C"/>
    <w:rsid w:val="68E91861"/>
    <w:rsid w:val="68EE72DF"/>
    <w:rsid w:val="690F0B4D"/>
    <w:rsid w:val="692E2EB0"/>
    <w:rsid w:val="69485FEA"/>
    <w:rsid w:val="694C7BCA"/>
    <w:rsid w:val="69677DC0"/>
    <w:rsid w:val="69937EC7"/>
    <w:rsid w:val="69D64558"/>
    <w:rsid w:val="6A042548"/>
    <w:rsid w:val="6A471EFD"/>
    <w:rsid w:val="6A7F64C7"/>
    <w:rsid w:val="6A90616B"/>
    <w:rsid w:val="6AB51A05"/>
    <w:rsid w:val="6AB57116"/>
    <w:rsid w:val="6AE60152"/>
    <w:rsid w:val="6AE73176"/>
    <w:rsid w:val="6B17424A"/>
    <w:rsid w:val="6B2218FA"/>
    <w:rsid w:val="6B691672"/>
    <w:rsid w:val="6BC8641A"/>
    <w:rsid w:val="6BE97F42"/>
    <w:rsid w:val="6BEF3E88"/>
    <w:rsid w:val="6C296590"/>
    <w:rsid w:val="6C575987"/>
    <w:rsid w:val="6C5E6A51"/>
    <w:rsid w:val="6C65048B"/>
    <w:rsid w:val="6C6513C3"/>
    <w:rsid w:val="6C744268"/>
    <w:rsid w:val="6CD62D03"/>
    <w:rsid w:val="6CD97FB6"/>
    <w:rsid w:val="6D4B22B8"/>
    <w:rsid w:val="6D4F2026"/>
    <w:rsid w:val="6D930013"/>
    <w:rsid w:val="6DDA16D9"/>
    <w:rsid w:val="6E0458F0"/>
    <w:rsid w:val="6E1A1656"/>
    <w:rsid w:val="6E231DD6"/>
    <w:rsid w:val="6E5A5288"/>
    <w:rsid w:val="6E5D2F46"/>
    <w:rsid w:val="6EE013EE"/>
    <w:rsid w:val="6EE079F1"/>
    <w:rsid w:val="6EE42C42"/>
    <w:rsid w:val="6F7F7CB0"/>
    <w:rsid w:val="6FE0165C"/>
    <w:rsid w:val="6FE6309C"/>
    <w:rsid w:val="6FF0551E"/>
    <w:rsid w:val="700C1760"/>
    <w:rsid w:val="70222744"/>
    <w:rsid w:val="706D2B21"/>
    <w:rsid w:val="707B1384"/>
    <w:rsid w:val="70857A34"/>
    <w:rsid w:val="70985D3C"/>
    <w:rsid w:val="70F40FA1"/>
    <w:rsid w:val="710061D2"/>
    <w:rsid w:val="71047C73"/>
    <w:rsid w:val="7109004F"/>
    <w:rsid w:val="71103167"/>
    <w:rsid w:val="712E56F7"/>
    <w:rsid w:val="71642194"/>
    <w:rsid w:val="71691ABB"/>
    <w:rsid w:val="7169386A"/>
    <w:rsid w:val="71AE1AEA"/>
    <w:rsid w:val="71CF3B6C"/>
    <w:rsid w:val="71F80F33"/>
    <w:rsid w:val="722013F6"/>
    <w:rsid w:val="722922C6"/>
    <w:rsid w:val="722A49B5"/>
    <w:rsid w:val="728121EC"/>
    <w:rsid w:val="732D4B5D"/>
    <w:rsid w:val="73393C88"/>
    <w:rsid w:val="7362513F"/>
    <w:rsid w:val="7372081D"/>
    <w:rsid w:val="73740A39"/>
    <w:rsid w:val="73771D49"/>
    <w:rsid w:val="73836DAF"/>
    <w:rsid w:val="73A1354E"/>
    <w:rsid w:val="74A11E7D"/>
    <w:rsid w:val="74B25745"/>
    <w:rsid w:val="74C12F49"/>
    <w:rsid w:val="74F97739"/>
    <w:rsid w:val="750E2D70"/>
    <w:rsid w:val="75590B0A"/>
    <w:rsid w:val="7582279F"/>
    <w:rsid w:val="75843EB5"/>
    <w:rsid w:val="75BB71AF"/>
    <w:rsid w:val="75F01962"/>
    <w:rsid w:val="75F86E00"/>
    <w:rsid w:val="75FC2261"/>
    <w:rsid w:val="76037E52"/>
    <w:rsid w:val="760E19DF"/>
    <w:rsid w:val="761B75CE"/>
    <w:rsid w:val="76676A53"/>
    <w:rsid w:val="76B620A1"/>
    <w:rsid w:val="76F20814"/>
    <w:rsid w:val="77100BCB"/>
    <w:rsid w:val="77462524"/>
    <w:rsid w:val="7754544E"/>
    <w:rsid w:val="77A21064"/>
    <w:rsid w:val="77D5254E"/>
    <w:rsid w:val="77E34EB2"/>
    <w:rsid w:val="781564B8"/>
    <w:rsid w:val="78224ACF"/>
    <w:rsid w:val="783D4D66"/>
    <w:rsid w:val="788A2AAC"/>
    <w:rsid w:val="789645EE"/>
    <w:rsid w:val="78CD6DCC"/>
    <w:rsid w:val="78D07CAF"/>
    <w:rsid w:val="78DE12D7"/>
    <w:rsid w:val="78FC2038"/>
    <w:rsid w:val="78FC33D7"/>
    <w:rsid w:val="79210683"/>
    <w:rsid w:val="792417A2"/>
    <w:rsid w:val="795B2FBE"/>
    <w:rsid w:val="798810B6"/>
    <w:rsid w:val="799C3465"/>
    <w:rsid w:val="79B14EC4"/>
    <w:rsid w:val="79BE1ECC"/>
    <w:rsid w:val="79C95345"/>
    <w:rsid w:val="7A2A6B4A"/>
    <w:rsid w:val="7A4F3DE9"/>
    <w:rsid w:val="7A681070"/>
    <w:rsid w:val="7A860C7C"/>
    <w:rsid w:val="7AAD79E7"/>
    <w:rsid w:val="7AB879FE"/>
    <w:rsid w:val="7B3264DD"/>
    <w:rsid w:val="7B7374F2"/>
    <w:rsid w:val="7B81188A"/>
    <w:rsid w:val="7B9E2902"/>
    <w:rsid w:val="7BA434D7"/>
    <w:rsid w:val="7BC854E2"/>
    <w:rsid w:val="7C0562EC"/>
    <w:rsid w:val="7C27683F"/>
    <w:rsid w:val="7C8B6DF3"/>
    <w:rsid w:val="7CB14B4D"/>
    <w:rsid w:val="7CF26969"/>
    <w:rsid w:val="7D0C473E"/>
    <w:rsid w:val="7D25523C"/>
    <w:rsid w:val="7DB23041"/>
    <w:rsid w:val="7DFE3170"/>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9"/>
    <w:qFormat/>
    <w:uiPriority w:val="0"/>
    <w:pPr>
      <w:keepNext/>
      <w:keepLines/>
      <w:jc w:val="center"/>
      <w:outlineLvl w:val="0"/>
    </w:pPr>
    <w:rPr>
      <w:b/>
      <w:bCs/>
      <w:kern w:val="44"/>
      <w:sz w:val="36"/>
      <w:szCs w:val="44"/>
    </w:rPr>
  </w:style>
  <w:style w:type="paragraph" w:styleId="3">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Normal Indent"/>
    <w:basedOn w:val="1"/>
    <w:qFormat/>
    <w:uiPriority w:val="0"/>
    <w:pPr>
      <w:ind w:firstLine="420"/>
    </w:pPr>
    <w:rPr>
      <w:rFonts w:ascii="Times New Roman" w:hAnsi="Times New Roman"/>
      <w:kern w:val="0"/>
      <w:sz w:val="20"/>
      <w:szCs w:val="20"/>
    </w:rPr>
  </w:style>
  <w:style w:type="paragraph" w:styleId="10">
    <w:name w:val="caption"/>
    <w:basedOn w:val="1"/>
    <w:next w:val="1"/>
    <w:qFormat/>
    <w:uiPriority w:val="35"/>
    <w:pPr>
      <w:spacing w:before="152" w:after="160"/>
    </w:pPr>
    <w:rPr>
      <w:rFonts w:ascii="Arial" w:hAnsi="Arial" w:eastAsia="黑体" w:cs="Arial"/>
      <w:sz w:val="20"/>
      <w:szCs w:val="20"/>
    </w:rPr>
  </w:style>
  <w:style w:type="paragraph" w:styleId="11">
    <w:name w:val="Document Map"/>
    <w:basedOn w:val="1"/>
    <w:link w:val="72"/>
    <w:qFormat/>
    <w:uiPriority w:val="0"/>
    <w:pPr>
      <w:shd w:val="clear" w:color="auto" w:fill="000080"/>
    </w:pPr>
    <w:rPr>
      <w:sz w:val="24"/>
    </w:rPr>
  </w:style>
  <w:style w:type="paragraph" w:styleId="12">
    <w:name w:val="toa heading"/>
    <w:basedOn w:val="1"/>
    <w:next w:val="1"/>
    <w:qFormat/>
    <w:uiPriority w:val="99"/>
    <w:pPr>
      <w:spacing w:before="120"/>
    </w:pPr>
    <w:rPr>
      <w:rFonts w:ascii="Arial" w:hAnsi="Arial" w:eastAsia="宋体" w:cs="Arial"/>
      <w:sz w:val="24"/>
      <w:szCs w:val="24"/>
    </w:rPr>
  </w:style>
  <w:style w:type="paragraph" w:styleId="13">
    <w:name w:val="annotation text"/>
    <w:basedOn w:val="1"/>
    <w:link w:val="63"/>
    <w:qFormat/>
    <w:uiPriority w:val="0"/>
    <w:pPr>
      <w:jc w:val="left"/>
    </w:pPr>
  </w:style>
  <w:style w:type="paragraph" w:styleId="14">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5">
    <w:name w:val="Body Text"/>
    <w:basedOn w:val="1"/>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6">
    <w:name w:val="Body Text Indent"/>
    <w:basedOn w:val="1"/>
    <w:link w:val="81"/>
    <w:qFormat/>
    <w:uiPriority w:val="99"/>
    <w:pPr>
      <w:spacing w:after="120"/>
      <w:ind w:left="420" w:leftChars="200"/>
    </w:pPr>
    <w:rPr>
      <w:rFonts w:ascii="Calibri" w:hAnsi="Calibri" w:eastAsia="宋体" w:cs="Times New Roman"/>
      <w:szCs w:val="20"/>
    </w:rPr>
  </w:style>
  <w:style w:type="paragraph" w:styleId="17">
    <w:name w:val="index 4"/>
    <w:basedOn w:val="1"/>
    <w:next w:val="1"/>
    <w:qFormat/>
    <w:uiPriority w:val="0"/>
    <w:pPr>
      <w:ind w:left="600" w:leftChars="600"/>
    </w:pPr>
  </w:style>
  <w:style w:type="paragraph" w:styleId="18">
    <w:name w:val="toc 5"/>
    <w:basedOn w:val="1"/>
    <w:next w:val="1"/>
    <w:qFormat/>
    <w:uiPriority w:val="39"/>
    <w:pPr>
      <w:ind w:left="960"/>
      <w:jc w:val="left"/>
    </w:pPr>
    <w:rPr>
      <w:rFonts w:ascii="Calibri" w:hAnsi="Calibri" w:eastAsia="宋体" w:cs="Times New Roman"/>
      <w:sz w:val="18"/>
      <w:szCs w:val="18"/>
    </w:rPr>
  </w:style>
  <w:style w:type="paragraph" w:styleId="19">
    <w:name w:val="toc 3"/>
    <w:basedOn w:val="1"/>
    <w:next w:val="1"/>
    <w:qFormat/>
    <w:uiPriority w:val="39"/>
    <w:pPr>
      <w:ind w:left="480"/>
      <w:jc w:val="left"/>
    </w:pPr>
    <w:rPr>
      <w:rFonts w:ascii="Calibri" w:hAnsi="Calibri" w:eastAsia="宋体" w:cs="Times New Roman"/>
      <w:i/>
      <w:iCs/>
      <w:sz w:val="20"/>
      <w:szCs w:val="20"/>
    </w:rPr>
  </w:style>
  <w:style w:type="paragraph" w:styleId="20">
    <w:name w:val="Plain Text"/>
    <w:basedOn w:val="1"/>
    <w:link w:val="74"/>
    <w:qFormat/>
    <w:uiPriority w:val="0"/>
    <w:rPr>
      <w:rFonts w:ascii="宋体" w:hAnsi="Courier New"/>
    </w:rPr>
  </w:style>
  <w:style w:type="paragraph" w:styleId="21">
    <w:name w:val="toc 8"/>
    <w:basedOn w:val="1"/>
    <w:next w:val="1"/>
    <w:qFormat/>
    <w:uiPriority w:val="39"/>
    <w:pPr>
      <w:ind w:left="1680"/>
      <w:jc w:val="left"/>
    </w:pPr>
    <w:rPr>
      <w:rFonts w:ascii="Calibri" w:hAnsi="Calibri" w:eastAsia="宋体" w:cs="Times New Roman"/>
      <w:sz w:val="18"/>
      <w:szCs w:val="18"/>
    </w:rPr>
  </w:style>
  <w:style w:type="paragraph" w:styleId="22">
    <w:name w:val="Date"/>
    <w:basedOn w:val="1"/>
    <w:next w:val="1"/>
    <w:link w:val="65"/>
    <w:qFormat/>
    <w:uiPriority w:val="0"/>
    <w:pPr>
      <w:ind w:left="100" w:leftChars="2500"/>
    </w:pPr>
    <w:rPr>
      <w:sz w:val="24"/>
    </w:rPr>
  </w:style>
  <w:style w:type="paragraph" w:styleId="23">
    <w:name w:val="Body Text Indent 2"/>
    <w:basedOn w:val="1"/>
    <w:link w:val="53"/>
    <w:qFormat/>
    <w:uiPriority w:val="0"/>
    <w:pPr>
      <w:spacing w:after="120" w:line="480" w:lineRule="auto"/>
      <w:ind w:left="420" w:leftChars="200"/>
    </w:pPr>
  </w:style>
  <w:style w:type="paragraph" w:styleId="24">
    <w:name w:val="Balloon Text"/>
    <w:basedOn w:val="1"/>
    <w:link w:val="69"/>
    <w:qFormat/>
    <w:uiPriority w:val="0"/>
    <w:rPr>
      <w:sz w:val="18"/>
    </w:rPr>
  </w:style>
  <w:style w:type="paragraph" w:styleId="25">
    <w:name w:val="footer"/>
    <w:basedOn w:val="1"/>
    <w:link w:val="75"/>
    <w:qFormat/>
    <w:uiPriority w:val="99"/>
    <w:pPr>
      <w:tabs>
        <w:tab w:val="center" w:pos="4153"/>
        <w:tab w:val="right" w:pos="8306"/>
      </w:tabs>
      <w:snapToGrid w:val="0"/>
      <w:jc w:val="left"/>
    </w:pPr>
    <w:rPr>
      <w:sz w:val="18"/>
    </w:rPr>
  </w:style>
  <w:style w:type="paragraph" w:styleId="26">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qFormat/>
    <w:uiPriority w:val="39"/>
    <w:pPr>
      <w:ind w:left="720"/>
      <w:jc w:val="left"/>
    </w:pPr>
    <w:rPr>
      <w:rFonts w:ascii="Calibri" w:hAnsi="Calibri" w:eastAsia="宋体" w:cs="Times New Roman"/>
      <w:sz w:val="18"/>
      <w:szCs w:val="18"/>
    </w:rPr>
  </w:style>
  <w:style w:type="paragraph" w:styleId="29">
    <w:name w:val="List"/>
    <w:basedOn w:val="1"/>
    <w:qFormat/>
    <w:uiPriority w:val="99"/>
    <w:pPr>
      <w:ind w:left="420" w:hanging="420"/>
    </w:pPr>
    <w:rPr>
      <w:rFonts w:ascii="Times New Roman" w:hAnsi="Times New Roman" w:eastAsia="宋体" w:cs="Times New Roman"/>
      <w:szCs w:val="20"/>
    </w:rPr>
  </w:style>
  <w:style w:type="paragraph" w:styleId="30">
    <w:name w:val="toc 6"/>
    <w:basedOn w:val="1"/>
    <w:next w:val="1"/>
    <w:qFormat/>
    <w:uiPriority w:val="39"/>
    <w:pPr>
      <w:ind w:left="1200"/>
      <w:jc w:val="left"/>
    </w:pPr>
    <w:rPr>
      <w:rFonts w:ascii="Calibri" w:hAnsi="Calibri" w:eastAsia="宋体" w:cs="Times New Roman"/>
      <w:sz w:val="18"/>
      <w:szCs w:val="18"/>
    </w:rPr>
  </w:style>
  <w:style w:type="paragraph" w:styleId="31">
    <w:name w:val="Body Text Indent 3"/>
    <w:basedOn w:val="1"/>
    <w:link w:val="55"/>
    <w:qFormat/>
    <w:uiPriority w:val="0"/>
    <w:pPr>
      <w:spacing w:after="120"/>
      <w:ind w:left="420" w:leftChars="200"/>
    </w:pPr>
    <w:rPr>
      <w:sz w:val="16"/>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3"/>
    <w:next w:val="13"/>
    <w:link w:val="54"/>
    <w:qFormat/>
    <w:uiPriority w:val="0"/>
    <w:rPr>
      <w:b/>
    </w:rPr>
  </w:style>
  <w:style w:type="paragraph" w:styleId="38">
    <w:name w:val="Body Text First Indent 2"/>
    <w:basedOn w:val="16"/>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FollowedHyperlink"/>
    <w:basedOn w:val="41"/>
    <w:qFormat/>
    <w:uiPriority w:val="99"/>
    <w:rPr>
      <w:color w:val="800080"/>
      <w:u w:val="single"/>
    </w:rPr>
  </w:style>
  <w:style w:type="character" w:styleId="45">
    <w:name w:val="Emphasis"/>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2"/>
    <w:qFormat/>
    <w:uiPriority w:val="0"/>
    <w:rPr>
      <w:rFonts w:ascii="Calibri" w:hAnsi="Calibri" w:eastAsia="宋体" w:cs="Times New Roman"/>
      <w:b/>
      <w:bCs/>
      <w:kern w:val="44"/>
      <w:sz w:val="36"/>
      <w:szCs w:val="44"/>
    </w:rPr>
  </w:style>
  <w:style w:type="character" w:customStyle="1" w:styleId="50">
    <w:name w:val="标题 2 字符"/>
    <w:basedOn w:val="41"/>
    <w:link w:val="3"/>
    <w:qFormat/>
    <w:uiPriority w:val="9"/>
    <w:rPr>
      <w:rFonts w:ascii="Arial" w:hAnsi="Arial" w:eastAsia="宋体" w:cs="Times New Roman"/>
      <w:b/>
      <w:bCs/>
      <w:sz w:val="24"/>
      <w:szCs w:val="32"/>
    </w:rPr>
  </w:style>
  <w:style w:type="character" w:customStyle="1" w:styleId="51">
    <w:name w:val="标题 3 字符"/>
    <w:basedOn w:val="41"/>
    <w:link w:val="4"/>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3"/>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1"/>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6"/>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3"/>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2"/>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4"/>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1"/>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20"/>
    <w:qFormat/>
    <w:locked/>
    <w:uiPriority w:val="0"/>
    <w:rPr>
      <w:rFonts w:ascii="宋体" w:hAnsi="Courier New"/>
    </w:rPr>
  </w:style>
  <w:style w:type="character" w:customStyle="1" w:styleId="75">
    <w:name w:val="页脚 字符"/>
    <w:link w:val="25"/>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6"/>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5"/>
    <w:qFormat/>
    <w:uiPriority w:val="99"/>
    <w:rPr>
      <w:rFonts w:ascii="Calibri" w:hAnsi="Calibri" w:eastAsia="新宋体" w:cs="Times New Roman"/>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20"/>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3"/>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4"/>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2"/>
    <w:link w:val="143"/>
    <w:qFormat/>
    <w:uiPriority w:val="0"/>
    <w:rPr>
      <w:rFonts w:eastAsia="黑体"/>
      <w:b w:val="0"/>
      <w:color w:val="000000"/>
      <w:sz w:val="30"/>
      <w:szCs w:val="24"/>
    </w:rPr>
  </w:style>
  <w:style w:type="paragraph" w:customStyle="1" w:styleId="135">
    <w:name w:val="首行缩进"/>
    <w:basedOn w:val="1"/>
    <w:qFormat/>
    <w:uiPriority w:val="0"/>
    <w:pPr>
      <w:ind w:firstLine="480" w:firstLineChars="200"/>
    </w:pPr>
    <w:rPr>
      <w:lang w:val="zh-CN"/>
    </w:rPr>
  </w:style>
  <w:style w:type="paragraph" w:customStyle="1" w:styleId="136">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7">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8">
    <w:name w:val="正文表标题"/>
    <w:next w:val="137"/>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9">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character" w:customStyle="1" w:styleId="140">
    <w:name w:val="font11"/>
    <w:basedOn w:val="41"/>
    <w:qFormat/>
    <w:uiPriority w:val="0"/>
    <w:rPr>
      <w:rFonts w:hint="eastAsia" w:ascii="宋体" w:hAnsi="宋体" w:eastAsia="宋体" w:cs="宋体"/>
      <w:color w:val="000000"/>
      <w:sz w:val="32"/>
      <w:szCs w:val="32"/>
      <w:u w:val="none"/>
    </w:rPr>
  </w:style>
  <w:style w:type="character" w:customStyle="1" w:styleId="141">
    <w:name w:val="font21"/>
    <w:basedOn w:val="41"/>
    <w:qFormat/>
    <w:uiPriority w:val="0"/>
    <w:rPr>
      <w:rFonts w:hint="eastAsia" w:ascii="宋体" w:hAnsi="宋体" w:eastAsia="宋体" w:cs="宋体"/>
      <w:color w:val="000000"/>
      <w:sz w:val="21"/>
      <w:szCs w:val="21"/>
      <w:u w:val="none"/>
    </w:rPr>
  </w:style>
  <w:style w:type="character" w:customStyle="1" w:styleId="142">
    <w:name w:val="font41"/>
    <w:basedOn w:val="41"/>
    <w:qFormat/>
    <w:uiPriority w:val="0"/>
    <w:rPr>
      <w:rFonts w:hint="default" w:ascii="Times New Roman" w:hAnsi="Times New Roman" w:cs="Times New Roman"/>
      <w:color w:val="000000"/>
      <w:sz w:val="32"/>
      <w:szCs w:val="32"/>
      <w:u w:val="none"/>
    </w:rPr>
  </w:style>
  <w:style w:type="character" w:customStyle="1" w:styleId="143">
    <w:name w:val="标书一级标题 字符"/>
    <w:link w:val="134"/>
    <w:qFormat/>
    <w:uiPriority w:val="0"/>
    <w:rPr>
      <w:rFonts w:eastAsia="黑体" w:asciiTheme="minorHAnsi" w:hAnsiTheme="minorHAnsi" w:cstheme="minorBidi"/>
      <w:bCs/>
      <w:color w:val="000000"/>
      <w:kern w:val="44"/>
      <w:sz w:val="30"/>
      <w:szCs w:val="24"/>
    </w:rPr>
  </w:style>
  <w:style w:type="character" w:customStyle="1" w:styleId="144">
    <w:name w:val="Unresolved Mention"/>
    <w:basedOn w:val="4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13.png"/><Relationship Id="rId50" Type="http://schemas.openxmlformats.org/officeDocument/2006/relationships/image" Target="media/image12.png"/><Relationship Id="rId5" Type="http://schemas.openxmlformats.org/officeDocument/2006/relationships/header" Target="header1.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png"/><Relationship Id="rId4" Type="http://schemas.openxmlformats.org/officeDocument/2006/relationships/footer" Target="footer2.xml"/><Relationship Id="rId39" Type="http://schemas.openxmlformats.org/officeDocument/2006/relationships/image" Target="media/image1.png"/><Relationship Id="rId38" Type="http://schemas.openxmlformats.org/officeDocument/2006/relationships/theme" Target="theme/theme1.xml"/><Relationship Id="rId37" Type="http://schemas.openxmlformats.org/officeDocument/2006/relationships/footer" Target="footer28.xml"/><Relationship Id="rId36" Type="http://schemas.openxmlformats.org/officeDocument/2006/relationships/footer" Target="footer27.xml"/><Relationship Id="rId35" Type="http://schemas.openxmlformats.org/officeDocument/2006/relationships/header" Target="header7.xml"/><Relationship Id="rId34" Type="http://schemas.openxmlformats.org/officeDocument/2006/relationships/header" Target="header6.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89</Pages>
  <Words>21739</Words>
  <Characters>23954</Characters>
  <Lines>1</Lines>
  <Paragraphs>1</Paragraphs>
  <TotalTime>0</TotalTime>
  <ScaleCrop>false</ScaleCrop>
  <LinksUpToDate>false</LinksUpToDate>
  <CharactersWithSpaces>24481</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2024-06-21T03:25:00Z</cp:lastPrinted>
  <dcterms:modified xsi:type="dcterms:W3CDTF">2025-10-18T08:58:08Z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eyJoZGlkIjoiNzZlYTRjNmYwMWMwNWMxOTJlZjUxNzdkZTEyMzc2NjQiLCJ1c2VySWQiOiIxNzAyMjQ2MzQyIn0=</vt:lpwstr>
  </property>
</Properties>
</file>