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7"/>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rPr>
          <w:rFonts w:ascii="楷体_GB2312" w:hAnsi="宋体" w:eastAsia="楷体_GB2312"/>
          <w:sz w:val="52"/>
          <w:szCs w:val="52"/>
        </w:rPr>
      </w:pPr>
    </w:p>
    <w:p>
      <w:pPr>
        <w:ind w:right="280"/>
        <w:jc w:val="center"/>
        <w:rPr>
          <w:rFonts w:ascii="楷体_GB2312" w:hAnsi="宋体" w:eastAsia="楷体_GB2312"/>
          <w:sz w:val="52"/>
          <w:szCs w:val="52"/>
        </w:rPr>
      </w:pPr>
      <w:r>
        <w:rPr>
          <w:rFonts w:hint="eastAsia" w:ascii="楷体_GB2312" w:hAnsi="宋体" w:eastAsia="楷体_GB2312"/>
          <w:sz w:val="52"/>
          <w:szCs w:val="52"/>
        </w:rPr>
        <w:t>2025-2026年度BI-N报表平台运维项目</w:t>
      </w: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00" w:lineRule="atLeast"/>
        <w:jc w:val="center"/>
        <w:rPr>
          <w:rFonts w:ascii="宋体" w:hAnsi="宋体"/>
          <w:sz w:val="28"/>
          <w:szCs w:val="28"/>
        </w:rPr>
      </w:pPr>
      <w:r>
        <w:rPr>
          <w:rFonts w:hint="eastAsia" w:ascii="宋体" w:hAnsi="宋体" w:cs="宋体"/>
          <w:b/>
          <w:bCs/>
          <w:kern w:val="0"/>
          <w:sz w:val="32"/>
          <w:szCs w:val="32"/>
        </w:rPr>
        <w:t>项目编号：</w:t>
      </w:r>
      <w:r>
        <w:rPr>
          <w:rFonts w:hint="eastAsia" w:ascii="宋体" w:hAnsi="宋体"/>
          <w:sz w:val="28"/>
          <w:szCs w:val="28"/>
        </w:rPr>
        <w:t xml:space="preserve"> </w:t>
      </w:r>
      <w:r>
        <w:rPr>
          <w:rFonts w:ascii="宋体" w:hAnsi="宋体"/>
          <w:sz w:val="28"/>
          <w:szCs w:val="28"/>
        </w:rPr>
        <w:t>FSCZB2025100020</w:t>
      </w:r>
    </w:p>
    <w:p>
      <w:pPr>
        <w:jc w:val="center"/>
        <w:rPr>
          <w:rFonts w:ascii="宋体" w:hAnsi="宋体"/>
          <w:sz w:val="48"/>
          <w:szCs w:val="48"/>
        </w:rPr>
      </w:pPr>
    </w:p>
    <w:p>
      <w:pPr>
        <w:jc w:val="center"/>
        <w:rPr>
          <w:rFonts w:ascii="宋体" w:hAnsi="宋体"/>
          <w:sz w:val="28"/>
          <w:szCs w:val="28"/>
        </w:rPr>
      </w:pPr>
    </w:p>
    <w:p>
      <w:pPr>
        <w:pStyle w:val="12"/>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rPr>
        <w:t>济南动力</w:t>
      </w:r>
      <w:r>
        <w:rPr>
          <w:rFonts w:hint="eastAsia" w:ascii="宋体" w:hAnsi="宋体"/>
          <w:sz w:val="28"/>
          <w:szCs w:val="28"/>
        </w:rPr>
        <w:t>有限公司</w:t>
      </w:r>
    </w:p>
    <w:p>
      <w:pPr>
        <w:jc w:val="center"/>
        <w:rPr>
          <w:rFonts w:ascii="宋体" w:hAnsi="宋体"/>
          <w:sz w:val="28"/>
          <w:szCs w:val="28"/>
        </w:rPr>
      </w:pPr>
    </w:p>
    <w:p>
      <w:pPr>
        <w:jc w:val="center"/>
        <w:rPr>
          <w:rFonts w:ascii="宋体" w:hAnsi="宋体"/>
          <w:sz w:val="28"/>
          <w:szCs w:val="28"/>
          <w:u w:val="single"/>
        </w:rPr>
      </w:pPr>
      <w:r>
        <w:rPr>
          <w:rFonts w:hint="eastAsia" w:ascii="宋体" w:hAnsi="宋体"/>
          <w:sz w:val="28"/>
          <w:szCs w:val="28"/>
          <w:u w:val="single"/>
        </w:rPr>
        <w:t>2025年10月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pPr>
            <w:pStyle w:val="71"/>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2"/>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"_Toc21506" </w:instrText>
          </w:r>
          <w:r>
            <w:fldChar w:fldCharType="separate"/>
          </w:r>
          <w:r>
            <w:rPr>
              <w:rFonts w:hint="eastAsia"/>
            </w:rPr>
            <w:t>第一部分  投标人须知</w:t>
          </w:r>
          <w:r>
            <w:tab/>
          </w:r>
          <w:r>
            <w:fldChar w:fldCharType="begin"/>
          </w:r>
          <w:r>
            <w:instrText xml:space="preserve"> PAGEREF _Toc21506 \h </w:instrText>
          </w:r>
          <w:r>
            <w:fldChar w:fldCharType="separate"/>
          </w:r>
          <w:r>
            <w:t>- 1 -</w:t>
          </w:r>
          <w:r>
            <w:fldChar w:fldCharType="end"/>
          </w:r>
          <w:r>
            <w:fldChar w:fldCharType="end"/>
          </w:r>
        </w:p>
        <w:p>
          <w:pPr>
            <w:pStyle w:val="22"/>
            <w:tabs>
              <w:tab w:val="right" w:leader="dot" w:pos="9070"/>
              <w:tab w:val="clear" w:pos="8729"/>
            </w:tabs>
          </w:pPr>
          <w:r>
            <w:fldChar w:fldCharType="begin"/>
          </w:r>
          <w:r>
            <w:instrText xml:space="preserve"> HYPERLINK \l "_Toc23631" </w:instrText>
          </w:r>
          <w:r>
            <w:fldChar w:fldCharType="separate"/>
          </w:r>
          <w:r>
            <w:rPr>
              <w:rFonts w:hint="eastAsia"/>
            </w:rPr>
            <w:t>第二部分　合同主要条款</w:t>
          </w:r>
          <w:r>
            <w:tab/>
          </w:r>
          <w:r>
            <w:fldChar w:fldCharType="begin"/>
          </w:r>
          <w:r>
            <w:instrText xml:space="preserve"> PAGEREF _Toc23631 \h </w:instrText>
          </w:r>
          <w:r>
            <w:fldChar w:fldCharType="separate"/>
          </w:r>
          <w:r>
            <w:t>- 7 -</w:t>
          </w:r>
          <w:r>
            <w:fldChar w:fldCharType="end"/>
          </w:r>
          <w:r>
            <w:fldChar w:fldCharType="end"/>
          </w:r>
        </w:p>
        <w:p>
          <w:pPr>
            <w:pStyle w:val="22"/>
            <w:tabs>
              <w:tab w:val="right" w:leader="dot" w:pos="9070"/>
              <w:tab w:val="clear" w:pos="8729"/>
            </w:tabs>
          </w:pPr>
          <w:r>
            <w:fldChar w:fldCharType="begin"/>
          </w:r>
          <w:r>
            <w:instrText xml:space="preserve"> HYPERLINK \l "_Toc19161" </w:instrText>
          </w:r>
          <w:r>
            <w:fldChar w:fldCharType="separate"/>
          </w:r>
          <w:r>
            <w:rPr>
              <w:rFonts w:hint="eastAsia"/>
            </w:rPr>
            <w:t>第三部分　投标文件附件</w:t>
          </w:r>
          <w:r>
            <w:tab/>
          </w:r>
          <w:r>
            <w:fldChar w:fldCharType="begin"/>
          </w:r>
          <w:r>
            <w:instrText xml:space="preserve"> PAGEREF _Toc19161 \h </w:instrText>
          </w:r>
          <w:r>
            <w:fldChar w:fldCharType="separate"/>
          </w:r>
          <w:r>
            <w:t>- 15 -</w:t>
          </w:r>
          <w:r>
            <w:fldChar w:fldCharType="end"/>
          </w:r>
          <w:r>
            <w:fldChar w:fldCharType="end"/>
          </w:r>
        </w:p>
        <w:p>
          <w:pPr>
            <w:pStyle w:val="22"/>
          </w:pPr>
          <w:r>
            <w:rPr>
              <w:rFonts w:hint="eastAsia" w:ascii="Calibri" w:hAnsi="Calibri"/>
              <w:bCs/>
              <w:kern w:val="44"/>
              <w:szCs w:val="44"/>
            </w:rPr>
            <w:fldChar w:fldCharType="end"/>
          </w:r>
        </w:p>
      </w:sdtContent>
    </w:sdt>
    <w:p>
      <w:pPr>
        <w:pStyle w:val="16"/>
        <w:tabs>
          <w:tab w:val="left" w:pos="2940"/>
        </w:tabs>
        <w:spacing w:line="360" w:lineRule="auto"/>
      </w:pPr>
      <w:r>
        <w:tab/>
      </w:r>
    </w:p>
    <w:p>
      <w:pPr>
        <w:pStyle w:val="16"/>
        <w:spacing w:line="360" w:lineRule="auto"/>
        <w:sectPr>
          <w:pgSz w:w="11906" w:h="16838"/>
          <w:pgMar w:top="1701" w:right="1418" w:bottom="1134" w:left="1418" w:header="851" w:footer="992" w:gutter="0"/>
          <w:pgNumType w:fmt="numberInDash" w:start="1"/>
          <w:cols w:space="720" w:num="1"/>
          <w:titlePg/>
          <w:docGrid w:type="lines" w:linePitch="312" w:charSpace="0"/>
        </w:sectPr>
      </w:pPr>
    </w:p>
    <w:p>
      <w:pPr>
        <w:pStyle w:val="79"/>
      </w:pPr>
      <w:bookmarkStart w:id="0" w:name="_Toc47976607"/>
    </w:p>
    <w:p>
      <w:pPr>
        <w:pStyle w:val="74"/>
      </w:pPr>
      <w:bookmarkStart w:id="1" w:name="_Toc21506"/>
      <w:bookmarkStart w:id="2" w:name="_Toc47976595"/>
      <w:r>
        <w:rPr>
          <w:rFonts w:hint="eastAsia"/>
        </w:rPr>
        <w:t>第一部分  投标人须知</w:t>
      </w:r>
      <w:bookmarkEnd w:id="1"/>
      <w:bookmarkEnd w:id="2"/>
    </w:p>
    <w:p>
      <w:pPr>
        <w:pStyle w:val="75"/>
        <w:numPr>
          <w:ilvl w:val="0"/>
          <w:numId w:val="11"/>
        </w:numPr>
        <w:ind w:left="420"/>
        <w:jc w:val="left"/>
      </w:pPr>
      <w:bookmarkStart w:id="3" w:name="_Toc47976596"/>
      <w:r>
        <w:rPr>
          <w:rFonts w:hint="eastAsia"/>
        </w:rPr>
        <w:t>项目介绍</w:t>
      </w:r>
      <w:bookmarkEnd w:id="3"/>
    </w:p>
    <w:p>
      <w:pPr>
        <w:pStyle w:val="79"/>
        <w:numPr>
          <w:ilvl w:val="0"/>
          <w:numId w:val="12"/>
        </w:numPr>
      </w:pPr>
      <w:r>
        <w:rPr>
          <w:rFonts w:hint="eastAsia"/>
        </w:rPr>
        <w:t>项目名称：2025-2026年度BI-N报表平台运维项目</w:t>
      </w:r>
    </w:p>
    <w:p>
      <w:pPr>
        <w:pStyle w:val="79"/>
        <w:numPr>
          <w:ilvl w:val="0"/>
          <w:numId w:val="12"/>
        </w:numPr>
      </w:pPr>
      <w:r>
        <w:rPr>
          <w:rFonts w:hint="eastAsia"/>
        </w:rPr>
        <w:t>项目编号：</w:t>
      </w:r>
      <w:r>
        <w:t>FSCZB2025100020</w:t>
      </w:r>
    </w:p>
    <w:p>
      <w:pPr>
        <w:pStyle w:val="79"/>
        <w:numPr>
          <w:ilvl w:val="0"/>
          <w:numId w:val="12"/>
        </w:numPr>
      </w:pPr>
      <w:r>
        <w:rPr>
          <w:rFonts w:hint="eastAsia"/>
        </w:rPr>
        <w:t>招标形式：</w:t>
      </w:r>
      <w:bookmarkStart w:id="4" w:name="_Toc47112482"/>
      <w:r>
        <w:rPr>
          <w:rFonts w:hint="eastAsia"/>
          <w:highlight w:val="yellow"/>
        </w:rPr>
        <w:t>单一来源</w:t>
      </w:r>
    </w:p>
    <w:p>
      <w:pPr>
        <w:pStyle w:val="79"/>
        <w:numPr>
          <w:ilvl w:val="0"/>
          <w:numId w:val="12"/>
        </w:numPr>
      </w:pPr>
      <w:r>
        <w:rPr>
          <w:rFonts w:hint="eastAsia"/>
        </w:rPr>
        <w:t>项目概况：合并报表BIN平台于2022年1月上线，根据集团要求每月1号完成单体报表， 2号完成集团合并层目标：主要包括新合并规则定制及开发、账务调整、报表落地、系统问题优化及系统漏洞修复。其次，合并系统对外提供数据分析支持，包括指标分析、成本分析、HFM数据加工等逻辑，提供数据支撑。。</w:t>
      </w:r>
    </w:p>
    <w:p>
      <w:pPr>
        <w:pStyle w:val="79"/>
        <w:numPr>
          <w:ilvl w:val="0"/>
          <w:numId w:val="12"/>
        </w:numPr>
      </w:pPr>
      <w:r>
        <w:rPr>
          <w:rFonts w:hint="eastAsia"/>
        </w:rPr>
        <w:t>招标内容具体要求详见</w:t>
      </w:r>
      <w:r>
        <w:rPr>
          <w:rFonts w:hint="eastAsia"/>
          <w:highlight w:val="yellow"/>
        </w:rPr>
        <w:t>《附件4：</w:t>
      </w:r>
      <w:bookmarkStart w:id="5" w:name="_Hlk210978715"/>
      <w:r>
        <w:rPr>
          <w:rFonts w:hint="eastAsia"/>
        </w:rPr>
        <w:t>合并报表BIN平台运维</w:t>
      </w:r>
      <w:r>
        <w:rPr>
          <w:rFonts w:hint="eastAsia"/>
          <w:highlight w:val="yellow"/>
        </w:rPr>
        <w:t>需求清单</w:t>
      </w:r>
      <w:bookmarkEnd w:id="5"/>
      <w:r>
        <w:rPr>
          <w:rFonts w:hint="eastAsia"/>
          <w:highlight w:val="yellow"/>
        </w:rPr>
        <w:t>》</w:t>
      </w:r>
      <w:r>
        <w:rPr>
          <w:rFonts w:hint="eastAsia"/>
        </w:rPr>
        <w:t>。M国区域资源需要与中国重汽国际公司进行单独签约、付款；其他区域资源由中国重汽集团济南动力有限公司签约、付款。投标人需保证合同签署及付款满足要求。</w:t>
      </w:r>
    </w:p>
    <w:p>
      <w:pPr>
        <w:pStyle w:val="79"/>
        <w:numPr>
          <w:ilvl w:val="0"/>
          <w:numId w:val="12"/>
        </w:numPr>
      </w:pPr>
      <w:r>
        <w:rPr>
          <w:rFonts w:hint="eastAsia"/>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r>
        <w:rPr>
          <w:rFonts w:hint="eastAsia"/>
          <w:b/>
          <w:bCs/>
        </w:rPr>
        <w:t>报价应包含运维服务类型/名称、单价、计量数量、计量单位、折扣、币种、不含税金额、税率及价税合计金额。《附件4：合并报表BIN平台运维需求清单》作为报价依据，招标人按实际需求使用。</w:t>
      </w:r>
    </w:p>
    <w:p>
      <w:pPr>
        <w:pStyle w:val="79"/>
        <w:numPr>
          <w:ilvl w:val="0"/>
          <w:numId w:val="12"/>
        </w:numPr>
      </w:pPr>
      <w:r>
        <w:rPr>
          <w:rFonts w:hint="eastAsia"/>
        </w:rPr>
        <w:t>招标人信息：</w:t>
      </w:r>
    </w:p>
    <w:p>
      <w:pPr>
        <w:spacing w:line="360" w:lineRule="auto"/>
        <w:ind w:firstLine="420" w:firstLineChars="200"/>
        <w:rPr>
          <w:rFonts w:ascii="宋体" w:hAnsi="Courier New"/>
        </w:rPr>
      </w:pPr>
      <w:r>
        <w:rPr>
          <w:rFonts w:hint="eastAsia" w:ascii="宋体" w:hAnsi="Courier New"/>
        </w:rPr>
        <w:t xml:space="preserve">招标人名称：中国重汽集团济南动力有限公司 </w:t>
      </w:r>
    </w:p>
    <w:p>
      <w:pPr>
        <w:spacing w:line="360" w:lineRule="auto"/>
        <w:ind w:firstLine="420" w:firstLineChars="200"/>
        <w:rPr>
          <w:rFonts w:ascii="宋体" w:hAnsi="Courier New"/>
        </w:rPr>
      </w:pPr>
      <w:r>
        <w:rPr>
          <w:rFonts w:hint="eastAsia" w:ascii="宋体" w:hAnsi="Courier New"/>
        </w:rPr>
        <w:t xml:space="preserve">招标人地址：济南市历城区华奥路777号 </w:t>
      </w:r>
    </w:p>
    <w:p>
      <w:pPr>
        <w:spacing w:line="360" w:lineRule="auto"/>
        <w:ind w:firstLine="420" w:firstLineChars="200"/>
        <w:rPr>
          <w:rFonts w:hint="eastAsia" w:ascii="宋体" w:hAnsi="Courier New" w:eastAsia="宋体"/>
          <w:lang w:val="en-US" w:eastAsia="zh-CN"/>
        </w:rPr>
      </w:pPr>
      <w:r>
        <w:rPr>
          <w:rFonts w:hint="eastAsia" w:ascii="宋体" w:hAnsi="Courier New"/>
        </w:rPr>
        <w:t>商务联系人：</w:t>
      </w:r>
      <w:r>
        <w:rPr>
          <w:rFonts w:hint="eastAsia" w:ascii="宋体" w:hAnsi="Courier New"/>
          <w:lang w:val="en-US" w:eastAsia="zh-CN"/>
        </w:rPr>
        <w:t>赵力</w:t>
      </w:r>
    </w:p>
    <w:p>
      <w:pPr>
        <w:spacing w:line="360" w:lineRule="auto"/>
        <w:ind w:firstLine="420" w:firstLineChars="200"/>
        <w:rPr>
          <w:rFonts w:hint="default" w:ascii="宋体" w:hAnsi="Courier New"/>
          <w:lang w:val="en-US" w:eastAsia="zh-CN"/>
        </w:rPr>
      </w:pPr>
      <w:r>
        <w:rPr>
          <w:rFonts w:hint="eastAsia" w:ascii="宋体" w:hAnsi="Courier New"/>
        </w:rPr>
        <w:t>电话：</w:t>
      </w:r>
      <w:r>
        <w:rPr>
          <w:rFonts w:hint="eastAsia" w:ascii="宋体" w:hAnsi="Courier New"/>
          <w:lang w:val="en-US" w:eastAsia="zh-CN"/>
        </w:rPr>
        <w:t>17860606595</w:t>
      </w:r>
    </w:p>
    <w:p>
      <w:pPr>
        <w:spacing w:line="360" w:lineRule="auto"/>
        <w:ind w:firstLine="420" w:firstLineChars="200"/>
        <w:rPr>
          <w:rFonts w:hint="eastAsia" w:ascii="宋体" w:hAnsi="Courier New"/>
        </w:rPr>
      </w:pPr>
      <w:r>
        <w:rPr>
          <w:rFonts w:hint="eastAsia" w:ascii="宋体" w:hAnsi="Courier New"/>
        </w:rPr>
        <w:t>邮箱：zhaoli@sinotruk.com</w:t>
      </w:r>
    </w:p>
    <w:p>
      <w:pPr>
        <w:spacing w:line="360" w:lineRule="auto"/>
        <w:ind w:firstLine="420" w:firstLineChars="200"/>
        <w:rPr>
          <w:rFonts w:ascii="宋体" w:hAnsi="Courier New"/>
        </w:rPr>
      </w:pPr>
      <w:r>
        <w:rPr>
          <w:rFonts w:hint="eastAsia" w:ascii="宋体" w:hAnsi="Courier New"/>
        </w:rPr>
        <w:t xml:space="preserve">技术联系人：聂守龙     </w:t>
      </w:r>
    </w:p>
    <w:p>
      <w:pPr>
        <w:pStyle w:val="16"/>
        <w:spacing w:line="360" w:lineRule="auto"/>
        <w:ind w:firstLine="420" w:firstLineChars="200"/>
      </w:pPr>
      <w:r>
        <w:rPr>
          <w:rFonts w:hint="eastAsia"/>
        </w:rPr>
        <w:t>电话：18615237636</w:t>
      </w:r>
    </w:p>
    <w:p>
      <w:pPr>
        <w:pStyle w:val="79"/>
        <w:ind w:firstLine="420" w:firstLineChars="200"/>
        <w:rPr>
          <w:rFonts w:hint="eastAsia"/>
        </w:rPr>
      </w:pPr>
      <w:r>
        <w:rPr>
          <w:rFonts w:hint="eastAsia"/>
        </w:rPr>
        <w:t>邮箱：</w:t>
      </w:r>
      <w:r>
        <w:rPr>
          <w:rFonts w:hint="eastAsia"/>
        </w:rPr>
        <w:fldChar w:fldCharType="begin"/>
      </w:r>
      <w:r>
        <w:rPr>
          <w:rFonts w:hint="eastAsia"/>
        </w:rPr>
        <w:instrText xml:space="preserve"> HYPERLINK "mailto:nieshoulong@sinotruk.com" </w:instrText>
      </w:r>
      <w:r>
        <w:rPr>
          <w:rFonts w:hint="eastAsia"/>
        </w:rPr>
        <w:fldChar w:fldCharType="separate"/>
      </w:r>
      <w:r>
        <w:rPr>
          <w:rStyle w:val="40"/>
          <w:rFonts w:hint="eastAsia"/>
        </w:rPr>
        <w:t>nieshoulong@sinotruk.com</w:t>
      </w:r>
      <w:r>
        <w:rPr>
          <w:rFonts w:hint="eastAsia"/>
        </w:rPr>
        <w:fldChar w:fldCharType="end"/>
      </w:r>
    </w:p>
    <w:p>
      <w:pPr>
        <w:pStyle w:val="79"/>
        <w:numPr>
          <w:ilvl w:val="0"/>
          <w:numId w:val="12"/>
        </w:numPr>
        <w:ind w:left="425" w:leftChars="0" w:hanging="425" w:firstLineChars="0"/>
        <w:rPr>
          <w:rFonts w:hint="eastAsia"/>
          <w:lang w:val="en-US" w:eastAsia="zh-CN"/>
        </w:rPr>
      </w:pPr>
      <w:r>
        <w:rPr>
          <w:rFonts w:hint="eastAsia"/>
          <w:lang w:val="en-US" w:eastAsia="zh-CN"/>
        </w:rPr>
        <w:t>投标保证金</w:t>
      </w:r>
    </w:p>
    <w:tbl>
      <w:tblPr>
        <w:tblStyle w:val="33"/>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363" w:type="dxa"/>
            <w:tcBorders>
              <w:top w:val="single" w:color="auto" w:sz="2" w:space="0"/>
              <w:left w:val="single" w:color="auto" w:sz="2" w:space="0"/>
              <w:bottom w:val="single" w:color="auto" w:sz="2" w:space="0"/>
              <w:right w:val="single" w:color="auto" w:sz="2" w:space="0"/>
            </w:tcBorders>
            <w:vAlign w:val="center"/>
          </w:tcPr>
          <w:p>
            <w:pPr>
              <w:pStyle w:val="32"/>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bookmarkStart w:id="24" w:name="_GoBack"/>
            <w:bookmarkEnd w:id="24"/>
            <w:r>
              <w:rPr>
                <w:rFonts w:hint="eastAsia" w:ascii="宋体" w:hAnsi="宋体" w:cs="宋体"/>
                <w:sz w:val="24"/>
                <w:szCs w:val="24"/>
                <w:highlight w:val="yellow"/>
              </w:rPr>
              <w:t>（同</w:t>
            </w:r>
            <w:r>
              <w:rPr>
                <w:rFonts w:hint="eastAsia" w:ascii="宋体" w:hAnsi="宋体" w:cs="宋体"/>
                <w:sz w:val="24"/>
                <w:szCs w:val="24"/>
                <w:highlight w:val="yellow"/>
                <w:lang w:val="en-US" w:eastAsia="zh-CN"/>
              </w:rPr>
              <w:t>投</w:t>
            </w:r>
            <w:r>
              <w:rPr>
                <w:rFonts w:hint="eastAsia" w:ascii="宋体" w:hAnsi="宋体" w:cs="宋体"/>
                <w:sz w:val="24"/>
                <w:szCs w:val="24"/>
                <w:highlight w:val="yellow"/>
              </w:rPr>
              <w:t>标截止时间）</w:t>
            </w:r>
          </w:p>
          <w:p>
            <w:pPr>
              <w:pStyle w:val="32"/>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363" w:type="dxa"/>
            <w:tcBorders>
              <w:top w:val="single" w:color="auto" w:sz="2" w:space="0"/>
              <w:left w:val="single" w:color="auto" w:sz="2" w:space="0"/>
              <w:bottom w:val="single" w:color="auto" w:sz="2" w:space="0"/>
              <w:right w:val="single" w:color="auto" w:sz="2" w:space="0"/>
            </w:tcBorders>
            <w:vAlign w:val="center"/>
          </w:tcPr>
          <w:p>
            <w:pPr>
              <w:pStyle w:val="32"/>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bl>
    <w:p>
      <w:pPr>
        <w:jc w:val="left"/>
        <w:rPr>
          <w:rFonts w:hint="eastAsia" w:ascii="宋体" w:hAnsi="宋体" w:cs="宋体"/>
          <w:color w:val="000000"/>
          <w:szCs w:val="21"/>
        </w:rPr>
      </w:pPr>
    </w:p>
    <w:p>
      <w:pPr>
        <w:pStyle w:val="79"/>
        <w:numPr>
          <w:ilvl w:val="0"/>
          <w:numId w:val="0"/>
        </w:numPr>
        <w:ind w:leftChars="0"/>
        <w:rPr>
          <w:rFonts w:hint="eastAsia" w:ascii="宋体" w:hAnsi="宋体" w:cs="宋体"/>
          <w:color w:val="000000"/>
          <w:szCs w:val="21"/>
        </w:rPr>
      </w:pPr>
      <w:r>
        <w:rPr>
          <w:rFonts w:hint="eastAsia" w:ascii="宋体" w:hAnsi="宋体" w:cs="宋体"/>
          <w:color w:val="000000"/>
          <w:szCs w:val="21"/>
        </w:rPr>
        <w:t>注：恶意竞标或无正当理由随意放弃投标、撤销投标文件、中标后无正当理由拒签合同、在签订合同时向招标方提出无理附加条件的，投标保证金不予返还，并取消该投标人的中标资格，并纳入甲方黑名单，三年内不允许参与此类招标。</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5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0" w:type="dxa"/>
            <w:vAlign w:val="center"/>
          </w:tcPr>
          <w:p>
            <w:pPr>
              <w:pStyle w:val="75"/>
              <w:numPr>
                <w:ilvl w:val="0"/>
                <w:numId w:val="0"/>
              </w:num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投标保证金退还</w:t>
            </w:r>
          </w:p>
        </w:tc>
        <w:tc>
          <w:tcPr>
            <w:tcW w:w="5664" w:type="dxa"/>
          </w:tcPr>
          <w:p>
            <w:pPr>
              <w:pStyle w:val="75"/>
              <w:numPr>
                <w:ilvl w:val="0"/>
                <w:numId w:val="0"/>
              </w:num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color w:val="FF0000"/>
                <w:sz w:val="21"/>
                <w:szCs w:val="21"/>
                <w:highlight w:val="none"/>
              </w:rPr>
              <w:t>投标保证金将于招标人内部完成中标人评审并确认最终中标人后在</w:t>
            </w:r>
            <w:r>
              <w:rPr>
                <w:rFonts w:hint="eastAsia" w:ascii="宋体" w:hAnsi="宋体" w:eastAsia="宋体" w:cs="宋体"/>
                <w:b w:val="0"/>
                <w:bCs w:val="0"/>
                <w:color w:val="FF0000"/>
                <w:sz w:val="21"/>
                <w:szCs w:val="21"/>
                <w:highlight w:val="none"/>
                <w:lang w:val="en-US" w:eastAsia="zh-CN"/>
              </w:rPr>
              <w:t>一个付款周期内</w:t>
            </w:r>
            <w:r>
              <w:rPr>
                <w:rFonts w:hint="eastAsia" w:ascii="宋体" w:hAnsi="宋体" w:eastAsia="宋体" w:cs="宋体"/>
                <w:b w:val="0"/>
                <w:bCs w:val="0"/>
                <w:color w:val="FF0000"/>
                <w:sz w:val="21"/>
                <w:szCs w:val="21"/>
                <w:highlight w:val="none"/>
              </w:rPr>
              <w:t>予以原路返还；对于中标方，投标保证金</w:t>
            </w:r>
            <w:r>
              <w:rPr>
                <w:rFonts w:hint="eastAsia" w:ascii="宋体" w:hAnsi="宋体" w:eastAsia="宋体" w:cs="宋体"/>
                <w:b w:val="0"/>
                <w:bCs w:val="0"/>
                <w:color w:val="FF0000"/>
                <w:sz w:val="21"/>
                <w:szCs w:val="21"/>
                <w:highlight w:val="none"/>
                <w:lang w:val="en-US" w:eastAsia="zh-CN"/>
              </w:rPr>
              <w:t>可</w:t>
            </w:r>
            <w:r>
              <w:rPr>
                <w:rFonts w:hint="eastAsia" w:ascii="宋体" w:hAnsi="宋体" w:eastAsia="宋体" w:cs="宋体"/>
                <w:b w:val="0"/>
                <w:bCs w:val="0"/>
                <w:color w:val="FF0000"/>
                <w:sz w:val="21"/>
                <w:szCs w:val="21"/>
                <w:highlight w:val="none"/>
              </w:rPr>
              <w:t>在签订合同后</w:t>
            </w:r>
            <w:r>
              <w:rPr>
                <w:rFonts w:hint="eastAsia" w:ascii="宋体" w:hAnsi="宋体" w:eastAsia="宋体" w:cs="宋体"/>
                <w:b w:val="0"/>
                <w:bCs w:val="0"/>
                <w:color w:val="FF0000"/>
                <w:sz w:val="21"/>
                <w:szCs w:val="21"/>
                <w:highlight w:val="none"/>
                <w:lang w:val="en-US" w:eastAsia="zh-CN"/>
              </w:rPr>
              <w:t>转为履约保证金。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0" w:type="dxa"/>
            <w:vAlign w:val="center"/>
          </w:tcPr>
          <w:p>
            <w:pPr>
              <w:pStyle w:val="75"/>
              <w:numPr>
                <w:ilvl w:val="0"/>
                <w:numId w:val="0"/>
              </w:num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投标保证金罚没</w:t>
            </w:r>
          </w:p>
        </w:tc>
        <w:tc>
          <w:tcPr>
            <w:tcW w:w="5664" w:type="dxa"/>
            <w:vAlign w:val="top"/>
          </w:tcPr>
          <w:p>
            <w:pPr>
              <w:pStyle w:val="75"/>
              <w:numPr>
                <w:ilvl w:val="0"/>
                <w:numId w:val="0"/>
              </w:num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1.投标人在提交投标文件截止时间后撤回投标文件的；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2.投标人在投标文件中提供虚假材料的；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3.除因不可抗力或谈判文件、询价通知书认可的情形以外，成交投标人不与采购人签订合同的；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4.投标人与采购人、其他投标人或者采购代理机构恶意串通、围标、陪标的；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5.投标人有违约违规行为或被投诉、举报的，在调查处理期间，保证金暂不退还，待调查处理结束后按有关规定处理。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6.截至开标前3天，投标人无正当理由、未以书面形式向招标人递交说明而在投标截止日不来投标的。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7.自中标通知书发出之日起30日内，中标人无正当理由投标人无正当签订合同的；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8.采购文件规定的其他情形。</w:t>
            </w:r>
          </w:p>
        </w:tc>
      </w:tr>
    </w:tbl>
    <w:p>
      <w:pPr>
        <w:pStyle w:val="79"/>
        <w:numPr>
          <w:ilvl w:val="0"/>
          <w:numId w:val="0"/>
        </w:numPr>
        <w:ind w:leftChars="0"/>
        <w:rPr>
          <w:rFonts w:hint="default" w:ascii="宋体" w:hAnsi="宋体" w:cs="宋体"/>
          <w:color w:val="000000"/>
          <w:szCs w:val="21"/>
          <w:lang w:val="en-US" w:eastAsia="zh-CN"/>
        </w:rPr>
      </w:pPr>
    </w:p>
    <w:bookmarkEnd w:id="4"/>
    <w:p>
      <w:pPr>
        <w:pStyle w:val="75"/>
      </w:pPr>
      <w:bookmarkStart w:id="6" w:name="_Toc47976598"/>
      <w:r>
        <w:rPr>
          <w:rFonts w:hint="eastAsia"/>
        </w:rPr>
        <w:t>合格的投标人。</w:t>
      </w:r>
      <w:bookmarkEnd w:id="6"/>
    </w:p>
    <w:p>
      <w:pPr>
        <w:pStyle w:val="76"/>
        <w:numPr>
          <w:ilvl w:val="0"/>
          <w:numId w:val="13"/>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pPr>
        <w:pStyle w:val="76"/>
        <w:numPr>
          <w:ilvl w:val="0"/>
          <w:numId w:val="13"/>
        </w:numPr>
        <w:ind w:left="0" w:firstLine="0"/>
        <w:rPr>
          <w:b w:val="0"/>
          <w:bCs/>
        </w:rPr>
      </w:pPr>
      <w:r>
        <w:rPr>
          <w:rFonts w:hint="eastAsia"/>
          <w:b w:val="0"/>
          <w:bCs/>
        </w:rPr>
        <w:t>拟标投人必须是在中华人民共和国境内注册的独立法人机构，具有独立承担民事责任能力；注册资金不少于100万人民币（或等值其他货币）；公司成立</w:t>
      </w:r>
      <w:r>
        <w:rPr>
          <w:rFonts w:hint="eastAsia"/>
          <w:b w:val="0"/>
          <w:bCs/>
          <w:highlight w:val="yellow"/>
          <w:u w:val="single"/>
        </w:rPr>
        <w:t>3</w:t>
      </w:r>
      <w:r>
        <w:rPr>
          <w:rFonts w:hint="eastAsia"/>
          <w:b w:val="0"/>
          <w:bCs/>
        </w:rPr>
        <w:t>年以上（以营业执照成立日期到开标当日满</w:t>
      </w:r>
      <w:r>
        <w:rPr>
          <w:rFonts w:hint="eastAsia"/>
          <w:b w:val="0"/>
          <w:bCs/>
          <w:highlight w:val="yellow"/>
          <w:u w:val="single"/>
        </w:rPr>
        <w:t>3</w:t>
      </w:r>
      <w:r>
        <w:rPr>
          <w:rFonts w:hint="eastAsia"/>
          <w:b w:val="0"/>
          <w:bCs/>
        </w:rPr>
        <w:t>年为准），且经营范围满足招标人需求；并在人员、设备、资金等方面具有承担本项目的能力；</w:t>
      </w:r>
    </w:p>
    <w:p>
      <w:pPr>
        <w:pStyle w:val="76"/>
        <w:numPr>
          <w:ilvl w:val="0"/>
          <w:numId w:val="13"/>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pPr>
        <w:pStyle w:val="76"/>
        <w:numPr>
          <w:ilvl w:val="0"/>
          <w:numId w:val="13"/>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pPr>
        <w:pStyle w:val="76"/>
        <w:numPr>
          <w:ilvl w:val="0"/>
          <w:numId w:val="13"/>
        </w:numPr>
        <w:ind w:left="0" w:firstLine="0"/>
        <w:rPr>
          <w:b w:val="0"/>
          <w:bCs/>
        </w:rPr>
      </w:pPr>
      <w:r>
        <w:rPr>
          <w:rFonts w:hint="eastAsia"/>
          <w:b w:val="0"/>
          <w:bCs/>
        </w:rPr>
        <w:t>无招标违规、谎报年度报告信息、提供虚假资质资料等行为或其他行政处罚记录；</w:t>
      </w:r>
    </w:p>
    <w:p>
      <w:pPr>
        <w:pStyle w:val="76"/>
        <w:numPr>
          <w:ilvl w:val="0"/>
          <w:numId w:val="13"/>
        </w:numPr>
        <w:ind w:left="0" w:firstLine="0"/>
        <w:rPr>
          <w:b w:val="0"/>
          <w:bCs/>
        </w:rPr>
      </w:pPr>
      <w:r>
        <w:rPr>
          <w:rFonts w:hint="eastAsia"/>
          <w:b w:val="0"/>
          <w:bCs/>
        </w:rPr>
        <w:t>近三年内在经营活动中无与本项目有关的违法及重大违规情况；</w:t>
      </w:r>
    </w:p>
    <w:p>
      <w:pPr>
        <w:pStyle w:val="76"/>
        <w:numPr>
          <w:ilvl w:val="0"/>
          <w:numId w:val="13"/>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pPr>
        <w:pStyle w:val="76"/>
        <w:numPr>
          <w:ilvl w:val="0"/>
          <w:numId w:val="13"/>
        </w:numPr>
        <w:ind w:left="0" w:firstLine="0"/>
        <w:rPr>
          <w:b w:val="0"/>
          <w:bCs/>
        </w:rPr>
      </w:pPr>
      <w:r>
        <w:rPr>
          <w:rFonts w:hint="eastAsia"/>
          <w:b w:val="0"/>
          <w:bCs/>
        </w:rPr>
        <w:t>公司经营范围满足招标项目需求；</w:t>
      </w:r>
    </w:p>
    <w:p>
      <w:pPr>
        <w:pStyle w:val="76"/>
        <w:numPr>
          <w:ilvl w:val="0"/>
          <w:numId w:val="13"/>
        </w:numPr>
        <w:ind w:left="0" w:firstLine="0"/>
        <w:rPr>
          <w:b w:val="0"/>
          <w:bCs/>
        </w:rPr>
      </w:pPr>
      <w:r>
        <w:rPr>
          <w:rFonts w:hint="eastAsia"/>
          <w:b w:val="0"/>
          <w:bCs/>
        </w:rPr>
        <w:t>投标人须有依法缴纳税收和社会保障资金的良好记录；</w:t>
      </w:r>
    </w:p>
    <w:p>
      <w:pPr>
        <w:pStyle w:val="76"/>
        <w:numPr>
          <w:ilvl w:val="0"/>
          <w:numId w:val="13"/>
        </w:numPr>
        <w:ind w:left="0" w:firstLine="0"/>
        <w:rPr>
          <w:b w:val="0"/>
          <w:bCs/>
        </w:rPr>
      </w:pPr>
      <w:r>
        <w:rPr>
          <w:rFonts w:hint="eastAsia"/>
          <w:b w:val="0"/>
          <w:bCs/>
        </w:rPr>
        <w:t>投标人须认可招标人的工作指令，包括节、假日能正常开展工作的要求。</w:t>
      </w:r>
    </w:p>
    <w:p>
      <w:pPr>
        <w:pStyle w:val="76"/>
        <w:numPr>
          <w:ilvl w:val="0"/>
          <w:numId w:val="13"/>
        </w:numPr>
        <w:ind w:left="0" w:firstLine="0"/>
        <w:rPr>
          <w:b w:val="0"/>
          <w:bCs/>
        </w:rPr>
      </w:pPr>
      <w:r>
        <w:rPr>
          <w:rFonts w:hint="eastAsia"/>
          <w:b w:val="0"/>
          <w:bCs/>
        </w:rPr>
        <w:t>拟投标人的直接或间接股东、法定代表人、董事、监事、高管非重汽员工及其亲属；</w:t>
      </w:r>
    </w:p>
    <w:p>
      <w:pPr>
        <w:pStyle w:val="76"/>
        <w:numPr>
          <w:ilvl w:val="0"/>
          <w:numId w:val="13"/>
        </w:numPr>
        <w:ind w:left="0" w:firstLine="0"/>
        <w:rPr>
          <w:b w:val="0"/>
          <w:bCs/>
        </w:rPr>
      </w:pPr>
      <w:r>
        <w:rPr>
          <w:rFonts w:hint="eastAsia"/>
          <w:b w:val="0"/>
          <w:bCs/>
        </w:rPr>
        <w:t>投标人必须是最终投标、签订合同的单位，不得以任何理由将已中标项目以任何形式转包或者分包给其他单位；</w:t>
      </w:r>
    </w:p>
    <w:p>
      <w:pPr>
        <w:pStyle w:val="76"/>
        <w:numPr>
          <w:ilvl w:val="0"/>
          <w:numId w:val="13"/>
        </w:numPr>
        <w:ind w:left="0" w:firstLine="0"/>
        <w:rPr>
          <w:b w:val="0"/>
          <w:bCs/>
        </w:rPr>
      </w:pPr>
      <w:r>
        <w:rPr>
          <w:rFonts w:hint="eastAsia"/>
          <w:b w:val="0"/>
          <w:bCs/>
        </w:rPr>
        <w:t>本次招标项目</w:t>
      </w:r>
      <w:r>
        <w:rPr>
          <w:rFonts w:hint="eastAsia"/>
          <w:b w:val="0"/>
          <w:bCs/>
          <w:highlight w:val="yellow"/>
        </w:rPr>
        <w:t>不接受</w:t>
      </w:r>
      <w:r>
        <w:rPr>
          <w:rFonts w:hint="eastAsia"/>
          <w:b w:val="0"/>
          <w:bCs/>
        </w:rPr>
        <w:t>联合体投标；</w:t>
      </w:r>
    </w:p>
    <w:p>
      <w:pPr>
        <w:pStyle w:val="76"/>
        <w:numPr>
          <w:ilvl w:val="0"/>
          <w:numId w:val="13"/>
        </w:numPr>
        <w:ind w:left="0" w:firstLine="0"/>
        <w:rPr>
          <w:b w:val="0"/>
          <w:bCs/>
        </w:rPr>
      </w:pPr>
      <w:r>
        <w:rPr>
          <w:rFonts w:hint="eastAsia"/>
          <w:b w:val="0"/>
          <w:bCs/>
        </w:rPr>
        <w:t>法律、行政法规规定的其他条件；</w:t>
      </w:r>
    </w:p>
    <w:p>
      <w:pPr>
        <w:pStyle w:val="76"/>
        <w:numPr>
          <w:ilvl w:val="0"/>
          <w:numId w:val="13"/>
        </w:numPr>
        <w:ind w:left="0" w:firstLine="0"/>
        <w:rPr>
          <w:b w:val="0"/>
          <w:bCs/>
        </w:rPr>
      </w:pPr>
      <w:r>
        <w:rPr>
          <w:rFonts w:hint="eastAsia"/>
          <w:b w:val="0"/>
          <w:bCs/>
        </w:rPr>
        <w:t>投标人须具备ISO27001信息技术服务管理体系认证证书、IS020000信息技术服务管理体系认证证书。</w:t>
      </w:r>
    </w:p>
    <w:p>
      <w:pPr>
        <w:pStyle w:val="75"/>
      </w:pPr>
      <w:r>
        <w:rPr>
          <w:rFonts w:hint="eastAsia"/>
        </w:rPr>
        <w:t>招标文件的领取、答疑、应标及投标报名</w:t>
      </w:r>
    </w:p>
    <w:p>
      <w:pPr>
        <w:pStyle w:val="79"/>
        <w:numPr>
          <w:ilvl w:val="0"/>
          <w:numId w:val="14"/>
        </w:numPr>
        <w:jc w:val="both"/>
      </w:pPr>
      <w:r>
        <w:rPr>
          <w:rFonts w:hint="eastAsia"/>
        </w:rPr>
        <w:t>发标时间：</w:t>
      </w:r>
      <w:r>
        <w:rPr>
          <w:rFonts w:hint="eastAsia"/>
          <w:highlight w:val="yellow"/>
        </w:rPr>
        <w:t>2025年10月</w:t>
      </w:r>
      <w:r>
        <w:rPr>
          <w:rFonts w:hint="eastAsia"/>
          <w:highlight w:val="yellow"/>
          <w:lang w:val="en-US" w:eastAsia="zh-CN"/>
        </w:rPr>
        <w:t>20</w:t>
      </w:r>
      <w:r>
        <w:rPr>
          <w:rFonts w:hint="eastAsia"/>
          <w:highlight w:val="yellow"/>
        </w:rPr>
        <w:t>日</w:t>
      </w:r>
    </w:p>
    <w:p>
      <w:pPr>
        <w:pStyle w:val="79"/>
        <w:numPr>
          <w:ilvl w:val="0"/>
          <w:numId w:val="14"/>
        </w:numPr>
        <w:jc w:val="both"/>
        <w:rPr>
          <w:highlight w:val="yellow"/>
        </w:rPr>
      </w:pPr>
      <w:r>
        <w:rPr>
          <w:rFonts w:hint="eastAsia"/>
          <w:highlight w:val="yellow"/>
        </w:rPr>
        <w:t>招标文件领取方式、地点及领取截止时间</w:t>
      </w:r>
    </w:p>
    <w:p>
      <w:pPr>
        <w:pStyle w:val="79"/>
        <w:numPr>
          <w:ilvl w:val="0"/>
          <w:numId w:val="14"/>
        </w:numPr>
        <w:jc w:val="both"/>
      </w:pPr>
      <w:r>
        <w:rPr>
          <w:rFonts w:hint="eastAsia"/>
        </w:rPr>
        <w:t>答疑时间：</w:t>
      </w:r>
      <w:r>
        <w:rPr>
          <w:rFonts w:hint="eastAsia"/>
          <w:highlight w:val="yellow"/>
        </w:rPr>
        <w:t>2025年10月2</w:t>
      </w:r>
      <w:r>
        <w:rPr>
          <w:rFonts w:hint="eastAsia"/>
          <w:highlight w:val="yellow"/>
          <w:lang w:val="en-US" w:eastAsia="zh-CN"/>
        </w:rPr>
        <w:t>5</w:t>
      </w:r>
      <w:r>
        <w:rPr>
          <w:rFonts w:hint="eastAsia"/>
          <w:highlight w:val="yellow"/>
        </w:rPr>
        <w:t>日前</w:t>
      </w:r>
    </w:p>
    <w:p>
      <w:pPr>
        <w:pStyle w:val="79"/>
        <w:numPr>
          <w:ilvl w:val="0"/>
          <w:numId w:val="14"/>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79"/>
        <w:numPr>
          <w:ilvl w:val="0"/>
          <w:numId w:val="14"/>
        </w:numPr>
        <w:jc w:val="both"/>
      </w:pPr>
      <w:r>
        <w:rPr>
          <w:rFonts w:hint="eastAsia"/>
        </w:rPr>
        <w:t>领取答疑、澄清和修改文件时间：</w:t>
      </w:r>
      <w:r>
        <w:rPr>
          <w:rFonts w:hint="eastAsia"/>
          <w:highlight w:val="yellow"/>
        </w:rPr>
        <w:t>2025年10月2</w:t>
      </w:r>
      <w:r>
        <w:rPr>
          <w:rFonts w:hint="eastAsia"/>
          <w:highlight w:val="yellow"/>
          <w:lang w:val="en-US" w:eastAsia="zh-CN"/>
        </w:rPr>
        <w:t>5</w:t>
      </w:r>
      <w:r>
        <w:rPr>
          <w:rFonts w:hint="eastAsia"/>
          <w:highlight w:val="yellow"/>
        </w:rPr>
        <w:t>日前</w:t>
      </w:r>
    </w:p>
    <w:p>
      <w:pPr>
        <w:pStyle w:val="79"/>
        <w:numPr>
          <w:ilvl w:val="0"/>
          <w:numId w:val="14"/>
        </w:numPr>
        <w:ind w:left="0" w:firstLine="0"/>
        <w:jc w:val="both"/>
      </w:pPr>
      <w:r>
        <w:rPr>
          <w:rFonts w:hint="eastAsia"/>
        </w:rPr>
        <w:t>答疑、澄清和修改文件方式：招标人将以电子邮件的方式将招标文件的答疑澄清文件发送至答疑文件提交时登记的电子邮箱。</w:t>
      </w:r>
    </w:p>
    <w:p>
      <w:pPr>
        <w:pStyle w:val="79"/>
        <w:numPr>
          <w:ilvl w:val="0"/>
          <w:numId w:val="14"/>
        </w:numPr>
        <w:jc w:val="both"/>
        <w:rPr>
          <w:highlight w:val="yellow"/>
        </w:rPr>
      </w:pPr>
      <w:r>
        <w:rPr>
          <w:rFonts w:hint="eastAsia"/>
          <w:highlight w:val="yellow"/>
        </w:rPr>
        <w:t>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cs="宋体"/>
          <w:color w:val="000000"/>
          <w:sz w:val="24"/>
          <w:szCs w:val="24"/>
          <w:lang w:val="en-US" w:eastAsia="zh-CN"/>
        </w:rPr>
        <w:t>要求</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pStyle w:val="79"/>
        <w:numPr>
          <w:ilvl w:val="0"/>
          <w:numId w:val="0"/>
        </w:numPr>
        <w:ind w:leftChars="0"/>
        <w:jc w:val="both"/>
        <w:rPr>
          <w:highlight w:val="yellow"/>
        </w:rPr>
      </w:pPr>
      <w:r>
        <w:rPr>
          <w:rFonts w:hint="eastAsia" w:ascii="宋体" w:hAnsi="宋体" w:eastAsia="宋体" w:cs="宋体"/>
          <w:color w:val="000000" w:themeColor="text1"/>
          <w:szCs w:val="20"/>
          <w:highlight w:val="none"/>
          <w:lang w:bidi="ar"/>
          <w14:textFill>
            <w14:solidFill>
              <w14:schemeClr w14:val="tx1"/>
            </w14:solidFill>
          </w14:textFill>
        </w:rPr>
        <w:object>
          <v:shape id="_x0000_i1025" o:spt="75" type="#_x0000_t75" style="height:67pt;width:72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r>
        <w:rPr>
          <w:rFonts w:hint="eastAsia" w:ascii="宋体" w:hAnsi="宋体" w:eastAsia="宋体" w:cs="宋体"/>
          <w:color w:val="000000" w:themeColor="text1"/>
          <w:szCs w:val="20"/>
          <w:highlight w:val="none"/>
          <w:lang w:bidi="ar"/>
          <w14:textFill>
            <w14:solidFill>
              <w14:schemeClr w14:val="tx1"/>
            </w14:solidFill>
          </w14:textFill>
        </w:rPr>
        <w:object>
          <v:shape id="_x0000_i1026" o:spt="75" type="#_x0000_t75" style="height:67pt;width:72pt;" o:ole="t" filled="f" o:preferrelative="t" stroked="f" coordsize="21600,21600">
            <v:path/>
            <v:fill on="f" focussize="0,0"/>
            <v:stroke on="f" joinstyle="miter"/>
            <v:imagedata r:id="rId16" o:title=""/>
            <o:lock v:ext="edit" aspectratio="t"/>
            <w10:wrap type="none"/>
            <w10:anchorlock/>
          </v:shape>
          <o:OLEObject Type="Embed" ProgID="Word.Document.12" ShapeID="_x0000_i1026" DrawAspect="Icon" ObjectID="_1468075726" r:id="rId15">
            <o:LockedField>false</o:LockedField>
          </o:OLEObject>
        </w:object>
      </w:r>
    </w:p>
    <w:p>
      <w:pPr>
        <w:pStyle w:val="79"/>
        <w:numPr>
          <w:ilvl w:val="0"/>
          <w:numId w:val="14"/>
        </w:numPr>
        <w:jc w:val="both"/>
        <w:rPr>
          <w:highlight w:val="yellow"/>
        </w:rPr>
      </w:pPr>
      <w:r>
        <w:rPr>
          <w:rFonts w:hint="eastAsia"/>
          <w:highlight w:val="yellow"/>
        </w:rPr>
        <w:t>应标截止时间</w:t>
      </w:r>
      <w:r>
        <w:rPr>
          <w:rFonts w:hint="eastAsia"/>
          <w:highlight w:val="yellow"/>
          <w:lang w:val="en-US" w:eastAsia="zh-CN"/>
        </w:rPr>
        <w:t xml:space="preserve"> </w:t>
      </w:r>
      <w:r>
        <w:rPr>
          <w:rFonts w:hint="eastAsia"/>
          <w:highlight w:val="yellow"/>
        </w:rPr>
        <w:t>2025年10月2</w:t>
      </w:r>
      <w:r>
        <w:rPr>
          <w:rFonts w:hint="eastAsia"/>
          <w:highlight w:val="yellow"/>
          <w:lang w:val="en-US" w:eastAsia="zh-CN"/>
        </w:rPr>
        <w:t>2</w:t>
      </w:r>
      <w:r>
        <w:rPr>
          <w:rFonts w:hint="eastAsia"/>
          <w:highlight w:val="yellow"/>
        </w:rPr>
        <w:t>日</w:t>
      </w:r>
      <w:r>
        <w:rPr>
          <w:rFonts w:hint="eastAsia"/>
          <w:highlight w:val="yellow"/>
          <w:lang w:val="en-US" w:eastAsia="zh-CN"/>
        </w:rPr>
        <w:t>17:00</w:t>
      </w:r>
    </w:p>
    <w:p>
      <w:pPr>
        <w:pStyle w:val="75"/>
        <w:rPr>
          <w:rFonts w:ascii="宋体" w:eastAsia="宋体"/>
        </w:rPr>
      </w:pPr>
      <w:r>
        <w:rPr>
          <w:rFonts w:hint="eastAsia"/>
        </w:rPr>
        <w:t>投标文件编制</w:t>
      </w:r>
    </w:p>
    <w:p>
      <w:pPr>
        <w:pStyle w:val="76"/>
        <w:numPr>
          <w:ilvl w:val="0"/>
          <w:numId w:val="15"/>
        </w:numPr>
        <w:ind w:firstLine="0"/>
        <w:rPr>
          <w:b w:val="0"/>
        </w:rPr>
      </w:pPr>
      <w:r>
        <w:rPr>
          <w:rFonts w:hint="eastAsia"/>
          <w:b w:val="0"/>
        </w:rPr>
        <w:t>投标文件的组成</w:t>
      </w:r>
    </w:p>
    <w:p>
      <w:pPr>
        <w:pStyle w:val="76"/>
        <w:numPr>
          <w:ilvl w:val="0"/>
          <w:numId w:val="0"/>
        </w:numPr>
        <w:rPr>
          <w:b w:val="0"/>
          <w:bCs/>
        </w:rPr>
      </w:pPr>
      <w:r>
        <w:rPr>
          <w:rFonts w:hint="eastAsia"/>
          <w:b w:val="0"/>
          <w:bCs/>
        </w:rPr>
        <w:t>投标人编写的投标文件由《投标文件（资质标）》、《投标文件（商务标）》（开标一览表）文件组成，共计</w:t>
      </w:r>
      <w:r>
        <w:rPr>
          <w:rFonts w:hint="eastAsia"/>
          <w:b w:val="0"/>
          <w:highlight w:val="yellow"/>
        </w:rPr>
        <w:t>2</w:t>
      </w:r>
      <w:r>
        <w:rPr>
          <w:rFonts w:hint="eastAsia"/>
          <w:b w:val="0"/>
          <w:bCs/>
        </w:rPr>
        <w:t>个文件。</w:t>
      </w:r>
    </w:p>
    <w:p>
      <w:pPr>
        <w:pStyle w:val="77"/>
        <w:numPr>
          <w:ilvl w:val="0"/>
          <w:numId w:val="16"/>
        </w:numPr>
        <w:rPr>
          <w:b w:val="0"/>
          <w:bCs/>
        </w:rPr>
      </w:pPr>
      <w:r>
        <w:rPr>
          <w:rFonts w:hint="eastAsia"/>
          <w:b w:val="0"/>
          <w:bCs/>
        </w:rPr>
        <w:t>资质文件：</w:t>
      </w:r>
    </w:p>
    <w:p>
      <w:pPr>
        <w:pStyle w:val="78"/>
        <w:numPr>
          <w:ilvl w:val="0"/>
          <w:numId w:val="17"/>
        </w:numPr>
        <w:rPr>
          <w:bCs/>
        </w:rPr>
      </w:pPr>
      <w:r>
        <w:rPr>
          <w:rFonts w:hint="eastAsia"/>
          <w:bCs/>
        </w:rPr>
        <w:t>法定代表人身份证明；</w:t>
      </w:r>
    </w:p>
    <w:p>
      <w:pPr>
        <w:pStyle w:val="78"/>
        <w:numPr>
          <w:ilvl w:val="0"/>
          <w:numId w:val="17"/>
        </w:numPr>
        <w:rPr>
          <w:bCs/>
        </w:rPr>
      </w:pPr>
      <w:r>
        <w:rPr>
          <w:rFonts w:hint="eastAsia"/>
          <w:bCs/>
        </w:rPr>
        <w:t>法定代表人授权委托书（授权人需带身份证原件）；</w:t>
      </w:r>
    </w:p>
    <w:p>
      <w:pPr>
        <w:pStyle w:val="78"/>
        <w:numPr>
          <w:ilvl w:val="0"/>
          <w:numId w:val="17"/>
        </w:numPr>
        <w:rPr>
          <w:bCs/>
        </w:rPr>
      </w:pPr>
      <w:r>
        <w:rPr>
          <w:rFonts w:hint="eastAsia"/>
          <w:bCs/>
        </w:rPr>
        <w:t>营业执照副本原件或复印件并加盖公章；</w:t>
      </w:r>
    </w:p>
    <w:p>
      <w:pPr>
        <w:pStyle w:val="78"/>
        <w:numPr>
          <w:ilvl w:val="0"/>
          <w:numId w:val="17"/>
        </w:numPr>
        <w:ind w:left="0" w:firstLine="0"/>
        <w:rPr>
          <w:bCs/>
        </w:rPr>
      </w:pPr>
      <w:r>
        <w:rPr>
          <w:rFonts w:hint="eastAsia"/>
          <w:bCs/>
        </w:rPr>
        <w:t>经会计师事务所审计且出具无保留意见的近三年的财务审计报告，并加盖公章，包括但不限于报告页、经审计的资产负债表、利润表、现金流量表。如投标人公司没有经审计的财务报告，可提供加盖公章的近三年财务报表，包括但不限于资产负债表、利润表、现金流量表及报表附注。应提供中文版本的审计报告或财务报表；</w:t>
      </w:r>
    </w:p>
    <w:p>
      <w:pPr>
        <w:pStyle w:val="78"/>
        <w:numPr>
          <w:ilvl w:val="0"/>
          <w:numId w:val="17"/>
        </w:numPr>
        <w:rPr>
          <w:bCs/>
        </w:rPr>
      </w:pPr>
      <w:r>
        <w:rPr>
          <w:rFonts w:hint="eastAsia"/>
          <w:bCs/>
        </w:rPr>
        <w:t>企业最近半年完税证明、信用证明材料（征信报告）；</w:t>
      </w:r>
    </w:p>
    <w:p>
      <w:pPr>
        <w:pStyle w:val="78"/>
        <w:numPr>
          <w:ilvl w:val="0"/>
          <w:numId w:val="17"/>
        </w:numPr>
        <w:rPr>
          <w:bCs/>
        </w:rPr>
      </w:pPr>
      <w:r>
        <w:rPr>
          <w:rFonts w:hint="eastAsia"/>
          <w:bCs/>
        </w:rPr>
        <w:t>年度纳税信用评价信息（可从电子税务局查询截图，需加盖公章）；</w:t>
      </w:r>
    </w:p>
    <w:p>
      <w:pPr>
        <w:pStyle w:val="78"/>
        <w:numPr>
          <w:ilvl w:val="0"/>
          <w:numId w:val="17"/>
        </w:numPr>
        <w:ind w:left="0" w:firstLine="0"/>
        <w:rPr>
          <w:bCs/>
        </w:rPr>
      </w:pPr>
      <w:r>
        <w:rPr>
          <w:rFonts w:hint="eastAsia"/>
          <w:bCs/>
        </w:rPr>
        <w:t>信用中国截图或国家企业信用信息公示系统截图；</w:t>
      </w:r>
    </w:p>
    <w:p>
      <w:pPr>
        <w:pStyle w:val="78"/>
        <w:numPr>
          <w:ilvl w:val="0"/>
          <w:numId w:val="17"/>
        </w:numPr>
        <w:ind w:left="0" w:firstLine="0"/>
        <w:rPr>
          <w:bCs/>
        </w:rPr>
      </w:pPr>
      <w:r>
        <w:rPr>
          <w:rFonts w:hint="eastAsia"/>
          <w:bCs/>
        </w:rPr>
        <w:t>ISO27001、IS020000认证证书；</w:t>
      </w:r>
    </w:p>
    <w:p>
      <w:pPr>
        <w:pStyle w:val="78"/>
        <w:numPr>
          <w:ilvl w:val="0"/>
          <w:numId w:val="17"/>
        </w:numPr>
        <w:rPr>
          <w:bCs/>
        </w:rPr>
      </w:pPr>
      <w:r>
        <w:rPr>
          <w:rFonts w:hint="eastAsia"/>
          <w:bCs/>
        </w:rPr>
        <w:t>招标文件中要求的其它资格证明文件。</w:t>
      </w:r>
    </w:p>
    <w:p>
      <w:pPr>
        <w:pStyle w:val="78"/>
        <w:numPr>
          <w:ilvl w:val="0"/>
          <w:numId w:val="18"/>
        </w:numPr>
        <w:ind w:left="10" w:firstLine="0"/>
        <w:rPr>
          <w:bCs/>
        </w:rPr>
      </w:pPr>
      <w:r>
        <w:rPr>
          <w:rFonts w:hint="eastAsia"/>
          <w:bCs/>
        </w:rPr>
        <w:t>对于投标人资质审核不通过的，招标人有权拒绝其投标。</w:t>
      </w:r>
    </w:p>
    <w:p>
      <w:pPr>
        <w:pStyle w:val="77"/>
        <w:numPr>
          <w:ilvl w:val="0"/>
          <w:numId w:val="16"/>
        </w:numPr>
        <w:rPr>
          <w:b w:val="0"/>
          <w:bCs/>
        </w:rPr>
      </w:pPr>
      <w:r>
        <w:rPr>
          <w:rFonts w:hint="eastAsia"/>
          <w:b w:val="0"/>
          <w:bCs/>
        </w:rPr>
        <w:t>商务标：</w:t>
      </w:r>
    </w:p>
    <w:p>
      <w:pPr>
        <w:pStyle w:val="78"/>
        <w:numPr>
          <w:ilvl w:val="0"/>
          <w:numId w:val="19"/>
        </w:numPr>
        <w:rPr>
          <w:bCs/>
          <w:highlight w:val="yellow"/>
        </w:rPr>
      </w:pPr>
      <w:r>
        <w:rPr>
          <w:rFonts w:hint="eastAsia"/>
          <w:bCs/>
          <w:highlight w:val="yellow"/>
        </w:rPr>
        <w:t>开标一览表</w:t>
      </w:r>
    </w:p>
    <w:p>
      <w:pPr>
        <w:pStyle w:val="78"/>
        <w:numPr>
          <w:ilvl w:val="0"/>
          <w:numId w:val="19"/>
        </w:numPr>
        <w:rPr>
          <w:bCs/>
          <w:highlight w:val="yellow"/>
        </w:rPr>
      </w:pPr>
      <w:r>
        <w:rPr>
          <w:rFonts w:hint="eastAsia"/>
          <w:bCs/>
          <w:highlight w:val="yellow"/>
        </w:rPr>
        <w:t>投标函（格式见附件）;</w:t>
      </w:r>
    </w:p>
    <w:p>
      <w:pPr>
        <w:pStyle w:val="78"/>
        <w:numPr>
          <w:ilvl w:val="0"/>
          <w:numId w:val="19"/>
        </w:numPr>
        <w:rPr>
          <w:bCs/>
          <w:highlight w:val="yellow"/>
        </w:rPr>
      </w:pPr>
      <w:r>
        <w:rPr>
          <w:rFonts w:hint="eastAsia"/>
          <w:bCs/>
          <w:highlight w:val="yellow"/>
        </w:rPr>
        <w:t>商务条款偏离表；</w:t>
      </w:r>
    </w:p>
    <w:p>
      <w:pPr>
        <w:pStyle w:val="78"/>
        <w:numPr>
          <w:ilvl w:val="0"/>
          <w:numId w:val="19"/>
        </w:numPr>
        <w:rPr>
          <w:bCs/>
          <w:highlight w:val="yellow"/>
        </w:rPr>
      </w:pPr>
      <w:r>
        <w:rPr>
          <w:rFonts w:hint="eastAsia"/>
          <w:bCs/>
          <w:highlight w:val="yellow"/>
        </w:rPr>
        <w:t>投标云资源分项报价及对应折扣（云资源包周期价格全部按照包月折扣计算）；</w:t>
      </w:r>
    </w:p>
    <w:p>
      <w:pPr>
        <w:pStyle w:val="78"/>
        <w:numPr>
          <w:ilvl w:val="0"/>
          <w:numId w:val="19"/>
        </w:numPr>
        <w:rPr>
          <w:bCs/>
        </w:rPr>
      </w:pPr>
      <w:r>
        <w:rPr>
          <w:rFonts w:hint="eastAsia"/>
          <w:bCs/>
          <w:highlight w:val="yellow"/>
        </w:rPr>
        <w:t>云区域及云资源框架折扣报价表（包含包周期折扣、按需折扣）</w:t>
      </w:r>
    </w:p>
    <w:p>
      <w:pPr>
        <w:pStyle w:val="78"/>
        <w:numPr>
          <w:ilvl w:val="0"/>
          <w:numId w:val="18"/>
        </w:numPr>
        <w:ind w:left="10" w:firstLine="0"/>
        <w:rPr>
          <w:bCs/>
        </w:rPr>
      </w:pPr>
      <w:r>
        <w:rPr>
          <w:rFonts w:hint="eastAsia"/>
          <w:bCs/>
        </w:rPr>
        <w:t>商务报价注意内容：最高投标限价（招标控制价）：人民币</w:t>
      </w:r>
      <w:r>
        <w:rPr>
          <w:rFonts w:hint="eastAsia"/>
          <w:bCs/>
          <w:u w:val="single"/>
        </w:rPr>
        <w:t>12</w:t>
      </w:r>
      <w:r>
        <w:rPr>
          <w:rFonts w:hint="eastAsia"/>
          <w:bCs/>
        </w:rPr>
        <w:t>万元（含6%增值税），超过投标限价无法投标。</w:t>
      </w:r>
    </w:p>
    <w:p>
      <w:pPr>
        <w:pStyle w:val="76"/>
        <w:numPr>
          <w:ilvl w:val="0"/>
          <w:numId w:val="15"/>
        </w:numPr>
        <w:ind w:firstLine="0"/>
        <w:rPr>
          <w:b w:val="0"/>
        </w:rPr>
      </w:pPr>
      <w:r>
        <w:rPr>
          <w:rFonts w:hint="eastAsia"/>
          <w:b w:val="0"/>
        </w:rPr>
        <w:t>投标文件的投递</w:t>
      </w:r>
    </w:p>
    <w:p>
      <w:pPr>
        <w:pStyle w:val="78"/>
        <w:numPr>
          <w:ilvl w:val="0"/>
          <w:numId w:val="0"/>
        </w:numPr>
        <w:rPr>
          <w:bCs/>
          <w:highlight w:val="yellow"/>
        </w:rPr>
      </w:pPr>
      <w:r>
        <w:rPr>
          <w:rFonts w:hint="eastAsia"/>
          <w:bCs/>
          <w:highlight w:val="yellow"/>
        </w:rPr>
        <w:t>1.投标方式： 在中国重汽e采通平台应标成功后，进入“供应商投标”环节，投递盖章扫描版电子标书（包含资质标书、商务标书），若逾期未在中国重汽e采通平台上传电子标书，即便递交了纸版投标文件，一律视为无效。纸质版投标文件的份数要求为正本一份，资质投标书及商务投标书的同类文件封装在一个包封里，包封表面按照附件13标注文件信息；共计二个包封。如选择到场参与开标，自行携带纸质投标文件于开标前至开标地点即可。如选择线上参与开标，纸质投标文件需在开标日前两天，邮寄到指定地址。</w:t>
      </w:r>
    </w:p>
    <w:p>
      <w:pPr>
        <w:pStyle w:val="78"/>
        <w:numPr>
          <w:ilvl w:val="0"/>
          <w:numId w:val="0"/>
        </w:numPr>
        <w:rPr>
          <w:bCs/>
          <w:highlight w:val="yellow"/>
        </w:rPr>
      </w:pPr>
      <w:r>
        <w:rPr>
          <w:rFonts w:hint="eastAsia"/>
          <w:bCs/>
          <w:highlight w:val="yellow"/>
        </w:rPr>
        <w:t>2.邮寄地址：山东省济南市历城区华奥路777号</w:t>
      </w:r>
    </w:p>
    <w:p>
      <w:pPr>
        <w:pStyle w:val="78"/>
        <w:numPr>
          <w:ilvl w:val="0"/>
          <w:numId w:val="0"/>
        </w:numPr>
        <w:rPr>
          <w:bCs/>
          <w:highlight w:val="yellow"/>
        </w:rPr>
      </w:pPr>
      <w:r>
        <w:rPr>
          <w:rFonts w:hint="eastAsia"/>
          <w:bCs/>
          <w:highlight w:val="yellow"/>
        </w:rPr>
        <w:t>3.联系人及联系方式：</w:t>
      </w:r>
    </w:p>
    <w:p>
      <w:pPr>
        <w:pStyle w:val="78"/>
        <w:numPr>
          <w:ilvl w:val="0"/>
          <w:numId w:val="0"/>
        </w:numPr>
        <w:rPr>
          <w:bCs/>
        </w:rPr>
      </w:pPr>
      <w:r>
        <w:rPr>
          <w:rFonts w:hint="eastAsia"/>
          <w:bCs/>
          <w:highlight w:val="yellow"/>
        </w:rPr>
        <w:t>4.投标文件递交截止时间：2025年10月2</w:t>
      </w:r>
      <w:r>
        <w:rPr>
          <w:rFonts w:hint="eastAsia"/>
          <w:bCs/>
          <w:highlight w:val="yellow"/>
          <w:lang w:val="en-US" w:eastAsia="zh-CN"/>
        </w:rPr>
        <w:t>7</w:t>
      </w:r>
      <w:r>
        <w:rPr>
          <w:rFonts w:hint="eastAsia"/>
          <w:bCs/>
          <w:highlight w:val="yellow"/>
        </w:rPr>
        <w:t>日</w:t>
      </w:r>
      <w:r>
        <w:rPr>
          <w:rFonts w:hint="eastAsia"/>
          <w:bCs/>
          <w:highlight w:val="yellow"/>
          <w:lang w:val="en-US" w:eastAsia="zh-CN"/>
        </w:rPr>
        <w:t>17</w:t>
      </w:r>
      <w:r>
        <w:rPr>
          <w:rFonts w:hint="eastAsia"/>
          <w:bCs/>
          <w:highlight w:val="yellow"/>
        </w:rPr>
        <w:t>:00:00</w:t>
      </w:r>
    </w:p>
    <w:p>
      <w:pPr>
        <w:pStyle w:val="75"/>
      </w:pPr>
      <w:r>
        <w:rPr>
          <w:rFonts w:hint="eastAsia"/>
        </w:rPr>
        <w:t>开评标</w:t>
      </w:r>
    </w:p>
    <w:p>
      <w:pPr>
        <w:pStyle w:val="75"/>
        <w:numPr>
          <w:ilvl w:val="0"/>
          <w:numId w:val="20"/>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w:t>
      </w:r>
      <w:r>
        <w:rPr>
          <w:rFonts w:hint="eastAsia" w:ascii="宋体" w:hAnsi="宋体" w:eastAsia="宋体" w:cs="宋体"/>
          <w:b w:val="0"/>
          <w:bCs w:val="0"/>
          <w:sz w:val="21"/>
          <w:szCs w:val="21"/>
          <w:highlight w:val="yellow"/>
          <w:lang w:val="en-US" w:eastAsia="zh-CN"/>
        </w:rPr>
        <w:t>2025年10月28日9：00</w:t>
      </w:r>
    </w:p>
    <w:p>
      <w:pPr>
        <w:pStyle w:val="75"/>
        <w:numPr>
          <w:ilvl w:val="0"/>
          <w:numId w:val="20"/>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w:t>
      </w:r>
      <w:r>
        <w:rPr>
          <w:rFonts w:hint="eastAsia" w:ascii="宋体" w:hAnsi="宋体" w:eastAsia="宋体" w:cs="宋体"/>
          <w:b w:val="0"/>
          <w:bCs w:val="0"/>
          <w:sz w:val="21"/>
          <w:szCs w:val="21"/>
          <w:highlight w:val="yellow"/>
          <w:lang w:val="en-US" w:eastAsia="zh-CN"/>
        </w:rPr>
        <w:t>重汽科技大厦3楼会议室</w:t>
      </w:r>
    </w:p>
    <w:p>
      <w:pPr>
        <w:pStyle w:val="75"/>
        <w:numPr>
          <w:ilvl w:val="0"/>
          <w:numId w:val="20"/>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开标方式：现场招标</w:t>
      </w:r>
    </w:p>
    <w:p>
      <w:pPr>
        <w:numPr>
          <w:ilvl w:val="0"/>
          <w:numId w:val="21"/>
        </w:numPr>
        <w:spacing w:line="360" w:lineRule="auto"/>
        <w:ind w:left="11" w:firstLine="0"/>
        <w:rPr>
          <w:rFonts w:ascii="宋体" w:hAnsi="宋体" w:cs="宋体"/>
          <w:color w:val="000000"/>
          <w:szCs w:val="21"/>
        </w:rPr>
      </w:pPr>
      <w:r>
        <w:rPr>
          <w:rFonts w:hint="eastAsia" w:ascii="宋体" w:hAnsi="Courier New"/>
          <w:bCs/>
        </w:rPr>
        <w:t>现场招</w:t>
      </w:r>
      <w:r>
        <w:rPr>
          <w:rFonts w:hint="eastAsia" w:ascii="宋体" w:hAnsi="宋体" w:cs="宋体"/>
          <w:szCs w:val="21"/>
        </w:rPr>
        <w:t>标：</w:t>
      </w:r>
      <w:r>
        <w:rPr>
          <w:rFonts w:hint="eastAsia" w:ascii="宋体" w:hAnsi="宋体" w:cs="宋体"/>
          <w:color w:val="000000"/>
          <w:szCs w:val="21"/>
        </w:rPr>
        <w:t>原则上来现场参与开标。如因特殊情况无法现场参与，需在开标前三日，通知招标人，由招标人创建视频链接，并在报名结束后统一通知。</w:t>
      </w:r>
    </w:p>
    <w:p>
      <w:pPr>
        <w:pStyle w:val="75"/>
        <w:numPr>
          <w:ilvl w:val="0"/>
          <w:numId w:val="20"/>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pPr>
        <w:pStyle w:val="75"/>
        <w:numPr>
          <w:ilvl w:val="0"/>
          <w:numId w:val="22"/>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pPr>
        <w:pStyle w:val="78"/>
        <w:numPr>
          <w:ilvl w:val="0"/>
          <w:numId w:val="18"/>
        </w:numPr>
        <w:ind w:left="10" w:firstLine="0"/>
        <w:rPr>
          <w:bCs/>
        </w:rPr>
      </w:pPr>
      <w:r>
        <w:rPr>
          <w:rFonts w:hint="eastAsia"/>
          <w:bCs/>
        </w:rPr>
        <w:t>评标方法（合理最低价中标）</w:t>
      </w:r>
    </w:p>
    <w:p>
      <w:pPr>
        <w:pStyle w:val="75"/>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pPr>
        <w:pStyle w:val="75"/>
        <w:numPr>
          <w:ilvl w:val="0"/>
          <w:numId w:val="22"/>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pPr>
        <w:numPr>
          <w:ilvl w:val="0"/>
          <w:numId w:val="23"/>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按照第一部分第四条投标文件编制资格证明文件中的1.1-1.9准备资料，上传完毕后，等待审核</w:t>
      </w:r>
      <w:r>
        <w:rPr>
          <w:rFonts w:hint="eastAsia" w:ascii="宋体" w:hAnsi="宋体" w:cs="宋体"/>
          <w:b/>
          <w:color w:val="000000"/>
          <w:szCs w:val="21"/>
        </w:rPr>
        <w:t>；</w:t>
      </w:r>
    </w:p>
    <w:p>
      <w:pPr>
        <w:numPr>
          <w:ilvl w:val="0"/>
          <w:numId w:val="23"/>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通过应标资格审查的单位进入投标环节，按照“SRM系统供应商用户手册”，在重汽e采通平台投递电子标书（包含资质标、商务标）；没有通过应标资质审查的单位不能进入投标环节；</w:t>
      </w:r>
    </w:p>
    <w:p>
      <w:pPr>
        <w:numPr>
          <w:ilvl w:val="0"/>
          <w:numId w:val="23"/>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资质标评审：资质标审核通过的单位，可以进入商务标环节；</w:t>
      </w:r>
    </w:p>
    <w:p>
      <w:pPr>
        <w:numPr>
          <w:ilvl w:val="0"/>
          <w:numId w:val="23"/>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pPr>
        <w:pStyle w:val="78"/>
        <w:numPr>
          <w:ilvl w:val="0"/>
          <w:numId w:val="18"/>
        </w:numPr>
        <w:ind w:left="10" w:firstLine="0"/>
        <w:rPr>
          <w:rFonts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pPr>
        <w:pStyle w:val="75"/>
      </w:pPr>
      <w:r>
        <w:rPr>
          <w:rFonts w:hint="eastAsia"/>
        </w:rPr>
        <w:t>定标</w:t>
      </w:r>
    </w:p>
    <w:p>
      <w:pPr>
        <w:pStyle w:val="75"/>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75"/>
      </w:pPr>
      <w:r>
        <w:rPr>
          <w:rFonts w:hint="eastAsia"/>
        </w:rPr>
        <w:t>废标及终止招标</w:t>
      </w:r>
    </w:p>
    <w:p>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pPr>
        <w:pStyle w:val="16"/>
        <w:spacing w:line="360" w:lineRule="auto"/>
        <w:ind w:left="425" w:hanging="425"/>
        <w:rPr>
          <w:rFonts w:hAnsi="宋体" w:cs="宋体"/>
          <w:szCs w:val="21"/>
        </w:rPr>
      </w:pPr>
      <w:r>
        <w:rPr>
          <w:rFonts w:hAnsi="宋体" w:cs="宋体"/>
          <w:szCs w:val="21"/>
        </w:rPr>
        <w:t>(</w:t>
      </w:r>
      <w:r>
        <w:rPr>
          <w:rFonts w:hint="eastAsia" w:hAnsi="宋体" w:cs="宋体"/>
          <w:szCs w:val="21"/>
        </w:rPr>
        <w:t>4</w:t>
      </w:r>
      <w:r>
        <w:rPr>
          <w:rFonts w:hAnsi="宋体" w:cs="宋体"/>
          <w:szCs w:val="21"/>
        </w:rPr>
        <w:t>)</w:t>
      </w:r>
      <w:r>
        <w:rPr>
          <w:rFonts w:hint="eastAsia" w:hAnsi="宋体" w:cs="宋体"/>
          <w:color w:val="000000"/>
          <w:szCs w:val="21"/>
        </w:rPr>
        <w:t>投标人被举报、检举，并经招标人查实无误的；</w:t>
      </w:r>
    </w:p>
    <w:p>
      <w:pPr>
        <w:spacing w:line="360" w:lineRule="auto"/>
        <w:ind w:left="425" w:right="2" w:hanging="425"/>
        <w:rPr>
          <w:rFonts w:ascii="宋体" w:hAnsi="宋体" w:cs="宋体"/>
          <w:color w:val="000000"/>
          <w:szCs w:val="21"/>
        </w:rPr>
      </w:pPr>
      <w:r>
        <w:rPr>
          <w:rFonts w:ascii="宋体" w:hAnsi="宋体" w:cs="宋体"/>
          <w:color w:val="000000"/>
          <w:szCs w:val="21"/>
        </w:rPr>
        <w:t>(</w:t>
      </w:r>
      <w:r>
        <w:rPr>
          <w:rFonts w:hint="eastAsia" w:ascii="宋体" w:hAnsi="宋体" w:cs="宋体"/>
          <w:color w:val="000000"/>
          <w:szCs w:val="21"/>
        </w:rPr>
        <w:t>5</w:t>
      </w:r>
      <w:r>
        <w:rPr>
          <w:rFonts w:ascii="宋体" w:hAnsi="宋体" w:cs="宋体"/>
          <w:color w:val="000000"/>
          <w:szCs w:val="21"/>
        </w:rPr>
        <w:t>)</w:t>
      </w:r>
      <w:r>
        <w:rPr>
          <w:rFonts w:hint="eastAsia" w:ascii="宋体" w:hAnsi="宋体" w:cs="宋体"/>
          <w:color w:val="000000"/>
          <w:szCs w:val="21"/>
        </w:rPr>
        <w:t>以他人名义投标或者以其他方式弄虚作假，骗取中标的；</w:t>
      </w:r>
    </w:p>
    <w:p>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6</w:t>
      </w:r>
      <w:r>
        <w:rPr>
          <w:rFonts w:ascii="宋体" w:hAnsi="宋体" w:cs="宋体"/>
          <w:szCs w:val="21"/>
        </w:rPr>
        <w:t>)</w:t>
      </w:r>
      <w:r>
        <w:rPr>
          <w:rFonts w:hint="eastAsia" w:ascii="宋体" w:hAnsi="宋体" w:cs="宋体"/>
          <w:szCs w:val="21"/>
        </w:rPr>
        <w:t>不同投标人的投标文件异常一致或者投标报价呈规律性差异的；</w:t>
      </w:r>
    </w:p>
    <w:p>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7</w:t>
      </w:r>
      <w:r>
        <w:rPr>
          <w:rFonts w:ascii="宋体" w:hAnsi="宋体" w:cs="宋体"/>
          <w:szCs w:val="21"/>
        </w:rPr>
        <w:t>)</w:t>
      </w:r>
      <w:r>
        <w:rPr>
          <w:rFonts w:hint="eastAsia" w:ascii="宋体" w:hAnsi="宋体" w:cs="宋体"/>
          <w:szCs w:val="21"/>
        </w:rPr>
        <w:t>投标人报价均超过最高限价的；</w:t>
      </w:r>
    </w:p>
    <w:p>
      <w:pPr>
        <w:spacing w:line="360" w:lineRule="auto"/>
        <w:ind w:left="425" w:right="2" w:hanging="425"/>
        <w:rPr>
          <w:rFonts w:ascii="宋体" w:hAnsi="宋体" w:cs="宋体"/>
          <w:color w:val="000000"/>
          <w:szCs w:val="21"/>
        </w:rPr>
      </w:pPr>
      <w:r>
        <w:rPr>
          <w:rFonts w:ascii="宋体" w:hAnsi="宋体" w:cs="宋体"/>
          <w:color w:val="000000"/>
          <w:szCs w:val="21"/>
        </w:rPr>
        <w:t>(</w:t>
      </w:r>
      <w:r>
        <w:rPr>
          <w:rFonts w:hint="eastAsia" w:ascii="宋体" w:hAnsi="宋体" w:cs="宋体"/>
          <w:color w:val="000000"/>
          <w:szCs w:val="21"/>
        </w:rPr>
        <w:t>8</w:t>
      </w:r>
      <w:r>
        <w:rPr>
          <w:rFonts w:ascii="宋体" w:hAnsi="宋体" w:cs="宋体"/>
          <w:color w:val="000000"/>
          <w:szCs w:val="21"/>
        </w:rPr>
        <w:t>)</w:t>
      </w:r>
      <w:r>
        <w:rPr>
          <w:rFonts w:hint="eastAsia" w:ascii="宋体" w:hAnsi="宋体" w:cs="宋体"/>
          <w:color w:val="000000"/>
          <w:szCs w:val="21"/>
        </w:rPr>
        <w:t>未按要求填报商务报价资料，对招标开展造成较大影响；</w:t>
      </w:r>
    </w:p>
    <w:p>
      <w:pPr>
        <w:spacing w:line="360" w:lineRule="auto"/>
        <w:ind w:left="425" w:right="2" w:hanging="425"/>
        <w:rPr>
          <w:rFonts w:ascii="宋体" w:hAnsi="宋体" w:cs="宋体"/>
          <w:color w:val="000000"/>
          <w:szCs w:val="21"/>
        </w:rPr>
      </w:pPr>
      <w:r>
        <w:rPr>
          <w:rFonts w:ascii="宋体" w:hAnsi="宋体" w:cs="宋体"/>
          <w:color w:val="000000"/>
          <w:szCs w:val="21"/>
        </w:rPr>
        <w:t>(</w:t>
      </w:r>
      <w:r>
        <w:rPr>
          <w:rFonts w:hint="eastAsia" w:ascii="宋体" w:hAnsi="宋体" w:cs="宋体"/>
          <w:color w:val="000000"/>
          <w:szCs w:val="21"/>
        </w:rPr>
        <w:t>9</w:t>
      </w:r>
      <w:r>
        <w:rPr>
          <w:rFonts w:ascii="宋体" w:hAnsi="宋体" w:cs="宋体"/>
          <w:color w:val="000000"/>
          <w:szCs w:val="21"/>
        </w:rPr>
        <w:t>)</w:t>
      </w:r>
      <w:r>
        <w:rPr>
          <w:rFonts w:hint="eastAsia" w:ascii="宋体" w:hAnsi="宋体" w:cs="宋体"/>
          <w:szCs w:val="21"/>
        </w:rPr>
        <w:t>未按照招标人规定的时间内在中国重汽e采通完成投标的；</w:t>
      </w:r>
    </w:p>
    <w:p>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0</w:t>
      </w:r>
      <w:r>
        <w:rPr>
          <w:rFonts w:ascii="宋体" w:hAnsi="宋体" w:cs="宋体"/>
          <w:color w:val="000000"/>
          <w:szCs w:val="21"/>
        </w:rPr>
        <w:t>)</w:t>
      </w:r>
      <w:r>
        <w:rPr>
          <w:rFonts w:hint="eastAsia" w:ascii="宋体" w:hAnsi="宋体" w:cs="宋体"/>
          <w:color w:val="000000"/>
          <w:szCs w:val="21"/>
        </w:rPr>
        <w:t>法律、法规规定的其他情况。</w:t>
      </w:r>
    </w:p>
    <w:p>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出现影响采购公正的违法、违规行为的；</w:t>
      </w:r>
    </w:p>
    <w:p>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2</w:t>
      </w:r>
      <w:r>
        <w:rPr>
          <w:rFonts w:ascii="宋体" w:hAnsi="宋体" w:cs="宋体"/>
          <w:bCs/>
          <w:szCs w:val="21"/>
        </w:rPr>
        <w:t>)</w:t>
      </w:r>
      <w:r>
        <w:rPr>
          <w:rFonts w:hint="eastAsia" w:ascii="宋体" w:hAnsi="宋体" w:cs="宋体"/>
          <w:bCs/>
          <w:szCs w:val="21"/>
        </w:rPr>
        <w:t>评标委员会经评审，认为所有投标都不符合招标文件要求的；</w:t>
      </w:r>
    </w:p>
    <w:p>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因重大变故，采购任务取消的</w:t>
      </w:r>
      <w:bookmarkStart w:id="7" w:name="OLE_LINK28"/>
      <w:bookmarkStart w:id="8" w:name="OLE_LINK26"/>
      <w:bookmarkStart w:id="9" w:name="OLE_LINK27"/>
      <w:bookmarkStart w:id="10" w:name="OLE_LINK29"/>
      <w:bookmarkStart w:id="11" w:name="OLE_LINK25"/>
      <w:r>
        <w:rPr>
          <w:rFonts w:hint="eastAsia" w:ascii="宋体" w:hAnsi="宋体" w:cs="宋体"/>
          <w:bCs/>
          <w:szCs w:val="21"/>
        </w:rPr>
        <w:t>；</w:t>
      </w:r>
      <w:bookmarkEnd w:id="7"/>
      <w:bookmarkEnd w:id="8"/>
      <w:bookmarkEnd w:id="9"/>
      <w:bookmarkEnd w:id="10"/>
      <w:bookmarkEnd w:id="11"/>
    </w:p>
    <w:p>
      <w:pPr>
        <w:pStyle w:val="16"/>
        <w:spacing w:line="360" w:lineRule="auto"/>
        <w:ind w:left="425" w:hanging="425"/>
        <w:rPr>
          <w:rFonts w:hAnsi="宋体" w:cs="宋体"/>
          <w:bCs/>
          <w:szCs w:val="21"/>
        </w:rPr>
      </w:pPr>
      <w:r>
        <w:rPr>
          <w:rFonts w:hAnsi="宋体" w:cs="宋体"/>
          <w:bCs/>
          <w:szCs w:val="21"/>
        </w:rPr>
        <w:t>(</w:t>
      </w:r>
      <w:r>
        <w:rPr>
          <w:rFonts w:hint="eastAsia" w:hAnsi="宋体" w:cs="宋体"/>
          <w:bCs/>
          <w:szCs w:val="21"/>
        </w:rPr>
        <w:t>4</w:t>
      </w:r>
      <w:r>
        <w:rPr>
          <w:rFonts w:hAnsi="宋体" w:cs="宋体"/>
          <w:bCs/>
          <w:szCs w:val="21"/>
        </w:rPr>
        <w:t>)</w:t>
      </w:r>
      <w:r>
        <w:rPr>
          <w:rFonts w:hint="eastAsia" w:hAnsi="宋体" w:cs="宋体"/>
          <w:bCs/>
          <w:szCs w:val="21"/>
        </w:rPr>
        <w:t>招标人认为其他应终止招标的情形。</w:t>
      </w:r>
    </w:p>
    <w:p>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5"/>
      </w:pPr>
      <w:r>
        <w:rPr>
          <w:rFonts w:hint="eastAsia"/>
        </w:rPr>
        <w:t>合同签订</w:t>
      </w:r>
    </w:p>
    <w:p>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pPr>
        <w:spacing w:line="360" w:lineRule="auto"/>
        <w:rPr>
          <w:rFonts w:ascii="宋体" w:hAnsi="宋体" w:cs="宋体"/>
          <w:color w:val="000000"/>
          <w:szCs w:val="21"/>
        </w:rPr>
      </w:pPr>
      <w:r>
        <w:rPr>
          <w:rFonts w:hint="eastAsia" w:ascii="宋体" w:hAnsi="宋体" w:cs="宋体"/>
          <w:b/>
          <w:szCs w:val="21"/>
        </w:rPr>
        <w:t>5.合同以双方最终签署的版本为准。</w:t>
      </w:r>
    </w:p>
    <w:p>
      <w:pPr>
        <w:pStyle w:val="75"/>
      </w:pPr>
      <w:r>
        <w:rPr>
          <w:rFonts w:hint="eastAsia"/>
        </w:rPr>
        <w:t>交货及付款</w:t>
      </w:r>
    </w:p>
    <w:p>
      <w:pPr>
        <w:pStyle w:val="75"/>
        <w:numPr>
          <w:ilvl w:val="0"/>
          <w:numId w:val="24"/>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交货期： 自合同签定生效之日起1日内，中标人为招标人所提供的BIN报表平台运维服务。</w:t>
      </w:r>
    </w:p>
    <w:p>
      <w:pPr>
        <w:pStyle w:val="75"/>
        <w:numPr>
          <w:ilvl w:val="0"/>
          <w:numId w:val="24"/>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交货地点：在线。</w:t>
      </w:r>
    </w:p>
    <w:p>
      <w:pPr>
        <w:pStyle w:val="75"/>
        <w:numPr>
          <w:ilvl w:val="0"/>
          <w:numId w:val="24"/>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交货方式：在线交付</w:t>
      </w:r>
    </w:p>
    <w:p>
      <w:pPr>
        <w:pStyle w:val="75"/>
        <w:numPr>
          <w:ilvl w:val="0"/>
          <w:numId w:val="24"/>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付款方式：</w:t>
      </w:r>
    </w:p>
    <w:p>
      <w:pPr>
        <w:pStyle w:val="75"/>
        <w:numPr>
          <w:ilvl w:val="0"/>
          <w:numId w:val="25"/>
        </w:numPr>
        <w:tabs>
          <w:tab w:val="clear" w:pos="-108"/>
        </w:tabs>
        <w:ind w:left="59"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银行承兑；</w:t>
      </w:r>
    </w:p>
    <w:p>
      <w:pPr>
        <w:pStyle w:val="75"/>
        <w:numPr>
          <w:ilvl w:val="0"/>
          <w:numId w:val="0"/>
        </w:numPr>
        <w:ind w:left="425" w:hanging="425"/>
        <w:rPr>
          <w:rFonts w:ascii="宋体" w:hAnsi="宋体" w:eastAsia="宋体" w:cs="宋体"/>
          <w:b w:val="0"/>
          <w:bCs w:val="0"/>
          <w:sz w:val="21"/>
          <w:szCs w:val="21"/>
        </w:rPr>
      </w:pPr>
      <w:r>
        <w:rPr>
          <w:rFonts w:hint="eastAsia" w:ascii="宋体" w:hAnsi="宋体" w:eastAsia="宋体" w:cs="宋体"/>
          <w:b w:val="0"/>
          <w:bCs w:val="0"/>
          <w:sz w:val="21"/>
          <w:szCs w:val="21"/>
        </w:rPr>
        <w:t>5</w:t>
      </w:r>
      <w:r>
        <w:rPr>
          <w:rFonts w:ascii="宋体" w:hAnsi="宋体" w:eastAsia="宋体" w:cs="宋体"/>
          <w:b w:val="0"/>
          <w:bCs w:val="0"/>
          <w:sz w:val="21"/>
          <w:szCs w:val="21"/>
          <w:highlight w:val="yellow"/>
        </w:rPr>
        <w:t>.</w:t>
      </w:r>
      <w:r>
        <w:rPr>
          <w:rFonts w:hint="eastAsia" w:ascii="宋体" w:hAnsi="宋体" w:eastAsia="宋体" w:cs="宋体"/>
          <w:b w:val="0"/>
          <w:bCs w:val="0"/>
          <w:sz w:val="21"/>
          <w:szCs w:val="21"/>
          <w:highlight w:val="yellow"/>
        </w:rPr>
        <w:t>付款节点：</w:t>
      </w:r>
    </w:p>
    <w:p>
      <w:pPr>
        <w:spacing w:line="360" w:lineRule="auto"/>
        <w:rPr>
          <w:rFonts w:ascii="宋体" w:hAnsi="宋体" w:cs="宋体"/>
          <w:szCs w:val="21"/>
          <w:highlight w:val="yellow"/>
        </w:rPr>
      </w:pPr>
      <w:r>
        <w:rPr>
          <w:rFonts w:hint="eastAsia" w:ascii="宋体" w:hAnsi="宋体" w:cs="宋体"/>
          <w:szCs w:val="21"/>
          <w:highlight w:val="yellow"/>
        </w:rPr>
        <w:t>5.1中标人</w:t>
      </w:r>
      <w:r>
        <w:rPr>
          <w:rFonts w:hint="eastAsia" w:ascii="宋体" w:hAnsi="宋体" w:cs="宋体"/>
          <w:color w:val="000000"/>
          <w:szCs w:val="21"/>
        </w:rPr>
        <w:t>按项目节点提供工作量完成证明（方案、实施完成、验收等阶段材料证明）。合同签订且蓝图经甲方确认后，中标人向招标人提供发票，招标人在收到发票后</w:t>
      </w:r>
      <w:r>
        <w:rPr>
          <w:rFonts w:ascii="宋体" w:hAnsi="宋体" w:cs="宋体"/>
          <w:color w:val="000000"/>
          <w:szCs w:val="21"/>
        </w:rPr>
        <w:t>30</w:t>
      </w:r>
      <w:r>
        <w:rPr>
          <w:rFonts w:hint="eastAsia" w:ascii="宋体" w:hAnsi="宋体" w:cs="宋体"/>
          <w:color w:val="000000"/>
          <w:szCs w:val="21"/>
        </w:rPr>
        <w:t>日内，向中标人支付本合同总金额的</w:t>
      </w:r>
      <w:r>
        <w:rPr>
          <w:rFonts w:ascii="宋体" w:hAnsi="宋体" w:cs="宋体"/>
          <w:color w:val="000000"/>
          <w:szCs w:val="21"/>
        </w:rPr>
        <w:t xml:space="preserve"> 30%</w:t>
      </w:r>
      <w:r>
        <w:rPr>
          <w:rFonts w:hint="eastAsia" w:ascii="宋体" w:hAnsi="宋体" w:cs="宋体"/>
          <w:color w:val="000000"/>
          <w:szCs w:val="21"/>
        </w:rPr>
        <w:t>；</w:t>
      </w:r>
      <w:r>
        <w:rPr>
          <w:rFonts w:ascii="宋体" w:hAnsi="宋体" w:cs="宋体"/>
          <w:color w:val="000000"/>
          <w:szCs w:val="21"/>
        </w:rPr>
        <w:tab/>
      </w:r>
      <w:r>
        <w:rPr>
          <w:rFonts w:hint="eastAsia" w:ascii="宋体" w:hAnsi="宋体" w:cs="宋体"/>
          <w:color w:val="000000"/>
          <w:szCs w:val="21"/>
        </w:rPr>
        <w:t>中标人完成项目解决方案并经招标人签字确认合格后，中标人向招标人提供发票，招标人在收到发票后</w:t>
      </w:r>
      <w:r>
        <w:rPr>
          <w:rFonts w:ascii="宋体" w:hAnsi="宋体" w:cs="宋体"/>
          <w:color w:val="000000"/>
          <w:szCs w:val="21"/>
        </w:rPr>
        <w:t>30</w:t>
      </w:r>
      <w:r>
        <w:rPr>
          <w:rFonts w:hint="eastAsia" w:ascii="宋体" w:hAnsi="宋体" w:cs="宋体"/>
          <w:color w:val="000000"/>
          <w:szCs w:val="21"/>
        </w:rPr>
        <w:t>日内，向中标人支付本合同总金额的</w:t>
      </w:r>
      <w:r>
        <w:rPr>
          <w:rFonts w:ascii="宋体" w:hAnsi="宋体" w:cs="宋体"/>
          <w:color w:val="000000"/>
          <w:szCs w:val="21"/>
        </w:rPr>
        <w:t xml:space="preserve"> </w:t>
      </w:r>
      <w:r>
        <w:rPr>
          <w:rFonts w:hint="eastAsia" w:ascii="宋体" w:hAnsi="宋体" w:cs="宋体"/>
          <w:color w:val="000000"/>
          <w:szCs w:val="21"/>
        </w:rPr>
        <w:t>6</w:t>
      </w:r>
      <w:r>
        <w:rPr>
          <w:rFonts w:ascii="宋体" w:hAnsi="宋体" w:cs="宋体"/>
          <w:color w:val="000000"/>
          <w:szCs w:val="21"/>
        </w:rPr>
        <w:t>0%</w:t>
      </w:r>
      <w:r>
        <w:rPr>
          <w:rFonts w:hint="eastAsia" w:ascii="宋体" w:hAnsi="宋体" w:cs="宋体"/>
          <w:color w:val="000000"/>
          <w:szCs w:val="21"/>
        </w:rPr>
        <w:t>；</w:t>
      </w:r>
      <w:r>
        <w:rPr>
          <w:rFonts w:ascii="宋体" w:hAnsi="宋体" w:cs="宋体"/>
          <w:color w:val="000000"/>
          <w:szCs w:val="21"/>
        </w:rPr>
        <w:tab/>
      </w:r>
      <w:r>
        <w:rPr>
          <w:rFonts w:hint="eastAsia" w:ascii="宋体" w:hAnsi="宋体" w:cs="宋体"/>
          <w:color w:val="000000"/>
          <w:szCs w:val="21"/>
        </w:rPr>
        <w:t>项目验收合格结束后，经招标人签字确认合格后，乙方向甲方提供发票，中标人向招标人提供发票，招标人在收到发票后</w:t>
      </w:r>
      <w:r>
        <w:rPr>
          <w:rFonts w:ascii="宋体" w:hAnsi="宋体" w:cs="宋体"/>
          <w:color w:val="000000"/>
          <w:szCs w:val="21"/>
        </w:rPr>
        <w:t>30</w:t>
      </w:r>
      <w:r>
        <w:rPr>
          <w:rFonts w:hint="eastAsia" w:ascii="宋体" w:hAnsi="宋体" w:cs="宋体"/>
          <w:color w:val="000000"/>
          <w:szCs w:val="21"/>
        </w:rPr>
        <w:t>日内，向中标人支付本合同总金额的</w:t>
      </w:r>
      <w:r>
        <w:rPr>
          <w:rFonts w:ascii="宋体" w:hAnsi="宋体" w:cs="宋体"/>
          <w:color w:val="000000"/>
          <w:szCs w:val="21"/>
        </w:rPr>
        <w:t xml:space="preserve"> </w:t>
      </w:r>
      <w:r>
        <w:rPr>
          <w:rFonts w:hint="eastAsia" w:ascii="宋体" w:hAnsi="宋体" w:cs="宋体"/>
          <w:color w:val="000000"/>
          <w:szCs w:val="21"/>
        </w:rPr>
        <w:t>10</w:t>
      </w:r>
      <w:r>
        <w:rPr>
          <w:rFonts w:ascii="宋体" w:hAnsi="宋体" w:cs="宋体"/>
          <w:color w:val="000000"/>
          <w:szCs w:val="21"/>
        </w:rPr>
        <w:t>%</w:t>
      </w:r>
      <w:r>
        <w:rPr>
          <w:rFonts w:hint="eastAsia" w:ascii="宋体" w:hAnsi="宋体" w:cs="宋体"/>
          <w:color w:val="000000"/>
          <w:szCs w:val="21"/>
        </w:rPr>
        <w:t>。如出现质量等问题，扣除相应金额。</w:t>
      </w:r>
    </w:p>
    <w:p>
      <w:pPr>
        <w:pStyle w:val="75"/>
      </w:pPr>
      <w:r>
        <w:rPr>
          <w:rFonts w:hint="eastAsia"/>
        </w:rPr>
        <w:t>本次招标最终解释权归中国重汽集团济南动力有限公司。</w:t>
      </w:r>
    </w:p>
    <w:p>
      <w:bookmarkStart w:id="12" w:name="_Toc1910"/>
      <w:r>
        <w:rPr>
          <w:rFonts w:hint="eastAsia"/>
        </w:rPr>
        <w:br w:type="page"/>
      </w:r>
      <w:bookmarkEnd w:id="0"/>
      <w:bookmarkEnd w:id="12"/>
      <w:bookmarkStart w:id="13" w:name="_Toc47976609"/>
    </w:p>
    <w:p>
      <w:pPr>
        <w:pStyle w:val="74"/>
      </w:pPr>
      <w:bookmarkStart w:id="14" w:name="_Toc23631"/>
      <w:r>
        <w:rPr>
          <w:rFonts w:hint="eastAsia"/>
        </w:rPr>
        <w:t>第二部分　合同主要条款</w:t>
      </w:r>
      <w:bookmarkEnd w:id="13"/>
      <w:bookmarkEnd w:id="14"/>
    </w:p>
    <w:p>
      <w:pPr>
        <w:pStyle w:val="118"/>
        <w:spacing w:after="0" w:line="360" w:lineRule="auto"/>
        <w:ind w:right="-71" w:rightChars="-34" w:firstLine="643" w:firstLineChars="200"/>
        <w:rPr>
          <w:rFonts w:ascii="宋体" w:hAnsi="宋体"/>
        </w:rPr>
      </w:pPr>
      <w:r>
        <w:rPr>
          <w:rFonts w:hint="eastAsia"/>
        </w:rPr>
        <w:t>2025-2026年度BI-N报表平台运维</w:t>
      </w:r>
      <w:r>
        <w:rPr>
          <w:rFonts w:hint="eastAsia" w:ascii="宋体" w:hAnsi="宋体"/>
        </w:rPr>
        <w:t>项目实施服务合同</w:t>
      </w:r>
    </w:p>
    <w:p>
      <w:pPr>
        <w:pStyle w:val="116"/>
        <w:tabs>
          <w:tab w:val="left" w:pos="1050"/>
        </w:tabs>
        <w:ind w:right="-71" w:rightChars="-34" w:firstLine="480"/>
        <w:jc w:val="left"/>
        <w:rPr>
          <w:rFonts w:ascii="宋体" w:hAnsi="宋体"/>
          <w:sz w:val="24"/>
          <w:szCs w:val="24"/>
        </w:rPr>
      </w:pPr>
      <w:r>
        <w:rPr>
          <w:rFonts w:hint="eastAsia" w:ascii="宋体" w:hAnsi="宋体"/>
          <w:sz w:val="24"/>
          <w:szCs w:val="24"/>
        </w:rPr>
        <w:t>本合同甲方委托乙方实施2025-2026年度BI-N报表平台运维项目，并提供服务支持，乙方接受委托并进行此项目开发及实施工作。双方经过平等协商，在真实、充分地表达各自意愿的基础上，根据相关法律法规的规定，达成如下协议，并由双方共同恪守。</w:t>
      </w:r>
    </w:p>
    <w:p>
      <w:pPr>
        <w:pStyle w:val="115"/>
        <w:tabs>
          <w:tab w:val="left" w:pos="1050"/>
        </w:tabs>
        <w:ind w:left="420" w:right="-71" w:rightChars="-34" w:firstLine="480"/>
        <w:jc w:val="left"/>
        <w:rPr>
          <w:rFonts w:ascii="宋体" w:hAnsi="宋体"/>
          <w:sz w:val="24"/>
          <w:szCs w:val="24"/>
        </w:rPr>
      </w:pPr>
      <w:r>
        <w:rPr>
          <w:rFonts w:hint="eastAsia" w:ascii="宋体" w:hAnsi="宋体"/>
          <w:sz w:val="24"/>
          <w:szCs w:val="24"/>
        </w:rPr>
        <w:t>实施服务要求</w:t>
      </w:r>
    </w:p>
    <w:p>
      <w:pPr>
        <w:pStyle w:val="116"/>
        <w:numPr>
          <w:ilvl w:val="0"/>
          <w:numId w:val="26"/>
        </w:numPr>
        <w:tabs>
          <w:tab w:val="left" w:pos="0"/>
          <w:tab w:val="left" w:pos="993"/>
          <w:tab w:val="left" w:pos="1134"/>
        </w:tabs>
        <w:ind w:right="-71" w:rightChars="-34" w:firstLineChars="0"/>
        <w:jc w:val="left"/>
        <w:rPr>
          <w:rFonts w:ascii="宋体" w:hAnsi="宋体"/>
          <w:sz w:val="24"/>
          <w:szCs w:val="24"/>
        </w:rPr>
      </w:pPr>
      <w:r>
        <w:rPr>
          <w:rFonts w:hint="eastAsia" w:ascii="宋体" w:hAnsi="宋体"/>
          <w:sz w:val="24"/>
          <w:szCs w:val="24"/>
        </w:rPr>
        <w:t>合同履行过程中须遵守国家、行业及施工方案、技术规范规定的相关标准。</w:t>
      </w:r>
    </w:p>
    <w:p>
      <w:pPr>
        <w:pStyle w:val="116"/>
        <w:numPr>
          <w:ilvl w:val="0"/>
          <w:numId w:val="26"/>
        </w:numPr>
        <w:tabs>
          <w:tab w:val="left" w:pos="0"/>
          <w:tab w:val="left" w:pos="993"/>
          <w:tab w:val="left" w:pos="1134"/>
        </w:tabs>
        <w:ind w:right="-71" w:rightChars="-34" w:firstLineChars="0"/>
        <w:jc w:val="left"/>
        <w:rPr>
          <w:rFonts w:ascii="宋体" w:hAnsi="宋体"/>
          <w:sz w:val="24"/>
          <w:szCs w:val="24"/>
        </w:rPr>
      </w:pPr>
      <w:r>
        <w:rPr>
          <w:rFonts w:hint="eastAsia" w:ascii="宋体" w:hAnsi="宋体"/>
          <w:sz w:val="24"/>
          <w:szCs w:val="24"/>
        </w:rPr>
        <w:t>项目实施服务过程中须遵循甲方相关的管理、技术标准。</w:t>
      </w:r>
    </w:p>
    <w:p>
      <w:pPr>
        <w:pStyle w:val="116"/>
        <w:tabs>
          <w:tab w:val="left" w:pos="0"/>
        </w:tabs>
        <w:ind w:right="-71" w:rightChars="-34" w:firstLine="480"/>
        <w:jc w:val="left"/>
        <w:rPr>
          <w:rFonts w:ascii="宋体" w:hAnsi="宋体"/>
          <w:b/>
          <w:sz w:val="24"/>
          <w:szCs w:val="24"/>
        </w:rPr>
      </w:pPr>
      <w:r>
        <w:rPr>
          <w:rFonts w:ascii="宋体" w:hAnsi="宋体"/>
          <w:sz w:val="24"/>
          <w:szCs w:val="24"/>
        </w:rPr>
        <w:t>3</w:t>
      </w:r>
      <w:r>
        <w:rPr>
          <w:rFonts w:hint="eastAsia" w:ascii="宋体" w:hAnsi="宋体"/>
          <w:sz w:val="24"/>
          <w:szCs w:val="24"/>
        </w:rPr>
        <w:t>、项目验收标准最终以双方认定的《 项目工作说明书</w:t>
      </w:r>
      <w:r>
        <w:rPr>
          <w:rFonts w:ascii="宋体" w:hAnsi="宋体"/>
          <w:sz w:val="24"/>
          <w:szCs w:val="24"/>
        </w:rPr>
        <w:t>》</w:t>
      </w:r>
      <w:r>
        <w:rPr>
          <w:rFonts w:hint="eastAsia" w:ascii="宋体" w:hAnsi="宋体"/>
          <w:sz w:val="24"/>
          <w:szCs w:val="24"/>
        </w:rPr>
        <w:t>（作为本合同的附件，以下简称“工作说明书”）为准。</w:t>
      </w:r>
      <w:r>
        <w:rPr>
          <w:rFonts w:hint="eastAsia" w:ascii="宋体" w:hAnsi="宋体"/>
          <w:b/>
          <w:sz w:val="24"/>
          <w:szCs w:val="24"/>
        </w:rPr>
        <w:t>（注意点：需要在工作说明书中加入按照甲方验收标准组织验收评审）</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双方职责</w:t>
      </w:r>
    </w:p>
    <w:p>
      <w:pPr>
        <w:pStyle w:val="117"/>
        <w:numPr>
          <w:ilvl w:val="0"/>
          <w:numId w:val="27"/>
        </w:numPr>
        <w:tabs>
          <w:tab w:val="left" w:pos="851"/>
        </w:tabs>
        <w:ind w:right="-71" w:rightChars="-34"/>
        <w:rPr>
          <w:rFonts w:ascii="宋体" w:hAnsi="宋体"/>
          <w:sz w:val="24"/>
          <w:szCs w:val="24"/>
        </w:rPr>
      </w:pPr>
      <w:r>
        <w:rPr>
          <w:rFonts w:hint="eastAsia" w:ascii="宋体" w:hAnsi="宋体"/>
          <w:sz w:val="24"/>
          <w:szCs w:val="24"/>
        </w:rPr>
        <w:t>乙方</w:t>
      </w:r>
      <w:r>
        <w:rPr>
          <w:rFonts w:ascii="宋体" w:hAnsi="宋体"/>
          <w:sz w:val="24"/>
          <w:szCs w:val="24"/>
        </w:rPr>
        <w:t>应以审慎尽职的态度</w:t>
      </w:r>
      <w:r>
        <w:rPr>
          <w:rFonts w:hint="eastAsia" w:ascii="宋体" w:hAnsi="宋体"/>
          <w:sz w:val="24"/>
          <w:szCs w:val="24"/>
        </w:rPr>
        <w:t>，严格按照按本合同及其附件规定的要求向甲方</w:t>
      </w:r>
      <w:r>
        <w:rPr>
          <w:rFonts w:ascii="宋体" w:hAnsi="宋体"/>
          <w:sz w:val="24"/>
          <w:szCs w:val="24"/>
        </w:rPr>
        <w:t>提供</w:t>
      </w:r>
      <w:r>
        <w:rPr>
          <w:rFonts w:hint="eastAsia" w:ascii="宋体" w:hAnsi="宋体"/>
          <w:sz w:val="24"/>
          <w:szCs w:val="24"/>
        </w:rPr>
        <w:t>实施</w:t>
      </w:r>
      <w:r>
        <w:rPr>
          <w:rFonts w:ascii="宋体" w:hAnsi="宋体"/>
          <w:sz w:val="24"/>
          <w:szCs w:val="24"/>
        </w:rPr>
        <w:t>服务</w:t>
      </w:r>
      <w:r>
        <w:rPr>
          <w:rFonts w:hint="eastAsia" w:ascii="宋体" w:hAnsi="宋体"/>
          <w:sz w:val="24"/>
          <w:szCs w:val="24"/>
        </w:rPr>
        <w:t>，同时应遵守国家法律、法规和甲方的规章制度和工作纪律。</w:t>
      </w:r>
    </w:p>
    <w:p>
      <w:pPr>
        <w:pStyle w:val="117"/>
        <w:numPr>
          <w:ilvl w:val="0"/>
          <w:numId w:val="27"/>
        </w:numPr>
        <w:tabs>
          <w:tab w:val="left" w:pos="851"/>
        </w:tabs>
        <w:ind w:right="-71" w:rightChars="-34"/>
        <w:rPr>
          <w:rFonts w:ascii="宋体" w:hAnsi="宋体"/>
          <w:sz w:val="24"/>
          <w:szCs w:val="24"/>
        </w:rPr>
      </w:pPr>
      <w:r>
        <w:rPr>
          <w:rFonts w:hint="eastAsia" w:ascii="宋体" w:hAnsi="宋体"/>
          <w:sz w:val="24"/>
          <w:szCs w:val="24"/>
        </w:rPr>
        <w:t>在乙方按照合同及其附件提供实施服务时，甲方应提供必要的办公场所、设备、系统环境。乙方人员在甲方实施服务期间造成的财产和人身损失全部由乙方负责，与甲方无关。</w:t>
      </w:r>
    </w:p>
    <w:p>
      <w:pPr>
        <w:pStyle w:val="117"/>
        <w:numPr>
          <w:ilvl w:val="0"/>
          <w:numId w:val="27"/>
        </w:numPr>
        <w:tabs>
          <w:tab w:val="left" w:pos="851"/>
        </w:tabs>
        <w:ind w:right="-71" w:rightChars="-34"/>
        <w:rPr>
          <w:rFonts w:ascii="宋体" w:hAnsi="宋体"/>
          <w:sz w:val="24"/>
          <w:szCs w:val="24"/>
        </w:rPr>
      </w:pPr>
      <w:r>
        <w:rPr>
          <w:rFonts w:hint="eastAsia" w:ascii="宋体" w:hAnsi="宋体"/>
          <w:sz w:val="24"/>
          <w:szCs w:val="24"/>
        </w:rPr>
        <w:t>在按照合同及其附件提供实施服务时，双方应指派足够的、具备相应能力的人员（包括，但不限于：管理人员、业务核心人员、信息技术人员、业务顾问、技术顾问）参与，且在整个项目服务期间，确保人员的稳定。</w:t>
      </w:r>
    </w:p>
    <w:p>
      <w:pPr>
        <w:pStyle w:val="117"/>
        <w:numPr>
          <w:ilvl w:val="0"/>
          <w:numId w:val="27"/>
        </w:numPr>
        <w:tabs>
          <w:tab w:val="left" w:pos="851"/>
        </w:tabs>
        <w:ind w:right="-71" w:rightChars="-34"/>
        <w:rPr>
          <w:rFonts w:ascii="宋体" w:hAnsi="宋体"/>
          <w:sz w:val="24"/>
          <w:szCs w:val="24"/>
        </w:rPr>
      </w:pPr>
      <w:r>
        <w:rPr>
          <w:rFonts w:hint="eastAsia" w:ascii="宋体" w:hAnsi="宋体"/>
          <w:sz w:val="24"/>
          <w:szCs w:val="24"/>
        </w:rPr>
        <w:t>乙方应向甲方提供参加本项目的服务人员名单（详见工作说明书）及相关资质证明。乙方因特殊原因导致人员变更，应提前七天书面通知甲方，经甲方认可后方可变更，变更人员水平等级必须不低于被接替人员，并做好人员交接；若乙方擅自变更服务人员，甲方有权视情况，扣除合同金额的</w:t>
      </w:r>
      <w:r>
        <w:rPr>
          <w:rFonts w:ascii="宋体" w:hAnsi="宋体"/>
          <w:sz w:val="24"/>
          <w:szCs w:val="24"/>
        </w:rPr>
        <w:t>1%-10%，并在年度评价中降低供方等级，情节严重者直接取消合作资格。</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实施服务范围及内容</w:t>
      </w:r>
    </w:p>
    <w:p>
      <w:pPr>
        <w:pStyle w:val="117"/>
        <w:numPr>
          <w:ilvl w:val="0"/>
          <w:numId w:val="28"/>
        </w:numPr>
        <w:tabs>
          <w:tab w:val="left" w:pos="851"/>
        </w:tabs>
        <w:ind w:right="-71" w:rightChars="-34"/>
        <w:rPr>
          <w:rFonts w:ascii="宋体" w:hAnsi="宋体"/>
          <w:sz w:val="24"/>
          <w:szCs w:val="24"/>
        </w:rPr>
      </w:pPr>
      <w:r>
        <w:rPr>
          <w:rFonts w:hint="eastAsia" w:ascii="宋体" w:hAnsi="宋体"/>
          <w:sz w:val="24"/>
          <w:szCs w:val="24"/>
        </w:rPr>
        <w:t>项目主题：</w:t>
      </w:r>
      <w:r>
        <w:rPr>
          <w:rFonts w:ascii="宋体" w:hAnsi="宋体"/>
          <w:sz w:val="24"/>
          <w:szCs w:val="24"/>
          <w:u w:val="single"/>
        </w:rPr>
        <w:t xml:space="preserve"> </w:t>
      </w:r>
      <w:r>
        <w:rPr>
          <w:rFonts w:hint="eastAsia" w:ascii="宋体" w:hAnsi="宋体"/>
          <w:sz w:val="24"/>
          <w:szCs w:val="24"/>
          <w:u w:val="single"/>
        </w:rPr>
        <w:t>2025-2026年度BI-N报表平台运维</w:t>
      </w:r>
      <w:r>
        <w:rPr>
          <w:rFonts w:ascii="宋体" w:hAnsi="宋体"/>
          <w:sz w:val="24"/>
          <w:szCs w:val="24"/>
          <w:u w:val="single"/>
        </w:rPr>
        <w:t xml:space="preserve"> </w:t>
      </w:r>
      <w:r>
        <w:rPr>
          <w:rFonts w:ascii="宋体" w:hAnsi="宋体"/>
          <w:sz w:val="24"/>
          <w:szCs w:val="24"/>
        </w:rPr>
        <w:t>项目</w:t>
      </w:r>
      <w:r>
        <w:rPr>
          <w:rFonts w:hint="eastAsia" w:ascii="宋体" w:hAnsi="宋体"/>
          <w:sz w:val="24"/>
          <w:szCs w:val="24"/>
        </w:rPr>
        <w:t>。</w:t>
      </w:r>
    </w:p>
    <w:p>
      <w:pPr>
        <w:pStyle w:val="117"/>
        <w:numPr>
          <w:ilvl w:val="0"/>
          <w:numId w:val="28"/>
        </w:numPr>
        <w:tabs>
          <w:tab w:val="left" w:pos="851"/>
        </w:tabs>
        <w:ind w:right="-71" w:rightChars="-34"/>
        <w:rPr>
          <w:rFonts w:ascii="宋体" w:hAnsi="宋体"/>
          <w:sz w:val="24"/>
          <w:szCs w:val="24"/>
        </w:rPr>
      </w:pPr>
      <w:r>
        <w:rPr>
          <w:rFonts w:hint="eastAsia" w:ascii="宋体" w:hAnsi="宋体"/>
          <w:sz w:val="24"/>
          <w:szCs w:val="24"/>
        </w:rPr>
        <w:t>实施服务范围及内容：</w:t>
      </w:r>
    </w:p>
    <w:p>
      <w:pPr>
        <w:pStyle w:val="117"/>
        <w:numPr>
          <w:ilvl w:val="0"/>
          <w:numId w:val="0"/>
        </w:numPr>
        <w:tabs>
          <w:tab w:val="left" w:pos="851"/>
        </w:tabs>
        <w:ind w:right="-71" w:rightChars="-34" w:firstLine="480" w:firstLineChars="200"/>
        <w:rPr>
          <w:rFonts w:ascii="宋体" w:hAnsi="宋体"/>
          <w:sz w:val="24"/>
          <w:szCs w:val="24"/>
        </w:rPr>
      </w:pPr>
      <w:r>
        <w:rPr>
          <w:rFonts w:hint="eastAsia" w:ascii="宋体" w:hAnsi="宋体"/>
          <w:sz w:val="24"/>
          <w:szCs w:val="24"/>
        </w:rPr>
        <w:t>本次项目采购清单如下：</w:t>
      </w:r>
    </w:p>
    <w:tbl>
      <w:tblPr>
        <w:tblStyle w:val="33"/>
        <w:tblW w:w="9532" w:type="dxa"/>
        <w:tblInd w:w="0" w:type="dxa"/>
        <w:tblLayout w:type="fixed"/>
        <w:tblCellMar>
          <w:top w:w="0" w:type="dxa"/>
          <w:left w:w="108" w:type="dxa"/>
          <w:bottom w:w="0" w:type="dxa"/>
          <w:right w:w="108" w:type="dxa"/>
        </w:tblCellMar>
      </w:tblPr>
      <w:tblGrid>
        <w:gridCol w:w="1229"/>
        <w:gridCol w:w="8040"/>
        <w:gridCol w:w="263"/>
      </w:tblGrid>
      <w:tr>
        <w:tblPrEx>
          <w:tblCellMar>
            <w:top w:w="0" w:type="dxa"/>
            <w:left w:w="108" w:type="dxa"/>
            <w:bottom w:w="0" w:type="dxa"/>
            <w:right w:w="108" w:type="dxa"/>
          </w:tblCellMar>
        </w:tblPrEx>
        <w:trPr>
          <w:gridAfter w:val="1"/>
          <w:wAfter w:w="263" w:type="dxa"/>
          <w:trHeight w:val="652" w:hRule="atLeast"/>
        </w:trPr>
        <w:tc>
          <w:tcPr>
            <w:tcW w:w="1229" w:type="dxa"/>
            <w:vMerge w:val="restart"/>
            <w:tcBorders>
              <w:top w:val="single" w:color="auto" w:sz="4" w:space="0"/>
              <w:left w:val="single" w:color="auto" w:sz="4" w:space="0"/>
              <w:bottom w:val="single" w:color="000000" w:sz="4" w:space="0"/>
              <w:right w:val="single" w:color="auto" w:sz="4" w:space="0"/>
            </w:tcBorders>
            <w:shd w:val="clear" w:color="FFFFFF" w:fill="FFFFFF"/>
            <w:vAlign w:val="center"/>
          </w:tcPr>
          <w:p>
            <w:pPr>
              <w:widowControl/>
              <w:jc w:val="center"/>
              <w:rPr>
                <w:rFonts w:ascii="黑体" w:hAnsi="黑体" w:eastAsia="黑体" w:cs="宋体"/>
                <w:kern w:val="0"/>
                <w:sz w:val="32"/>
                <w:szCs w:val="32"/>
              </w:rPr>
            </w:pPr>
            <w:r>
              <w:rPr>
                <w:rFonts w:hint="eastAsia" w:ascii="黑体" w:hAnsi="黑体" w:eastAsia="黑体" w:cs="宋体"/>
                <w:kern w:val="0"/>
                <w:sz w:val="32"/>
                <w:szCs w:val="32"/>
              </w:rPr>
              <w:t>序号</w:t>
            </w:r>
          </w:p>
        </w:tc>
        <w:tc>
          <w:tcPr>
            <w:tcW w:w="8040" w:type="dxa"/>
            <w:vMerge w:val="restart"/>
            <w:tcBorders>
              <w:top w:val="single" w:color="auto" w:sz="4" w:space="0"/>
              <w:left w:val="single" w:color="auto" w:sz="4" w:space="0"/>
              <w:bottom w:val="single" w:color="000000" w:sz="4" w:space="0"/>
              <w:right w:val="single" w:color="auto" w:sz="4" w:space="0"/>
            </w:tcBorders>
            <w:shd w:val="clear" w:color="FFFFFF" w:fill="FFFFFF"/>
            <w:vAlign w:val="center"/>
          </w:tcPr>
          <w:p>
            <w:pPr>
              <w:widowControl/>
              <w:jc w:val="center"/>
              <w:rPr>
                <w:rFonts w:ascii="黑体" w:hAnsi="黑体" w:eastAsia="黑体" w:cs="宋体"/>
                <w:kern w:val="0"/>
                <w:sz w:val="32"/>
                <w:szCs w:val="32"/>
              </w:rPr>
            </w:pPr>
            <w:r>
              <w:rPr>
                <w:rFonts w:hint="eastAsia" w:ascii="黑体" w:hAnsi="黑体" w:eastAsia="黑体" w:cs="宋体"/>
                <w:kern w:val="0"/>
                <w:sz w:val="32"/>
                <w:szCs w:val="32"/>
              </w:rPr>
              <w:t>项目名称</w:t>
            </w:r>
          </w:p>
        </w:tc>
      </w:tr>
      <w:tr>
        <w:tblPrEx>
          <w:tblCellMar>
            <w:top w:w="0" w:type="dxa"/>
            <w:left w:w="108" w:type="dxa"/>
            <w:bottom w:w="0" w:type="dxa"/>
            <w:right w:w="108" w:type="dxa"/>
          </w:tblCellMar>
        </w:tblPrEx>
        <w:trPr>
          <w:trHeight w:val="627" w:hRule="atLeast"/>
        </w:trPr>
        <w:tc>
          <w:tcPr>
            <w:tcW w:w="122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 w:val="32"/>
                <w:szCs w:val="32"/>
              </w:rPr>
            </w:pPr>
          </w:p>
        </w:tc>
        <w:tc>
          <w:tcPr>
            <w:tcW w:w="80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 w:val="32"/>
                <w:szCs w:val="32"/>
              </w:rPr>
            </w:pPr>
          </w:p>
        </w:tc>
        <w:tc>
          <w:tcPr>
            <w:tcW w:w="263" w:type="dxa"/>
            <w:tcBorders>
              <w:top w:val="nil"/>
              <w:left w:val="nil"/>
              <w:bottom w:val="nil"/>
              <w:right w:val="nil"/>
            </w:tcBorders>
            <w:noWrap/>
            <w:vAlign w:val="center"/>
          </w:tcPr>
          <w:p>
            <w:pPr>
              <w:widowControl/>
              <w:jc w:val="center"/>
              <w:rPr>
                <w:rFonts w:ascii="黑体" w:hAnsi="黑体" w:eastAsia="黑体" w:cs="宋体"/>
                <w:kern w:val="0"/>
                <w:sz w:val="32"/>
                <w:szCs w:val="32"/>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p>
        </w:tc>
        <w:tc>
          <w:tcPr>
            <w:tcW w:w="8040" w:type="dxa"/>
            <w:tcBorders>
              <w:top w:val="single" w:color="0C0C0C" w:sz="8" w:space="0"/>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持续提供当前产品版本功能优化补丁（包含重汽定制化的程序bug修复）</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1.1</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日记账导入功能修复</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1.2</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报表落地效率提升</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二</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积极响应安全政策新要求，对系统进行安全加固</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三</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针对数据库资源占用过高或者崩溃问题及时处理</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四</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负责分析产品模块对应的语句逻辑，关联接口、数据库临时表、查询存储过程等性能要素</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五</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协助IT部门进行月结年结、审计调整等支持</w:t>
            </w:r>
          </w:p>
        </w:tc>
        <w:tc>
          <w:tcPr>
            <w:tcW w:w="263" w:type="dxa"/>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27" w:hRule="atLeast"/>
        </w:trPr>
        <w:tc>
          <w:tcPr>
            <w:tcW w:w="1229"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六</w:t>
            </w:r>
          </w:p>
        </w:tc>
        <w:tc>
          <w:tcPr>
            <w:tcW w:w="8040"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对运维小组进行系统运维相关的培训与知识转移</w:t>
            </w:r>
          </w:p>
        </w:tc>
        <w:tc>
          <w:tcPr>
            <w:tcW w:w="263" w:type="dxa"/>
            <w:vAlign w:val="center"/>
          </w:tcPr>
          <w:p>
            <w:pPr>
              <w:widowControl/>
              <w:jc w:val="left"/>
              <w:rPr>
                <w:rFonts w:eastAsia="Times New Roman"/>
                <w:kern w:val="0"/>
                <w:sz w:val="20"/>
              </w:rPr>
            </w:pPr>
          </w:p>
        </w:tc>
      </w:tr>
    </w:tbl>
    <w:p>
      <w:pPr>
        <w:pStyle w:val="116"/>
        <w:tabs>
          <w:tab w:val="left" w:pos="1050"/>
        </w:tabs>
        <w:ind w:right="-71" w:rightChars="-34" w:firstLine="480"/>
        <w:jc w:val="left"/>
        <w:rPr>
          <w:rFonts w:ascii="宋体" w:hAnsi="宋体"/>
          <w:color w:val="000000"/>
          <w:sz w:val="24"/>
          <w:szCs w:val="24"/>
        </w:rPr>
      </w:pPr>
      <w:r>
        <w:rPr>
          <w:rFonts w:hint="eastAsia" w:ascii="宋体" w:hAnsi="宋体"/>
          <w:sz w:val="24"/>
          <w:szCs w:val="24"/>
        </w:rPr>
        <w:t>乙方向甲方提供的实施服务范围及根据此实施服务应交付的成果将在工作说明书中具体规定。该工作说明书可以通过书面形式进行修改，修改后的工作说明书需经项目负责人签字确认方有效。</w:t>
      </w:r>
      <w:r>
        <w:rPr>
          <w:rFonts w:hint="eastAsia" w:ascii="宋体" w:hAnsi="宋体"/>
          <w:color w:val="000000"/>
          <w:sz w:val="24"/>
          <w:szCs w:val="24"/>
        </w:rPr>
        <w:t>如工作说明书与本合同的约定不一致的，以本合同书为准。本合同未有约定的，以工作说明书为准。</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结算</w:t>
      </w:r>
    </w:p>
    <w:p>
      <w:pPr>
        <w:pStyle w:val="117"/>
        <w:numPr>
          <w:ilvl w:val="0"/>
          <w:numId w:val="29"/>
        </w:numPr>
        <w:tabs>
          <w:tab w:val="left" w:pos="851"/>
          <w:tab w:val="left" w:pos="8789"/>
        </w:tabs>
        <w:ind w:right="-71" w:rightChars="-34"/>
        <w:rPr>
          <w:rFonts w:ascii="宋体" w:hAnsi="宋体"/>
          <w:sz w:val="24"/>
          <w:szCs w:val="24"/>
        </w:rPr>
      </w:pPr>
      <w:r>
        <w:rPr>
          <w:rFonts w:hint="eastAsia" w:ascii="宋体" w:hAnsi="宋体"/>
          <w:sz w:val="24"/>
          <w:szCs w:val="24"/>
        </w:rPr>
        <w:t>本合同含税总金额为：人民币</w:t>
      </w:r>
      <w:r>
        <w:rPr>
          <w:rFonts w:hint="eastAsia" w:ascii="宋体" w:hAnsi="宋体"/>
          <w:sz w:val="24"/>
          <w:szCs w:val="24"/>
          <w:u w:val="single"/>
        </w:rPr>
        <w:t xml:space="preserve">    </w:t>
      </w:r>
      <w:r>
        <w:rPr>
          <w:rFonts w:hint="eastAsia" w:ascii="宋体" w:hAnsi="宋体"/>
          <w:sz w:val="24"/>
          <w:szCs w:val="24"/>
        </w:rPr>
        <w:t>元整（¥</w:t>
      </w:r>
      <w:r>
        <w:rPr>
          <w:rFonts w:hint="eastAsia" w:ascii="宋体" w:hAnsi="宋体"/>
          <w:sz w:val="24"/>
          <w:szCs w:val="24"/>
          <w:u w:val="single"/>
        </w:rPr>
        <w:t xml:space="preserve">   </w:t>
      </w:r>
      <w:r>
        <w:rPr>
          <w:rFonts w:hint="eastAsia" w:ascii="宋体" w:hAnsi="宋体"/>
          <w:sz w:val="24"/>
          <w:szCs w:val="24"/>
        </w:rPr>
        <w:t>）</w:t>
      </w:r>
      <w:r>
        <w:rPr>
          <w:rFonts w:ascii="宋体" w:hAnsi="宋体"/>
          <w:sz w:val="24"/>
          <w:szCs w:val="24"/>
        </w:rPr>
        <w:t>,</w:t>
      </w:r>
      <w:r>
        <w:rPr>
          <w:rFonts w:hint="eastAsia" w:ascii="宋体" w:hAnsi="宋体"/>
          <w:sz w:val="24"/>
          <w:szCs w:val="24"/>
        </w:rPr>
        <w:t>不含税金额为：人民币</w:t>
      </w:r>
      <w:r>
        <w:rPr>
          <w:rFonts w:hint="eastAsia" w:ascii="宋体" w:hAnsi="宋体"/>
          <w:sz w:val="24"/>
          <w:szCs w:val="24"/>
          <w:u w:val="single"/>
        </w:rPr>
        <w:t xml:space="preserve">   </w:t>
      </w:r>
      <w:r>
        <w:rPr>
          <w:rFonts w:hint="eastAsia" w:ascii="宋体" w:hAnsi="宋体"/>
          <w:sz w:val="24"/>
          <w:szCs w:val="24"/>
        </w:rPr>
        <w:t>元整（¥</w:t>
      </w:r>
      <w:r>
        <w:rPr>
          <w:rFonts w:hint="eastAsia" w:ascii="宋体" w:hAnsi="宋体"/>
          <w:sz w:val="24"/>
          <w:szCs w:val="24"/>
          <w:u w:val="single"/>
        </w:rPr>
        <w:t xml:space="preserve">   </w:t>
      </w:r>
      <w:r>
        <w:rPr>
          <w:rFonts w:hint="eastAsia" w:ascii="宋体" w:hAnsi="宋体"/>
          <w:sz w:val="24"/>
          <w:szCs w:val="24"/>
        </w:rPr>
        <w:t>），税额为：人民币</w:t>
      </w:r>
      <w:r>
        <w:rPr>
          <w:rFonts w:hint="eastAsia" w:ascii="宋体" w:hAnsi="宋体"/>
          <w:sz w:val="24"/>
          <w:szCs w:val="24"/>
          <w:u w:val="single"/>
        </w:rPr>
        <w:t xml:space="preserve">   </w:t>
      </w:r>
      <w:r>
        <w:rPr>
          <w:rFonts w:hint="eastAsia" w:ascii="宋体" w:hAnsi="宋体"/>
          <w:sz w:val="24"/>
          <w:szCs w:val="24"/>
        </w:rPr>
        <w:t>元整（¥</w:t>
      </w:r>
      <w:r>
        <w:rPr>
          <w:rFonts w:hint="eastAsia" w:ascii="宋体" w:hAnsi="宋体"/>
          <w:sz w:val="24"/>
          <w:szCs w:val="24"/>
          <w:u w:val="single"/>
        </w:rPr>
        <w:t xml:space="preserve">   </w:t>
      </w:r>
      <w:r>
        <w:rPr>
          <w:rFonts w:hint="eastAsia" w:ascii="宋体" w:hAnsi="宋体"/>
          <w:sz w:val="24"/>
          <w:szCs w:val="24"/>
        </w:rPr>
        <w:t>），</w:t>
      </w:r>
      <w:r>
        <w:rPr>
          <w:rFonts w:ascii="宋体" w:hAnsi="宋体"/>
          <w:sz w:val="24"/>
          <w:szCs w:val="24"/>
        </w:rPr>
        <w:t>乙方为甲方开具</w:t>
      </w:r>
      <w:r>
        <w:rPr>
          <w:rFonts w:hint="eastAsia" w:ascii="宋体" w:hAnsi="宋体"/>
          <w:sz w:val="24"/>
          <w:szCs w:val="24"/>
        </w:rPr>
        <w:t>增值税专用发票（现行增值税税率6</w:t>
      </w:r>
      <w:r>
        <w:rPr>
          <w:rFonts w:ascii="宋体" w:hAnsi="宋体"/>
          <w:sz w:val="24"/>
          <w:szCs w:val="24"/>
        </w:rPr>
        <w:t>%</w:t>
      </w:r>
      <w:r>
        <w:rPr>
          <w:rFonts w:hint="eastAsia" w:ascii="宋体" w:hAnsi="宋体"/>
          <w:sz w:val="24"/>
          <w:szCs w:val="24"/>
        </w:rPr>
        <w:t>，合同履行期内若税率有所调整，则不含税价格不变，含税价格执行国家最新税率），甲方以</w:t>
      </w:r>
      <w:r>
        <w:rPr>
          <w:rFonts w:hint="eastAsia" w:ascii="宋体" w:hAnsi="宋体"/>
          <w:sz w:val="24"/>
          <w:szCs w:val="24"/>
          <w:u w:val="single"/>
        </w:rPr>
        <w:t>银行承兑</w:t>
      </w:r>
      <w:r>
        <w:rPr>
          <w:rFonts w:hint="eastAsia" w:ascii="宋体" w:hAnsi="宋体"/>
          <w:sz w:val="24"/>
          <w:szCs w:val="24"/>
        </w:rPr>
        <w:t>方式分以下三个阶段向乙方支付。</w:t>
      </w:r>
    </w:p>
    <w:p>
      <w:pPr>
        <w:pStyle w:val="117"/>
        <w:numPr>
          <w:ilvl w:val="0"/>
          <w:numId w:val="30"/>
        </w:numPr>
        <w:tabs>
          <w:tab w:val="left" w:pos="0"/>
          <w:tab w:val="left" w:pos="851"/>
        </w:tabs>
        <w:ind w:right="-71" w:rightChars="-34"/>
        <w:rPr>
          <w:rFonts w:ascii="宋体" w:hAnsi="宋体"/>
          <w:sz w:val="24"/>
          <w:szCs w:val="24"/>
        </w:rPr>
      </w:pPr>
      <w:r>
        <w:rPr>
          <w:rFonts w:hint="eastAsia" w:ascii="宋体" w:hAnsi="宋体"/>
          <w:sz w:val="24"/>
          <w:szCs w:val="24"/>
        </w:rPr>
        <w:t>合同签订且蓝图经甲方确认后，乙方向甲方提供发票，甲方在收到乙方提供的发票后</w:t>
      </w:r>
      <w:r>
        <w:rPr>
          <w:rFonts w:ascii="宋体" w:hAnsi="宋体"/>
          <w:sz w:val="24"/>
          <w:szCs w:val="24"/>
        </w:rPr>
        <w:t>30日内</w:t>
      </w:r>
      <w:r>
        <w:rPr>
          <w:rFonts w:hint="eastAsia" w:ascii="宋体" w:hAnsi="宋体"/>
          <w:sz w:val="24"/>
          <w:szCs w:val="24"/>
        </w:rPr>
        <w:t>，向乙方支付本合同总金额的</w:t>
      </w:r>
      <w:r>
        <w:rPr>
          <w:rFonts w:ascii="宋体" w:hAnsi="宋体"/>
          <w:sz w:val="24"/>
          <w:szCs w:val="24"/>
          <w:u w:val="single"/>
        </w:rPr>
        <w:t xml:space="preserve"> 30% </w:t>
      </w:r>
      <w:r>
        <w:rPr>
          <w:rFonts w:hint="eastAsia" w:ascii="宋体" w:hAnsi="宋体"/>
          <w:sz w:val="24"/>
          <w:szCs w:val="24"/>
        </w:rPr>
        <w:t>，即人民币</w:t>
      </w:r>
      <w:r>
        <w:rPr>
          <w:rFonts w:hint="eastAsia" w:ascii="宋体" w:hAnsi="宋体"/>
          <w:sz w:val="24"/>
          <w:szCs w:val="24"/>
          <w:u w:val="single"/>
        </w:rPr>
        <w:t xml:space="preserve">    </w:t>
      </w:r>
      <w:r>
        <w:rPr>
          <w:rFonts w:hint="eastAsia" w:ascii="宋体" w:hAnsi="宋体"/>
          <w:sz w:val="24"/>
          <w:szCs w:val="24"/>
        </w:rPr>
        <w:t>元整（¥</w:t>
      </w:r>
      <w:r>
        <w:rPr>
          <w:rFonts w:hint="eastAsia" w:ascii="宋体" w:hAnsi="宋体"/>
          <w:sz w:val="24"/>
          <w:szCs w:val="24"/>
          <w:u w:val="single"/>
        </w:rPr>
        <w:t xml:space="preserve">   </w:t>
      </w:r>
      <w:r>
        <w:rPr>
          <w:rFonts w:hint="eastAsia" w:ascii="宋体" w:hAnsi="宋体"/>
          <w:sz w:val="24"/>
          <w:szCs w:val="24"/>
        </w:rPr>
        <w:t>）；</w:t>
      </w:r>
    </w:p>
    <w:p>
      <w:pPr>
        <w:pStyle w:val="117"/>
        <w:numPr>
          <w:ilvl w:val="0"/>
          <w:numId w:val="30"/>
        </w:numPr>
        <w:tabs>
          <w:tab w:val="left" w:pos="0"/>
          <w:tab w:val="left" w:pos="851"/>
        </w:tabs>
        <w:ind w:right="-71" w:rightChars="-34"/>
        <w:rPr>
          <w:rFonts w:ascii="宋体" w:hAnsi="宋体"/>
          <w:sz w:val="24"/>
          <w:szCs w:val="24"/>
        </w:rPr>
      </w:pPr>
      <w:r>
        <w:rPr>
          <w:rFonts w:hint="eastAsia" w:ascii="宋体" w:hAnsi="宋体"/>
          <w:sz w:val="24"/>
          <w:szCs w:val="24"/>
        </w:rPr>
        <w:t>乙方完成项目解决方案并经甲方签字确认合格后，乙方向甲方提供发票，甲方在收到乙方提供的发票后</w:t>
      </w:r>
      <w:r>
        <w:rPr>
          <w:rFonts w:ascii="宋体" w:hAnsi="宋体"/>
          <w:sz w:val="24"/>
          <w:szCs w:val="24"/>
        </w:rPr>
        <w:t>30日内，</w:t>
      </w:r>
      <w:r>
        <w:rPr>
          <w:rFonts w:hint="eastAsia" w:ascii="宋体" w:hAnsi="宋体"/>
          <w:sz w:val="24"/>
          <w:szCs w:val="24"/>
        </w:rPr>
        <w:t>向乙方支付本合同总金额的</w:t>
      </w:r>
      <w:r>
        <w:rPr>
          <w:rFonts w:hint="eastAsia" w:ascii="宋体" w:hAnsi="宋体"/>
          <w:sz w:val="24"/>
          <w:szCs w:val="24"/>
          <w:u w:val="single"/>
        </w:rPr>
        <w:t>60</w:t>
      </w:r>
      <w:r>
        <w:rPr>
          <w:rFonts w:ascii="宋体" w:hAnsi="宋体"/>
          <w:sz w:val="24"/>
          <w:szCs w:val="24"/>
          <w:u w:val="single"/>
        </w:rPr>
        <w:t>%</w:t>
      </w:r>
      <w:r>
        <w:rPr>
          <w:rFonts w:hint="eastAsia" w:ascii="宋体" w:hAnsi="宋体"/>
          <w:sz w:val="24"/>
          <w:szCs w:val="24"/>
        </w:rPr>
        <w:t>，即人民币</w:t>
      </w:r>
      <w:r>
        <w:rPr>
          <w:rFonts w:hint="eastAsia" w:ascii="宋体" w:hAnsi="宋体"/>
          <w:sz w:val="24"/>
          <w:szCs w:val="24"/>
          <w:u w:val="single"/>
        </w:rPr>
        <w:t xml:space="preserve">    </w:t>
      </w:r>
      <w:r>
        <w:rPr>
          <w:rFonts w:hint="eastAsia" w:ascii="宋体" w:hAnsi="宋体"/>
          <w:sz w:val="24"/>
          <w:szCs w:val="24"/>
        </w:rPr>
        <w:t>元整（¥</w:t>
      </w:r>
      <w:r>
        <w:rPr>
          <w:rFonts w:hint="eastAsia" w:ascii="宋体" w:hAnsi="宋体"/>
          <w:sz w:val="24"/>
          <w:szCs w:val="24"/>
          <w:u w:val="single"/>
        </w:rPr>
        <w:t xml:space="preserve">   </w:t>
      </w:r>
      <w:r>
        <w:rPr>
          <w:rFonts w:hint="eastAsia" w:ascii="宋体" w:hAnsi="宋体"/>
          <w:sz w:val="24"/>
          <w:szCs w:val="24"/>
        </w:rPr>
        <w:t>）；</w:t>
      </w:r>
    </w:p>
    <w:p>
      <w:pPr>
        <w:pStyle w:val="117"/>
        <w:numPr>
          <w:ilvl w:val="0"/>
          <w:numId w:val="30"/>
        </w:numPr>
        <w:tabs>
          <w:tab w:val="left" w:pos="0"/>
          <w:tab w:val="left" w:pos="851"/>
        </w:tabs>
        <w:ind w:right="-71" w:rightChars="-34"/>
        <w:rPr>
          <w:rFonts w:ascii="宋体" w:hAnsi="宋体"/>
          <w:sz w:val="24"/>
          <w:szCs w:val="24"/>
        </w:rPr>
      </w:pPr>
      <w:r>
        <w:rPr>
          <w:rFonts w:hint="eastAsia" w:ascii="宋体" w:hAnsi="宋体"/>
          <w:sz w:val="24"/>
          <w:szCs w:val="24"/>
        </w:rPr>
        <w:t>项目验收合格</w:t>
      </w:r>
      <w:r>
        <w:rPr>
          <w:rFonts w:ascii="宋体" w:hAnsi="宋体"/>
          <w:sz w:val="24"/>
          <w:szCs w:val="24"/>
        </w:rPr>
        <w:t>结束后</w:t>
      </w:r>
      <w:r>
        <w:rPr>
          <w:rFonts w:hint="eastAsia" w:ascii="宋体" w:hAnsi="宋体"/>
          <w:sz w:val="24"/>
          <w:szCs w:val="24"/>
        </w:rPr>
        <w:t>，经甲方签字确认合格后，</w:t>
      </w:r>
      <w:r>
        <w:rPr>
          <w:rFonts w:ascii="宋体" w:hAnsi="宋体"/>
          <w:sz w:val="24"/>
          <w:szCs w:val="24"/>
        </w:rPr>
        <w:t>乙方向甲方提供发票，甲方在收到乙方提供的发票后30日内，向乙方支付本合同总金额的1</w:t>
      </w:r>
      <w:r>
        <w:rPr>
          <w:rFonts w:hint="eastAsia" w:ascii="宋体" w:hAnsi="宋体"/>
          <w:sz w:val="24"/>
          <w:szCs w:val="24"/>
        </w:rPr>
        <w:t>0</w:t>
      </w:r>
      <w:r>
        <w:rPr>
          <w:rFonts w:ascii="宋体" w:hAnsi="宋体"/>
          <w:sz w:val="24"/>
          <w:szCs w:val="24"/>
        </w:rPr>
        <w:t>%</w:t>
      </w:r>
      <w:r>
        <w:rPr>
          <w:rFonts w:hint="eastAsia" w:ascii="宋体" w:hAnsi="宋体"/>
          <w:sz w:val="24"/>
          <w:szCs w:val="24"/>
        </w:rPr>
        <w:t>，即人民币    元整（¥   ）。如出现质量等问题，甲方扣除相应金额。</w:t>
      </w:r>
    </w:p>
    <w:p>
      <w:pPr>
        <w:pStyle w:val="117"/>
        <w:numPr>
          <w:ilvl w:val="0"/>
          <w:numId w:val="0"/>
        </w:numPr>
        <w:tabs>
          <w:tab w:val="left" w:pos="851"/>
        </w:tabs>
        <w:ind w:right="-71" w:rightChars="-34"/>
        <w:rPr>
          <w:rFonts w:ascii="宋体" w:hAnsi="宋体"/>
          <w:sz w:val="24"/>
          <w:szCs w:val="24"/>
        </w:rPr>
      </w:pPr>
      <w:r>
        <w:rPr>
          <w:rFonts w:hint="eastAsia" w:ascii="宋体" w:hAnsi="宋体"/>
          <w:sz w:val="24"/>
          <w:szCs w:val="24"/>
        </w:rPr>
        <w:t>乙方的开户银行及账号：</w:t>
      </w:r>
    </w:p>
    <w:p>
      <w:pPr>
        <w:pStyle w:val="116"/>
        <w:tabs>
          <w:tab w:val="left" w:pos="1050"/>
        </w:tabs>
        <w:ind w:right="-71" w:rightChars="-34" w:firstLine="480"/>
        <w:jc w:val="left"/>
        <w:rPr>
          <w:rFonts w:ascii="宋体" w:hAnsi="宋体"/>
          <w:sz w:val="24"/>
          <w:szCs w:val="24"/>
        </w:rPr>
      </w:pPr>
      <w:r>
        <w:rPr>
          <w:rFonts w:hint="eastAsia" w:ascii="宋体" w:hAnsi="宋体"/>
          <w:sz w:val="24"/>
          <w:szCs w:val="24"/>
        </w:rPr>
        <w:t>开户银行：</w:t>
      </w:r>
    </w:p>
    <w:p>
      <w:pPr>
        <w:pStyle w:val="116"/>
        <w:tabs>
          <w:tab w:val="left" w:pos="1050"/>
        </w:tabs>
        <w:ind w:right="-71" w:rightChars="-34" w:firstLine="480"/>
        <w:jc w:val="left"/>
        <w:rPr>
          <w:rFonts w:ascii="宋体" w:hAnsi="宋体"/>
          <w:sz w:val="24"/>
          <w:szCs w:val="24"/>
        </w:rPr>
      </w:pPr>
      <w:r>
        <w:rPr>
          <w:rFonts w:hint="eastAsia" w:ascii="宋体" w:hAnsi="宋体"/>
          <w:sz w:val="24"/>
          <w:szCs w:val="24"/>
        </w:rPr>
        <w:t>开户名称：</w:t>
      </w:r>
    </w:p>
    <w:p>
      <w:pPr>
        <w:pStyle w:val="116"/>
        <w:tabs>
          <w:tab w:val="left" w:pos="1050"/>
        </w:tabs>
        <w:ind w:right="-71" w:rightChars="-34" w:firstLine="480"/>
        <w:jc w:val="left"/>
        <w:rPr>
          <w:rFonts w:ascii="宋体" w:hAnsi="宋体"/>
          <w:sz w:val="24"/>
          <w:szCs w:val="24"/>
        </w:rPr>
      </w:pPr>
      <w:r>
        <w:rPr>
          <w:rFonts w:hint="eastAsia" w:ascii="宋体" w:hAnsi="宋体"/>
          <w:sz w:val="24"/>
          <w:szCs w:val="24"/>
        </w:rPr>
        <w:t>开户账号：</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确认及验收</w:t>
      </w:r>
    </w:p>
    <w:p>
      <w:pPr>
        <w:pStyle w:val="117"/>
        <w:numPr>
          <w:ilvl w:val="0"/>
          <w:numId w:val="31"/>
        </w:numPr>
        <w:tabs>
          <w:tab w:val="left" w:pos="0"/>
          <w:tab w:val="left" w:pos="851"/>
        </w:tabs>
        <w:ind w:right="-71" w:rightChars="-34"/>
        <w:rPr>
          <w:rFonts w:ascii="宋体" w:hAnsi="宋体"/>
          <w:sz w:val="24"/>
          <w:szCs w:val="24"/>
        </w:rPr>
      </w:pPr>
      <w:r>
        <w:rPr>
          <w:rFonts w:hint="eastAsia" w:ascii="宋体" w:hAnsi="宋体"/>
          <w:sz w:val="24"/>
          <w:szCs w:val="24"/>
        </w:rPr>
        <w:t>本项目实施服务计划进度、交付物以及提供的售后服务，严格按照附件《项目工作说明书</w:t>
      </w:r>
      <w:r>
        <w:rPr>
          <w:rFonts w:ascii="宋体" w:hAnsi="宋体"/>
          <w:sz w:val="24"/>
          <w:szCs w:val="24"/>
        </w:rPr>
        <w:t>》内容执行。</w:t>
      </w:r>
    </w:p>
    <w:p>
      <w:pPr>
        <w:pStyle w:val="117"/>
        <w:numPr>
          <w:ilvl w:val="0"/>
          <w:numId w:val="31"/>
        </w:numPr>
        <w:tabs>
          <w:tab w:val="left" w:pos="0"/>
          <w:tab w:val="left" w:pos="851"/>
        </w:tabs>
        <w:ind w:right="-71" w:rightChars="-34"/>
        <w:rPr>
          <w:rFonts w:ascii="宋体" w:hAnsi="宋体"/>
          <w:sz w:val="24"/>
          <w:szCs w:val="24"/>
        </w:rPr>
      </w:pPr>
      <w:r>
        <w:rPr>
          <w:rFonts w:hint="eastAsia" w:ascii="宋体" w:hAnsi="宋体"/>
          <w:sz w:val="24"/>
          <w:szCs w:val="24"/>
        </w:rPr>
        <w:t>系统试运行之前，乙方须负责建立甲方认可的系统运行、维护机制。</w:t>
      </w:r>
    </w:p>
    <w:p>
      <w:pPr>
        <w:pStyle w:val="117"/>
        <w:numPr>
          <w:ilvl w:val="0"/>
          <w:numId w:val="31"/>
        </w:numPr>
        <w:tabs>
          <w:tab w:val="left" w:pos="0"/>
          <w:tab w:val="left" w:pos="851"/>
        </w:tabs>
        <w:ind w:right="-71" w:rightChars="-34"/>
        <w:rPr>
          <w:rFonts w:ascii="宋体" w:hAnsi="宋体"/>
          <w:sz w:val="24"/>
          <w:szCs w:val="24"/>
        </w:rPr>
      </w:pPr>
      <w:r>
        <w:rPr>
          <w:rFonts w:hint="eastAsia" w:ascii="宋体" w:hAnsi="宋体"/>
          <w:sz w:val="24"/>
          <w:szCs w:val="24"/>
        </w:rPr>
        <w:t>项目实施服务过程各个阶段工作中，甲乙双方均需填写验收表，经双方项目经理签字确认，并作为项目最终验收依据。</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知识产权</w:t>
      </w:r>
    </w:p>
    <w:p>
      <w:pPr>
        <w:numPr>
          <w:ilvl w:val="0"/>
          <w:numId w:val="32"/>
        </w:numPr>
        <w:tabs>
          <w:tab w:val="left" w:pos="851"/>
        </w:tabs>
        <w:spacing w:line="360" w:lineRule="auto"/>
        <w:ind w:left="0" w:right="-71" w:rightChars="-34" w:firstLine="480" w:firstLineChars="200"/>
        <w:jc w:val="left"/>
        <w:rPr>
          <w:rFonts w:ascii="宋体" w:hAnsi="宋体"/>
          <w:b/>
          <w:color w:val="FF0000"/>
          <w:sz w:val="24"/>
          <w:szCs w:val="24"/>
        </w:rPr>
      </w:pPr>
      <w:r>
        <w:rPr>
          <w:rFonts w:hint="eastAsia" w:ascii="宋体" w:hAnsi="宋体"/>
          <w:sz w:val="24"/>
          <w:szCs w:val="24"/>
        </w:rPr>
        <w:t>乙方保证本合同项下的软件产品不侵犯任何第三方的知识产权，如任意第三方因知识产权侵权为由向甲方及/或甲方关联单位提出索赔、诉讼等，甲方及/或甲方关联单位因此遭受的一切损失均由乙方承担。</w:t>
      </w:r>
    </w:p>
    <w:p>
      <w:pPr>
        <w:numPr>
          <w:ilvl w:val="0"/>
          <w:numId w:val="32"/>
        </w:numPr>
        <w:tabs>
          <w:tab w:val="left" w:pos="851"/>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若该产品属于第三方产品或知识产权归属于第三方，则乙方应向甲方提供该项销售、服务行为合法的依据，例如代理协议、授权书或许可协议等，否则甲方将按照前款规定执行。</w:t>
      </w:r>
    </w:p>
    <w:p>
      <w:pPr>
        <w:numPr>
          <w:ilvl w:val="0"/>
          <w:numId w:val="32"/>
        </w:numPr>
        <w:tabs>
          <w:tab w:val="left" w:pos="851"/>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项目应用过程中，针对甲方需求进行客户化开发及实施的技术文档、源代码等所有与项目有关的知识产权和使用权归甲方所有。</w:t>
      </w:r>
    </w:p>
    <w:p>
      <w:pPr>
        <w:numPr>
          <w:ilvl w:val="0"/>
          <w:numId w:val="32"/>
        </w:numPr>
        <w:tabs>
          <w:tab w:val="left" w:pos="851"/>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乙方经甲方许可，可将上述知识产权作为乙方业务拓展的案例，无需向甲方支付任何费用，但在使用中不得出现甲方的保密数据和保密信息。乙方未经甲方许可，不得在其他业务中使用上述知识产权。</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保密</w:t>
      </w:r>
    </w:p>
    <w:p>
      <w:pPr>
        <w:pStyle w:val="116"/>
        <w:tabs>
          <w:tab w:val="left" w:pos="1050"/>
        </w:tabs>
        <w:ind w:right="-71" w:rightChars="-34" w:firstLine="480"/>
        <w:jc w:val="left"/>
        <w:rPr>
          <w:rFonts w:ascii="宋体" w:hAnsi="宋体"/>
          <w:sz w:val="24"/>
          <w:szCs w:val="24"/>
        </w:rPr>
      </w:pPr>
      <w:r>
        <w:rPr>
          <w:rFonts w:hint="eastAsia" w:ascii="宋体" w:hAnsi="宋体"/>
          <w:sz w:val="24"/>
          <w:szCs w:val="24"/>
        </w:rPr>
        <w:t>双方对实施过程中涉及的有关技术服务、数据文档、商业秘密以及其他信息（以下统称“保密信息”）等应恪守保密义务，未经对方书面许可，不得以任何方式将保密信息披露给任何第三方。否则，泄密方应承担对方因此造成的全部经济损失。保密期限为合同履行完毕之日起三年。</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违约责任</w:t>
      </w:r>
    </w:p>
    <w:p>
      <w:pPr>
        <w:numPr>
          <w:ilvl w:val="0"/>
          <w:numId w:val="33"/>
        </w:numPr>
        <w:tabs>
          <w:tab w:val="left" w:pos="851"/>
          <w:tab w:val="left" w:pos="993"/>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合同签署及履行过程中，未经甲方书面同意，乙方不得将本合同项下项目擅自转让或分包，否则应承担合同总金额</w:t>
      </w:r>
      <w:r>
        <w:rPr>
          <w:rFonts w:ascii="宋体" w:hAnsi="宋体"/>
          <w:sz w:val="24"/>
          <w:szCs w:val="24"/>
        </w:rPr>
        <w:t>10%的违约金。</w:t>
      </w:r>
    </w:p>
    <w:p>
      <w:pPr>
        <w:numPr>
          <w:ilvl w:val="0"/>
          <w:numId w:val="33"/>
        </w:numPr>
        <w:tabs>
          <w:tab w:val="left" w:pos="851"/>
          <w:tab w:val="left" w:pos="993"/>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由于乙方原因未按照本合同及其附件规定的时间节点完成实施服务的，乙方每逾期一日应按合同总金额万分之三的标准向甲方支付违约金。乙方逾期</w:t>
      </w:r>
      <w:r>
        <w:rPr>
          <w:rFonts w:ascii="宋体" w:hAnsi="宋体"/>
          <w:sz w:val="24"/>
          <w:szCs w:val="24"/>
        </w:rPr>
        <w:t>30日仍未完成的，</w:t>
      </w:r>
      <w:r>
        <w:rPr>
          <w:rFonts w:hint="eastAsia" w:ascii="宋体" w:hAnsi="宋体"/>
          <w:sz w:val="24"/>
          <w:szCs w:val="24"/>
        </w:rPr>
        <w:t>甲方有权单方解除合同并要求返还甲方已支付的但乙方还未提供相应服务的合同款。</w:t>
      </w:r>
    </w:p>
    <w:p>
      <w:pPr>
        <w:numPr>
          <w:ilvl w:val="0"/>
          <w:numId w:val="33"/>
        </w:numPr>
        <w:tabs>
          <w:tab w:val="left" w:pos="851"/>
          <w:tab w:val="left" w:pos="993"/>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由于甲方原因造成乙方逾期交付实施服务的，乙方不承担违约责任。</w:t>
      </w:r>
    </w:p>
    <w:p>
      <w:pPr>
        <w:numPr>
          <w:ilvl w:val="0"/>
          <w:numId w:val="33"/>
        </w:numPr>
        <w:tabs>
          <w:tab w:val="left" w:pos="851"/>
          <w:tab w:val="left" w:pos="993"/>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 xml:space="preserve">在合同履行过程中，乙方提供的工作人员资历及实施服务人天数量未达到合同及其附件要求的，应承担合同总金额1%--10%的违约金。   </w:t>
      </w:r>
    </w:p>
    <w:p>
      <w:pPr>
        <w:numPr>
          <w:ilvl w:val="0"/>
          <w:numId w:val="33"/>
        </w:numPr>
        <w:tabs>
          <w:tab w:val="left" w:pos="851"/>
          <w:tab w:val="left" w:pos="993"/>
        </w:tabs>
        <w:spacing w:line="360" w:lineRule="auto"/>
        <w:ind w:left="0" w:right="-71" w:rightChars="-34" w:firstLine="480" w:firstLineChars="200"/>
        <w:jc w:val="left"/>
        <w:rPr>
          <w:rFonts w:ascii="宋体" w:hAnsi="宋体"/>
          <w:sz w:val="24"/>
          <w:szCs w:val="24"/>
        </w:rPr>
      </w:pPr>
      <w:bookmarkStart w:id="15" w:name="_Hlk60487931"/>
      <w:r>
        <w:rPr>
          <w:rFonts w:hint="eastAsia" w:ascii="宋体" w:hAnsi="宋体"/>
          <w:sz w:val="24"/>
          <w:szCs w:val="24"/>
        </w:rPr>
        <w:t xml:space="preserve">由于乙方未按照本合同及其附件（包括质量、知识产权及保密等相关条款）的要求履行相对应的实施服务或服务未达到招标文件、合同及附件的要求而给甲方造成任何损失，以及由于乙方人员故意或恶意或过失造成的工作内容瑕疵对甲方生产运营及相关系统软件造成不良影响的，乙方均须承担乙方相关的赔偿责任，视具体损失及影响情况，甲方有权考核乙方一定比例的项目款。 </w:t>
      </w:r>
      <w:bookmarkEnd w:id="15"/>
      <w:r>
        <w:rPr>
          <w:rFonts w:ascii="宋体" w:hAnsi="宋体"/>
          <w:sz w:val="24"/>
          <w:szCs w:val="24"/>
        </w:rPr>
        <w:t xml:space="preserve"> </w:t>
      </w:r>
    </w:p>
    <w:p>
      <w:pPr>
        <w:numPr>
          <w:ilvl w:val="0"/>
          <w:numId w:val="33"/>
        </w:numPr>
        <w:tabs>
          <w:tab w:val="left" w:pos="851"/>
        </w:tabs>
        <w:spacing w:line="360" w:lineRule="auto"/>
        <w:ind w:left="0" w:firstLine="480" w:firstLineChars="200"/>
        <w:rPr>
          <w:rFonts w:ascii="宋体" w:hAnsi="宋体"/>
          <w:sz w:val="24"/>
          <w:szCs w:val="24"/>
        </w:rPr>
      </w:pPr>
      <w:r>
        <w:rPr>
          <w:rFonts w:hint="eastAsia" w:ascii="宋体" w:hAnsi="宋体"/>
          <w:sz w:val="24"/>
          <w:szCs w:val="24"/>
        </w:rPr>
        <w:t>若乙方提供发票出现税务问题时，乙方应承担赔偿责任，包括但不限于税款、滞纳金、罚款及其相关的损失。</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合同变更、解除与终止</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1</w:t>
      </w:r>
      <w:r>
        <w:rPr>
          <w:rFonts w:hint="eastAsia" w:ascii="宋体" w:hAnsi="宋体"/>
          <w:sz w:val="24"/>
          <w:szCs w:val="24"/>
        </w:rPr>
        <w:t>、在合同执行期内，双方均不得随意变更或解除合同。如一方确需变更合同，须经另一方书面同意并就变更事项达成一致意见后方可变更，否则视为违约。</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2</w:t>
      </w:r>
      <w:r>
        <w:rPr>
          <w:rFonts w:hint="eastAsia" w:ascii="宋体" w:hAnsi="宋体"/>
          <w:sz w:val="24"/>
          <w:szCs w:val="24"/>
        </w:rPr>
        <w:t>、如果合同一方发生下列事件，并在超过</w:t>
      </w:r>
      <w:r>
        <w:rPr>
          <w:rFonts w:ascii="宋体" w:hAnsi="宋体"/>
          <w:sz w:val="24"/>
          <w:szCs w:val="24"/>
        </w:rPr>
        <w:t>60</w:t>
      </w:r>
      <w:r>
        <w:rPr>
          <w:rFonts w:hint="eastAsia" w:ascii="宋体" w:hAnsi="宋体"/>
          <w:sz w:val="24"/>
          <w:szCs w:val="24"/>
        </w:rPr>
        <w:t>日内没有得以纠正，则对方有权提前终止本合同：</w:t>
      </w:r>
    </w:p>
    <w:p>
      <w:pPr>
        <w:tabs>
          <w:tab w:val="left" w:pos="993"/>
        </w:tabs>
        <w:spacing w:line="360" w:lineRule="auto"/>
        <w:ind w:right="-71" w:rightChars="-34"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由于项目迟延或一方违约导致合同不能继续履行的；</w:t>
      </w:r>
    </w:p>
    <w:p>
      <w:pPr>
        <w:tabs>
          <w:tab w:val="left" w:pos="851"/>
        </w:tabs>
        <w:spacing w:line="360" w:lineRule="auto"/>
        <w:ind w:right="-71" w:rightChars="-34"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合同一方按照适用的破产法规进入破产程序，该合同方未向对方提供令对方满意的充分的书面保证，保证该合同方继续有能力，并愿意按照本合同的规定履行其义务的。</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3</w:t>
      </w:r>
      <w:r>
        <w:rPr>
          <w:rFonts w:hint="eastAsia" w:ascii="宋体" w:hAnsi="宋体"/>
          <w:sz w:val="24"/>
          <w:szCs w:val="24"/>
        </w:rPr>
        <w:t>、本合同无论何等原因终止，本合同中有关知识产权与保密条款、赔偿义务，以及按照其性质在本合同终止后继续存续的条款将在本合同终止后继续有效。</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不可抗力</w:t>
      </w:r>
    </w:p>
    <w:p>
      <w:pPr>
        <w:tabs>
          <w:tab w:val="left" w:pos="851"/>
        </w:tabs>
        <w:spacing w:line="360" w:lineRule="auto"/>
        <w:ind w:right="-71" w:rightChars="-34" w:firstLine="480" w:firstLineChars="200"/>
        <w:jc w:val="left"/>
        <w:rPr>
          <w:rFonts w:ascii="宋体" w:hAnsi="宋体"/>
          <w:sz w:val="24"/>
          <w:szCs w:val="24"/>
        </w:rPr>
      </w:pPr>
      <w:r>
        <w:rPr>
          <w:rFonts w:ascii="宋体" w:hAnsi="宋体"/>
          <w:sz w:val="24"/>
          <w:szCs w:val="24"/>
        </w:rPr>
        <w:t>1</w:t>
      </w:r>
      <w:r>
        <w:rPr>
          <w:rFonts w:hint="eastAsia" w:ascii="宋体" w:hAnsi="宋体"/>
          <w:sz w:val="24"/>
          <w:szCs w:val="24"/>
        </w:rPr>
        <w:t>、不可抗力是指不能预见、不能避免并不能克服的客观情况，包括：战争、火灾、洪水、台风、地震、政策变化或其它人力不可抗拒之事件。任何一方由于不可抗力的原因不能履行合同时，应及时通知对方并应在上述事件消除后</w:t>
      </w:r>
      <w:r>
        <w:rPr>
          <w:rFonts w:ascii="宋体" w:hAnsi="宋体"/>
          <w:sz w:val="24"/>
          <w:szCs w:val="24"/>
        </w:rPr>
        <w:t>15日内提供有关主管部门的证明。</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2、</w:t>
      </w:r>
      <w:r>
        <w:rPr>
          <w:rFonts w:hint="eastAsia" w:ascii="宋体" w:hAnsi="宋体"/>
          <w:sz w:val="24"/>
          <w:szCs w:val="24"/>
        </w:rPr>
        <w:t>因不可抗力事件不能及时消除而导致合同无法继续履行的，双方经协商一致同意解除合同，并使双方回到合同签署前的状态，即乙方不再向甲方提供任何实施服务，并退回甲方已支付的但乙方还未提供相应服务的合同款。</w:t>
      </w:r>
    </w:p>
    <w:p>
      <w:pPr>
        <w:pStyle w:val="115"/>
        <w:tabs>
          <w:tab w:val="left" w:pos="1050"/>
        </w:tabs>
        <w:ind w:left="420" w:right="-71" w:rightChars="-34" w:firstLine="0"/>
        <w:jc w:val="left"/>
        <w:rPr>
          <w:rFonts w:ascii="宋体" w:hAnsi="宋体"/>
          <w:bCs w:val="0"/>
          <w:sz w:val="24"/>
          <w:szCs w:val="24"/>
        </w:rPr>
      </w:pPr>
      <w:r>
        <w:rPr>
          <w:rFonts w:hint="eastAsia" w:ascii="宋体" w:hAnsi="宋体"/>
          <w:bCs w:val="0"/>
          <w:sz w:val="24"/>
          <w:szCs w:val="24"/>
        </w:rPr>
        <w:t>其他</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1</w:t>
      </w:r>
      <w:r>
        <w:rPr>
          <w:rFonts w:hint="eastAsia" w:ascii="宋体" w:hAnsi="宋体"/>
          <w:sz w:val="24"/>
          <w:szCs w:val="24"/>
        </w:rPr>
        <w:t>、本合同经双方授权代表签字并加盖合同专用章或公章后生效。本合同一式肆份，双方各持贰份。</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2</w:t>
      </w:r>
      <w:r>
        <w:rPr>
          <w:rFonts w:hint="eastAsia" w:ascii="宋体" w:hAnsi="宋体"/>
          <w:sz w:val="24"/>
          <w:szCs w:val="24"/>
        </w:rPr>
        <w:t>、双方在本合同履行中发生的任何争议，首先应友好协商解决。协商不成的，任何一方均可向甲方住所地有管辖权的人民法院提起诉讼。</w:t>
      </w:r>
    </w:p>
    <w:p>
      <w:pPr>
        <w:tabs>
          <w:tab w:val="left" w:pos="993"/>
        </w:tabs>
        <w:spacing w:line="360" w:lineRule="auto"/>
        <w:ind w:right="-71" w:rightChars="-34" w:firstLine="480" w:firstLineChars="200"/>
        <w:jc w:val="left"/>
        <w:rPr>
          <w:rFonts w:ascii="宋体" w:hAnsi="宋体"/>
          <w:sz w:val="24"/>
          <w:szCs w:val="24"/>
        </w:rPr>
      </w:pPr>
      <w:r>
        <w:rPr>
          <w:rFonts w:ascii="宋体" w:hAnsi="宋体"/>
          <w:sz w:val="24"/>
          <w:szCs w:val="24"/>
        </w:rPr>
        <w:t>3</w:t>
      </w:r>
      <w:r>
        <w:rPr>
          <w:rFonts w:hint="eastAsia" w:ascii="宋体" w:hAnsi="宋体"/>
          <w:sz w:val="24"/>
          <w:szCs w:val="24"/>
        </w:rPr>
        <w:t>、《项目工作说明书》作为本合同的附件，与本合同具有同等法律效力。</w:t>
      </w:r>
    </w:p>
    <w:p>
      <w:pPr>
        <w:widowControl/>
        <w:spacing w:before="100" w:beforeAutospacing="1" w:after="100" w:afterAutospacing="1"/>
        <w:ind w:firstLine="422" w:firstLineChars="200"/>
        <w:jc w:val="left"/>
        <w:rPr>
          <w:b/>
          <w:bCs/>
        </w:rPr>
      </w:pPr>
      <w:r>
        <w:rPr>
          <w:b/>
          <w:bCs/>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b/>
          <w:bCs/>
        </w:rPr>
        <w:t>个人手写</w:t>
      </w:r>
      <w:r>
        <w:rPr>
          <w:b/>
          <w:bCs/>
        </w:rPr>
        <w:t>签名除外）</w:t>
      </w:r>
      <w:r>
        <w:rPr>
          <w:rFonts w:hint="eastAsia"/>
          <w:b/>
          <w:bCs/>
        </w:rPr>
        <w:t>。</w:t>
      </w:r>
    </w:p>
    <w:p>
      <w:pPr>
        <w:widowControl/>
        <w:spacing w:before="100" w:beforeAutospacing="1" w:after="100" w:afterAutospacing="1"/>
        <w:ind w:firstLine="422" w:firstLineChars="200"/>
        <w:jc w:val="left"/>
        <w:rPr>
          <w:b/>
          <w:bCs/>
        </w:rPr>
      </w:pPr>
      <w:r>
        <w:rPr>
          <w:b/>
          <w:bCs/>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b/>
          <w:bCs/>
        </w:rPr>
        <w:t>各</w:t>
      </w:r>
      <w:r>
        <w:rPr>
          <w:b/>
          <w:bCs/>
        </w:rPr>
        <w:t>方已签署完毕。</w:t>
      </w:r>
    </w:p>
    <w:p>
      <w:pPr>
        <w:pStyle w:val="117"/>
        <w:numPr>
          <w:ilvl w:val="0"/>
          <w:numId w:val="0"/>
        </w:numPr>
        <w:tabs>
          <w:tab w:val="left" w:pos="0"/>
          <w:tab w:val="left" w:pos="993"/>
        </w:tabs>
        <w:ind w:right="-71" w:rightChars="-34" w:firstLine="480" w:firstLineChars="200"/>
        <w:rPr>
          <w:rFonts w:ascii="宋体" w:hAnsi="宋体"/>
          <w:sz w:val="24"/>
          <w:szCs w:val="24"/>
        </w:rPr>
      </w:pPr>
      <w:r>
        <w:rPr>
          <w:rFonts w:hint="eastAsia" w:ascii="宋体" w:hAnsi="宋体"/>
          <w:sz w:val="24"/>
          <w:szCs w:val="24"/>
        </w:rPr>
        <w:t>（以下无正文）</w:t>
      </w:r>
    </w:p>
    <w:p>
      <w:pPr>
        <w:pStyle w:val="117"/>
        <w:numPr>
          <w:ilvl w:val="0"/>
          <w:numId w:val="0"/>
        </w:numPr>
        <w:tabs>
          <w:tab w:val="left" w:pos="0"/>
          <w:tab w:val="left" w:pos="993"/>
        </w:tabs>
        <w:ind w:right="-71" w:rightChars="-34" w:firstLine="480" w:firstLineChars="200"/>
        <w:rPr>
          <w:rFonts w:ascii="宋体" w:hAnsi="宋体"/>
          <w:sz w:val="24"/>
          <w:szCs w:val="24"/>
        </w:rPr>
      </w:pPr>
    </w:p>
    <w:tbl>
      <w:tblPr>
        <w:tblStyle w:val="33"/>
        <w:tblW w:w="0" w:type="auto"/>
        <w:jc w:val="center"/>
        <w:tblLayout w:type="fixed"/>
        <w:tblCellMar>
          <w:top w:w="0" w:type="dxa"/>
          <w:left w:w="108" w:type="dxa"/>
          <w:bottom w:w="0" w:type="dxa"/>
          <w:right w:w="108" w:type="dxa"/>
        </w:tblCellMar>
      </w:tblPr>
      <w:tblGrid>
        <w:gridCol w:w="919"/>
        <w:gridCol w:w="4223"/>
        <w:gridCol w:w="432"/>
        <w:gridCol w:w="898"/>
        <w:gridCol w:w="3400"/>
      </w:tblGrid>
      <w:tr>
        <w:tblPrEx>
          <w:tblCellMar>
            <w:top w:w="0" w:type="dxa"/>
            <w:left w:w="108" w:type="dxa"/>
            <w:bottom w:w="0" w:type="dxa"/>
            <w:right w:w="108" w:type="dxa"/>
          </w:tblCellMar>
        </w:tblPrEx>
        <w:trPr>
          <w:trHeight w:val="604" w:hRule="atLeast"/>
          <w:jc w:val="center"/>
        </w:trPr>
        <w:tc>
          <w:tcPr>
            <w:tcW w:w="5142" w:type="dxa"/>
            <w:gridSpan w:val="2"/>
          </w:tcPr>
          <w:p>
            <w:pPr>
              <w:pStyle w:val="116"/>
              <w:ind w:right="-71" w:rightChars="-34" w:firstLine="0" w:firstLineChars="0"/>
              <w:jc w:val="left"/>
              <w:rPr>
                <w:rFonts w:ascii="宋体" w:hAnsi="宋体"/>
                <w:sz w:val="24"/>
                <w:szCs w:val="28"/>
              </w:rPr>
            </w:pPr>
            <w:r>
              <w:rPr>
                <w:rFonts w:hint="eastAsia" w:ascii="宋体" w:hAnsi="宋体"/>
                <w:b/>
                <w:sz w:val="24"/>
                <w:szCs w:val="28"/>
              </w:rPr>
              <w:t>甲方（盖章）：</w:t>
            </w:r>
          </w:p>
        </w:tc>
        <w:tc>
          <w:tcPr>
            <w:tcW w:w="432" w:type="dxa"/>
          </w:tcPr>
          <w:p>
            <w:pPr>
              <w:pStyle w:val="116"/>
              <w:ind w:right="-71" w:rightChars="-34" w:firstLine="482"/>
              <w:jc w:val="left"/>
              <w:rPr>
                <w:rFonts w:ascii="宋体" w:hAnsi="宋体"/>
                <w:b/>
                <w:sz w:val="24"/>
                <w:szCs w:val="28"/>
              </w:rPr>
            </w:pPr>
          </w:p>
        </w:tc>
        <w:tc>
          <w:tcPr>
            <w:tcW w:w="4298" w:type="dxa"/>
            <w:gridSpan w:val="2"/>
          </w:tcPr>
          <w:p>
            <w:pPr>
              <w:pStyle w:val="116"/>
              <w:ind w:right="-71" w:rightChars="-34" w:firstLine="0" w:firstLineChars="0"/>
              <w:jc w:val="left"/>
              <w:rPr>
                <w:rFonts w:ascii="宋体" w:hAnsi="宋体"/>
                <w:b/>
                <w:sz w:val="24"/>
                <w:szCs w:val="28"/>
              </w:rPr>
            </w:pPr>
            <w:r>
              <w:rPr>
                <w:rFonts w:hint="eastAsia" w:ascii="宋体" w:hAnsi="宋体"/>
                <w:b/>
                <w:sz w:val="24"/>
                <w:szCs w:val="28"/>
              </w:rPr>
              <w:t>乙方（盖章）：</w:t>
            </w:r>
          </w:p>
        </w:tc>
      </w:tr>
      <w:tr>
        <w:tblPrEx>
          <w:tblCellMar>
            <w:top w:w="0" w:type="dxa"/>
            <w:left w:w="108" w:type="dxa"/>
            <w:bottom w:w="0" w:type="dxa"/>
            <w:right w:w="108" w:type="dxa"/>
          </w:tblCellMar>
        </w:tblPrEx>
        <w:trPr>
          <w:trHeight w:val="604" w:hRule="atLeast"/>
          <w:jc w:val="center"/>
        </w:trPr>
        <w:tc>
          <w:tcPr>
            <w:tcW w:w="919" w:type="dxa"/>
          </w:tcPr>
          <w:p>
            <w:pPr>
              <w:pStyle w:val="116"/>
              <w:ind w:right="-71" w:rightChars="-34" w:firstLine="0" w:firstLineChars="0"/>
              <w:jc w:val="left"/>
              <w:rPr>
                <w:rFonts w:ascii="宋体" w:hAnsi="宋体"/>
                <w:b/>
                <w:sz w:val="24"/>
                <w:szCs w:val="28"/>
              </w:rPr>
            </w:pPr>
            <w:r>
              <w:rPr>
                <w:rFonts w:hint="eastAsia" w:ascii="宋体" w:hAnsi="宋体"/>
                <w:b/>
                <w:sz w:val="24"/>
                <w:szCs w:val="28"/>
              </w:rPr>
              <w:t>公司：</w:t>
            </w:r>
          </w:p>
        </w:tc>
        <w:tc>
          <w:tcPr>
            <w:tcW w:w="4223" w:type="dxa"/>
          </w:tcPr>
          <w:p>
            <w:pPr>
              <w:pStyle w:val="116"/>
              <w:ind w:right="-71" w:rightChars="-34" w:firstLine="0" w:firstLineChars="0"/>
              <w:jc w:val="left"/>
              <w:rPr>
                <w:rFonts w:ascii="宋体" w:hAnsi="宋体"/>
                <w:sz w:val="24"/>
                <w:szCs w:val="28"/>
              </w:rPr>
            </w:pPr>
            <w:r>
              <w:rPr>
                <w:rFonts w:hint="eastAsia" w:ascii="宋体" w:hAnsi="宋体"/>
                <w:sz w:val="24"/>
                <w:szCs w:val="28"/>
              </w:rPr>
              <w:t xml:space="preserve"> </w:t>
            </w:r>
          </w:p>
        </w:tc>
        <w:tc>
          <w:tcPr>
            <w:tcW w:w="432" w:type="dxa"/>
          </w:tcPr>
          <w:p>
            <w:pPr>
              <w:pStyle w:val="116"/>
              <w:ind w:right="-71" w:rightChars="-34" w:firstLine="482"/>
              <w:jc w:val="left"/>
              <w:rPr>
                <w:rFonts w:ascii="宋体" w:hAnsi="宋体"/>
                <w:b/>
                <w:sz w:val="24"/>
                <w:szCs w:val="28"/>
              </w:rPr>
            </w:pPr>
          </w:p>
        </w:tc>
        <w:tc>
          <w:tcPr>
            <w:tcW w:w="898" w:type="dxa"/>
          </w:tcPr>
          <w:p>
            <w:pPr>
              <w:pStyle w:val="116"/>
              <w:ind w:right="-71" w:rightChars="-34" w:firstLine="0" w:firstLineChars="0"/>
              <w:jc w:val="left"/>
              <w:rPr>
                <w:rFonts w:ascii="宋体" w:hAnsi="宋体"/>
                <w:b/>
                <w:sz w:val="24"/>
                <w:szCs w:val="28"/>
              </w:rPr>
            </w:pPr>
            <w:r>
              <w:rPr>
                <w:rFonts w:hint="eastAsia" w:ascii="宋体" w:hAnsi="宋体"/>
                <w:b/>
                <w:sz w:val="24"/>
                <w:szCs w:val="28"/>
              </w:rPr>
              <w:t>公司：</w:t>
            </w:r>
          </w:p>
        </w:tc>
        <w:tc>
          <w:tcPr>
            <w:tcW w:w="3400" w:type="dxa"/>
          </w:tcPr>
          <w:p>
            <w:pPr>
              <w:pStyle w:val="116"/>
              <w:ind w:right="-71" w:rightChars="-34" w:firstLine="0" w:firstLineChars="0"/>
              <w:jc w:val="left"/>
              <w:rPr>
                <w:rFonts w:ascii="宋体" w:hAnsi="宋体"/>
                <w:sz w:val="24"/>
                <w:szCs w:val="28"/>
              </w:rPr>
            </w:pPr>
          </w:p>
        </w:tc>
      </w:tr>
      <w:tr>
        <w:tblPrEx>
          <w:tblCellMar>
            <w:top w:w="0" w:type="dxa"/>
            <w:left w:w="108" w:type="dxa"/>
            <w:bottom w:w="0" w:type="dxa"/>
            <w:right w:w="108" w:type="dxa"/>
          </w:tblCellMar>
        </w:tblPrEx>
        <w:trPr>
          <w:trHeight w:val="604" w:hRule="atLeast"/>
          <w:jc w:val="center"/>
        </w:trPr>
        <w:tc>
          <w:tcPr>
            <w:tcW w:w="5142" w:type="dxa"/>
            <w:gridSpan w:val="2"/>
          </w:tcPr>
          <w:p>
            <w:pPr>
              <w:pStyle w:val="116"/>
              <w:ind w:right="-71" w:rightChars="-34" w:firstLine="0" w:firstLineChars="0"/>
              <w:jc w:val="left"/>
              <w:rPr>
                <w:rFonts w:ascii="宋体" w:hAnsi="宋体"/>
                <w:b/>
                <w:sz w:val="24"/>
                <w:szCs w:val="28"/>
              </w:rPr>
            </w:pPr>
            <w:r>
              <w:rPr>
                <w:rFonts w:hint="eastAsia" w:ascii="宋体" w:hAnsi="宋体"/>
                <w:b/>
                <w:sz w:val="24"/>
                <w:szCs w:val="28"/>
              </w:rPr>
              <w:t>代表（签字）：</w:t>
            </w:r>
          </w:p>
        </w:tc>
        <w:tc>
          <w:tcPr>
            <w:tcW w:w="432" w:type="dxa"/>
          </w:tcPr>
          <w:p>
            <w:pPr>
              <w:pStyle w:val="116"/>
              <w:ind w:right="-71" w:rightChars="-34" w:firstLine="482"/>
              <w:jc w:val="left"/>
              <w:rPr>
                <w:rFonts w:ascii="宋体" w:hAnsi="宋体"/>
                <w:b/>
                <w:sz w:val="24"/>
                <w:szCs w:val="28"/>
              </w:rPr>
            </w:pPr>
          </w:p>
        </w:tc>
        <w:tc>
          <w:tcPr>
            <w:tcW w:w="4298" w:type="dxa"/>
            <w:gridSpan w:val="2"/>
          </w:tcPr>
          <w:p>
            <w:pPr>
              <w:pStyle w:val="116"/>
              <w:ind w:right="-71" w:rightChars="-34" w:firstLine="0" w:firstLineChars="0"/>
              <w:jc w:val="left"/>
              <w:rPr>
                <w:rFonts w:ascii="宋体" w:hAnsi="宋体"/>
                <w:b/>
                <w:sz w:val="24"/>
                <w:szCs w:val="28"/>
              </w:rPr>
            </w:pPr>
            <w:r>
              <w:rPr>
                <w:rFonts w:hint="eastAsia" w:ascii="宋体" w:hAnsi="宋体"/>
                <w:b/>
                <w:sz w:val="24"/>
                <w:szCs w:val="28"/>
              </w:rPr>
              <w:t>代表（签字）：</w:t>
            </w:r>
          </w:p>
        </w:tc>
      </w:tr>
      <w:tr>
        <w:tblPrEx>
          <w:tblCellMar>
            <w:top w:w="0" w:type="dxa"/>
            <w:left w:w="108" w:type="dxa"/>
            <w:bottom w:w="0" w:type="dxa"/>
            <w:right w:w="108" w:type="dxa"/>
          </w:tblCellMar>
        </w:tblPrEx>
        <w:trPr>
          <w:trHeight w:val="604" w:hRule="atLeast"/>
          <w:jc w:val="center"/>
        </w:trPr>
        <w:tc>
          <w:tcPr>
            <w:tcW w:w="919" w:type="dxa"/>
          </w:tcPr>
          <w:p>
            <w:pPr>
              <w:pStyle w:val="116"/>
              <w:ind w:right="-71" w:rightChars="-34" w:firstLine="0" w:firstLineChars="0"/>
              <w:jc w:val="left"/>
              <w:rPr>
                <w:rFonts w:ascii="宋体" w:hAnsi="宋体"/>
                <w:sz w:val="24"/>
                <w:szCs w:val="28"/>
              </w:rPr>
            </w:pPr>
            <w:r>
              <w:rPr>
                <w:rFonts w:hint="eastAsia" w:ascii="宋体" w:hAnsi="宋体"/>
                <w:b/>
                <w:sz w:val="24"/>
                <w:szCs w:val="28"/>
              </w:rPr>
              <w:t>日期：</w:t>
            </w:r>
          </w:p>
        </w:tc>
        <w:tc>
          <w:tcPr>
            <w:tcW w:w="4223" w:type="dxa"/>
          </w:tcPr>
          <w:p>
            <w:pPr>
              <w:pStyle w:val="116"/>
              <w:ind w:right="-71" w:rightChars="-34" w:firstLine="482"/>
              <w:jc w:val="left"/>
              <w:rPr>
                <w:rFonts w:ascii="宋体" w:hAnsi="宋体"/>
                <w:sz w:val="24"/>
                <w:szCs w:val="28"/>
              </w:rPr>
            </w:pPr>
            <w:r>
              <w:rPr>
                <w:rFonts w:hint="eastAsia" w:ascii="宋体" w:hAnsi="宋体"/>
                <w:b/>
                <w:sz w:val="24"/>
                <w:szCs w:val="28"/>
              </w:rPr>
              <w:t>年   月   日</w:t>
            </w:r>
          </w:p>
        </w:tc>
        <w:tc>
          <w:tcPr>
            <w:tcW w:w="432" w:type="dxa"/>
          </w:tcPr>
          <w:p>
            <w:pPr>
              <w:pStyle w:val="116"/>
              <w:ind w:right="-71" w:rightChars="-34" w:firstLine="482"/>
              <w:jc w:val="left"/>
              <w:rPr>
                <w:rFonts w:ascii="宋体" w:hAnsi="宋体"/>
                <w:b/>
                <w:sz w:val="24"/>
                <w:szCs w:val="28"/>
              </w:rPr>
            </w:pPr>
          </w:p>
        </w:tc>
        <w:tc>
          <w:tcPr>
            <w:tcW w:w="898" w:type="dxa"/>
          </w:tcPr>
          <w:p>
            <w:pPr>
              <w:pStyle w:val="116"/>
              <w:ind w:right="-71" w:rightChars="-34" w:firstLine="0" w:firstLineChars="0"/>
              <w:jc w:val="left"/>
              <w:rPr>
                <w:rFonts w:ascii="宋体" w:hAnsi="宋体"/>
                <w:sz w:val="24"/>
                <w:szCs w:val="28"/>
              </w:rPr>
            </w:pPr>
            <w:r>
              <w:rPr>
                <w:rFonts w:hint="eastAsia" w:ascii="宋体" w:hAnsi="宋体"/>
                <w:b/>
                <w:sz w:val="24"/>
                <w:szCs w:val="28"/>
              </w:rPr>
              <w:t>日期：</w:t>
            </w:r>
          </w:p>
        </w:tc>
        <w:tc>
          <w:tcPr>
            <w:tcW w:w="3400" w:type="dxa"/>
          </w:tcPr>
          <w:p>
            <w:pPr>
              <w:pStyle w:val="116"/>
              <w:ind w:right="-71" w:rightChars="-34" w:firstLine="482"/>
              <w:jc w:val="left"/>
              <w:rPr>
                <w:rFonts w:ascii="宋体" w:hAnsi="宋体"/>
                <w:sz w:val="24"/>
                <w:szCs w:val="28"/>
              </w:rPr>
            </w:pPr>
            <w:r>
              <w:rPr>
                <w:rFonts w:hint="eastAsia" w:ascii="宋体" w:hAnsi="宋体"/>
                <w:b/>
                <w:sz w:val="24"/>
                <w:szCs w:val="28"/>
              </w:rPr>
              <w:t>年   月   日</w:t>
            </w:r>
          </w:p>
        </w:tc>
      </w:tr>
    </w:tbl>
    <w:p/>
    <w:p>
      <w:r>
        <w:br w:type="page"/>
      </w:r>
    </w:p>
    <w:p>
      <w:pPr>
        <w:pStyle w:val="79"/>
      </w:pPr>
    </w:p>
    <w:p>
      <w:pPr>
        <w:pStyle w:val="74"/>
      </w:pPr>
      <w:bookmarkStart w:id="16" w:name="_Toc47976615"/>
      <w:bookmarkStart w:id="17" w:name="_Toc19161"/>
      <w:r>
        <w:rPr>
          <w:rFonts w:hint="eastAsia"/>
        </w:rPr>
        <w:t>第三部分　</w:t>
      </w:r>
      <w:bookmarkEnd w:id="16"/>
      <w:r>
        <w:rPr>
          <w:rFonts w:hint="eastAsia"/>
        </w:rPr>
        <w:t>投标文件附件</w:t>
      </w:r>
      <w:bookmarkEnd w:id="17"/>
    </w:p>
    <w:p>
      <w:pPr>
        <w:pStyle w:val="74"/>
        <w:jc w:val="left"/>
        <w:rPr>
          <w:rFonts w:ascii="宋体" w:hAnsi="宋体" w:eastAsia="宋体" w:cs="宋体"/>
          <w:sz w:val="32"/>
          <w:szCs w:val="32"/>
          <w:highlight w:val="yellow"/>
        </w:rPr>
      </w:pPr>
      <w:bookmarkStart w:id="18" w:name="_Toc4225"/>
      <w:bookmarkStart w:id="19" w:name="_Toc47976616"/>
      <w:bookmarkStart w:id="20" w:name="_Toc3748"/>
      <w:r>
        <w:rPr>
          <w:rFonts w:hint="eastAsia" w:ascii="宋体" w:hAnsi="宋体" w:eastAsia="宋体" w:cs="宋体"/>
          <w:sz w:val="32"/>
          <w:szCs w:val="32"/>
          <w:highlight w:val="yellow"/>
        </w:rPr>
        <w:t>附件</w:t>
      </w:r>
      <w:bookmarkEnd w:id="18"/>
      <w:bookmarkEnd w:id="19"/>
      <w:r>
        <w:rPr>
          <w:rFonts w:hint="eastAsia" w:ascii="宋体" w:hAnsi="宋体" w:eastAsia="宋体" w:cs="宋体"/>
          <w:sz w:val="32"/>
          <w:szCs w:val="32"/>
          <w:highlight w:val="yellow"/>
        </w:rPr>
        <w:t>1</w:t>
      </w:r>
      <w:bookmarkEnd w:id="20"/>
    </w:p>
    <w:p>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rPr>
          <w:rFonts w:ascii="黑体" w:hAnsi="Calibri" w:eastAsia="黑体"/>
          <w:color w:val="000000"/>
          <w:sz w:val="24"/>
          <w:szCs w:val="24"/>
        </w:rPr>
      </w:pPr>
    </w:p>
    <w:p>
      <w:pPr>
        <w:rPr>
          <w:rFonts w:ascii="宋体"/>
          <w:b/>
          <w:color w:val="000000"/>
          <w:szCs w:val="24"/>
        </w:rPr>
      </w:pPr>
    </w:p>
    <w:p>
      <w:pPr>
        <w:pStyle w:val="75"/>
        <w:numPr>
          <w:ilvl w:val="0"/>
          <w:numId w:val="0"/>
        </w:numPr>
        <w:rPr>
          <w:rFonts w:ascii="宋体" w:hAnsi="宋体" w:eastAsia="宋体" w:cs="宋体"/>
          <w:sz w:val="32"/>
          <w:szCs w:val="32"/>
          <w:highlight w:val="yellow"/>
        </w:rPr>
      </w:pPr>
      <w:bookmarkStart w:id="21" w:name="_Toc47976618"/>
      <w:bookmarkStart w:id="22" w:name="_Toc29366865"/>
      <w:bookmarkStart w:id="23" w:name="_Toc29366869"/>
      <w:r>
        <w:rPr>
          <w:rFonts w:hint="eastAsia" w:ascii="宋体" w:hAnsi="宋体" w:eastAsia="宋体" w:cs="宋体"/>
          <w:sz w:val="32"/>
          <w:szCs w:val="32"/>
          <w:highlight w:val="yellow"/>
        </w:rPr>
        <w:t>附件2</w:t>
      </w:r>
    </w:p>
    <w:bookmarkEnd w:id="21"/>
    <w:p>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pStyle w:val="16"/>
      </w:pPr>
    </w:p>
    <w:p>
      <w:pPr>
        <w:spacing w:line="360" w:lineRule="auto"/>
        <w:rPr>
          <w:rFonts w:ascii="宋体" w:hAnsi="宋体" w:cs="宋体"/>
          <w:sz w:val="24"/>
          <w:szCs w:val="21"/>
        </w:rPr>
      </w:pPr>
    </w:p>
    <w:p>
      <w:pPr>
        <w:pStyle w:val="12"/>
      </w:pPr>
    </w:p>
    <w:bookmarkEnd w:id="22"/>
    <w:bookmarkEnd w:id="23"/>
    <w:p>
      <w:pPr>
        <w:pStyle w:val="75"/>
        <w:numPr>
          <w:ilvl w:val="0"/>
          <w:numId w:val="0"/>
        </w:numPr>
        <w:rPr>
          <w:rFonts w:ascii="宋体" w:hAnsi="宋体" w:eastAsia="宋体" w:cs="宋体"/>
          <w:sz w:val="32"/>
          <w:szCs w:val="32"/>
          <w:highlight w:val="yellow"/>
        </w:rPr>
      </w:pPr>
      <w:r>
        <w:rPr>
          <w:rFonts w:hint="eastAsia" w:ascii="宋体" w:hAnsi="宋体" w:eastAsia="宋体" w:cs="宋体"/>
          <w:sz w:val="32"/>
          <w:szCs w:val="32"/>
          <w:highlight w:val="yellow"/>
        </w:rPr>
        <w:t>附件3</w:t>
      </w:r>
    </w:p>
    <w:p>
      <w:pPr>
        <w:pStyle w:val="75"/>
        <w:numPr>
          <w:ilvl w:val="0"/>
          <w:numId w:val="0"/>
        </w:numPr>
        <w:jc w:val="center"/>
      </w:pPr>
      <w:r>
        <w:rPr>
          <w:rFonts w:hint="eastAsia"/>
        </w:rPr>
        <w:t>开标一览表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b/>
              </w:rPr>
            </w:pPr>
            <w:r>
              <w:rPr>
                <w:rFonts w:hint="eastAsia"/>
                <w:b/>
              </w:rPr>
              <w:t>序号</w:t>
            </w:r>
          </w:p>
        </w:tc>
        <w:tc>
          <w:tcPr>
            <w:tcW w:w="1518" w:type="dxa"/>
            <w:vAlign w:val="center"/>
          </w:tcPr>
          <w:p>
            <w:pPr>
              <w:jc w:val="center"/>
              <w:rPr>
                <w:b/>
              </w:rPr>
            </w:pPr>
            <w:r>
              <w:rPr>
                <w:rFonts w:hint="eastAsia"/>
                <w:b/>
              </w:rPr>
              <w:t>货物名称</w:t>
            </w:r>
          </w:p>
        </w:tc>
        <w:tc>
          <w:tcPr>
            <w:tcW w:w="848" w:type="dxa"/>
            <w:vAlign w:val="center"/>
          </w:tcPr>
          <w:p>
            <w:pPr>
              <w:jc w:val="center"/>
              <w:rPr>
                <w:b/>
              </w:rPr>
            </w:pPr>
            <w:r>
              <w:rPr>
                <w:rFonts w:hint="eastAsia"/>
                <w:b/>
              </w:rPr>
              <w:t>数量</w:t>
            </w:r>
          </w:p>
        </w:tc>
        <w:tc>
          <w:tcPr>
            <w:tcW w:w="2270" w:type="dxa"/>
            <w:vAlign w:val="center"/>
          </w:tcPr>
          <w:p>
            <w:pPr>
              <w:jc w:val="center"/>
              <w:rPr>
                <w:b/>
              </w:rPr>
            </w:pPr>
            <w:r>
              <w:rPr>
                <w:rFonts w:hint="eastAsia"/>
                <w:b/>
              </w:rPr>
              <w:t>投标总价</w:t>
            </w:r>
            <w:r>
              <w:rPr>
                <w:rFonts w:hint="eastAsia" w:ascii="等线" w:hAnsi="等线" w:eastAsia="等线"/>
                <w:b/>
              </w:rPr>
              <w:t>（元）</w:t>
            </w:r>
          </w:p>
        </w:tc>
        <w:tc>
          <w:tcPr>
            <w:tcW w:w="1100" w:type="dxa"/>
            <w:vAlign w:val="center"/>
          </w:tcPr>
          <w:p>
            <w:pPr>
              <w:jc w:val="center"/>
              <w:rPr>
                <w:b/>
              </w:rPr>
            </w:pPr>
            <w:r>
              <w:rPr>
                <w:rFonts w:hint="eastAsia"/>
                <w:b/>
              </w:rPr>
              <w:t>XX</w:t>
            </w:r>
          </w:p>
        </w:tc>
        <w:tc>
          <w:tcPr>
            <w:tcW w:w="1243" w:type="dxa"/>
            <w:vAlign w:val="center"/>
          </w:tcPr>
          <w:p>
            <w:pPr>
              <w:jc w:val="center"/>
              <w:rPr>
                <w:b/>
              </w:rPr>
            </w:pPr>
            <w:r>
              <w:rPr>
                <w:rFonts w:hint="eastAsia"/>
                <w:b/>
              </w:rPr>
              <w:t>XX</w:t>
            </w:r>
          </w:p>
        </w:tc>
        <w:tc>
          <w:tcPr>
            <w:tcW w:w="705" w:type="dxa"/>
            <w:vAlign w:val="center"/>
          </w:tcPr>
          <w:p>
            <w:pPr>
              <w:jc w:val="center"/>
              <w:rPr>
                <w:b/>
              </w:rPr>
            </w:pPr>
            <w:r>
              <w:rPr>
                <w:rFonts w:hint="eastAsia"/>
                <w:b/>
              </w:rPr>
              <w:t>XX</w:t>
            </w:r>
          </w:p>
        </w:tc>
        <w:tc>
          <w:tcPr>
            <w:tcW w:w="699" w:type="dxa"/>
            <w:vAlign w:val="center"/>
          </w:tcPr>
          <w:p>
            <w:pPr>
              <w:jc w:val="center"/>
              <w:rPr>
                <w:rFonts w:ascii="等线" w:hAnsi="等线" w:eastAsia="等线"/>
                <w:b/>
              </w:rPr>
            </w:pPr>
            <w:r>
              <w:rPr>
                <w:rFonts w:hint="eastAsia"/>
                <w:b/>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b/>
              </w:rPr>
            </w:pPr>
          </w:p>
        </w:tc>
        <w:tc>
          <w:tcPr>
            <w:tcW w:w="1518" w:type="dxa"/>
            <w:vAlign w:val="center"/>
          </w:tcPr>
          <w:p>
            <w:pPr>
              <w:jc w:val="center"/>
              <w:rPr>
                <w:b/>
              </w:rPr>
            </w:pPr>
          </w:p>
        </w:tc>
        <w:tc>
          <w:tcPr>
            <w:tcW w:w="848" w:type="dxa"/>
            <w:vAlign w:val="center"/>
          </w:tcPr>
          <w:p>
            <w:pPr>
              <w:jc w:val="center"/>
              <w:rPr>
                <w:b/>
              </w:rPr>
            </w:pPr>
          </w:p>
        </w:tc>
        <w:tc>
          <w:tcPr>
            <w:tcW w:w="2270" w:type="dxa"/>
            <w:vAlign w:val="center"/>
          </w:tcPr>
          <w:p>
            <w:pPr>
              <w:jc w:val="left"/>
              <w:rPr>
                <w:rFonts w:ascii="等线" w:hAnsi="等线" w:eastAsia="等线"/>
                <w:b/>
              </w:rPr>
            </w:pPr>
            <w:r>
              <w:rPr>
                <w:rFonts w:hint="eastAsia" w:ascii="等线" w:hAnsi="等线" w:eastAsia="等线"/>
                <w:b/>
              </w:rPr>
              <w:t>不含税价：</w:t>
            </w:r>
          </w:p>
          <w:p>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pPr>
              <w:jc w:val="left"/>
              <w:rPr>
                <w:b/>
              </w:rPr>
            </w:pPr>
            <w:r>
              <w:rPr>
                <w:rFonts w:hint="eastAsia" w:ascii="等线" w:hAnsi="等线" w:eastAsia="等线"/>
                <w:b/>
              </w:rPr>
              <w:t>税率：</w:t>
            </w:r>
          </w:p>
        </w:tc>
        <w:tc>
          <w:tcPr>
            <w:tcW w:w="1100" w:type="dxa"/>
            <w:vAlign w:val="center"/>
          </w:tcPr>
          <w:p>
            <w:pPr>
              <w:jc w:val="center"/>
              <w:rPr>
                <w:b/>
              </w:rPr>
            </w:pPr>
          </w:p>
        </w:tc>
        <w:tc>
          <w:tcPr>
            <w:tcW w:w="1243" w:type="dxa"/>
            <w:vAlign w:val="center"/>
          </w:tcPr>
          <w:p>
            <w:pPr>
              <w:jc w:val="center"/>
              <w:rPr>
                <w:b/>
              </w:rPr>
            </w:pPr>
          </w:p>
        </w:tc>
        <w:tc>
          <w:tcPr>
            <w:tcW w:w="705" w:type="dxa"/>
            <w:vAlign w:val="center"/>
          </w:tcPr>
          <w:p>
            <w:pPr>
              <w:jc w:val="center"/>
              <w:rPr>
                <w:b/>
              </w:rPr>
            </w:pPr>
          </w:p>
        </w:tc>
        <w:tc>
          <w:tcPr>
            <w:tcW w:w="699" w:type="dxa"/>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hint="eastAsia" w:ascii="宋体" w:hAnsi="宋体"/>
          <w:b/>
          <w:bCs/>
          <w:szCs w:val="21"/>
        </w:rPr>
        <w:t>注：</w:t>
      </w:r>
    </w:p>
    <w:p>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pPr>
        <w:spacing w:line="300" w:lineRule="auto"/>
        <w:rPr>
          <w:rFonts w:ascii="宋体" w:hAnsi="宋体" w:cs="宋体"/>
          <w:b/>
        </w:rPr>
      </w:pPr>
      <w:r>
        <w:rPr>
          <w:rFonts w:hint="eastAsia" w:ascii="宋体" w:hAnsi="宋体" w:cs="宋体"/>
          <w:b/>
        </w:rPr>
        <w:t>2.需写明含税价、不含税价格、税率。</w:t>
      </w:r>
    </w:p>
    <w:p>
      <w:pPr>
        <w:pStyle w:val="16"/>
        <w:rPr>
          <w:rFonts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pPr>
        <w:pStyle w:val="16"/>
        <w:rPr>
          <w:rFonts w:hAnsi="宋体"/>
          <w:b/>
          <w:bCs/>
          <w:szCs w:val="21"/>
        </w:rPr>
      </w:pPr>
      <w:r>
        <w:rPr>
          <w:rFonts w:hint="eastAsia" w:hAnsi="宋体"/>
          <w:b/>
          <w:bCs/>
          <w:szCs w:val="21"/>
        </w:rPr>
        <w:t>4</w:t>
      </w:r>
      <w:r>
        <w:rPr>
          <w:rFonts w:hint="eastAsia" w:hAnsi="宋体" w:cs="宋体"/>
          <w:b/>
          <w:highlight w:val="cyan"/>
        </w:rPr>
        <w:t>.其他</w:t>
      </w:r>
      <w:r>
        <w:rPr>
          <w:rFonts w:hint="eastAsia" w:hAnsi="宋体" w:cs="宋体"/>
          <w:b/>
          <w:color w:val="FF0000"/>
          <w:sz w:val="18"/>
          <w:szCs w:val="18"/>
        </w:rPr>
        <w:t>（注：若无，该条删除。正式标书删除红字内容）</w:t>
      </w:r>
    </w:p>
    <w:p>
      <w:pPr>
        <w:pStyle w:val="16"/>
        <w:rPr>
          <w:rFonts w:hAnsi="宋体"/>
          <w:b/>
          <w:bCs/>
          <w:szCs w:val="21"/>
          <w:highlight w:val="yellow"/>
        </w:rPr>
      </w:pPr>
    </w:p>
    <w:p>
      <w:pPr>
        <w:pStyle w:val="16"/>
        <w:rPr>
          <w:rFonts w:hAnsi="宋体"/>
          <w:b/>
          <w:bCs/>
          <w:szCs w:val="21"/>
          <w:highlight w:val="yellow"/>
        </w:rPr>
      </w:pPr>
    </w:p>
    <w:p>
      <w:pPr>
        <w:spacing w:line="660" w:lineRule="exact"/>
        <w:jc w:val="center"/>
        <w:rPr>
          <w:rFonts w:ascii="宋体" w:hAnsi="Calibri"/>
          <w:sz w:val="24"/>
        </w:rPr>
      </w:pPr>
      <w:r>
        <w:rPr>
          <w:rFonts w:hint="eastAsia" w:ascii="宋体" w:hAnsi="宋体"/>
          <w:sz w:val="24"/>
        </w:rPr>
        <w:t xml:space="preserve">                        投标人：（盖章）</w:t>
      </w:r>
    </w:p>
    <w:p>
      <w:pPr>
        <w:spacing w:line="660" w:lineRule="exact"/>
        <w:jc w:val="right"/>
        <w:rPr>
          <w:rFonts w:ascii="宋体" w:hAnsi="Calibri"/>
          <w:sz w:val="24"/>
        </w:rPr>
      </w:pPr>
      <w:r>
        <w:rPr>
          <w:rFonts w:hint="eastAsia" w:ascii="宋体" w:hAnsi="宋体"/>
          <w:sz w:val="24"/>
        </w:rPr>
        <w:t>法定代表人（委托代理人）：（签字）</w:t>
      </w:r>
    </w:p>
    <w:p>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pStyle w:val="75"/>
        <w:numPr>
          <w:ilvl w:val="0"/>
          <w:numId w:val="0"/>
        </w:numPr>
      </w:pPr>
      <w:r>
        <w:t xml:space="preserve"> </w:t>
      </w:r>
    </w:p>
    <w:p>
      <w:pPr>
        <w:pStyle w:val="75"/>
        <w:numPr>
          <w:ilvl w:val="0"/>
          <w:numId w:val="0"/>
        </w:numPr>
      </w:pPr>
    </w:p>
    <w:p>
      <w:pPr>
        <w:pStyle w:val="75"/>
        <w:numPr>
          <w:ilvl w:val="0"/>
          <w:numId w:val="0"/>
        </w:numPr>
      </w:pPr>
    </w:p>
    <w:p>
      <w:pPr>
        <w:pStyle w:val="75"/>
        <w:numPr>
          <w:ilvl w:val="0"/>
          <w:numId w:val="0"/>
        </w:numPr>
      </w:pPr>
    </w:p>
    <w:p>
      <w:pPr>
        <w:pStyle w:val="75"/>
        <w:numPr>
          <w:ilvl w:val="0"/>
          <w:numId w:val="0"/>
        </w:numPr>
      </w:pPr>
    </w:p>
    <w:p>
      <w:pPr>
        <w:pStyle w:val="75"/>
        <w:numPr>
          <w:ilvl w:val="0"/>
          <w:numId w:val="0"/>
        </w:numPr>
      </w:pPr>
    </w:p>
    <w:p>
      <w:pPr>
        <w:pStyle w:val="75"/>
        <w:numPr>
          <w:ilvl w:val="0"/>
          <w:numId w:val="0"/>
        </w:numPr>
      </w:pPr>
    </w:p>
    <w:p>
      <w:pPr>
        <w:pStyle w:val="79"/>
        <w:ind w:firstLine="630" w:firstLineChars="300"/>
      </w:pPr>
    </w:p>
    <w:p>
      <w:pPr>
        <w:pStyle w:val="79"/>
        <w:rPr>
          <w:rFonts w:hAnsi="宋体" w:cs="宋体"/>
          <w:b/>
          <w:bCs/>
          <w:sz w:val="32"/>
          <w:szCs w:val="32"/>
        </w:rPr>
      </w:pPr>
      <w:r>
        <w:rPr>
          <w:rFonts w:hint="eastAsia" w:hAnsi="宋体" w:cs="宋体"/>
          <w:b/>
          <w:bCs/>
          <w:sz w:val="32"/>
          <w:szCs w:val="32"/>
        </w:rPr>
        <w:t>附件4</w:t>
      </w:r>
    </w:p>
    <w:p>
      <w:pPr>
        <w:pStyle w:val="79"/>
        <w:jc w:val="center"/>
        <w:rPr>
          <w:rFonts w:hAnsi="宋体"/>
          <w:b/>
          <w:bCs/>
          <w:color w:val="000000"/>
          <w:sz w:val="24"/>
          <w:szCs w:val="24"/>
        </w:rPr>
      </w:pPr>
      <w:r>
        <w:rPr>
          <w:rFonts w:hint="eastAsia" w:hAnsi="宋体"/>
          <w:b/>
          <w:bCs/>
          <w:color w:val="000000"/>
          <w:sz w:val="24"/>
          <w:szCs w:val="24"/>
        </w:rPr>
        <w:t>BIN合并报表平台运维需求清单</w:t>
      </w:r>
    </w:p>
    <w:p>
      <w:pPr>
        <w:jc w:val="center"/>
        <w:rPr>
          <w:rFonts w:ascii="宋体" w:hAnsi="宋体" w:cs="宋体"/>
          <w:b/>
          <w:bCs/>
          <w:sz w:val="28"/>
          <w:szCs w:val="28"/>
        </w:rPr>
      </w:pPr>
    </w:p>
    <w:tbl>
      <w:tblPr>
        <w:tblStyle w:val="33"/>
        <w:tblW w:w="0" w:type="auto"/>
        <w:tblInd w:w="0" w:type="dxa"/>
        <w:tblLayout w:type="autofit"/>
        <w:tblCellMar>
          <w:top w:w="0" w:type="dxa"/>
          <w:left w:w="108" w:type="dxa"/>
          <w:bottom w:w="0" w:type="dxa"/>
          <w:right w:w="108" w:type="dxa"/>
        </w:tblCellMar>
      </w:tblPr>
      <w:tblGrid>
        <w:gridCol w:w="1101"/>
        <w:gridCol w:w="7201"/>
        <w:gridCol w:w="222"/>
      </w:tblGrid>
      <w:tr>
        <w:trPr>
          <w:gridAfter w:val="1"/>
          <w:wAfter w:w="222" w:type="dxa"/>
          <w:trHeight w:val="624" w:hRule="atLeast"/>
        </w:trPr>
        <w:tc>
          <w:tcPr>
            <w:tcW w:w="1101" w:type="dxa"/>
            <w:vMerge w:val="restart"/>
            <w:tcBorders>
              <w:top w:val="single" w:color="auto" w:sz="4" w:space="0"/>
              <w:left w:val="single" w:color="auto" w:sz="4" w:space="0"/>
              <w:bottom w:val="single" w:color="000000" w:sz="4" w:space="0"/>
              <w:right w:val="single" w:color="auto" w:sz="4" w:space="0"/>
            </w:tcBorders>
            <w:shd w:val="clear" w:color="FFFFFF" w:fill="FFFFFF"/>
            <w:vAlign w:val="center"/>
          </w:tcPr>
          <w:p>
            <w:pPr>
              <w:widowControl/>
              <w:jc w:val="center"/>
              <w:rPr>
                <w:rFonts w:ascii="黑体" w:hAnsi="黑体" w:eastAsia="黑体" w:cs="宋体"/>
                <w:kern w:val="0"/>
                <w:sz w:val="32"/>
                <w:szCs w:val="32"/>
              </w:rPr>
            </w:pPr>
            <w:r>
              <w:rPr>
                <w:rFonts w:hint="eastAsia" w:ascii="黑体" w:hAnsi="黑体" w:eastAsia="黑体" w:cs="宋体"/>
                <w:kern w:val="0"/>
                <w:sz w:val="32"/>
                <w:szCs w:val="32"/>
              </w:rPr>
              <w:t>序号</w:t>
            </w:r>
          </w:p>
        </w:tc>
        <w:tc>
          <w:tcPr>
            <w:tcW w:w="7201" w:type="dxa"/>
            <w:vMerge w:val="restart"/>
            <w:tcBorders>
              <w:top w:val="single" w:color="auto" w:sz="4" w:space="0"/>
              <w:left w:val="single" w:color="auto" w:sz="4" w:space="0"/>
              <w:bottom w:val="single" w:color="000000" w:sz="4" w:space="0"/>
              <w:right w:val="single" w:color="auto" w:sz="4" w:space="0"/>
            </w:tcBorders>
            <w:shd w:val="clear" w:color="FFFFFF" w:fill="FFFFFF"/>
            <w:vAlign w:val="center"/>
          </w:tcPr>
          <w:p>
            <w:pPr>
              <w:widowControl/>
              <w:jc w:val="center"/>
              <w:rPr>
                <w:rFonts w:ascii="黑体" w:hAnsi="黑体" w:eastAsia="黑体" w:cs="宋体"/>
                <w:kern w:val="0"/>
                <w:sz w:val="32"/>
                <w:szCs w:val="32"/>
              </w:rPr>
            </w:pPr>
            <w:r>
              <w:rPr>
                <w:rFonts w:hint="eastAsia" w:ascii="黑体" w:hAnsi="黑体" w:eastAsia="黑体" w:cs="宋体"/>
                <w:kern w:val="0"/>
                <w:sz w:val="32"/>
                <w:szCs w:val="32"/>
              </w:rPr>
              <w:t>项目名称</w:t>
            </w:r>
          </w:p>
        </w:tc>
      </w:tr>
      <w:tr>
        <w:tblPrEx>
          <w:tblCellMar>
            <w:top w:w="0" w:type="dxa"/>
            <w:left w:w="108" w:type="dxa"/>
            <w:bottom w:w="0" w:type="dxa"/>
            <w:right w:w="108" w:type="dxa"/>
          </w:tblCellMar>
        </w:tblPrEx>
        <w:trPr>
          <w:trHeight w:val="600" w:hRule="atLeast"/>
        </w:trPr>
        <w:tc>
          <w:tcPr>
            <w:tcW w:w="110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 w:val="32"/>
                <w:szCs w:val="32"/>
              </w:rPr>
            </w:pPr>
          </w:p>
        </w:tc>
        <w:tc>
          <w:tcPr>
            <w:tcW w:w="720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黑体" w:hAnsi="黑体" w:eastAsia="黑体" w:cs="宋体"/>
                <w:kern w:val="0"/>
                <w:sz w:val="32"/>
                <w:szCs w:val="32"/>
              </w:rPr>
            </w:pPr>
          </w:p>
        </w:tc>
        <w:tc>
          <w:tcPr>
            <w:tcW w:w="0" w:type="auto"/>
            <w:tcBorders>
              <w:top w:val="nil"/>
              <w:left w:val="nil"/>
              <w:bottom w:val="nil"/>
              <w:right w:val="nil"/>
            </w:tcBorders>
            <w:noWrap/>
            <w:vAlign w:val="center"/>
          </w:tcPr>
          <w:p>
            <w:pPr>
              <w:widowControl/>
              <w:jc w:val="center"/>
              <w:rPr>
                <w:rFonts w:ascii="黑体" w:hAnsi="黑体" w:eastAsia="黑体" w:cs="宋体"/>
                <w:kern w:val="0"/>
                <w:sz w:val="32"/>
                <w:szCs w:val="32"/>
              </w:rPr>
            </w:pPr>
          </w:p>
        </w:tc>
      </w:tr>
      <w:tr>
        <w:tblPrEx>
          <w:tblCellMar>
            <w:top w:w="0" w:type="dxa"/>
            <w:left w:w="108" w:type="dxa"/>
            <w:bottom w:w="0" w:type="dxa"/>
            <w:right w:w="108" w:type="dxa"/>
          </w:tblCellMar>
        </w:tblPrEx>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一</w:t>
            </w:r>
          </w:p>
        </w:tc>
        <w:tc>
          <w:tcPr>
            <w:tcW w:w="7201" w:type="dxa"/>
            <w:tcBorders>
              <w:top w:val="single" w:color="0C0C0C" w:sz="8" w:space="0"/>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持续提供当前产品版本功能优化补丁（包含重汽定制化的程序bug修复）</w:t>
            </w:r>
          </w:p>
        </w:tc>
        <w:tc>
          <w:tcPr>
            <w:tcW w:w="0" w:type="auto"/>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1.1</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日记账导入功能修复</w:t>
            </w:r>
          </w:p>
        </w:tc>
        <w:tc>
          <w:tcPr>
            <w:tcW w:w="0" w:type="auto"/>
            <w:vAlign w:val="center"/>
          </w:tcPr>
          <w:p>
            <w:pPr>
              <w:widowControl/>
              <w:jc w:val="left"/>
              <w:rPr>
                <w:rFonts w:eastAsia="Times New Roman"/>
                <w:kern w:val="0"/>
                <w:sz w:val="20"/>
              </w:rPr>
            </w:pPr>
          </w:p>
        </w:tc>
      </w:tr>
      <w:tr>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1.2</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报表落地效率提升</w:t>
            </w:r>
          </w:p>
        </w:tc>
        <w:tc>
          <w:tcPr>
            <w:tcW w:w="0" w:type="auto"/>
            <w:vAlign w:val="center"/>
          </w:tcPr>
          <w:p>
            <w:pPr>
              <w:widowControl/>
              <w:jc w:val="left"/>
              <w:rPr>
                <w:rFonts w:eastAsia="Times New Roman"/>
                <w:kern w:val="0"/>
                <w:sz w:val="20"/>
              </w:rPr>
            </w:pPr>
          </w:p>
        </w:tc>
      </w:tr>
      <w:tr>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二</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积极响应安全政策新要求，对系统进行安全加固</w:t>
            </w:r>
          </w:p>
        </w:tc>
        <w:tc>
          <w:tcPr>
            <w:tcW w:w="0" w:type="auto"/>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三</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针对数据库资源占用过高或者崩溃问题及时处理</w:t>
            </w:r>
          </w:p>
        </w:tc>
        <w:tc>
          <w:tcPr>
            <w:tcW w:w="0" w:type="auto"/>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四</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负责分析产品模块对应的语句逻辑，关联接口、数据库临时表、查询存储过程等性能要素</w:t>
            </w:r>
          </w:p>
        </w:tc>
        <w:tc>
          <w:tcPr>
            <w:tcW w:w="0" w:type="auto"/>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五</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协助IT部门进行月结年结、审计调整等支持</w:t>
            </w:r>
          </w:p>
        </w:tc>
        <w:tc>
          <w:tcPr>
            <w:tcW w:w="0" w:type="auto"/>
            <w:vAlign w:val="center"/>
          </w:tcPr>
          <w:p>
            <w:pPr>
              <w:widowControl/>
              <w:jc w:val="left"/>
              <w:rPr>
                <w:rFonts w:eastAsia="Times New Roman"/>
                <w:kern w:val="0"/>
                <w:sz w:val="20"/>
              </w:rPr>
            </w:pPr>
          </w:p>
        </w:tc>
      </w:tr>
      <w:tr>
        <w:tblPrEx>
          <w:tblCellMar>
            <w:top w:w="0" w:type="dxa"/>
            <w:left w:w="108" w:type="dxa"/>
            <w:bottom w:w="0" w:type="dxa"/>
            <w:right w:w="108" w:type="dxa"/>
          </w:tblCellMar>
        </w:tblPrEx>
        <w:trPr>
          <w:trHeight w:val="600" w:hRule="atLeast"/>
        </w:trPr>
        <w:tc>
          <w:tcPr>
            <w:tcW w:w="1101" w:type="dxa"/>
            <w:tcBorders>
              <w:top w:val="nil"/>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宋体"/>
                <w:kern w:val="0"/>
                <w:sz w:val="32"/>
                <w:szCs w:val="32"/>
              </w:rPr>
            </w:pPr>
            <w:r>
              <w:rPr>
                <w:rFonts w:hint="eastAsia" w:ascii="宋体" w:hAnsi="宋体" w:cs="宋体"/>
                <w:kern w:val="0"/>
                <w:sz w:val="32"/>
                <w:szCs w:val="32"/>
              </w:rPr>
              <w:t>六</w:t>
            </w:r>
          </w:p>
        </w:tc>
        <w:tc>
          <w:tcPr>
            <w:tcW w:w="7201" w:type="dxa"/>
            <w:tcBorders>
              <w:top w:val="nil"/>
              <w:left w:val="single" w:color="0C0C0C" w:sz="8" w:space="0"/>
              <w:bottom w:val="single" w:color="0C0C0C" w:sz="8" w:space="0"/>
              <w:right w:val="single" w:color="0C0C0C" w:sz="8" w:space="0"/>
            </w:tcBorders>
            <w:noWrap/>
            <w:vAlign w:val="center"/>
          </w:tcPr>
          <w:p>
            <w:pPr>
              <w:widowControl/>
              <w:jc w:val="left"/>
              <w:rPr>
                <w:rFonts w:ascii="宋体" w:hAnsi="宋体" w:cs="宋体"/>
                <w:color w:val="0C0C0C"/>
                <w:kern w:val="0"/>
                <w:sz w:val="28"/>
                <w:szCs w:val="28"/>
              </w:rPr>
            </w:pPr>
            <w:r>
              <w:rPr>
                <w:rFonts w:hint="eastAsia" w:ascii="宋体" w:hAnsi="宋体" w:cs="宋体"/>
                <w:color w:val="0C0C0C"/>
                <w:kern w:val="0"/>
                <w:sz w:val="28"/>
                <w:szCs w:val="28"/>
              </w:rPr>
              <w:t>对运维小组进行系统运维相关的培训与知识转移</w:t>
            </w:r>
          </w:p>
        </w:tc>
        <w:tc>
          <w:tcPr>
            <w:tcW w:w="0" w:type="auto"/>
            <w:vAlign w:val="center"/>
          </w:tcPr>
          <w:p>
            <w:pPr>
              <w:widowControl/>
              <w:jc w:val="left"/>
              <w:rPr>
                <w:rFonts w:eastAsia="Times New Roman"/>
                <w:kern w:val="0"/>
                <w:sz w:val="20"/>
              </w:rPr>
            </w:pPr>
          </w:p>
        </w:tc>
      </w:tr>
    </w:tbl>
    <w:p>
      <w:pPr>
        <w:rPr>
          <w:highlight w:val="yellow"/>
        </w:rPr>
      </w:pPr>
    </w:p>
    <w:sectPr>
      <w:headerReference r:id="rId8" w:type="first"/>
      <w:footerReference r:id="rId10" w:type="first"/>
      <w:headerReference r:id="rId7" w:type="default"/>
      <w:footerReference r:id="rId9"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0"/>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pPr>
    <w:r>
      <w:rPr>
        <w:rFonts w:hint="eastAsia"/>
      </w:rPr>
      <w:t>中国重型汽车集团集团数据中心2层新增精密空调项目招标书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12" w:space="9"/>
      </w:pBdr>
      <w:ind w:firstLine="3960" w:firstLineChars="2200"/>
      <w:jc w:val="both"/>
    </w:pPr>
    <w:r>
      <w:rPr>
        <w:rFonts w:hint="eastAsia"/>
      </w:rPr>
      <w:t>2025年度公有云资源池项目招标书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12" w:space="9"/>
      </w:pBdr>
      <w:ind w:firstLine="3960" w:firstLineChars="2200"/>
      <w:jc w:val="both"/>
    </w:pPr>
    <w:r>
      <w:rPr>
        <w:rFonts w:hint="eastAsia"/>
      </w:rPr>
      <w:t>2025年度公有云资源池项目招标书</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B12C4597"/>
    <w:multiLevelType w:val="singleLevel"/>
    <w:tmpl w:val="B12C4597"/>
    <w:lvl w:ilvl="0" w:tentative="0">
      <w:start w:val="1"/>
      <w:numFmt w:val="decimal"/>
      <w:lvlText w:val="%1."/>
      <w:lvlJc w:val="left"/>
      <w:pPr>
        <w:ind w:left="425" w:hanging="425"/>
      </w:pPr>
      <w:rPr>
        <w:rFonts w:hint="default"/>
      </w:rPr>
    </w:lvl>
  </w:abstractNum>
  <w:abstractNum w:abstractNumId="3">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D9A4530E"/>
    <w:multiLevelType w:val="singleLevel"/>
    <w:tmpl w:val="D9A4530E"/>
    <w:lvl w:ilvl="0" w:tentative="0">
      <w:start w:val="1"/>
      <w:numFmt w:val="decimal"/>
      <w:lvlText w:val="(%1)"/>
      <w:lvlJc w:val="left"/>
      <w:pPr>
        <w:ind w:left="425" w:hanging="425"/>
      </w:pPr>
      <w:rPr>
        <w:rFonts w:hint="default"/>
      </w:rPr>
    </w:lvl>
  </w:abstractNum>
  <w:abstractNum w:abstractNumId="6">
    <w:nsid w:val="DC3F8C8B"/>
    <w:multiLevelType w:val="singleLevel"/>
    <w:tmpl w:val="DC3F8C8B"/>
    <w:lvl w:ilvl="0" w:tentative="0">
      <w:start w:val="1"/>
      <w:numFmt w:val="decimal"/>
      <w:lvlText w:val="%1."/>
      <w:lvlJc w:val="left"/>
      <w:pPr>
        <w:ind w:left="425" w:hanging="425"/>
      </w:pPr>
      <w:rPr>
        <w:rFonts w:hint="default"/>
      </w:rPr>
    </w:lvl>
  </w:abstractNum>
  <w:abstractNum w:abstractNumId="7">
    <w:nsid w:val="E692BBD5"/>
    <w:multiLevelType w:val="singleLevel"/>
    <w:tmpl w:val="E692BBD5"/>
    <w:lvl w:ilvl="0" w:tentative="0">
      <w:start w:val="1"/>
      <w:numFmt w:val="lowerLetter"/>
      <w:lvlText w:val="%1)"/>
      <w:lvlJc w:val="left"/>
      <w:pPr>
        <w:tabs>
          <w:tab w:val="left" w:pos="-108"/>
        </w:tabs>
        <w:ind w:left="-420"/>
      </w:pPr>
    </w:lvl>
  </w:abstractNum>
  <w:abstractNum w:abstractNumId="8">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9">
    <w:nsid w:val="00000005"/>
    <w:multiLevelType w:val="multilevel"/>
    <w:tmpl w:val="00000005"/>
    <w:lvl w:ilvl="0" w:tentative="0">
      <w:start w:val="1"/>
      <w:numFmt w:val="chineseCountingThousand"/>
      <w:pStyle w:val="115"/>
      <w:suff w:val="space"/>
      <w:lvlText w:val="%1、"/>
      <w:lvlJc w:val="left"/>
      <w:pPr>
        <w:ind w:left="-253" w:firstLine="400"/>
      </w:pPr>
      <w:rPr>
        <w:rFonts w:hint="eastAsia"/>
      </w:rPr>
    </w:lvl>
    <w:lvl w:ilvl="1" w:tentative="0">
      <w:start w:val="1"/>
      <w:numFmt w:val="decimal"/>
      <w:isLgl/>
      <w:suff w:val="space"/>
      <w:lvlText w:val="%1.%2"/>
      <w:lvlJc w:val="left"/>
      <w:pPr>
        <w:ind w:left="-106" w:firstLine="0"/>
      </w:pPr>
      <w:rPr>
        <w:rFonts w:hint="eastAsia"/>
      </w:rPr>
    </w:lvl>
    <w:lvl w:ilvl="2" w:tentative="0">
      <w:start w:val="1"/>
      <w:numFmt w:val="decimal"/>
      <w:isLgl/>
      <w:suff w:val="space"/>
      <w:lvlText w:val="%1.%2.%3"/>
      <w:lvlJc w:val="left"/>
      <w:pPr>
        <w:ind w:left="-106" w:firstLine="0"/>
      </w:pPr>
      <w:rPr>
        <w:rFonts w:hint="eastAsia"/>
      </w:rPr>
    </w:lvl>
    <w:lvl w:ilvl="3" w:tentative="0">
      <w:start w:val="1"/>
      <w:numFmt w:val="decimal"/>
      <w:isLgl/>
      <w:suff w:val="space"/>
      <w:lvlText w:val="%1.%2.%3.%4"/>
      <w:lvlJc w:val="left"/>
      <w:pPr>
        <w:ind w:left="-106" w:firstLine="0"/>
      </w:pPr>
      <w:rPr>
        <w:rFonts w:hint="eastAsia"/>
      </w:rPr>
    </w:lvl>
    <w:lvl w:ilvl="4" w:tentative="0">
      <w:start w:val="1"/>
      <w:numFmt w:val="decimal"/>
      <w:isLgl/>
      <w:suff w:val="space"/>
      <w:lvlText w:val="%1.%2.%3.%4.%5"/>
      <w:lvlJc w:val="left"/>
      <w:pPr>
        <w:ind w:left="-106" w:firstLine="0"/>
      </w:pPr>
      <w:rPr>
        <w:rFonts w:hint="eastAsia"/>
      </w:rPr>
    </w:lvl>
    <w:lvl w:ilvl="5" w:tentative="0">
      <w:start w:val="1"/>
      <w:numFmt w:val="decimal"/>
      <w:suff w:val="space"/>
      <w:lvlText w:val="%1.%2.%3.%4.%5.%6"/>
      <w:lvlJc w:val="left"/>
      <w:pPr>
        <w:ind w:left="-106" w:firstLine="0"/>
      </w:pPr>
      <w:rPr>
        <w:rFonts w:hint="eastAsia"/>
      </w:rPr>
    </w:lvl>
    <w:lvl w:ilvl="6" w:tentative="0">
      <w:start w:val="1"/>
      <w:numFmt w:val="decimal"/>
      <w:isLgl/>
      <w:suff w:val="space"/>
      <w:lvlText w:val="%1.%2.%3.%4.%5.%6.%7"/>
      <w:lvlJc w:val="left"/>
      <w:pPr>
        <w:ind w:left="-106" w:firstLine="0"/>
      </w:pPr>
      <w:rPr>
        <w:rFonts w:hint="eastAsia"/>
      </w:rPr>
    </w:lvl>
    <w:lvl w:ilvl="7" w:tentative="0">
      <w:start w:val="1"/>
      <w:numFmt w:val="decimal"/>
      <w:lvlRestart w:val="1"/>
      <w:isLgl/>
      <w:suff w:val="space"/>
      <w:lvlText w:val="图%1-%8"/>
      <w:lvlJc w:val="center"/>
      <w:pPr>
        <w:ind w:left="-106" w:firstLine="0"/>
      </w:pPr>
      <w:rPr>
        <w:rFonts w:hint="eastAsia"/>
      </w:rPr>
    </w:lvl>
    <w:lvl w:ilvl="8" w:tentative="0">
      <w:start w:val="1"/>
      <w:numFmt w:val="decimal"/>
      <w:lvlRestart w:val="1"/>
      <w:isLgl/>
      <w:suff w:val="space"/>
      <w:lvlText w:val="表%1-%9"/>
      <w:lvlJc w:val="center"/>
      <w:pPr>
        <w:ind w:left="-106" w:firstLine="0"/>
      </w:pPr>
      <w:rPr>
        <w:rFonts w:hint="eastAsia"/>
      </w:rPr>
    </w:lvl>
  </w:abstractNum>
  <w:abstractNum w:abstractNumId="10">
    <w:nsid w:val="0000000A"/>
    <w:multiLevelType w:val="multilevel"/>
    <w:tmpl w:val="0000000A"/>
    <w:lvl w:ilvl="0" w:tentative="0">
      <w:start w:val="1"/>
      <w:numFmt w:val="decimal"/>
      <w:pStyle w:val="117"/>
      <w:lvlText w:val="%1、"/>
      <w:lvlJc w:val="left"/>
      <w:pPr>
        <w:ind w:left="987" w:hanging="420"/>
      </w:pPr>
      <w:rPr>
        <w:rFonts w:ascii="宋体" w:hAnsi="宋体" w:eastAsia="宋体" w:cs="Times New Roman"/>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06882CE3"/>
    <w:multiLevelType w:val="multilevel"/>
    <w:tmpl w:val="06882CE3"/>
    <w:lvl w:ilvl="0" w:tentative="0">
      <w:start w:val="1"/>
      <w:numFmt w:val="decimal"/>
      <w:pStyle w:val="7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4A1236C"/>
    <w:multiLevelType w:val="multilevel"/>
    <w:tmpl w:val="14A1236C"/>
    <w:lvl w:ilvl="0" w:tentative="0">
      <w:start w:val="1"/>
      <w:numFmt w:val="decimal"/>
      <w:lvlText w:val="%1、"/>
      <w:lvlJc w:val="left"/>
      <w:pPr>
        <w:ind w:left="900" w:hanging="420"/>
      </w:pPr>
      <w:rPr>
        <w:rFonts w:ascii="宋体" w:hAnsi="宋体" w:eastAsia="宋体" w:cs="Times New Roman"/>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58B20EF"/>
    <w:multiLevelType w:val="multilevel"/>
    <w:tmpl w:val="158B20E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178D3D0E"/>
    <w:multiLevelType w:val="multilevel"/>
    <w:tmpl w:val="178D3D0E"/>
    <w:lvl w:ilvl="0" w:tentative="0">
      <w:start w:val="1"/>
      <w:numFmt w:val="bullet"/>
      <w:pStyle w:val="9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D2B3973"/>
    <w:multiLevelType w:val="multilevel"/>
    <w:tmpl w:val="1D2B397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1E7B065C"/>
    <w:multiLevelType w:val="multilevel"/>
    <w:tmpl w:val="1E7B065C"/>
    <w:lvl w:ilvl="0" w:tentative="0">
      <w:start w:val="1"/>
      <w:numFmt w:val="decimal"/>
      <w:pStyle w:val="9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A594A59"/>
    <w:multiLevelType w:val="multilevel"/>
    <w:tmpl w:val="2A594A59"/>
    <w:lvl w:ilvl="0" w:tentative="0">
      <w:start w:val="1"/>
      <w:numFmt w:val="decimal"/>
      <w:lvlText w:val="%1、"/>
      <w:lvlJc w:val="left"/>
      <w:pPr>
        <w:ind w:left="900" w:hanging="420"/>
      </w:pPr>
      <w:rPr>
        <w:rFonts w:ascii="宋体" w:hAnsi="宋体" w:eastAsia="宋体" w:cs="Times New Roman"/>
        <w:color w:val="000000" w:themeColor="text1"/>
        <w:lang w:val="en-US"/>
        <w14:textFill>
          <w14:solidFill>
            <w14:schemeClr w14:val="tx1"/>
          </w14:solidFill>
        </w14:textFill>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344449A7"/>
    <w:multiLevelType w:val="multilevel"/>
    <w:tmpl w:val="344449A7"/>
    <w:lvl w:ilvl="0" w:tentative="0">
      <w:start w:val="1"/>
      <w:numFmt w:val="decimal"/>
      <w:lvlText w:val="%1、"/>
      <w:lvlJc w:val="left"/>
      <w:pPr>
        <w:ind w:left="84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2">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5FE34E5B"/>
    <w:multiLevelType w:val="multilevel"/>
    <w:tmpl w:val="5FE34E5B"/>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8">
    <w:nsid w:val="656A6EAE"/>
    <w:multiLevelType w:val="multilevel"/>
    <w:tmpl w:val="656A6EAE"/>
    <w:lvl w:ilvl="0" w:tentative="0">
      <w:start w:val="1"/>
      <w:numFmt w:val="chineseCountingThousand"/>
      <w:pStyle w:val="7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679746F8"/>
    <w:multiLevelType w:val="multilevel"/>
    <w:tmpl w:val="679746F8"/>
    <w:lvl w:ilvl="0" w:tentative="0">
      <w:start w:val="1"/>
      <w:numFmt w:val="decimal"/>
      <w:lvlText w:val="%1、"/>
      <w:lvlJc w:val="left"/>
      <w:pPr>
        <w:ind w:left="846" w:hanging="420"/>
      </w:pPr>
      <w:rPr>
        <w:rFonts w:hint="eastAsia"/>
        <w:color w:val="000000" w:themeColor="text1"/>
        <w14:textFill>
          <w14:solidFill>
            <w14:schemeClr w14:val="tx1"/>
          </w14:solidFill>
        </w14:textFill>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8"/>
  </w:num>
  <w:num w:numId="3">
    <w:abstractNumId w:val="25"/>
  </w:num>
  <w:num w:numId="4">
    <w:abstractNumId w:val="23"/>
  </w:num>
  <w:num w:numId="5">
    <w:abstractNumId w:val="11"/>
  </w:num>
  <w:num w:numId="6">
    <w:abstractNumId w:val="14"/>
  </w:num>
  <w:num w:numId="7">
    <w:abstractNumId w:val="16"/>
  </w:num>
  <w:num w:numId="8">
    <w:abstractNumId w:val="24"/>
  </w:num>
  <w:num w:numId="9">
    <w:abstractNumId w:val="9"/>
  </w:num>
  <w:num w:numId="10">
    <w:abstractNumId w:val="10"/>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0"/>
  </w:num>
  <w:num w:numId="14">
    <w:abstractNumId w:val="2"/>
  </w:num>
  <w:num w:numId="15">
    <w:abstractNumId w:val="0"/>
  </w:num>
  <w:num w:numId="16">
    <w:abstractNumId w:val="1"/>
  </w:num>
  <w:num w:numId="17">
    <w:abstractNumId w:val="26"/>
  </w:num>
  <w:num w:numId="18">
    <w:abstractNumId w:val="30"/>
  </w:num>
  <w:num w:numId="19">
    <w:abstractNumId w:val="5"/>
  </w:num>
  <w:num w:numId="20">
    <w:abstractNumId w:val="3"/>
  </w:num>
  <w:num w:numId="21">
    <w:abstractNumId w:val="8"/>
  </w:num>
  <w:num w:numId="22">
    <w:abstractNumId w:val="6"/>
  </w:num>
  <w:num w:numId="23">
    <w:abstractNumId w:val="21"/>
  </w:num>
  <w:num w:numId="24">
    <w:abstractNumId w:val="19"/>
  </w:num>
  <w:num w:numId="25">
    <w:abstractNumId w:val="7"/>
  </w:num>
  <w:num w:numId="26">
    <w:abstractNumId w:val="17"/>
  </w:num>
  <w:num w:numId="27">
    <w:abstractNumId w:val="15"/>
  </w:num>
  <w:num w:numId="28">
    <w:abstractNumId w:val="12"/>
  </w:num>
  <w:num w:numId="29">
    <w:abstractNumId w:val="13"/>
  </w:num>
  <w:num w:numId="30">
    <w:abstractNumId w:val="2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06B"/>
    <w:rsid w:val="00057C2D"/>
    <w:rsid w:val="000602B2"/>
    <w:rsid w:val="000608A3"/>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87A22"/>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2DAD"/>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D6D"/>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1FB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22C"/>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23E9"/>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695"/>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545"/>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0F3B"/>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2E34"/>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6F6A"/>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1A"/>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D69"/>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10E7"/>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4E5"/>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63C5"/>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961"/>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0B8"/>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66D"/>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62C"/>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D0"/>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2DBB"/>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69C7"/>
    <w:rsid w:val="00D1728A"/>
    <w:rsid w:val="00D1739C"/>
    <w:rsid w:val="00D1785C"/>
    <w:rsid w:val="00D21BCE"/>
    <w:rsid w:val="00D220E4"/>
    <w:rsid w:val="00D2231A"/>
    <w:rsid w:val="00D22639"/>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5A8"/>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5AE3"/>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341"/>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5B15"/>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1E53"/>
    <w:rsid w:val="00ED2992"/>
    <w:rsid w:val="00ED3AAB"/>
    <w:rsid w:val="00ED40E5"/>
    <w:rsid w:val="00ED479D"/>
    <w:rsid w:val="00ED6513"/>
    <w:rsid w:val="00ED680C"/>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704AC1"/>
    <w:rsid w:val="02C31B6F"/>
    <w:rsid w:val="02CC3DCA"/>
    <w:rsid w:val="02FE76EF"/>
    <w:rsid w:val="03F033B0"/>
    <w:rsid w:val="04262143"/>
    <w:rsid w:val="057C1D39"/>
    <w:rsid w:val="05891259"/>
    <w:rsid w:val="08633479"/>
    <w:rsid w:val="08E15D0F"/>
    <w:rsid w:val="0CB51572"/>
    <w:rsid w:val="0E1236BA"/>
    <w:rsid w:val="0E4D31E3"/>
    <w:rsid w:val="10DC2AA3"/>
    <w:rsid w:val="10FA7C8C"/>
    <w:rsid w:val="130B198F"/>
    <w:rsid w:val="16A918E4"/>
    <w:rsid w:val="17D966D6"/>
    <w:rsid w:val="1BC71D3B"/>
    <w:rsid w:val="1C59115B"/>
    <w:rsid w:val="1D176888"/>
    <w:rsid w:val="1D8B0F5B"/>
    <w:rsid w:val="1ED7245A"/>
    <w:rsid w:val="1FB23E60"/>
    <w:rsid w:val="22C5630B"/>
    <w:rsid w:val="23EC0BA6"/>
    <w:rsid w:val="24701A48"/>
    <w:rsid w:val="268B0052"/>
    <w:rsid w:val="27743C90"/>
    <w:rsid w:val="29CA2459"/>
    <w:rsid w:val="2B271A58"/>
    <w:rsid w:val="2B6304A7"/>
    <w:rsid w:val="2CF6734C"/>
    <w:rsid w:val="2D2275B1"/>
    <w:rsid w:val="2D5F45BC"/>
    <w:rsid w:val="2D663463"/>
    <w:rsid w:val="2E2D2A46"/>
    <w:rsid w:val="2EF96EE4"/>
    <w:rsid w:val="31214F0A"/>
    <w:rsid w:val="345E1ECE"/>
    <w:rsid w:val="36254FE4"/>
    <w:rsid w:val="372F61E0"/>
    <w:rsid w:val="37306422"/>
    <w:rsid w:val="38DA03F1"/>
    <w:rsid w:val="39322FCA"/>
    <w:rsid w:val="3AB90991"/>
    <w:rsid w:val="3AF04F6B"/>
    <w:rsid w:val="3B706131"/>
    <w:rsid w:val="3D012926"/>
    <w:rsid w:val="3DF6366B"/>
    <w:rsid w:val="3E6F041E"/>
    <w:rsid w:val="4275481E"/>
    <w:rsid w:val="428B617A"/>
    <w:rsid w:val="42E84CD2"/>
    <w:rsid w:val="433D7BDC"/>
    <w:rsid w:val="437E1813"/>
    <w:rsid w:val="45BD47FC"/>
    <w:rsid w:val="45CC5FB2"/>
    <w:rsid w:val="45EA3DCE"/>
    <w:rsid w:val="462B052A"/>
    <w:rsid w:val="46B75BA8"/>
    <w:rsid w:val="47FF75DD"/>
    <w:rsid w:val="488804C5"/>
    <w:rsid w:val="48C97955"/>
    <w:rsid w:val="49880C8F"/>
    <w:rsid w:val="4A8835F7"/>
    <w:rsid w:val="4B592E71"/>
    <w:rsid w:val="4CD43A79"/>
    <w:rsid w:val="50617C70"/>
    <w:rsid w:val="52B9239A"/>
    <w:rsid w:val="54BD78FD"/>
    <w:rsid w:val="56C56ABE"/>
    <w:rsid w:val="57684B46"/>
    <w:rsid w:val="58246094"/>
    <w:rsid w:val="58A86DDE"/>
    <w:rsid w:val="59154AD7"/>
    <w:rsid w:val="5ADF548D"/>
    <w:rsid w:val="5D5C60B4"/>
    <w:rsid w:val="63F04A69"/>
    <w:rsid w:val="64E3346E"/>
    <w:rsid w:val="66A50B1E"/>
    <w:rsid w:val="67B2063C"/>
    <w:rsid w:val="67C97AC3"/>
    <w:rsid w:val="67E30EC1"/>
    <w:rsid w:val="6A4E3B2B"/>
    <w:rsid w:val="6B481C3B"/>
    <w:rsid w:val="6C1331A3"/>
    <w:rsid w:val="6CA84BC1"/>
    <w:rsid w:val="6CFE2AEF"/>
    <w:rsid w:val="6D3E4756"/>
    <w:rsid w:val="6E1F1240"/>
    <w:rsid w:val="6F015B9D"/>
    <w:rsid w:val="6FC523EB"/>
    <w:rsid w:val="6FD71A8A"/>
    <w:rsid w:val="72895F2E"/>
    <w:rsid w:val="72C02EBE"/>
    <w:rsid w:val="72C507AD"/>
    <w:rsid w:val="72D028D8"/>
    <w:rsid w:val="745D47C3"/>
    <w:rsid w:val="76AC3757"/>
    <w:rsid w:val="783B73D7"/>
    <w:rsid w:val="79584DA3"/>
    <w:rsid w:val="79EC0641"/>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semiHidden="0"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0"/>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80"/>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1"/>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8">
    <w:name w:val="E-mail Signature"/>
    <w:basedOn w:val="1"/>
    <w:link w:val="107"/>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6"/>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8"/>
    <w:qFormat/>
    <w:uiPriority w:val="99"/>
    <w:pPr>
      <w:jc w:val="left"/>
    </w:pPr>
  </w:style>
  <w:style w:type="paragraph" w:styleId="12">
    <w:name w:val="index 6"/>
    <w:basedOn w:val="1"/>
    <w:next w:val="1"/>
    <w:qFormat/>
    <w:uiPriority w:val="0"/>
    <w:rPr>
      <w:rFonts w:ascii="宋体" w:hAnsi="宋体"/>
      <w:color w:val="000000" w:themeColor="text1"/>
      <w:sz w:val="20"/>
      <w14:textFill>
        <w14:solidFill>
          <w14:schemeClr w14:val="tx1"/>
        </w14:solidFill>
      </w14:textFill>
    </w:rPr>
  </w:style>
  <w:style w:type="paragraph" w:styleId="13">
    <w:name w:val="Body Text"/>
    <w:basedOn w:val="1"/>
    <w:link w:val="44"/>
    <w:semiHidden/>
    <w:qFormat/>
    <w:uiPriority w:val="98"/>
    <w:rPr>
      <w:rFonts w:ascii="仿宋_GB2312" w:eastAsia="仿宋_GB2312"/>
      <w:sz w:val="32"/>
    </w:rPr>
  </w:style>
  <w:style w:type="paragraph" w:styleId="14">
    <w:name w:val="Body Text Indent"/>
    <w:basedOn w:val="1"/>
    <w:next w:val="1"/>
    <w:link w:val="51"/>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3"/>
    <w:qFormat/>
    <w:uiPriority w:val="0"/>
    <w:rPr>
      <w:rFonts w:ascii="宋体" w:hAnsi="Courier New"/>
    </w:rPr>
  </w:style>
  <w:style w:type="paragraph" w:styleId="17">
    <w:name w:val="Date"/>
    <w:basedOn w:val="1"/>
    <w:next w:val="1"/>
    <w:link w:val="90"/>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9"/>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50"/>
    <w:semiHidden/>
    <w:qFormat/>
    <w:uiPriority w:val="0"/>
    <w:rPr>
      <w:sz w:val="18"/>
      <w:szCs w:val="18"/>
    </w:rPr>
  </w:style>
  <w:style w:type="paragraph" w:styleId="20">
    <w:name w:val="footer"/>
    <w:basedOn w:val="1"/>
    <w:link w:val="45"/>
    <w:semiHidden/>
    <w:qFormat/>
    <w:uiPriority w:val="0"/>
    <w:pPr>
      <w:tabs>
        <w:tab w:val="center" w:pos="4153"/>
        <w:tab w:val="right" w:pos="8306"/>
      </w:tabs>
      <w:snapToGrid w:val="0"/>
      <w:jc w:val="left"/>
    </w:pPr>
    <w:rPr>
      <w:sz w:val="18"/>
      <w:szCs w:val="18"/>
    </w:rPr>
  </w:style>
  <w:style w:type="paragraph" w:styleId="21">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Subtitle"/>
    <w:basedOn w:val="1"/>
    <w:qFormat/>
    <w:uiPriority w:val="0"/>
    <w:pPr>
      <w:adjustRightInd w:val="0"/>
      <w:spacing w:line="300" w:lineRule="auto"/>
      <w:ind w:firstLine="454"/>
      <w:jc w:val="center"/>
      <w:textAlignment w:val="baseline"/>
    </w:pPr>
    <w:rPr>
      <w:rFonts w:ascii="宋体" w:eastAsia="黑体"/>
      <w:b/>
      <w:kern w:val="0"/>
      <w:sz w:val="30"/>
    </w:rPr>
  </w:style>
  <w:style w:type="paragraph" w:styleId="24">
    <w:name w:val="List"/>
    <w:basedOn w:val="1"/>
    <w:qFormat/>
    <w:uiPriority w:val="0"/>
    <w:pPr>
      <w:ind w:left="200" w:hanging="200" w:hangingChars="200"/>
    </w:pPr>
    <w:rPr>
      <w:szCs w:val="21"/>
    </w:rPr>
  </w:style>
  <w:style w:type="paragraph" w:styleId="25">
    <w:name w:val="Body Text Indent 3"/>
    <w:basedOn w:val="1"/>
    <w:link w:val="86"/>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3"/>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1"/>
    <w:next w:val="11"/>
    <w:link w:val="56"/>
    <w:semiHidden/>
    <w:qFormat/>
    <w:uiPriority w:val="98"/>
    <w:rPr>
      <w:b/>
      <w:bCs/>
    </w:rPr>
  </w:style>
  <w:style w:type="paragraph" w:styleId="32">
    <w:name w:val="Body Text First Indent 2"/>
    <w:basedOn w:val="14"/>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3"/>
    <w:semiHidden/>
    <w:qFormat/>
    <w:uiPriority w:val="98"/>
    <w:rPr>
      <w:rFonts w:ascii="仿宋_GB2312" w:eastAsia="仿宋_GB2312"/>
      <w:kern w:val="2"/>
      <w:sz w:val="32"/>
    </w:rPr>
  </w:style>
  <w:style w:type="character" w:customStyle="1" w:styleId="45">
    <w:name w:val="页脚 字符"/>
    <w:link w:val="20"/>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1"/>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19"/>
    <w:semiHidden/>
    <w:qFormat/>
    <w:uiPriority w:val="98"/>
    <w:rPr>
      <w:kern w:val="2"/>
      <w:sz w:val="18"/>
      <w:szCs w:val="18"/>
    </w:rPr>
  </w:style>
  <w:style w:type="character" w:customStyle="1" w:styleId="51">
    <w:name w:val="正文文本缩进 字符"/>
    <w:link w:val="14"/>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6"/>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1"/>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style61"/>
    <w:semiHidden/>
    <w:qFormat/>
    <w:uiPriority w:val="98"/>
  </w:style>
  <w:style w:type="character" w:customStyle="1" w:styleId="70">
    <w:name w:val="标题 1 字符"/>
    <w:basedOn w:val="35"/>
    <w:link w:val="3"/>
    <w:semiHidden/>
    <w:qFormat/>
    <w:uiPriority w:val="0"/>
    <w:rPr>
      <w:b/>
      <w:bCs/>
      <w:kern w:val="44"/>
      <w:sz w:val="44"/>
      <w:szCs w:val="44"/>
    </w:rPr>
  </w:style>
  <w:style w:type="paragraph" w:customStyle="1" w:styleId="71">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2">
    <w:name w:val="标题 2 字符"/>
    <w:basedOn w:val="35"/>
    <w:link w:val="4"/>
    <w:semiHidden/>
    <w:qFormat/>
    <w:uiPriority w:val="0"/>
    <w:rPr>
      <w:rFonts w:asciiTheme="majorHAnsi" w:hAnsiTheme="majorHAnsi" w:eastAsiaTheme="majorEastAsia" w:cstheme="majorBidi"/>
      <w:b/>
      <w:bCs/>
      <w:kern w:val="2"/>
      <w:sz w:val="32"/>
      <w:szCs w:val="32"/>
    </w:rPr>
  </w:style>
  <w:style w:type="character" w:customStyle="1" w:styleId="73">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4">
    <w:name w:val="章节"/>
    <w:basedOn w:val="16"/>
    <w:qFormat/>
    <w:uiPriority w:val="0"/>
    <w:pPr>
      <w:spacing w:line="360" w:lineRule="auto"/>
      <w:jc w:val="center"/>
      <w:outlineLvl w:val="0"/>
    </w:pPr>
    <w:rPr>
      <w:rFonts w:ascii="黑体" w:eastAsia="黑体"/>
      <w:b/>
      <w:bCs/>
      <w:sz w:val="36"/>
      <w:szCs w:val="36"/>
    </w:rPr>
  </w:style>
  <w:style w:type="paragraph" w:customStyle="1" w:styleId="75">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6">
    <w:name w:val="（二）级标题"/>
    <w:basedOn w:val="16"/>
    <w:qFormat/>
    <w:uiPriority w:val="2"/>
    <w:pPr>
      <w:numPr>
        <w:ilvl w:val="0"/>
        <w:numId w:val="3"/>
      </w:numPr>
      <w:spacing w:line="360" w:lineRule="auto"/>
      <w:outlineLvl w:val="2"/>
    </w:pPr>
    <w:rPr>
      <w:b/>
    </w:rPr>
  </w:style>
  <w:style w:type="paragraph" w:customStyle="1" w:styleId="77">
    <w:name w:val="3级标题"/>
    <w:basedOn w:val="16"/>
    <w:link w:val="105"/>
    <w:qFormat/>
    <w:uiPriority w:val="3"/>
    <w:pPr>
      <w:numPr>
        <w:ilvl w:val="0"/>
        <w:numId w:val="4"/>
      </w:numPr>
      <w:spacing w:line="360" w:lineRule="auto"/>
      <w:outlineLvl w:val="3"/>
    </w:pPr>
    <w:rPr>
      <w:b/>
    </w:rPr>
  </w:style>
  <w:style w:type="paragraph" w:customStyle="1" w:styleId="78">
    <w:name w:val="（4）级标题"/>
    <w:basedOn w:val="16"/>
    <w:qFormat/>
    <w:uiPriority w:val="8"/>
    <w:pPr>
      <w:numPr>
        <w:ilvl w:val="0"/>
        <w:numId w:val="5"/>
      </w:numPr>
      <w:spacing w:line="360" w:lineRule="auto"/>
      <w:outlineLvl w:val="4"/>
    </w:pPr>
  </w:style>
  <w:style w:type="paragraph" w:customStyle="1" w:styleId="79">
    <w:name w:val="标书正文"/>
    <w:basedOn w:val="16"/>
    <w:link w:val="100"/>
    <w:qFormat/>
    <w:uiPriority w:val="9"/>
    <w:pPr>
      <w:spacing w:line="360" w:lineRule="auto"/>
      <w:jc w:val="left"/>
    </w:pPr>
  </w:style>
  <w:style w:type="character" w:customStyle="1" w:styleId="80">
    <w:name w:val="标题 4 字符"/>
    <w:basedOn w:val="35"/>
    <w:link w:val="6"/>
    <w:semiHidden/>
    <w:qFormat/>
    <w:uiPriority w:val="0"/>
    <w:rPr>
      <w:rFonts w:ascii="Arial" w:hAnsi="Arial"/>
      <w:b/>
      <w:bCs/>
      <w:kern w:val="2"/>
      <w:sz w:val="21"/>
      <w:szCs w:val="28"/>
    </w:rPr>
  </w:style>
  <w:style w:type="character" w:customStyle="1" w:styleId="81">
    <w:name w:val="标题 5 字符"/>
    <w:basedOn w:val="35"/>
    <w:link w:val="7"/>
    <w:semiHidden/>
    <w:qFormat/>
    <w:uiPriority w:val="0"/>
    <w:rPr>
      <w:rFonts w:ascii="宋体" w:hAnsi="宋体"/>
      <w:bCs/>
      <w:iCs/>
      <w:color w:val="000000"/>
      <w:sz w:val="28"/>
      <w:szCs w:val="28"/>
    </w:rPr>
  </w:style>
  <w:style w:type="paragraph" w:customStyle="1" w:styleId="8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3">
    <w:name w:val="case31"/>
    <w:qFormat/>
    <w:uiPriority w:val="0"/>
    <w:rPr>
      <w:rFonts w:hint="default" w:ascii="ˎ̥" w:hAnsi="ˎ̥"/>
      <w:sz w:val="21"/>
      <w:szCs w:val="21"/>
    </w:rPr>
  </w:style>
  <w:style w:type="character" w:customStyle="1" w:styleId="84">
    <w:name w:val="标题 2 Char"/>
    <w:qFormat/>
    <w:uiPriority w:val="0"/>
    <w:rPr>
      <w:rFonts w:ascii="宋体" w:hAnsi="宋体"/>
      <w:bCs/>
      <w:sz w:val="24"/>
      <w:szCs w:val="32"/>
    </w:rPr>
  </w:style>
  <w:style w:type="character" w:customStyle="1" w:styleId="85">
    <w:name w:val="标题 Char"/>
    <w:qFormat/>
    <w:uiPriority w:val="0"/>
    <w:rPr>
      <w:rFonts w:ascii="宋体" w:hAnsi="宋体" w:cs="Times New Roman"/>
      <w:b/>
      <w:bCs/>
      <w:sz w:val="24"/>
      <w:szCs w:val="32"/>
    </w:rPr>
  </w:style>
  <w:style w:type="character" w:customStyle="1" w:styleId="86">
    <w:name w:val="正文文本缩进 3 字符"/>
    <w:basedOn w:val="35"/>
    <w:link w:val="25"/>
    <w:semiHidden/>
    <w:qFormat/>
    <w:uiPriority w:val="0"/>
    <w:rPr>
      <w:rFonts w:ascii="宋体" w:hAnsi="宋体"/>
      <w:color w:val="FF0000"/>
      <w:kern w:val="2"/>
      <w:sz w:val="24"/>
      <w:szCs w:val="24"/>
    </w:rPr>
  </w:style>
  <w:style w:type="paragraph" w:customStyle="1" w:styleId="87">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9">
    <w:name w:val="正文文本缩进 2 字符"/>
    <w:basedOn w:val="35"/>
    <w:link w:val="18"/>
    <w:semiHidden/>
    <w:qFormat/>
    <w:uiPriority w:val="0"/>
    <w:rPr>
      <w:sz w:val="24"/>
    </w:rPr>
  </w:style>
  <w:style w:type="character" w:customStyle="1" w:styleId="90">
    <w:name w:val="日期 字符"/>
    <w:basedOn w:val="35"/>
    <w:link w:val="17"/>
    <w:semiHidden/>
    <w:qFormat/>
    <w:uiPriority w:val="0"/>
    <w:rPr>
      <w:sz w:val="24"/>
    </w:rPr>
  </w:style>
  <w:style w:type="paragraph" w:customStyle="1" w:styleId="91">
    <w:name w:val="Char1 Char Char Char Char Char Char"/>
    <w:basedOn w:val="1"/>
    <w:qFormat/>
    <w:uiPriority w:val="0"/>
    <w:rPr>
      <w:rFonts w:ascii="Tahoma" w:hAnsi="Tahoma"/>
      <w:sz w:val="24"/>
    </w:rPr>
  </w:style>
  <w:style w:type="paragraph" w:customStyle="1" w:styleId="92">
    <w:name w:val="样式1"/>
    <w:basedOn w:val="1"/>
    <w:qFormat/>
    <w:uiPriority w:val="0"/>
    <w:pPr>
      <w:adjustRightInd w:val="0"/>
      <w:spacing w:line="420" w:lineRule="auto"/>
      <w:jc w:val="center"/>
      <w:textAlignment w:val="baseline"/>
    </w:pPr>
    <w:rPr>
      <w:rFonts w:ascii="宋体"/>
      <w:kern w:val="0"/>
      <w:sz w:val="24"/>
    </w:rPr>
  </w:style>
  <w:style w:type="paragraph" w:customStyle="1" w:styleId="9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5">
    <w:name w:val="文档结构图 字符"/>
    <w:basedOn w:val="35"/>
    <w:semiHidden/>
    <w:qFormat/>
    <w:uiPriority w:val="98"/>
    <w:rPr>
      <w:rFonts w:ascii="Microsoft YaHei UI" w:eastAsia="Microsoft YaHei UI"/>
      <w:kern w:val="2"/>
      <w:sz w:val="18"/>
      <w:szCs w:val="18"/>
    </w:rPr>
  </w:style>
  <w:style w:type="character" w:customStyle="1" w:styleId="96">
    <w:name w:val="文档结构图 字符1"/>
    <w:basedOn w:val="35"/>
    <w:link w:val="10"/>
    <w:semiHidden/>
    <w:qFormat/>
    <w:uiPriority w:val="0"/>
    <w:rPr>
      <w:rFonts w:ascii="宋体"/>
      <w:sz w:val="18"/>
      <w:szCs w:val="18"/>
    </w:rPr>
  </w:style>
  <w:style w:type="paragraph" w:customStyle="1" w:styleId="97">
    <w:name w:val="表格"/>
    <w:basedOn w:val="1"/>
    <w:link w:val="98"/>
    <w:qFormat/>
    <w:uiPriority w:val="10"/>
    <w:rPr>
      <w:rFonts w:ascii="宋体" w:hAnsi="宋体"/>
      <w:szCs w:val="30"/>
    </w:rPr>
  </w:style>
  <w:style w:type="character" w:customStyle="1" w:styleId="98">
    <w:name w:val="表格 字符"/>
    <w:basedOn w:val="35"/>
    <w:link w:val="97"/>
    <w:qFormat/>
    <w:uiPriority w:val="10"/>
    <w:rPr>
      <w:rFonts w:ascii="宋体" w:hAnsi="宋体"/>
      <w:kern w:val="2"/>
      <w:sz w:val="21"/>
      <w:szCs w:val="30"/>
    </w:rPr>
  </w:style>
  <w:style w:type="paragraph" w:customStyle="1" w:styleId="99">
    <w:name w:val="5）级标题"/>
    <w:basedOn w:val="79"/>
    <w:link w:val="101"/>
    <w:qFormat/>
    <w:uiPriority w:val="11"/>
    <w:pPr>
      <w:numPr>
        <w:ilvl w:val="0"/>
        <w:numId w:val="7"/>
      </w:numPr>
      <w:ind w:firstLine="0"/>
    </w:pPr>
  </w:style>
  <w:style w:type="character" w:customStyle="1" w:styleId="100">
    <w:name w:val="标书正文 字符"/>
    <w:basedOn w:val="53"/>
    <w:link w:val="79"/>
    <w:qFormat/>
    <w:uiPriority w:val="9"/>
    <w:rPr>
      <w:rFonts w:ascii="宋体" w:hAnsi="Courier New"/>
      <w:kern w:val="2"/>
      <w:sz w:val="21"/>
    </w:rPr>
  </w:style>
  <w:style w:type="character" w:customStyle="1" w:styleId="101">
    <w:name w:val="5）级标题 字符"/>
    <w:basedOn w:val="100"/>
    <w:link w:val="99"/>
    <w:qFormat/>
    <w:uiPriority w:val="11"/>
    <w:rPr>
      <w:rFonts w:ascii="宋体" w:hAnsi="Courier New"/>
      <w:kern w:val="2"/>
      <w:sz w:val="21"/>
    </w:rPr>
  </w:style>
  <w:style w:type="paragraph" w:customStyle="1" w:styleId="102">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3">
    <w:name w:val="不明显强调1"/>
    <w:basedOn w:val="35"/>
    <w:qFormat/>
    <w:uiPriority w:val="19"/>
    <w:rPr>
      <w:rFonts w:eastAsia="宋体"/>
      <w:i/>
      <w:iCs/>
      <w:color w:val="auto"/>
      <w:sz w:val="21"/>
    </w:rPr>
  </w:style>
  <w:style w:type="paragraph" w:customStyle="1" w:styleId="104">
    <w:name w:val="⑥级标题"/>
    <w:basedOn w:val="77"/>
    <w:link w:val="106"/>
    <w:qFormat/>
    <w:uiPriority w:val="12"/>
    <w:pPr>
      <w:numPr>
        <w:numId w:val="8"/>
      </w:numPr>
    </w:pPr>
  </w:style>
  <w:style w:type="character" w:customStyle="1" w:styleId="105">
    <w:name w:val="3级标题 字符"/>
    <w:basedOn w:val="53"/>
    <w:link w:val="77"/>
    <w:qFormat/>
    <w:uiPriority w:val="3"/>
    <w:rPr>
      <w:rFonts w:ascii="宋体" w:hAnsi="Courier New"/>
      <w:b/>
      <w:kern w:val="2"/>
      <w:sz w:val="21"/>
    </w:rPr>
  </w:style>
  <w:style w:type="character" w:customStyle="1" w:styleId="106">
    <w:name w:val="⑥级标题 字符"/>
    <w:basedOn w:val="105"/>
    <w:link w:val="104"/>
    <w:qFormat/>
    <w:uiPriority w:val="12"/>
    <w:rPr>
      <w:rFonts w:ascii="宋体" w:hAnsi="Courier New"/>
      <w:kern w:val="2"/>
      <w:sz w:val="21"/>
    </w:rPr>
  </w:style>
  <w:style w:type="character" w:customStyle="1" w:styleId="107">
    <w:name w:val="电子邮件签名 字符"/>
    <w:link w:val="8"/>
    <w:semiHidden/>
    <w:qFormat/>
    <w:locked/>
    <w:uiPriority w:val="99"/>
    <w:rPr>
      <w:sz w:val="21"/>
      <w:szCs w:val="21"/>
    </w:rPr>
  </w:style>
  <w:style w:type="character" w:customStyle="1" w:styleId="108">
    <w:name w:val="电子邮件签名 字符1"/>
    <w:basedOn w:val="35"/>
    <w:semiHidden/>
    <w:qFormat/>
    <w:uiPriority w:val="98"/>
    <w:rPr>
      <w:rFonts w:ascii="Times New Roman" w:hAnsi="Times New Roman"/>
      <w:kern w:val="2"/>
      <w:sz w:val="21"/>
    </w:rPr>
  </w:style>
  <w:style w:type="character" w:customStyle="1" w:styleId="109">
    <w:name w:val="HR正文 Char"/>
    <w:link w:val="110"/>
    <w:qFormat/>
    <w:uiPriority w:val="0"/>
    <w:rPr>
      <w:kern w:val="2"/>
      <w:sz w:val="24"/>
      <w:szCs w:val="24"/>
    </w:rPr>
  </w:style>
  <w:style w:type="paragraph" w:customStyle="1" w:styleId="110">
    <w:name w:val="HR正文"/>
    <w:basedOn w:val="1"/>
    <w:link w:val="109"/>
    <w:qFormat/>
    <w:uiPriority w:val="0"/>
    <w:pPr>
      <w:spacing w:line="300" w:lineRule="auto"/>
      <w:ind w:firstLine="200" w:firstLineChars="200"/>
    </w:pPr>
    <w:rPr>
      <w:rFonts w:ascii="Calibri" w:hAnsi="Calibri"/>
      <w:sz w:val="24"/>
      <w:szCs w:val="24"/>
    </w:rPr>
  </w:style>
  <w:style w:type="character" w:customStyle="1" w:styleId="111">
    <w:name w:val="信息标题 字符"/>
    <w:link w:val="28"/>
    <w:semiHidden/>
    <w:qFormat/>
    <w:locked/>
    <w:uiPriority w:val="99"/>
    <w:rPr>
      <w:rFonts w:ascii="Cambria" w:hAnsi="Cambria" w:cs="Cambria"/>
      <w:sz w:val="24"/>
      <w:szCs w:val="24"/>
      <w:shd w:val="pct20" w:color="auto" w:fill="auto"/>
    </w:rPr>
  </w:style>
  <w:style w:type="character" w:customStyle="1" w:styleId="112">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3">
    <w:name w:val="页眉 Char1"/>
    <w:semiHidden/>
    <w:qFormat/>
    <w:locked/>
    <w:uiPriority w:val="0"/>
    <w:rPr>
      <w:rFonts w:ascii="Calibri" w:hAnsi="Calibri"/>
      <w:sz w:val="18"/>
      <w:szCs w:val="18"/>
    </w:rPr>
  </w:style>
  <w:style w:type="paragraph" w:customStyle="1" w:styleId="114">
    <w:name w:val="HR正文表格"/>
    <w:basedOn w:val="1"/>
    <w:qFormat/>
    <w:uiPriority w:val="0"/>
    <w:pPr>
      <w:spacing w:beforeLines="25" w:afterLines="25" w:line="300" w:lineRule="auto"/>
    </w:pPr>
    <w:rPr>
      <w:szCs w:val="24"/>
    </w:rPr>
  </w:style>
  <w:style w:type="paragraph" w:customStyle="1" w:styleId="115">
    <w:name w:val="潍柴文档标题1"/>
    <w:basedOn w:val="3"/>
    <w:next w:val="116"/>
    <w:qFormat/>
    <w:uiPriority w:val="0"/>
    <w:pPr>
      <w:numPr>
        <w:ilvl w:val="0"/>
        <w:numId w:val="9"/>
      </w:numPr>
      <w:spacing w:before="0" w:after="0" w:line="360" w:lineRule="auto"/>
    </w:pPr>
    <w:rPr>
      <w:sz w:val="28"/>
    </w:rPr>
  </w:style>
  <w:style w:type="paragraph" w:customStyle="1" w:styleId="116">
    <w:name w:val="潍柴文档正文"/>
    <w:basedOn w:val="1"/>
    <w:qFormat/>
    <w:uiPriority w:val="0"/>
    <w:pPr>
      <w:spacing w:line="360" w:lineRule="auto"/>
      <w:ind w:firstLine="200" w:firstLineChars="200"/>
    </w:pPr>
    <w:rPr>
      <w:sz w:val="28"/>
    </w:rPr>
  </w:style>
  <w:style w:type="paragraph" w:customStyle="1" w:styleId="117">
    <w:name w:val="潍柴文档正文一级标题"/>
    <w:basedOn w:val="116"/>
    <w:qFormat/>
    <w:uiPriority w:val="0"/>
    <w:pPr>
      <w:numPr>
        <w:ilvl w:val="0"/>
        <w:numId w:val="10"/>
      </w:numPr>
      <w:ind w:right="100" w:rightChars="100" w:firstLine="0" w:firstLineChars="0"/>
      <w:jc w:val="left"/>
    </w:pPr>
  </w:style>
  <w:style w:type="paragraph" w:customStyle="1" w:styleId="118">
    <w:name w:val="潍柴文档标题"/>
    <w:basedOn w:val="30"/>
    <w:next w:val="1"/>
    <w:qFormat/>
    <w:uiPriority w:val="0"/>
    <w:pPr>
      <w:keepLines/>
      <w:widowControl/>
      <w:overflowPunct w:val="0"/>
      <w:autoSpaceDE w:val="0"/>
      <w:autoSpaceDN w:val="0"/>
      <w:adjustRightInd w:val="0"/>
      <w:spacing w:before="0" w:after="120" w:line="480" w:lineRule="auto"/>
      <w:textAlignment w:val="baseline"/>
      <w:outlineLvl w:val="9"/>
    </w:pPr>
    <w:rPr>
      <w:rFonts w:ascii="Times New Roman" w:hAnsi="Times New Roman" w:eastAsia="宋体" w:cs="Times New Roman"/>
      <w:bCs w:val="0"/>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19</Pages>
  <Words>5189</Words>
  <Characters>5397</Characters>
  <Lines>299</Lines>
  <Paragraphs>320</Paragraphs>
  <TotalTime>17</TotalTime>
  <ScaleCrop>false</ScaleCrop>
  <LinksUpToDate>false</LinksUpToDate>
  <CharactersWithSpaces>10266</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2025-10-20T02:23:26Z</dcterms:modified>
  <cp:revision>184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B011CA05D19C4B88BE5F874863FB1C26_13</vt:lpwstr>
  </property>
  <property fmtid="{D5CDD505-2E9C-101B-9397-08002B2CF9AE}" pid="4" name="KSOTemplateDocerSaveRecord">
    <vt:lpwstr>eyJoZGlkIjoiM2IxZTgxNDY4OWE4M2NlNjg2NWMwNjZmYWI4OTMxYWEiLCJ1c2VySWQiOiI2Njg4MDE2NzUifQ==</vt:lpwstr>
  </property>
</Properties>
</file>