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中国重汽集团济南智能装备有限公司2025年度国产中频炉炉膛年度外委维修项目</w:t>
      </w:r>
    </w:p>
    <w:p w14:paraId="02E72EB8">
      <w:pPr>
        <w:pStyle w:val="3"/>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9</w:t>
      </w:r>
      <w:r>
        <w:rPr>
          <w:rFonts w:hint="eastAsia" w:ascii="华文仿宋" w:hAnsi="华文仿宋" w:eastAsia="华文仿宋" w:cstheme="minorBidi"/>
          <w:sz w:val="32"/>
          <w:szCs w:val="28"/>
        </w:rPr>
        <w:t>月</w:t>
      </w:r>
    </w:p>
    <w:p w14:paraId="578DF8D1">
      <w:pPr>
        <w:spacing w:line="480" w:lineRule="auto"/>
        <w:jc w:val="center"/>
        <w:rPr>
          <w:rFonts w:ascii="宋体" w:hAnsi="宋体"/>
          <w:b/>
          <w:bCs/>
          <w:sz w:val="48"/>
          <w:szCs w:val="48"/>
        </w:rPr>
      </w:pPr>
    </w:p>
    <w:p w14:paraId="0E3B8CE5">
      <w:pPr>
        <w:pStyle w:val="2"/>
      </w:pPr>
    </w:p>
    <w:p w14:paraId="78C31F52">
      <w:pPr>
        <w:pStyle w:val="3"/>
      </w:pPr>
    </w:p>
    <w:p w14:paraId="550B59DA">
      <w:pPr>
        <w:pStyle w:val="3"/>
      </w:pPr>
    </w:p>
    <w:p w14:paraId="742D4732">
      <w:pPr>
        <w:pStyle w:val="3"/>
      </w:pPr>
    </w:p>
    <w:p w14:paraId="655969E4">
      <w:pPr>
        <w:pStyle w:val="2"/>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中国重汽集团济南智能装备有限公司2025年度国产中频炉炉膛年度外委维修项目</w:t>
      </w:r>
    </w:p>
    <w:p w14:paraId="7B7EAB1D">
      <w:pPr>
        <w:pStyle w:val="5"/>
        <w:spacing w:line="360" w:lineRule="auto"/>
        <w:ind w:left="420"/>
        <w:rPr>
          <w:rFonts w:ascii="Helvetica" w:hAnsi="Helvetica" w:eastAsia="Helvetica" w:cs="Helvetica"/>
          <w:i w:val="0"/>
          <w:iCs w:val="0"/>
          <w:caps w:val="0"/>
          <w:color w:val="0A7CFF"/>
          <w:spacing w:val="0"/>
          <w:sz w:val="18"/>
          <w:szCs w:val="18"/>
          <w:shd w:val="clear" w:fill="FFFFFF"/>
        </w:rPr>
      </w:pPr>
      <w:r>
        <w:rPr>
          <w:rFonts w:hint="eastAsia"/>
        </w:rPr>
        <w:t>项目编号：</w:t>
      </w:r>
      <w:bookmarkEnd w:id="0"/>
      <w:r>
        <w:rPr>
          <w:rFonts w:hint="eastAsia"/>
        </w:rPr>
        <w:t>CGZX2025090095</w:t>
      </w:r>
    </w:p>
    <w:p w14:paraId="58CF8EA1">
      <w:pPr>
        <w:pStyle w:val="5"/>
        <w:spacing w:line="360" w:lineRule="auto"/>
        <w:ind w:left="420"/>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招标内容：中国重汽集团济南智能装备有限公司2025年度国产中频炉炉膛年度外委维修</w:t>
      </w:r>
      <w:r>
        <w:rPr>
          <w:rFonts w:hint="eastAsia" w:ascii="宋体" w:eastAsia="宋体"/>
        </w:rPr>
        <w:t>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24"/>
        <w:gridCol w:w="1140"/>
        <w:gridCol w:w="2377"/>
        <w:gridCol w:w="941"/>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424" w:type="dxa"/>
            <w:vAlign w:val="center"/>
          </w:tcPr>
          <w:p w14:paraId="59292179">
            <w:pPr>
              <w:spacing w:line="320" w:lineRule="exact"/>
              <w:jc w:val="center"/>
              <w:rPr>
                <w:rFonts w:ascii="宋体"/>
              </w:rPr>
            </w:pPr>
            <w:r>
              <w:rPr>
                <w:rFonts w:hint="eastAsia" w:ascii="宋体"/>
              </w:rPr>
              <w:t>名称</w:t>
            </w:r>
          </w:p>
        </w:tc>
        <w:tc>
          <w:tcPr>
            <w:tcW w:w="1140" w:type="dxa"/>
            <w:vAlign w:val="center"/>
          </w:tcPr>
          <w:p w14:paraId="6316A821">
            <w:pPr>
              <w:spacing w:line="320" w:lineRule="exact"/>
              <w:jc w:val="center"/>
              <w:rPr>
                <w:rFonts w:ascii="宋体"/>
              </w:rPr>
            </w:pPr>
            <w:r>
              <w:rPr>
                <w:rFonts w:hint="eastAsia" w:ascii="宋体"/>
              </w:rPr>
              <w:t>数量</w:t>
            </w:r>
          </w:p>
        </w:tc>
        <w:tc>
          <w:tcPr>
            <w:tcW w:w="2377" w:type="dxa"/>
            <w:vAlign w:val="center"/>
          </w:tcPr>
          <w:p w14:paraId="20A8C88D">
            <w:pPr>
              <w:spacing w:line="320" w:lineRule="exact"/>
              <w:jc w:val="center"/>
              <w:rPr>
                <w:rFonts w:ascii="宋体"/>
              </w:rPr>
            </w:pPr>
            <w:r>
              <w:rPr>
                <w:rFonts w:hint="eastAsia" w:ascii="宋体"/>
              </w:rPr>
              <w:t>服务对象</w:t>
            </w:r>
          </w:p>
        </w:tc>
        <w:tc>
          <w:tcPr>
            <w:tcW w:w="941"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424" w:type="dxa"/>
            <w:vAlign w:val="center"/>
          </w:tcPr>
          <w:p w14:paraId="04952979">
            <w:pPr>
              <w:spacing w:line="320" w:lineRule="exact"/>
              <w:jc w:val="center"/>
              <w:rPr>
                <w:rFonts w:hint="eastAsia" w:eastAsia="宋体"/>
                <w:color w:val="auto"/>
                <w:lang w:eastAsia="zh-CN"/>
              </w:rPr>
            </w:pPr>
            <w:r>
              <w:rPr>
                <w:rFonts w:hint="eastAsia"/>
              </w:rPr>
              <w:t>济南智能装备有限公司2025年度国产中频炉炉膛年度外委维修</w:t>
            </w:r>
          </w:p>
        </w:tc>
        <w:tc>
          <w:tcPr>
            <w:tcW w:w="1140" w:type="dxa"/>
            <w:vAlign w:val="center"/>
          </w:tcPr>
          <w:p w14:paraId="555FDB98">
            <w:pPr>
              <w:spacing w:line="320" w:lineRule="exact"/>
              <w:jc w:val="center"/>
              <w:rPr>
                <w:rFonts w:hint="default" w:ascii="宋体" w:eastAsia="宋体"/>
                <w:color w:val="auto"/>
                <w:lang w:val="en-US" w:eastAsia="zh-CN"/>
              </w:rPr>
            </w:pPr>
            <w:r>
              <w:rPr>
                <w:rFonts w:hint="eastAsia" w:ascii="宋体"/>
                <w:color w:val="auto"/>
                <w:lang w:val="en-US" w:eastAsia="zh-CN"/>
              </w:rPr>
              <w:t>1宗</w:t>
            </w:r>
          </w:p>
        </w:tc>
        <w:tc>
          <w:tcPr>
            <w:tcW w:w="2377" w:type="dxa"/>
            <w:vAlign w:val="center"/>
          </w:tcPr>
          <w:p w14:paraId="02E810A5">
            <w:pPr>
              <w:spacing w:line="320" w:lineRule="exact"/>
              <w:jc w:val="center"/>
              <w:rPr>
                <w:rFonts w:hint="default" w:eastAsia="宋体" w:cs="宋体"/>
                <w:color w:val="auto"/>
                <w:kern w:val="1"/>
                <w:lang w:val="en-US" w:eastAsia="zh-CN"/>
              </w:rPr>
            </w:pPr>
            <w:r>
              <w:rPr>
                <w:rFonts w:hint="eastAsia" w:cs="宋体"/>
                <w:color w:val="auto"/>
                <w:kern w:val="1"/>
                <w:lang w:val="en-US" w:eastAsia="zh-CN"/>
              </w:rPr>
              <w:t>智能装备公司锻压车间</w:t>
            </w:r>
          </w:p>
        </w:tc>
        <w:tc>
          <w:tcPr>
            <w:tcW w:w="941" w:type="dxa"/>
            <w:vAlign w:val="center"/>
          </w:tcPr>
          <w:p w14:paraId="71B96216">
            <w:pPr>
              <w:spacing w:line="320" w:lineRule="exact"/>
              <w:jc w:val="center"/>
              <w:rPr>
                <w:rFonts w:hint="default" w:ascii="宋体" w:hAnsi="宋体" w:eastAsia="宋体"/>
                <w:color w:val="auto"/>
                <w:lang w:val="en-US" w:eastAsia="zh-CN"/>
              </w:rPr>
            </w:pP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lang w:val="en-US" w:eastAsia="zh-CN"/>
        </w:rPr>
        <w:t>公开</w:t>
      </w:r>
      <w:r>
        <w:rPr>
          <w:rFonts w:hint="eastAsia"/>
          <w:color w:val="auto"/>
          <w:highlight w:val="none"/>
        </w:rPr>
        <w:t>招标。</w:t>
      </w:r>
    </w:p>
    <w:p w14:paraId="60AAF1AB">
      <w:pPr>
        <w:pStyle w:val="5"/>
        <w:spacing w:line="360" w:lineRule="auto"/>
        <w:ind w:firstLine="420" w:firstLineChars="200"/>
      </w:pPr>
      <w:r>
        <w:rPr>
          <w:rFonts w:hint="eastAsia"/>
        </w:rPr>
        <w:t>投标上限：</w:t>
      </w:r>
      <w:r>
        <w:rPr>
          <w:rFonts w:hint="eastAsia"/>
          <w:color w:val="FF0000"/>
          <w:lang w:val="en-US" w:eastAsia="zh-CN"/>
        </w:rPr>
        <w:t>7.89</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 xml:space="preserve">年 </w:t>
      </w:r>
      <w:r>
        <w:rPr>
          <w:rFonts w:hint="eastAsia"/>
          <w:color w:val="FF0000"/>
          <w:szCs w:val="21"/>
          <w:highlight w:val="yellow"/>
          <w:lang w:val="en-US" w:eastAsia="zh-CN"/>
        </w:rPr>
        <w:t>9</w:t>
      </w:r>
      <w:r>
        <w:rPr>
          <w:rFonts w:hint="eastAsia"/>
          <w:color w:val="FF0000"/>
          <w:szCs w:val="21"/>
          <w:highlight w:val="yellow"/>
        </w:rPr>
        <w:t>月</w:t>
      </w:r>
      <w:r>
        <w:rPr>
          <w:rFonts w:hint="eastAsia"/>
          <w:color w:val="FF0000"/>
          <w:szCs w:val="21"/>
          <w:highlight w:val="yellow"/>
          <w:lang w:val="en-US" w:eastAsia="zh-CN"/>
        </w:rPr>
        <w:t>11</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8</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8</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10</w:t>
      </w:r>
      <w:r>
        <w:rPr>
          <w:rFonts w:hint="eastAsia"/>
          <w:color w:val="FF0000"/>
          <w:szCs w:val="21"/>
          <w:highlight w:val="yellow"/>
        </w:rPr>
        <w:t>月</w:t>
      </w:r>
      <w:r>
        <w:rPr>
          <w:rFonts w:hint="eastAsia"/>
          <w:color w:val="FF0000"/>
          <w:szCs w:val="21"/>
          <w:highlight w:val="yellow"/>
          <w:lang w:val="en-US" w:eastAsia="zh-CN"/>
        </w:rPr>
        <w:t>8</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8</w:t>
      </w:r>
      <w:r>
        <w:rPr>
          <w:rFonts w:hint="eastAsia"/>
          <w:color w:val="FF0000"/>
          <w:highlight w:val="yellow"/>
        </w:rPr>
        <w:t>日</w:t>
      </w:r>
      <w:r>
        <w:rPr>
          <w:rFonts w:hint="eastAsia"/>
          <w:color w:val="000000"/>
        </w:rPr>
        <w:t>下午</w:t>
      </w:r>
      <w:r>
        <w:rPr>
          <w:rFonts w:hint="eastAsia"/>
          <w:color w:val="000000"/>
          <w:lang w:val="en-US" w:eastAsia="zh-CN"/>
        </w:rPr>
        <w:t>5</w:t>
      </w:r>
      <w:r>
        <w:rPr>
          <w:rFonts w:hint="eastAsia"/>
          <w:color w:val="000000"/>
        </w:rPr>
        <w:t>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719D0D5D">
      <w:pPr>
        <w:pStyle w:val="5"/>
        <w:spacing w:line="360" w:lineRule="auto"/>
        <w:ind w:firstLine="630" w:firstLineChars="300"/>
        <w:rPr>
          <w:rFonts w:hint="eastAsia"/>
          <w:lang w:val="en-US" w:eastAsia="zh-CN"/>
        </w:rPr>
      </w:pPr>
      <w:r>
        <w:rPr>
          <w:rFonts w:hint="eastAsia"/>
          <w:lang w:val="en-US" w:eastAsia="zh-CN"/>
        </w:rPr>
        <w:t>技术事宜联系人：张鲁朋</w:t>
      </w:r>
    </w:p>
    <w:p w14:paraId="2D02BADC">
      <w:pPr>
        <w:pStyle w:val="5"/>
        <w:spacing w:line="360" w:lineRule="auto"/>
        <w:ind w:firstLine="630" w:firstLineChars="300"/>
        <w:rPr>
          <w:rFonts w:hint="default" w:eastAsia="宋体"/>
          <w:lang w:val="en-US" w:eastAsia="zh-CN"/>
        </w:rPr>
      </w:pPr>
      <w:r>
        <w:rPr>
          <w:rFonts w:hint="eastAsia"/>
          <w:color w:val="000000"/>
        </w:rPr>
        <w:t>联系电话：</w:t>
      </w:r>
      <w:r>
        <w:rPr>
          <w:rFonts w:hAnsi="宋体"/>
          <w:color w:val="000000"/>
          <w:szCs w:val="21"/>
        </w:rPr>
        <w:t>1</w:t>
      </w:r>
      <w:r>
        <w:rPr>
          <w:rFonts w:hint="eastAsia" w:hAnsi="宋体"/>
          <w:color w:val="000000"/>
          <w:szCs w:val="21"/>
          <w:lang w:val="en-US" w:eastAsia="zh-CN"/>
        </w:rPr>
        <w:t>5964531898</w:t>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lang w:val="en-US" w:eastAsia="zh-CN"/>
        </w:rPr>
        <w:t>5</w:t>
      </w:r>
      <w:r>
        <w:rPr>
          <w:rFonts w:hint="eastAsia"/>
          <w:b/>
          <w:bCs/>
          <w:color w:val="FF0000"/>
          <w:highlight w:val="yellow"/>
        </w:rPr>
        <w:t>年</w:t>
      </w:r>
      <w:r>
        <w:rPr>
          <w:rFonts w:hint="eastAsia"/>
          <w:b/>
          <w:bCs/>
          <w:color w:val="FF0000"/>
          <w:highlight w:val="yellow"/>
          <w:lang w:val="en-US" w:eastAsia="zh-CN"/>
        </w:rPr>
        <w:t>10</w:t>
      </w:r>
      <w:r>
        <w:rPr>
          <w:rFonts w:hint="eastAsia"/>
          <w:b/>
          <w:bCs/>
          <w:color w:val="FF0000"/>
          <w:highlight w:val="yellow"/>
        </w:rPr>
        <w:t>月</w:t>
      </w:r>
      <w:r>
        <w:rPr>
          <w:rFonts w:hint="eastAsia"/>
          <w:b/>
          <w:bCs/>
          <w:color w:val="FF0000"/>
          <w:highlight w:val="yellow"/>
          <w:lang w:val="en-US" w:eastAsia="zh-CN"/>
        </w:rPr>
        <w:t>9</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bookmarkStart w:id="3" w:name="_GoBack"/>
      <w:bookmarkEnd w:id="3"/>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w:t>
      </w:r>
      <w:r>
        <w:rPr>
          <w:rFonts w:hint="eastAsia"/>
          <w:lang w:val="en-US" w:eastAsia="zh-CN"/>
        </w:rPr>
        <w:t>s</w:t>
      </w:r>
      <w:r>
        <w:rPr>
          <w:rFonts w:hint="eastAsia"/>
        </w:rPr>
        <w:t>://ecaitong.sinotruk.com:8012/#/login（建议使用谷歌浏览器登陆）。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w:t>
      </w:r>
      <w:r>
        <w:rPr>
          <w:rFonts w:hint="eastAsia"/>
          <w:b/>
          <w:bCs/>
          <w:lang w:val="en-US" w:eastAsia="zh-CN"/>
        </w:rPr>
        <w:t>两</w:t>
      </w:r>
      <w:r>
        <w:rPr>
          <w:rFonts w:hint="eastAsia"/>
          <w:b/>
          <w:bCs/>
        </w:rPr>
        <w:t>年以上（以营业执照成立日期到开标当日满</w:t>
      </w:r>
      <w:r>
        <w:rPr>
          <w:rFonts w:hint="eastAsia"/>
          <w:b/>
          <w:bCs/>
          <w:lang w:val="en-US" w:eastAsia="zh-CN"/>
        </w:rPr>
        <w:t>两</w:t>
      </w:r>
      <w:r>
        <w:rPr>
          <w:rFonts w:hint="eastAsia"/>
          <w:b/>
          <w:bCs/>
        </w:rPr>
        <w:t>年为准）；</w:t>
      </w:r>
      <w:r>
        <w:rPr>
          <w:rFonts w:hint="eastAsia"/>
          <w:highlight w:val="green"/>
        </w:rPr>
        <w:t>投标人注册资金不得低于项目标的额或不低于</w:t>
      </w:r>
      <w:r>
        <w:rPr>
          <w:rFonts w:hint="eastAsia"/>
          <w:highlight w:val="green"/>
          <w:lang w:val="en-US" w:eastAsia="zh-CN"/>
        </w:rPr>
        <w:t>2</w:t>
      </w:r>
      <w:r>
        <w:rPr>
          <w:rFonts w:hint="eastAsia"/>
          <w:color w:val="FF0000"/>
          <w:highlight w:val="green"/>
        </w:rPr>
        <w:t>00</w:t>
      </w:r>
      <w:r>
        <w:rPr>
          <w:rFonts w:hint="eastAsia"/>
          <w:highlight w:val="green"/>
        </w:rPr>
        <w:t>万元；</w:t>
      </w:r>
      <w:r>
        <w:rPr>
          <w:rFonts w:hint="eastAsia"/>
          <w:b/>
          <w:bCs/>
        </w:rPr>
        <w:t>经营范围满足招标项目需求：</w:t>
      </w:r>
      <w:r>
        <w:rPr>
          <w:rFonts w:hint="eastAsia"/>
          <w:b/>
          <w:bCs/>
          <w:color w:val="FF0000"/>
          <w:highlight w:val="yellow"/>
        </w:rPr>
        <w:t>经营</w:t>
      </w:r>
      <w:r>
        <w:rPr>
          <w:rFonts w:hint="eastAsia"/>
          <w:b/>
          <w:bCs/>
          <w:color w:val="FF0000"/>
          <w:highlight w:val="yellow"/>
          <w:lang w:val="en-US" w:eastAsia="zh-CN"/>
        </w:rPr>
        <w:t>具有电感应炉维修、机电安装，电力工程，变压器、开关柜产品维修、销售、安装及技术咨询等相关资质</w:t>
      </w:r>
      <w:r>
        <w:rPr>
          <w:rFonts w:hint="eastAsia"/>
          <w:b/>
          <w:bCs/>
          <w:color w:val="FF0000"/>
          <w:highlight w:val="yellow"/>
        </w:rPr>
        <w:t>。</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⑷具有良好的商业信誉，在国家企业信用信息公示系统中无与本项目有关的行政处罚、列入经营异常名录和列入严重违法失信企业名单（黑名单）信息但上述信息已被移除的可参与投标；</w:t>
      </w:r>
    </w:p>
    <w:p w14:paraId="6AAA036A">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⑸投标人近</w:t>
      </w:r>
      <w:r>
        <w:rPr>
          <w:rFonts w:hint="eastAsia" w:cs="Times New Roman"/>
          <w:b/>
          <w:bCs/>
          <w:kern w:val="2"/>
          <w:sz w:val="21"/>
          <w:szCs w:val="20"/>
          <w:lang w:val="en-US" w:eastAsia="zh-CN" w:bidi="ar-SA"/>
        </w:rPr>
        <w:t>两</w:t>
      </w:r>
      <w:r>
        <w:rPr>
          <w:rFonts w:hint="eastAsia" w:ascii="宋体" w:hAnsi="Courier New" w:eastAsia="宋体" w:cs="Times New Roman"/>
          <w:b/>
          <w:bCs/>
          <w:kern w:val="2"/>
          <w:sz w:val="21"/>
          <w:szCs w:val="20"/>
          <w:lang w:val="en-US" w:eastAsia="zh-CN" w:bidi="ar-SA"/>
        </w:rPr>
        <w:t>年内在经营活动中无与本项目有关的违法及重大违规情况；</w:t>
      </w:r>
    </w:p>
    <w:p w14:paraId="4279ED36">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⑹具有健全的财务会计制度，财务状况和市场行为良好。没有处于被有权机关吊销营业执照、吊销资质、停业整顿、取消投标资格以及财产被接管、冻结或进入破产程序等；</w:t>
      </w:r>
    </w:p>
    <w:p w14:paraId="1CF3643B">
      <w:pPr>
        <w:pStyle w:val="5"/>
        <w:spacing w:line="360" w:lineRule="auto"/>
        <w:ind w:firstLine="422" w:firstLineChars="20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⑺投标人没有被列入招标人处《黑名单》（《黑名单》指投标人与招标人在以往或正在进行的合作中，存在招标人认为的违反合同约定或违反法律法规等的失信行为）的；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w:t>
      </w:r>
      <w:r>
        <w:rPr>
          <w:rFonts w:hint="eastAsia" w:ascii="宋体" w:hAnsi="Courier New"/>
          <w:b/>
          <w:bCs/>
          <w:lang w:val="en-US" w:eastAsia="zh-CN"/>
        </w:rPr>
        <w:t>两</w:t>
      </w:r>
      <w:r>
        <w:rPr>
          <w:rFonts w:hint="eastAsia" w:ascii="宋体" w:hAnsi="Courier New"/>
          <w:b/>
          <w:bCs/>
        </w:rPr>
        <w:t>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w:t>
      </w:r>
      <w:r>
        <w:rPr>
          <w:rFonts w:hint="eastAsia" w:ascii="宋体" w:hAnsi="Courier New"/>
          <w:b/>
          <w:bCs/>
          <w:lang w:val="en-US" w:eastAsia="zh-CN"/>
        </w:rPr>
        <w:t>两</w:t>
      </w:r>
      <w:r>
        <w:rPr>
          <w:rFonts w:hint="eastAsia" w:ascii="宋体" w:hAnsi="Courier New"/>
          <w:b/>
          <w:bCs/>
        </w:rPr>
        <w:t>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w:t>
      </w:r>
      <w:r>
        <w:rPr>
          <w:rFonts w:hint="eastAsia"/>
          <w:b/>
          <w:lang w:val="en-US" w:eastAsia="zh-CN"/>
        </w:rPr>
        <w:t>两</w:t>
      </w:r>
      <w:r>
        <w:rPr>
          <w:rFonts w:hint="eastAsia"/>
          <w:b/>
        </w:rPr>
        <w:t>年的财务审计报告原件，并加盖公章，包括但不限于报告页、经审计的资产负债表、利润表、现金流量表及报表附注。如投标人公司没有经审计的财务报告，可提供加盖公章的近</w:t>
      </w:r>
      <w:r>
        <w:rPr>
          <w:rFonts w:hint="eastAsia"/>
          <w:b/>
          <w:lang w:val="en-US" w:eastAsia="zh-CN"/>
        </w:rPr>
        <w:t>两</w:t>
      </w:r>
      <w:r>
        <w:rPr>
          <w:rFonts w:hint="eastAsia"/>
          <w:b/>
        </w:rPr>
        <w:t>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none"/>
        </w:rPr>
      </w:pPr>
      <w:r>
        <w:rPr>
          <w:rFonts w:hint="eastAsia"/>
          <w:b/>
          <w:highlight w:val="none"/>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none"/>
        </w:rPr>
        <w:t>E采通平台上传电子格式。</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none"/>
        </w:rPr>
        <w:t>，每次报价须在基价基础上同比例调整；</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yellow"/>
          <w:lang w:val="en-US" w:eastAsia="zh-CN"/>
        </w:rPr>
        <w:t>济南智能装备有限公司2025年度国产中频炉炉膛年度外委维修</w:t>
      </w:r>
      <w:r>
        <w:rPr>
          <w:rFonts w:hint="eastAsia" w:ascii="宋体" w:hAnsi="宋体" w:cs="宋体"/>
          <w:color w:val="auto"/>
          <w:spacing w:val="2"/>
          <w:highlight w:val="yellow"/>
        </w:rPr>
        <w:t>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中国重汽集团济南智能装备有限公司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rPr>
                <w:rFonts w:hint="default" w:eastAsia="宋体"/>
                <w:lang w:val="en-US" w:eastAsia="zh-CN"/>
              </w:rPr>
            </w:pPr>
            <w:r>
              <w:rPr>
                <w:rFonts w:hint="eastAsia"/>
              </w:rPr>
              <w:t>开户银行：</w:t>
            </w:r>
            <w:r>
              <w:rPr>
                <w:rFonts w:hint="eastAsia" w:hAnsi="宋体" w:cs="宋体"/>
                <w:spacing w:val="2"/>
                <w:lang w:val="en-US" w:eastAsia="zh-CN"/>
              </w:rPr>
              <w:t>交通银行股份有限公司济南历城支行</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ascii="宋体" w:hAnsi="宋体" w:cs="宋体"/>
                <w:spacing w:val="2"/>
              </w:rPr>
              <w:t>中国重汽集团济南智能装备有限公司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银行账号：371899991015003026591</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301451000285</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w:t>
      </w:r>
      <w:r>
        <w:rPr>
          <w:rFonts w:hint="eastAsia" w:ascii="宋体" w:hAnsi="Courier New"/>
          <w:color w:val="FF0000"/>
          <w:highlight w:val="yellow"/>
          <w:lang w:val="en-US" w:eastAsia="zh-CN"/>
        </w:rPr>
        <w:t>5</w:t>
      </w:r>
      <w:r>
        <w:rPr>
          <w:rFonts w:hint="eastAsia" w:ascii="宋体" w:hAnsi="Courier New"/>
          <w:color w:val="FF0000"/>
          <w:highlight w:val="yellow"/>
        </w:rPr>
        <w:t>年</w:t>
      </w:r>
      <w:r>
        <w:rPr>
          <w:rFonts w:hint="eastAsia" w:ascii="宋体" w:hAnsi="Courier New"/>
          <w:color w:val="FF0000"/>
          <w:highlight w:val="yellow"/>
          <w:lang w:val="en-US" w:eastAsia="zh-CN"/>
        </w:rPr>
        <w:t>10</w:t>
      </w:r>
      <w:r>
        <w:rPr>
          <w:rFonts w:hint="eastAsia" w:ascii="宋体" w:hAnsi="Courier New"/>
          <w:color w:val="FF0000"/>
          <w:highlight w:val="yellow"/>
        </w:rPr>
        <w:t xml:space="preserve">月 </w:t>
      </w:r>
      <w:r>
        <w:rPr>
          <w:rFonts w:hint="eastAsia" w:ascii="宋体" w:hAnsi="Courier New"/>
          <w:color w:val="FF0000"/>
          <w:highlight w:val="yellow"/>
          <w:lang w:val="en-US" w:eastAsia="zh-CN"/>
        </w:rPr>
        <w:t>8</w:t>
      </w:r>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none"/>
        </w:rPr>
        <w:t>不含税金额：万元（人民币），含税（</w:t>
      </w:r>
      <w:r>
        <w:rPr>
          <w:rFonts w:hint="eastAsia"/>
          <w:color w:val="FF0000"/>
          <w:highlight w:val="none"/>
        </w:rPr>
        <w:t>13</w:t>
      </w:r>
      <w:r>
        <w:rPr>
          <w:rFonts w:hint="eastAsia" w:cs="Times New Roman"/>
          <w:highlight w:val="none"/>
        </w:rPr>
        <w:t>%</w:t>
      </w:r>
      <w:r>
        <w:rPr>
          <w:rFonts w:hint="eastAsia"/>
          <w:highlight w:val="none"/>
        </w:rPr>
        <w:t>），价税合计金额：万元（人民币）；</w:t>
      </w:r>
      <w:r>
        <w:rPr>
          <w:rFonts w:hint="eastAsia"/>
          <w:b/>
          <w:bCs/>
          <w:color w:val="C00000"/>
          <w:highlight w:val="none"/>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Courier New"/>
          <w:szCs w:val="22"/>
          <w:lang w:val="en-US" w:eastAsia="zh-CN"/>
        </w:rPr>
        <w:t>三</w:t>
      </w:r>
      <w:r>
        <w:rPr>
          <w:rFonts w:hint="eastAsia" w:ascii="宋体" w:hAnsi="Courier New"/>
          <w:szCs w:val="22"/>
        </w:rPr>
        <w:t>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w:t>
      </w:r>
      <w:r>
        <w:rPr>
          <w:rFonts w:hint="eastAsia" w:ascii="宋体" w:hAnsi="Courier New"/>
          <w:highlight w:val="none"/>
        </w:rPr>
        <w:t>现场复审、终评或其他所有相关程序，包括已签订合同的情形，招标人均有权拒绝或取消中标人资格，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8883" w:type="dxa"/>
        <w:jc w:val="center"/>
        <w:tblLayout w:type="fixed"/>
        <w:tblCellMar>
          <w:top w:w="0" w:type="dxa"/>
          <w:left w:w="108" w:type="dxa"/>
          <w:bottom w:w="0" w:type="dxa"/>
          <w:right w:w="108" w:type="dxa"/>
        </w:tblCellMar>
      </w:tblPr>
      <w:tblGrid>
        <w:gridCol w:w="2014"/>
        <w:gridCol w:w="6869"/>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6869"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608"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6869"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6869"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2"/>
        <w:spacing w:line="460" w:lineRule="exact"/>
        <w:rPr>
          <w:rFonts w:ascii="宋体" w:hAnsi="宋体"/>
          <w:b/>
          <w:bCs/>
        </w:rPr>
      </w:pPr>
    </w:p>
    <w:p w14:paraId="34790826">
      <w:pPr>
        <w:pStyle w:val="2"/>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7C705043">
      <w:pPr>
        <w:pStyle w:val="5"/>
        <w:spacing w:line="360" w:lineRule="auto"/>
        <w:ind w:firstLine="210" w:firstLineChars="100"/>
      </w:pPr>
    </w:p>
    <w:p w14:paraId="092DC9F5">
      <w:pPr>
        <w:pStyle w:val="24"/>
        <w:ind w:firstLine="0" w:firstLineChars="0"/>
        <w:rPr>
          <w:rFonts w:ascii="宋体" w:hAnsi="宋体" w:cs="宋体"/>
        </w:rPr>
      </w:pPr>
      <w:r>
        <w:rPr>
          <w:rFonts w:hint="eastAsia" w:ascii="宋体" w:hAnsi="宋体" w:cs="宋体"/>
        </w:rPr>
        <w:t>投标报价明细表</w:t>
      </w:r>
    </w:p>
    <w:p w14:paraId="5A4B6B76">
      <w:pPr>
        <w:pStyle w:val="22"/>
        <w:ind w:firstLine="0" w:firstLineChars="0"/>
        <w:jc w:val="left"/>
        <w:rPr>
          <w:rFonts w:cs="宋体"/>
        </w:rPr>
      </w:pPr>
      <w:r>
        <w:rPr>
          <w:rFonts w:hint="eastAsia" w:cs="宋体"/>
        </w:rPr>
        <w:t>项目名称：</w:t>
      </w:r>
    </w:p>
    <w:p w14:paraId="196C86BE">
      <w:pPr>
        <w:pStyle w:val="22"/>
        <w:ind w:firstLine="0" w:firstLineChars="0"/>
        <w:jc w:val="left"/>
        <w:rPr>
          <w:rFonts w:cs="宋体"/>
        </w:rPr>
      </w:pPr>
      <w:r>
        <w:rPr>
          <w:rFonts w:hint="eastAsia" w:cs="宋体"/>
        </w:rPr>
        <w:t>招标编号：</w:t>
      </w:r>
    </w:p>
    <w:p w14:paraId="3BE36AF9">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jc w:val="center"/>
        <w:tblLayout w:type="fixed"/>
        <w:tblCellMar>
          <w:top w:w="0" w:type="dxa"/>
          <w:left w:w="108" w:type="dxa"/>
          <w:bottom w:w="0" w:type="dxa"/>
          <w:right w:w="108" w:type="dxa"/>
        </w:tblCellMar>
      </w:tblPr>
      <w:tblGrid>
        <w:gridCol w:w="674"/>
        <w:gridCol w:w="575"/>
        <w:gridCol w:w="1420"/>
        <w:gridCol w:w="240"/>
        <w:gridCol w:w="1936"/>
        <w:gridCol w:w="1032"/>
        <w:gridCol w:w="672"/>
        <w:gridCol w:w="800"/>
        <w:gridCol w:w="1937"/>
      </w:tblGrid>
      <w:tr w14:paraId="65DF4945">
        <w:trPr>
          <w:trHeight w:val="435" w:hRule="atLeast"/>
          <w:jc w:val="center"/>
        </w:trPr>
        <w:tc>
          <w:tcPr>
            <w:tcW w:w="672" w:type="pct"/>
            <w:gridSpan w:val="2"/>
            <w:tcBorders>
              <w:top w:val="nil"/>
              <w:left w:val="nil"/>
              <w:bottom w:val="nil"/>
              <w:right w:val="nil"/>
            </w:tcBorders>
            <w:vAlign w:val="center"/>
          </w:tcPr>
          <w:p w14:paraId="32288F9D">
            <w:pPr>
              <w:widowControl/>
              <w:jc w:val="left"/>
              <w:rPr>
                <w:rFonts w:ascii="宋体" w:hAnsi="宋体" w:cs="宋体"/>
                <w:color w:val="000000"/>
                <w:kern w:val="0"/>
                <w:sz w:val="22"/>
                <w:szCs w:val="22"/>
              </w:rPr>
            </w:pPr>
          </w:p>
        </w:tc>
        <w:tc>
          <w:tcPr>
            <w:tcW w:w="764" w:type="pct"/>
            <w:tcBorders>
              <w:top w:val="nil"/>
              <w:left w:val="nil"/>
              <w:bottom w:val="nil"/>
              <w:right w:val="nil"/>
            </w:tcBorders>
            <w:vAlign w:val="center"/>
          </w:tcPr>
          <w:p w14:paraId="7F62A0AA">
            <w:pPr>
              <w:widowControl/>
              <w:jc w:val="left"/>
              <w:rPr>
                <w:rFonts w:ascii="宋体" w:hAnsi="宋体" w:cs="宋体"/>
                <w:color w:val="000000"/>
                <w:kern w:val="0"/>
                <w:sz w:val="22"/>
                <w:szCs w:val="22"/>
              </w:rPr>
            </w:pPr>
          </w:p>
        </w:tc>
        <w:tc>
          <w:tcPr>
            <w:tcW w:w="129" w:type="pct"/>
            <w:tcBorders>
              <w:top w:val="nil"/>
              <w:left w:val="nil"/>
              <w:bottom w:val="nil"/>
              <w:right w:val="nil"/>
            </w:tcBorders>
            <w:vAlign w:val="center"/>
          </w:tcPr>
          <w:p w14:paraId="0D2D9095">
            <w:pPr>
              <w:widowControl/>
              <w:jc w:val="left"/>
              <w:rPr>
                <w:rFonts w:ascii="宋体" w:hAnsi="宋体" w:cs="宋体"/>
                <w:color w:val="000000"/>
                <w:kern w:val="0"/>
                <w:sz w:val="22"/>
                <w:szCs w:val="22"/>
              </w:rPr>
            </w:pPr>
          </w:p>
        </w:tc>
        <w:tc>
          <w:tcPr>
            <w:tcW w:w="1598" w:type="pct"/>
            <w:gridSpan w:val="2"/>
            <w:tcBorders>
              <w:top w:val="nil"/>
              <w:left w:val="nil"/>
              <w:bottom w:val="nil"/>
              <w:right w:val="nil"/>
            </w:tcBorders>
          </w:tcPr>
          <w:p w14:paraId="62C64681">
            <w:pPr>
              <w:widowControl/>
              <w:jc w:val="left"/>
              <w:rPr>
                <w:rFonts w:ascii="宋体" w:hAnsi="宋体" w:cs="宋体"/>
                <w:color w:val="000000"/>
                <w:kern w:val="0"/>
                <w:sz w:val="22"/>
                <w:szCs w:val="22"/>
              </w:rPr>
            </w:pPr>
          </w:p>
        </w:tc>
        <w:tc>
          <w:tcPr>
            <w:tcW w:w="1835" w:type="pct"/>
            <w:gridSpan w:val="3"/>
            <w:tcBorders>
              <w:top w:val="nil"/>
              <w:left w:val="nil"/>
              <w:bottom w:val="nil"/>
              <w:right w:val="nil"/>
            </w:tcBorders>
            <w:noWrap/>
            <w:vAlign w:val="center"/>
          </w:tcPr>
          <w:p w14:paraId="031D609C">
            <w:pPr>
              <w:widowControl/>
              <w:jc w:val="left"/>
              <w:rPr>
                <w:rFonts w:ascii="宋体" w:hAnsi="宋体" w:cs="宋体"/>
                <w:color w:val="000000"/>
                <w:kern w:val="0"/>
                <w:sz w:val="22"/>
                <w:szCs w:val="22"/>
              </w:rPr>
            </w:pPr>
            <w:r>
              <w:rPr>
                <w:rFonts w:hint="eastAsia" w:ascii="宋体" w:hAnsi="宋体" w:cs="宋体"/>
                <w:color w:val="000000"/>
                <w:kern w:val="0"/>
                <w:sz w:val="22"/>
                <w:szCs w:val="22"/>
              </w:rPr>
              <w:t>****包报价清单</w:t>
            </w:r>
          </w:p>
        </w:tc>
      </w:tr>
      <w:tr w14:paraId="50812A01">
        <w:tblPrEx>
          <w:tblCellMar>
            <w:top w:w="0" w:type="dxa"/>
            <w:left w:w="108" w:type="dxa"/>
            <w:bottom w:w="0" w:type="dxa"/>
            <w:right w:w="108" w:type="dxa"/>
          </w:tblCellMar>
        </w:tblPrEx>
        <w:trPr>
          <w:trHeight w:val="1798" w:hRule="atLeast"/>
          <w:jc w:val="center"/>
        </w:trPr>
        <w:tc>
          <w:tcPr>
            <w:tcW w:w="362" w:type="pct"/>
            <w:tcBorders>
              <w:top w:val="single" w:color="auto" w:sz="4" w:space="0"/>
              <w:left w:val="single" w:color="auto" w:sz="4" w:space="0"/>
              <w:bottom w:val="single" w:color="auto" w:sz="4" w:space="0"/>
              <w:right w:val="single" w:color="auto" w:sz="4" w:space="0"/>
            </w:tcBorders>
            <w:noWrap/>
            <w:vAlign w:val="center"/>
          </w:tcPr>
          <w:p w14:paraId="689A08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1203" w:type="pct"/>
            <w:gridSpan w:val="3"/>
            <w:tcBorders>
              <w:top w:val="single" w:color="auto" w:sz="4" w:space="0"/>
              <w:left w:val="nil"/>
              <w:bottom w:val="single" w:color="auto" w:sz="4" w:space="0"/>
              <w:right w:val="single" w:color="auto" w:sz="4" w:space="0"/>
            </w:tcBorders>
            <w:noWrap/>
            <w:vAlign w:val="center"/>
          </w:tcPr>
          <w:p w14:paraId="0712A9B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1042" w:type="pct"/>
            <w:tcBorders>
              <w:top w:val="single" w:color="auto" w:sz="4" w:space="0"/>
              <w:left w:val="nil"/>
              <w:bottom w:val="single" w:color="auto" w:sz="4" w:space="0"/>
              <w:right w:val="single" w:color="auto" w:sz="4" w:space="0"/>
            </w:tcBorders>
            <w:vAlign w:val="center"/>
          </w:tcPr>
          <w:p w14:paraId="4D621A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型号规格</w:t>
            </w:r>
          </w:p>
        </w:tc>
        <w:tc>
          <w:tcPr>
            <w:tcW w:w="555" w:type="pct"/>
            <w:tcBorders>
              <w:top w:val="single" w:color="auto" w:sz="4" w:space="0"/>
              <w:left w:val="single" w:color="auto" w:sz="4" w:space="0"/>
              <w:bottom w:val="single" w:color="auto" w:sz="4" w:space="0"/>
              <w:right w:val="single" w:color="auto" w:sz="4" w:space="0"/>
            </w:tcBorders>
            <w:vAlign w:val="center"/>
          </w:tcPr>
          <w:p w14:paraId="143BFA50">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单价（</w:t>
            </w:r>
            <w:r>
              <w:rPr>
                <w:rFonts w:hint="eastAsia" w:ascii="宋体" w:hAnsi="宋体" w:cs="宋体"/>
                <w:b/>
                <w:bCs/>
                <w:color w:val="FF0000"/>
                <w:kern w:val="0"/>
                <w:sz w:val="22"/>
                <w:szCs w:val="22"/>
                <w:lang w:val="en-US" w:eastAsia="zh-CN"/>
              </w:rPr>
              <w:t>往年单价，仅供参考</w:t>
            </w:r>
            <w:r>
              <w:rPr>
                <w:rFonts w:hint="eastAsia" w:ascii="宋体" w:hAnsi="宋体" w:cs="宋体"/>
                <w:b/>
                <w:bCs/>
                <w:color w:val="000000"/>
                <w:kern w:val="0"/>
                <w:sz w:val="22"/>
                <w:szCs w:val="22"/>
                <w:lang w:val="en-US" w:eastAsia="zh-CN"/>
              </w:rPr>
              <w:t>）</w:t>
            </w:r>
          </w:p>
        </w:tc>
        <w:tc>
          <w:tcPr>
            <w:tcW w:w="361" w:type="pct"/>
            <w:tcBorders>
              <w:top w:val="single" w:color="auto" w:sz="4" w:space="0"/>
              <w:left w:val="single" w:color="auto" w:sz="4" w:space="0"/>
              <w:bottom w:val="single" w:color="auto" w:sz="4" w:space="0"/>
              <w:right w:val="single" w:color="auto" w:sz="4" w:space="0"/>
            </w:tcBorders>
            <w:vAlign w:val="center"/>
          </w:tcPr>
          <w:p w14:paraId="3919C072">
            <w:pPr>
              <w:widowControl/>
              <w:spacing w:line="72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046AC48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042" w:type="pct"/>
            <w:tcBorders>
              <w:top w:val="single" w:color="auto" w:sz="4" w:space="0"/>
              <w:left w:val="single" w:color="auto" w:sz="4" w:space="0"/>
              <w:bottom w:val="single" w:color="auto" w:sz="4" w:space="0"/>
              <w:right w:val="single" w:color="auto" w:sz="4" w:space="0"/>
            </w:tcBorders>
            <w:noWrap/>
            <w:vAlign w:val="center"/>
          </w:tcPr>
          <w:p w14:paraId="12B7215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价格（</w:t>
            </w:r>
            <w:r>
              <w:rPr>
                <w:rFonts w:hint="eastAsia" w:ascii="宋体" w:hAnsi="宋体" w:cs="宋体"/>
                <w:b/>
                <w:bCs/>
                <w:color w:val="000000"/>
                <w:kern w:val="0"/>
                <w:sz w:val="22"/>
                <w:szCs w:val="22"/>
                <w:lang w:val="en-US" w:eastAsia="zh-CN"/>
              </w:rPr>
              <w:t>未税/</w:t>
            </w:r>
            <w:r>
              <w:rPr>
                <w:rFonts w:hint="eastAsia" w:ascii="宋体" w:hAnsi="宋体" w:cs="宋体"/>
                <w:b/>
                <w:bCs/>
                <w:color w:val="000000"/>
                <w:kern w:val="0"/>
                <w:sz w:val="22"/>
                <w:szCs w:val="22"/>
              </w:rPr>
              <w:t>元）</w:t>
            </w:r>
          </w:p>
        </w:tc>
      </w:tr>
      <w:tr w14:paraId="772FC446">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C12B635">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03" w:type="pct"/>
            <w:gridSpan w:val="3"/>
            <w:tcBorders>
              <w:top w:val="nil"/>
              <w:left w:val="nil"/>
              <w:bottom w:val="single" w:color="auto" w:sz="4" w:space="0"/>
              <w:right w:val="single" w:color="auto" w:sz="4" w:space="0"/>
            </w:tcBorders>
            <w:noWrap/>
            <w:vAlign w:val="center"/>
          </w:tcPr>
          <w:p w14:paraId="14B5AE39">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1000KW感应炉维修</w:t>
            </w:r>
          </w:p>
        </w:tc>
        <w:tc>
          <w:tcPr>
            <w:tcW w:w="1042" w:type="pct"/>
            <w:tcBorders>
              <w:top w:val="single" w:color="auto" w:sz="4" w:space="0"/>
              <w:left w:val="nil"/>
              <w:bottom w:val="single" w:color="auto" w:sz="4" w:space="0"/>
              <w:right w:val="single" w:color="auto" w:sz="4" w:space="0"/>
            </w:tcBorders>
            <w:vAlign w:val="center"/>
          </w:tcPr>
          <w:p w14:paraId="4A79AC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Φ67-68X1200mm；</w:t>
            </w:r>
          </w:p>
          <w:p w14:paraId="45BF19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Φ42X1200mm；</w:t>
            </w:r>
          </w:p>
          <w:p w14:paraId="22084CDA">
            <w:pPr>
              <w:widowControl/>
              <w:jc w:val="center"/>
              <w:rPr>
                <w:rFonts w:ascii="宋体" w:hAnsi="宋体" w:cs="宋体"/>
                <w:color w:val="000000"/>
                <w:kern w:val="0"/>
                <w:sz w:val="22"/>
                <w:szCs w:val="22"/>
              </w:rPr>
            </w:pPr>
            <w:r>
              <w:rPr>
                <w:rFonts w:hint="eastAsia" w:ascii="宋体" w:hAnsi="宋体" w:cs="宋体"/>
                <w:color w:val="000000"/>
                <w:kern w:val="0"/>
                <w:sz w:val="22"/>
                <w:szCs w:val="22"/>
              </w:rPr>
              <w:t>Φ60X1200mm。</w:t>
            </w:r>
          </w:p>
        </w:tc>
        <w:tc>
          <w:tcPr>
            <w:tcW w:w="555" w:type="pct"/>
            <w:tcBorders>
              <w:top w:val="single" w:color="auto" w:sz="4" w:space="0"/>
              <w:left w:val="single" w:color="auto" w:sz="4" w:space="0"/>
              <w:bottom w:val="single" w:color="auto" w:sz="4" w:space="0"/>
              <w:right w:val="single" w:color="auto" w:sz="4" w:space="0"/>
            </w:tcBorders>
          </w:tcPr>
          <w:p w14:paraId="19D62B24">
            <w:pPr>
              <w:widowControl/>
              <w:jc w:val="center"/>
              <w:rPr>
                <w:rFonts w:hint="default" w:ascii="宋体" w:hAnsi="宋体" w:cs="宋体"/>
                <w:color w:val="FF0000"/>
                <w:kern w:val="0"/>
                <w:sz w:val="22"/>
                <w:szCs w:val="22"/>
                <w:lang w:val="en-US" w:eastAsia="zh-CN"/>
              </w:rPr>
            </w:pPr>
          </w:p>
        </w:tc>
        <w:tc>
          <w:tcPr>
            <w:tcW w:w="361" w:type="pct"/>
            <w:tcBorders>
              <w:top w:val="single" w:color="auto" w:sz="4" w:space="0"/>
              <w:left w:val="single" w:color="auto" w:sz="4" w:space="0"/>
              <w:bottom w:val="single" w:color="auto" w:sz="4" w:space="0"/>
              <w:right w:val="single" w:color="auto" w:sz="4" w:space="0"/>
            </w:tcBorders>
            <w:vAlign w:val="center"/>
          </w:tcPr>
          <w:p w14:paraId="2D5E065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vAlign w:val="center"/>
          </w:tcPr>
          <w:p w14:paraId="4A2D457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1042" w:type="pct"/>
            <w:tcBorders>
              <w:top w:val="single" w:color="auto" w:sz="4" w:space="0"/>
              <w:left w:val="single" w:color="auto" w:sz="4" w:space="0"/>
              <w:bottom w:val="single" w:color="auto" w:sz="4" w:space="0"/>
              <w:right w:val="single" w:color="auto" w:sz="4" w:space="0"/>
            </w:tcBorders>
            <w:noWrap/>
            <w:vAlign w:val="center"/>
          </w:tcPr>
          <w:p w14:paraId="6C46B2C5">
            <w:pPr>
              <w:widowControl/>
              <w:jc w:val="center"/>
              <w:rPr>
                <w:rFonts w:hint="eastAsia" w:ascii="宋体" w:hAnsi="宋体" w:eastAsia="宋体" w:cs="宋体"/>
                <w:color w:val="000000"/>
                <w:kern w:val="0"/>
                <w:sz w:val="22"/>
                <w:szCs w:val="22"/>
                <w:lang w:val="en-US" w:eastAsia="zh-CN"/>
              </w:rPr>
            </w:pPr>
          </w:p>
        </w:tc>
      </w:tr>
      <w:tr w14:paraId="166B0643">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D87475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203" w:type="pct"/>
            <w:gridSpan w:val="3"/>
            <w:tcBorders>
              <w:top w:val="nil"/>
              <w:left w:val="nil"/>
              <w:bottom w:val="single" w:color="auto" w:sz="4" w:space="0"/>
              <w:right w:val="single" w:color="auto" w:sz="4" w:space="0"/>
            </w:tcBorders>
            <w:shd w:val="clear" w:color="auto" w:fill="auto"/>
            <w:noWrap/>
            <w:vAlign w:val="center"/>
          </w:tcPr>
          <w:p w14:paraId="2B184F46">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电抗器线圈更换</w:t>
            </w:r>
          </w:p>
        </w:tc>
        <w:tc>
          <w:tcPr>
            <w:tcW w:w="1042" w:type="pct"/>
            <w:tcBorders>
              <w:top w:val="single" w:color="auto" w:sz="4" w:space="0"/>
              <w:left w:val="nil"/>
              <w:bottom w:val="single" w:color="auto" w:sz="4" w:space="0"/>
              <w:right w:val="single" w:color="auto" w:sz="4" w:space="0"/>
            </w:tcBorders>
            <w:shd w:val="clear" w:color="auto" w:fill="auto"/>
            <w:vAlign w:val="center"/>
          </w:tcPr>
          <w:p w14:paraId="746592CE">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3000KW专用</w:t>
            </w:r>
          </w:p>
        </w:tc>
        <w:tc>
          <w:tcPr>
            <w:tcW w:w="555" w:type="pct"/>
            <w:tcBorders>
              <w:top w:val="single" w:color="auto" w:sz="4" w:space="0"/>
              <w:left w:val="single" w:color="auto" w:sz="4" w:space="0"/>
              <w:bottom w:val="single" w:color="auto" w:sz="4" w:space="0"/>
              <w:right w:val="single" w:color="auto" w:sz="4" w:space="0"/>
            </w:tcBorders>
            <w:shd w:val="clear" w:color="auto" w:fill="auto"/>
            <w:vAlign w:val="top"/>
          </w:tcPr>
          <w:p w14:paraId="38D482A1">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1649.38</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2AA40CFF">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0D09AFA4">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1042" w:type="pct"/>
            <w:tcBorders>
              <w:top w:val="single" w:color="auto" w:sz="4" w:space="0"/>
              <w:left w:val="single" w:color="auto" w:sz="4" w:space="0"/>
              <w:bottom w:val="single" w:color="auto" w:sz="4" w:space="0"/>
              <w:right w:val="single" w:color="auto" w:sz="4" w:space="0"/>
            </w:tcBorders>
            <w:noWrap/>
            <w:vAlign w:val="center"/>
          </w:tcPr>
          <w:p w14:paraId="444D40BE">
            <w:pPr>
              <w:widowControl/>
              <w:jc w:val="center"/>
              <w:rPr>
                <w:rFonts w:ascii="宋体" w:hAnsi="宋体" w:cs="宋体"/>
                <w:color w:val="000000"/>
                <w:kern w:val="0"/>
                <w:sz w:val="22"/>
                <w:szCs w:val="22"/>
              </w:rPr>
            </w:pPr>
          </w:p>
        </w:tc>
      </w:tr>
      <w:tr w14:paraId="0C64A5D2">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FAC00B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203" w:type="pct"/>
            <w:gridSpan w:val="3"/>
            <w:tcBorders>
              <w:top w:val="nil"/>
              <w:left w:val="nil"/>
              <w:bottom w:val="single" w:color="auto" w:sz="4" w:space="0"/>
              <w:right w:val="single" w:color="auto" w:sz="4" w:space="0"/>
            </w:tcBorders>
            <w:shd w:val="clear" w:color="auto" w:fill="auto"/>
            <w:noWrap/>
            <w:vAlign w:val="center"/>
          </w:tcPr>
          <w:p w14:paraId="6973EC2A">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电抗器线圈维修</w:t>
            </w:r>
          </w:p>
        </w:tc>
        <w:tc>
          <w:tcPr>
            <w:tcW w:w="1042" w:type="pct"/>
            <w:tcBorders>
              <w:top w:val="single" w:color="auto" w:sz="4" w:space="0"/>
              <w:left w:val="nil"/>
              <w:bottom w:val="single" w:color="auto" w:sz="4" w:space="0"/>
              <w:right w:val="single" w:color="auto" w:sz="4" w:space="0"/>
            </w:tcBorders>
            <w:shd w:val="clear" w:color="auto" w:fill="auto"/>
            <w:vAlign w:val="center"/>
          </w:tcPr>
          <w:p w14:paraId="65132B57">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3000KW专用</w:t>
            </w:r>
          </w:p>
        </w:tc>
        <w:tc>
          <w:tcPr>
            <w:tcW w:w="555" w:type="pct"/>
            <w:tcBorders>
              <w:top w:val="single" w:color="auto" w:sz="4" w:space="0"/>
              <w:left w:val="single" w:color="auto" w:sz="4" w:space="0"/>
              <w:bottom w:val="single" w:color="auto" w:sz="4" w:space="0"/>
              <w:right w:val="single" w:color="auto" w:sz="4" w:space="0"/>
            </w:tcBorders>
            <w:shd w:val="clear" w:color="auto" w:fill="auto"/>
            <w:vAlign w:val="top"/>
          </w:tcPr>
          <w:p w14:paraId="2EBE1CF4">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784</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5F431E3">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节</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01401A2">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1042" w:type="pct"/>
            <w:tcBorders>
              <w:top w:val="single" w:color="auto" w:sz="4" w:space="0"/>
              <w:left w:val="single" w:color="auto" w:sz="4" w:space="0"/>
              <w:bottom w:val="single" w:color="auto" w:sz="4" w:space="0"/>
              <w:right w:val="single" w:color="auto" w:sz="4" w:space="0"/>
            </w:tcBorders>
            <w:noWrap/>
            <w:vAlign w:val="center"/>
          </w:tcPr>
          <w:p w14:paraId="09E83C1D">
            <w:pPr>
              <w:widowControl/>
              <w:jc w:val="center"/>
              <w:rPr>
                <w:rFonts w:ascii="宋体" w:hAnsi="宋体" w:cs="宋体"/>
                <w:color w:val="000000"/>
                <w:kern w:val="0"/>
                <w:sz w:val="22"/>
                <w:szCs w:val="22"/>
              </w:rPr>
            </w:pPr>
          </w:p>
        </w:tc>
      </w:tr>
      <w:tr w14:paraId="3ADBF8FE">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1B5CDF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1203" w:type="pct"/>
            <w:gridSpan w:val="3"/>
            <w:tcBorders>
              <w:top w:val="nil"/>
              <w:left w:val="nil"/>
              <w:bottom w:val="single" w:color="auto" w:sz="4" w:space="0"/>
              <w:right w:val="single" w:color="auto" w:sz="4" w:space="0"/>
            </w:tcBorders>
            <w:noWrap/>
            <w:vAlign w:val="center"/>
          </w:tcPr>
          <w:p w14:paraId="44108C6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铜管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铜排</w:t>
            </w:r>
            <w:r>
              <w:rPr>
                <w:rFonts w:hint="eastAsia" w:ascii="宋体" w:hAnsi="宋体" w:cs="宋体"/>
                <w:color w:val="000000"/>
                <w:kern w:val="0"/>
                <w:sz w:val="22"/>
                <w:szCs w:val="22"/>
                <w:lang w:eastAsia="zh-CN"/>
              </w:rPr>
              <w:t>更换</w:t>
            </w:r>
          </w:p>
        </w:tc>
        <w:tc>
          <w:tcPr>
            <w:tcW w:w="1042" w:type="pct"/>
            <w:tcBorders>
              <w:top w:val="single" w:color="auto" w:sz="4" w:space="0"/>
              <w:left w:val="nil"/>
              <w:bottom w:val="single" w:color="auto" w:sz="4" w:space="0"/>
              <w:right w:val="single" w:color="auto" w:sz="4" w:space="0"/>
            </w:tcBorders>
            <w:vAlign w:val="center"/>
          </w:tcPr>
          <w:p w14:paraId="0C9263B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通用</w:t>
            </w:r>
          </w:p>
        </w:tc>
        <w:tc>
          <w:tcPr>
            <w:tcW w:w="555" w:type="pct"/>
            <w:tcBorders>
              <w:top w:val="single" w:color="auto" w:sz="4" w:space="0"/>
              <w:left w:val="single" w:color="auto" w:sz="4" w:space="0"/>
              <w:bottom w:val="single" w:color="auto" w:sz="4" w:space="0"/>
              <w:right w:val="single" w:color="auto" w:sz="4" w:space="0"/>
            </w:tcBorders>
          </w:tcPr>
          <w:p w14:paraId="4504455E">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106.19</w:t>
            </w:r>
          </w:p>
        </w:tc>
        <w:tc>
          <w:tcPr>
            <w:tcW w:w="361" w:type="pct"/>
            <w:tcBorders>
              <w:top w:val="single" w:color="auto" w:sz="4" w:space="0"/>
              <w:left w:val="single" w:color="auto" w:sz="4" w:space="0"/>
              <w:bottom w:val="single" w:color="auto" w:sz="4" w:space="0"/>
              <w:right w:val="single" w:color="auto" w:sz="4" w:space="0"/>
            </w:tcBorders>
            <w:vAlign w:val="center"/>
          </w:tcPr>
          <w:p w14:paraId="12D4E5A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公斤</w:t>
            </w:r>
          </w:p>
        </w:tc>
        <w:tc>
          <w:tcPr>
            <w:tcW w:w="430" w:type="pct"/>
            <w:tcBorders>
              <w:top w:val="single" w:color="auto" w:sz="4" w:space="0"/>
              <w:left w:val="single" w:color="auto" w:sz="4" w:space="0"/>
              <w:bottom w:val="single" w:color="auto" w:sz="4" w:space="0"/>
              <w:right w:val="single" w:color="auto" w:sz="4" w:space="0"/>
            </w:tcBorders>
            <w:vAlign w:val="center"/>
          </w:tcPr>
          <w:p w14:paraId="4969878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w:t>
            </w:r>
          </w:p>
        </w:tc>
        <w:tc>
          <w:tcPr>
            <w:tcW w:w="1042" w:type="pct"/>
            <w:tcBorders>
              <w:top w:val="single" w:color="auto" w:sz="4" w:space="0"/>
              <w:left w:val="single" w:color="auto" w:sz="4" w:space="0"/>
              <w:bottom w:val="single" w:color="auto" w:sz="4" w:space="0"/>
              <w:right w:val="single" w:color="auto" w:sz="4" w:space="0"/>
            </w:tcBorders>
            <w:noWrap/>
            <w:vAlign w:val="center"/>
          </w:tcPr>
          <w:p w14:paraId="5E72EECF">
            <w:pPr>
              <w:widowControl/>
              <w:jc w:val="center"/>
              <w:rPr>
                <w:rFonts w:ascii="宋体" w:hAnsi="宋体" w:cs="宋体"/>
                <w:color w:val="000000"/>
                <w:kern w:val="0"/>
                <w:sz w:val="22"/>
                <w:szCs w:val="22"/>
              </w:rPr>
            </w:pPr>
          </w:p>
        </w:tc>
      </w:tr>
      <w:tr w14:paraId="448B91A8">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6A06613">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203" w:type="pct"/>
            <w:gridSpan w:val="3"/>
            <w:tcBorders>
              <w:top w:val="nil"/>
              <w:left w:val="nil"/>
              <w:bottom w:val="single" w:color="auto" w:sz="4" w:space="0"/>
              <w:right w:val="single" w:color="auto" w:sz="4" w:space="0"/>
            </w:tcBorders>
            <w:noWrap/>
            <w:vAlign w:val="center"/>
          </w:tcPr>
          <w:p w14:paraId="7541A8F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顶面封板更换</w:t>
            </w:r>
          </w:p>
        </w:tc>
        <w:tc>
          <w:tcPr>
            <w:tcW w:w="1042" w:type="pct"/>
            <w:tcBorders>
              <w:top w:val="single" w:color="auto" w:sz="4" w:space="0"/>
              <w:left w:val="nil"/>
              <w:bottom w:val="single" w:color="auto" w:sz="4" w:space="0"/>
              <w:right w:val="single" w:color="auto" w:sz="4" w:space="0"/>
            </w:tcBorders>
            <w:vAlign w:val="center"/>
          </w:tcPr>
          <w:p w14:paraId="0DE98EC2">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材料：竹胶板，厚度≥10mm</w:t>
            </w:r>
          </w:p>
        </w:tc>
        <w:tc>
          <w:tcPr>
            <w:tcW w:w="555" w:type="pct"/>
            <w:tcBorders>
              <w:top w:val="single" w:color="auto" w:sz="4" w:space="0"/>
              <w:left w:val="single" w:color="auto" w:sz="4" w:space="0"/>
              <w:bottom w:val="single" w:color="auto" w:sz="4" w:space="0"/>
              <w:right w:val="single" w:color="auto" w:sz="4" w:space="0"/>
            </w:tcBorders>
          </w:tcPr>
          <w:p w14:paraId="5D3282C8">
            <w:pPr>
              <w:widowControl/>
              <w:jc w:val="center"/>
              <w:rPr>
                <w:rFonts w:hint="default" w:ascii="宋体" w:hAnsi="宋体" w:cs="宋体"/>
                <w:color w:val="FF0000"/>
                <w:kern w:val="0"/>
                <w:sz w:val="22"/>
                <w:szCs w:val="22"/>
                <w:lang w:val="en-US" w:eastAsia="zh-CN"/>
              </w:rPr>
            </w:pPr>
            <w:r>
              <w:rPr>
                <w:rFonts w:hint="eastAsia" w:ascii="宋体" w:hAnsi="宋体" w:cs="宋体"/>
                <w:color w:val="FF0000"/>
                <w:kern w:val="0"/>
                <w:sz w:val="22"/>
                <w:szCs w:val="22"/>
                <w:lang w:val="en-US" w:eastAsia="zh-CN"/>
              </w:rPr>
              <w:t>240</w:t>
            </w:r>
          </w:p>
        </w:tc>
        <w:tc>
          <w:tcPr>
            <w:tcW w:w="361" w:type="pct"/>
            <w:tcBorders>
              <w:top w:val="single" w:color="auto" w:sz="4" w:space="0"/>
              <w:left w:val="single" w:color="auto" w:sz="4" w:space="0"/>
              <w:bottom w:val="single" w:color="auto" w:sz="4" w:space="0"/>
              <w:right w:val="single" w:color="auto" w:sz="4" w:space="0"/>
            </w:tcBorders>
            <w:vAlign w:val="center"/>
          </w:tcPr>
          <w:p w14:paraId="1D827FF1">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平方</w:t>
            </w:r>
          </w:p>
        </w:tc>
        <w:tc>
          <w:tcPr>
            <w:tcW w:w="430" w:type="pct"/>
            <w:tcBorders>
              <w:top w:val="single" w:color="auto" w:sz="4" w:space="0"/>
              <w:left w:val="single" w:color="auto" w:sz="4" w:space="0"/>
              <w:bottom w:val="single" w:color="auto" w:sz="4" w:space="0"/>
              <w:right w:val="single" w:color="auto" w:sz="4" w:space="0"/>
            </w:tcBorders>
            <w:vAlign w:val="center"/>
          </w:tcPr>
          <w:p w14:paraId="120B5CBF">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1042" w:type="pct"/>
            <w:tcBorders>
              <w:top w:val="single" w:color="auto" w:sz="4" w:space="0"/>
              <w:left w:val="single" w:color="auto" w:sz="4" w:space="0"/>
              <w:bottom w:val="single" w:color="auto" w:sz="4" w:space="0"/>
              <w:right w:val="single" w:color="auto" w:sz="4" w:space="0"/>
            </w:tcBorders>
            <w:noWrap/>
            <w:vAlign w:val="center"/>
          </w:tcPr>
          <w:p w14:paraId="03F14040">
            <w:pPr>
              <w:widowControl/>
              <w:jc w:val="center"/>
              <w:rPr>
                <w:rFonts w:ascii="宋体" w:hAnsi="宋体" w:cs="宋体"/>
                <w:color w:val="000000"/>
                <w:kern w:val="0"/>
                <w:sz w:val="22"/>
                <w:szCs w:val="22"/>
              </w:rPr>
            </w:pPr>
          </w:p>
        </w:tc>
      </w:tr>
      <w:tr w14:paraId="0674EB3C">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96C6546">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6A48ADBC">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1042" w:type="pct"/>
            <w:tcBorders>
              <w:top w:val="single" w:color="auto" w:sz="4" w:space="0"/>
              <w:left w:val="nil"/>
              <w:bottom w:val="single" w:color="auto" w:sz="4" w:space="0"/>
              <w:right w:val="single" w:color="auto" w:sz="4" w:space="0"/>
            </w:tcBorders>
            <w:vAlign w:val="center"/>
          </w:tcPr>
          <w:p w14:paraId="70B2578C">
            <w:pPr>
              <w:widowControl/>
              <w:jc w:val="center"/>
              <w:rPr>
                <w:rFonts w:ascii="宋体" w:hAnsi="宋体" w:cs="宋体"/>
                <w:color w:val="000000"/>
                <w:kern w:val="0"/>
                <w:sz w:val="22"/>
                <w:szCs w:val="22"/>
              </w:rPr>
            </w:pPr>
          </w:p>
        </w:tc>
        <w:tc>
          <w:tcPr>
            <w:tcW w:w="555" w:type="pct"/>
            <w:tcBorders>
              <w:top w:val="single" w:color="auto" w:sz="4" w:space="0"/>
              <w:left w:val="single" w:color="auto" w:sz="4" w:space="0"/>
              <w:bottom w:val="single" w:color="auto" w:sz="4" w:space="0"/>
              <w:right w:val="single" w:color="auto" w:sz="4" w:space="0"/>
            </w:tcBorders>
          </w:tcPr>
          <w:p w14:paraId="0D7340F6">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393ABCE7">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451E1825">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04FEE6A7">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r>
      <w:tr w14:paraId="2FF6F934">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A1D1781">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7F5738BE">
            <w:pPr>
              <w:widowControl/>
              <w:jc w:val="center"/>
              <w:rPr>
                <w:rFonts w:ascii="宋体" w:hAnsi="宋体" w:cs="宋体"/>
                <w:color w:val="000000"/>
                <w:kern w:val="0"/>
                <w:sz w:val="22"/>
                <w:szCs w:val="22"/>
              </w:rPr>
            </w:pPr>
            <w:r>
              <w:rPr>
                <w:rFonts w:hint="eastAsia" w:ascii="宋体" w:hAnsi="宋体" w:cs="宋体"/>
                <w:color w:val="000000"/>
                <w:kern w:val="0"/>
                <w:sz w:val="22"/>
                <w:szCs w:val="22"/>
              </w:rPr>
              <w:t>税</w:t>
            </w:r>
          </w:p>
        </w:tc>
        <w:tc>
          <w:tcPr>
            <w:tcW w:w="1042" w:type="pct"/>
            <w:tcBorders>
              <w:top w:val="single" w:color="auto" w:sz="4" w:space="0"/>
              <w:left w:val="nil"/>
              <w:bottom w:val="single" w:color="auto" w:sz="4" w:space="0"/>
              <w:right w:val="single" w:color="auto" w:sz="4" w:space="0"/>
            </w:tcBorders>
            <w:vAlign w:val="center"/>
          </w:tcPr>
          <w:p w14:paraId="661D7295">
            <w:pPr>
              <w:widowControl/>
              <w:jc w:val="center"/>
              <w:rPr>
                <w:rFonts w:ascii="宋体" w:hAnsi="宋体" w:cs="宋体"/>
                <w:color w:val="000000"/>
                <w:kern w:val="0"/>
                <w:sz w:val="22"/>
                <w:szCs w:val="22"/>
              </w:rPr>
            </w:pPr>
            <w:r>
              <w:rPr>
                <w:rFonts w:hint="eastAsia" w:ascii="宋体" w:hAnsi="宋体" w:cs="宋体"/>
                <w:color w:val="FF0000"/>
                <w:kern w:val="0"/>
                <w:sz w:val="22"/>
                <w:szCs w:val="22"/>
              </w:rPr>
              <w:t>税率</w:t>
            </w:r>
            <w:r>
              <w:rPr>
                <w:rFonts w:hint="eastAsia" w:ascii="宋体" w:hAnsi="宋体" w:cs="宋体"/>
                <w:color w:val="FF0000"/>
                <w:kern w:val="0"/>
                <w:sz w:val="22"/>
                <w:szCs w:val="22"/>
                <w:lang w:val="en-US" w:eastAsia="zh-CN"/>
              </w:rPr>
              <w:t xml:space="preserve"> 13 </w:t>
            </w:r>
            <w:r>
              <w:rPr>
                <w:rFonts w:hint="eastAsia" w:ascii="宋体" w:hAnsi="宋体" w:cs="宋体"/>
                <w:color w:val="FF0000"/>
                <w:kern w:val="0"/>
                <w:sz w:val="22"/>
                <w:szCs w:val="22"/>
              </w:rPr>
              <w:t>%</w:t>
            </w:r>
          </w:p>
        </w:tc>
        <w:tc>
          <w:tcPr>
            <w:tcW w:w="555" w:type="pct"/>
            <w:tcBorders>
              <w:top w:val="single" w:color="auto" w:sz="4" w:space="0"/>
              <w:left w:val="single" w:color="auto" w:sz="4" w:space="0"/>
              <w:bottom w:val="single" w:color="auto" w:sz="4" w:space="0"/>
              <w:right w:val="single" w:color="auto" w:sz="4" w:space="0"/>
            </w:tcBorders>
          </w:tcPr>
          <w:p w14:paraId="6FF6E2B4">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44BE6175">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7095DF91">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4A90B1CE">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r>
      <w:tr w14:paraId="14C8AC8F">
        <w:tblPrEx>
          <w:tblCellMar>
            <w:top w:w="0" w:type="dxa"/>
            <w:left w:w="108" w:type="dxa"/>
            <w:bottom w:w="0" w:type="dxa"/>
            <w:right w:w="108" w:type="dxa"/>
          </w:tblCellMar>
        </w:tblPrEx>
        <w:trPr>
          <w:trHeight w:val="27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B88857E">
            <w:pPr>
              <w:widowControl/>
              <w:jc w:val="center"/>
              <w:rPr>
                <w:rFonts w:ascii="宋体" w:hAnsi="宋体" w:cs="宋体"/>
                <w:color w:val="000000"/>
                <w:kern w:val="0"/>
                <w:sz w:val="22"/>
                <w:szCs w:val="22"/>
              </w:rPr>
            </w:pPr>
          </w:p>
        </w:tc>
        <w:tc>
          <w:tcPr>
            <w:tcW w:w="1203" w:type="pct"/>
            <w:gridSpan w:val="3"/>
            <w:tcBorders>
              <w:top w:val="nil"/>
              <w:left w:val="nil"/>
              <w:bottom w:val="single" w:color="auto" w:sz="4" w:space="0"/>
              <w:right w:val="single" w:color="auto" w:sz="4" w:space="0"/>
            </w:tcBorders>
            <w:noWrap/>
            <w:vAlign w:val="center"/>
          </w:tcPr>
          <w:p w14:paraId="56ED8A81">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1042" w:type="pct"/>
            <w:tcBorders>
              <w:top w:val="single" w:color="auto" w:sz="4" w:space="0"/>
              <w:left w:val="nil"/>
              <w:bottom w:val="single" w:color="auto" w:sz="4" w:space="0"/>
              <w:right w:val="single" w:color="auto" w:sz="4" w:space="0"/>
            </w:tcBorders>
            <w:vAlign w:val="center"/>
          </w:tcPr>
          <w:p w14:paraId="7E0594F6">
            <w:pPr>
              <w:widowControl/>
              <w:jc w:val="center"/>
              <w:rPr>
                <w:rFonts w:ascii="宋体" w:hAnsi="宋体" w:cs="宋体"/>
                <w:color w:val="000000"/>
                <w:kern w:val="0"/>
                <w:sz w:val="22"/>
                <w:szCs w:val="22"/>
              </w:rPr>
            </w:pPr>
          </w:p>
        </w:tc>
        <w:tc>
          <w:tcPr>
            <w:tcW w:w="555" w:type="pct"/>
            <w:tcBorders>
              <w:top w:val="single" w:color="auto" w:sz="4" w:space="0"/>
              <w:left w:val="single" w:color="auto" w:sz="4" w:space="0"/>
              <w:bottom w:val="single" w:color="auto" w:sz="4" w:space="0"/>
              <w:right w:val="single" w:color="auto" w:sz="4" w:space="0"/>
            </w:tcBorders>
          </w:tcPr>
          <w:p w14:paraId="6BDCD2AE">
            <w:pPr>
              <w:widowControl/>
              <w:jc w:val="center"/>
              <w:rPr>
                <w:rFonts w:ascii="宋体" w:hAnsi="宋体" w:cs="宋体"/>
                <w:color w:val="000000"/>
                <w:kern w:val="0"/>
                <w:sz w:val="22"/>
                <w:szCs w:val="22"/>
              </w:rPr>
            </w:pPr>
          </w:p>
        </w:tc>
        <w:tc>
          <w:tcPr>
            <w:tcW w:w="361" w:type="pct"/>
            <w:tcBorders>
              <w:top w:val="single" w:color="auto" w:sz="4" w:space="0"/>
              <w:left w:val="single" w:color="auto" w:sz="4" w:space="0"/>
              <w:bottom w:val="single" w:color="auto" w:sz="4" w:space="0"/>
              <w:right w:val="single" w:color="auto" w:sz="4" w:space="0"/>
            </w:tcBorders>
            <w:vAlign w:val="center"/>
          </w:tcPr>
          <w:p w14:paraId="688B88EC">
            <w:pPr>
              <w:widowControl/>
              <w:jc w:val="center"/>
              <w:rPr>
                <w:rFonts w:ascii="宋体" w:hAnsi="宋体" w:cs="宋体"/>
                <w:color w:val="000000"/>
                <w:kern w:val="0"/>
                <w:sz w:val="22"/>
                <w:szCs w:val="22"/>
              </w:rPr>
            </w:pPr>
          </w:p>
        </w:tc>
        <w:tc>
          <w:tcPr>
            <w:tcW w:w="430" w:type="pct"/>
            <w:tcBorders>
              <w:top w:val="single" w:color="auto" w:sz="4" w:space="0"/>
              <w:left w:val="single" w:color="auto" w:sz="4" w:space="0"/>
              <w:bottom w:val="single" w:color="auto" w:sz="4" w:space="0"/>
              <w:right w:val="single" w:color="auto" w:sz="4" w:space="0"/>
            </w:tcBorders>
            <w:vAlign w:val="center"/>
          </w:tcPr>
          <w:p w14:paraId="36888ACF">
            <w:pPr>
              <w:widowControl/>
              <w:jc w:val="center"/>
              <w:rPr>
                <w:rFonts w:ascii="宋体" w:hAnsi="宋体" w:cs="宋体"/>
                <w:color w:val="000000"/>
                <w:kern w:val="0"/>
                <w:sz w:val="22"/>
                <w:szCs w:val="22"/>
              </w:rPr>
            </w:pPr>
          </w:p>
        </w:tc>
        <w:tc>
          <w:tcPr>
            <w:tcW w:w="1042" w:type="pct"/>
            <w:tcBorders>
              <w:top w:val="single" w:color="auto" w:sz="4" w:space="0"/>
              <w:left w:val="single" w:color="auto" w:sz="4" w:space="0"/>
              <w:bottom w:val="single" w:color="auto" w:sz="4" w:space="0"/>
              <w:right w:val="single" w:color="auto" w:sz="4" w:space="0"/>
            </w:tcBorders>
            <w:noWrap/>
            <w:vAlign w:val="center"/>
          </w:tcPr>
          <w:p w14:paraId="4D16A68E">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r>
      <w:tr w14:paraId="22548D11">
        <w:tblPrEx>
          <w:tblCellMar>
            <w:top w:w="0" w:type="dxa"/>
            <w:left w:w="108" w:type="dxa"/>
            <w:bottom w:w="0" w:type="dxa"/>
            <w:right w:w="108" w:type="dxa"/>
          </w:tblCellMar>
        </w:tblPrEx>
        <w:trPr>
          <w:trHeight w:val="270" w:hRule="atLeast"/>
          <w:jc w:val="center"/>
        </w:trPr>
        <w:tc>
          <w:tcPr>
            <w:tcW w:w="672" w:type="pct"/>
            <w:gridSpan w:val="2"/>
            <w:tcBorders>
              <w:top w:val="single" w:color="auto" w:sz="4" w:space="0"/>
              <w:left w:val="nil"/>
              <w:bottom w:val="nil"/>
              <w:right w:val="nil"/>
            </w:tcBorders>
            <w:vAlign w:val="center"/>
          </w:tcPr>
          <w:p w14:paraId="75EA3494">
            <w:pPr>
              <w:widowControl/>
              <w:jc w:val="center"/>
              <w:rPr>
                <w:rFonts w:ascii="宋体" w:hAnsi="宋体" w:cs="宋体"/>
                <w:color w:val="000000"/>
                <w:kern w:val="0"/>
                <w:sz w:val="22"/>
                <w:szCs w:val="22"/>
              </w:rPr>
            </w:pPr>
          </w:p>
        </w:tc>
        <w:tc>
          <w:tcPr>
            <w:tcW w:w="764" w:type="pct"/>
            <w:tcBorders>
              <w:top w:val="single" w:color="auto" w:sz="4" w:space="0"/>
              <w:left w:val="nil"/>
              <w:bottom w:val="nil"/>
              <w:right w:val="nil"/>
            </w:tcBorders>
            <w:vAlign w:val="center"/>
          </w:tcPr>
          <w:p w14:paraId="4118D2C6">
            <w:pPr>
              <w:widowControl/>
              <w:jc w:val="center"/>
              <w:rPr>
                <w:rFonts w:ascii="宋体" w:hAnsi="宋体" w:cs="宋体"/>
                <w:color w:val="000000"/>
                <w:kern w:val="0"/>
                <w:sz w:val="22"/>
                <w:szCs w:val="22"/>
              </w:rPr>
            </w:pPr>
          </w:p>
        </w:tc>
        <w:tc>
          <w:tcPr>
            <w:tcW w:w="129" w:type="pct"/>
            <w:tcBorders>
              <w:top w:val="single" w:color="auto" w:sz="4" w:space="0"/>
              <w:left w:val="nil"/>
              <w:bottom w:val="nil"/>
              <w:right w:val="nil"/>
            </w:tcBorders>
            <w:vAlign w:val="center"/>
          </w:tcPr>
          <w:p w14:paraId="34A957E9">
            <w:pPr>
              <w:widowControl/>
              <w:jc w:val="center"/>
              <w:rPr>
                <w:rFonts w:ascii="宋体" w:hAnsi="宋体" w:cs="宋体"/>
                <w:color w:val="000000"/>
                <w:kern w:val="0"/>
                <w:sz w:val="22"/>
                <w:szCs w:val="22"/>
              </w:rPr>
            </w:pPr>
          </w:p>
        </w:tc>
        <w:tc>
          <w:tcPr>
            <w:tcW w:w="1598" w:type="pct"/>
            <w:gridSpan w:val="2"/>
            <w:tcBorders>
              <w:top w:val="single" w:color="auto" w:sz="4" w:space="0"/>
              <w:left w:val="nil"/>
              <w:bottom w:val="nil"/>
              <w:right w:val="nil"/>
            </w:tcBorders>
          </w:tcPr>
          <w:p w14:paraId="2C977287">
            <w:pPr>
              <w:widowControl/>
              <w:rPr>
                <w:rFonts w:ascii="宋体" w:hAnsi="宋体" w:cs="宋体"/>
                <w:color w:val="000000"/>
                <w:kern w:val="0"/>
                <w:sz w:val="22"/>
                <w:szCs w:val="22"/>
              </w:rPr>
            </w:pPr>
          </w:p>
        </w:tc>
        <w:tc>
          <w:tcPr>
            <w:tcW w:w="1835" w:type="pct"/>
            <w:gridSpan w:val="3"/>
            <w:tcBorders>
              <w:top w:val="single" w:color="auto" w:sz="4" w:space="0"/>
              <w:left w:val="nil"/>
              <w:bottom w:val="nil"/>
              <w:right w:val="nil"/>
            </w:tcBorders>
            <w:noWrap/>
            <w:vAlign w:val="center"/>
          </w:tcPr>
          <w:p w14:paraId="21AB1316">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r>
    </w:tbl>
    <w:p w14:paraId="55DB7256">
      <w:pPr>
        <w:pStyle w:val="22"/>
        <w:ind w:firstLine="0" w:firstLineChars="0"/>
        <w:rPr>
          <w:rFonts w:cs="宋体"/>
        </w:rPr>
      </w:pPr>
      <w:r>
        <w:rPr>
          <w:rFonts w:hint="eastAsia" w:cs="宋体"/>
        </w:rPr>
        <w:t>注：1、选购件不包括在本报价表内，应另附纸分项单报。</w:t>
      </w:r>
    </w:p>
    <w:p w14:paraId="2DB1C711">
      <w:pPr>
        <w:pStyle w:val="22"/>
        <w:ind w:left="420" w:firstLine="480"/>
        <w:rPr>
          <w:rFonts w:cs="宋体"/>
        </w:rPr>
      </w:pPr>
      <w:r>
        <w:rPr>
          <w:rFonts w:hint="eastAsia" w:cs="宋体"/>
        </w:rPr>
        <w:t>2、如上表中的有关费用投标人免费提供，请注明“免费”字样。</w:t>
      </w:r>
    </w:p>
    <w:p w14:paraId="2ABED447">
      <w:pPr>
        <w:pStyle w:val="22"/>
        <w:ind w:left="420" w:firstLine="480"/>
        <w:rPr>
          <w:rFonts w:cs="宋体"/>
        </w:rPr>
      </w:pPr>
      <w:r>
        <w:rPr>
          <w:rFonts w:hint="eastAsia" w:cs="宋体"/>
        </w:rPr>
        <w:t>3、合计等于各分项金额之和，各分项价格为不含税价格。</w:t>
      </w:r>
    </w:p>
    <w:p w14:paraId="5B348C29">
      <w:pPr>
        <w:spacing w:line="660" w:lineRule="exact"/>
        <w:rPr>
          <w:rFonts w:ascii="宋体" w:hAnsi="宋体" w:cs="宋体"/>
        </w:rPr>
      </w:pPr>
      <w:r>
        <w:rPr>
          <w:rFonts w:hint="eastAsia" w:ascii="宋体" w:hAnsi="宋体" w:cs="宋体"/>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4639174">
      <w:pPr>
        <w:spacing w:line="360" w:lineRule="auto"/>
        <w:rPr>
          <w:rFonts w:hint="eastAsia" w:eastAsia="黑体"/>
          <w:b/>
          <w:bCs/>
          <w:sz w:val="28"/>
        </w:rPr>
      </w:pPr>
    </w:p>
    <w:p w14:paraId="04148895">
      <w:pPr>
        <w:spacing w:line="360" w:lineRule="auto"/>
        <w:rPr>
          <w:rFonts w:hint="eastAsia" w:eastAsia="黑体"/>
          <w:b/>
          <w:bCs/>
          <w:sz w:val="28"/>
        </w:rPr>
      </w:pPr>
    </w:p>
    <w:p w14:paraId="55FD6CEB">
      <w:pPr>
        <w:pStyle w:val="2"/>
        <w:rPr>
          <w:rFonts w:hint="eastAsia" w:eastAsia="黑体"/>
          <w:b/>
          <w:bCs/>
          <w:sz w:val="28"/>
        </w:rPr>
      </w:pPr>
    </w:p>
    <w:p w14:paraId="7332BCB0">
      <w:pPr>
        <w:pStyle w:val="3"/>
        <w:rPr>
          <w:rFonts w:hint="eastAsia" w:eastAsia="黑体"/>
          <w:b/>
          <w:bCs/>
          <w:sz w:val="28"/>
        </w:rPr>
      </w:pPr>
    </w:p>
    <w:p w14:paraId="711FEF44">
      <w:pPr>
        <w:pStyle w:val="3"/>
        <w:rPr>
          <w:rFonts w:hint="eastAsia" w:eastAsia="黑体"/>
          <w:b/>
          <w:bCs/>
          <w:sz w:val="28"/>
        </w:rPr>
      </w:pP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2"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2"/>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03E0FC31">
      <w:pPr>
        <w:rPr>
          <w:rFonts w:hint="eastAsia" w:eastAsia="黑体"/>
          <w:b/>
          <w:bCs/>
          <w:sz w:val="28"/>
        </w:rPr>
      </w:pP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46E4DB51">
      <w:pPr>
        <w:pStyle w:val="5"/>
        <w:spacing w:line="360" w:lineRule="auto"/>
        <w:rPr>
          <w:rFonts w:ascii="黑体" w:eastAsia="黑体"/>
          <w:b/>
          <w:bCs/>
          <w:sz w:val="28"/>
          <w:szCs w:val="28"/>
        </w:rPr>
      </w:pPr>
      <w:r>
        <w:rPr>
          <w:rFonts w:hint="eastAsia" w:ascii="黑体" w:eastAsia="黑体"/>
          <w:b/>
          <w:bCs/>
          <w:sz w:val="28"/>
          <w:szCs w:val="28"/>
        </w:rPr>
        <w:t>一、项目名称与范围</w:t>
      </w:r>
    </w:p>
    <w:p w14:paraId="0D832F40">
      <w:pPr>
        <w:pStyle w:val="5"/>
        <w:spacing w:line="360" w:lineRule="auto"/>
        <w:rPr>
          <w:rFonts w:hint="eastAsia" w:hAnsi="Courier New" w:eastAsia="宋体"/>
          <w:b/>
          <w:bCs/>
          <w:lang w:val="en-US" w:eastAsia="zh-CN"/>
        </w:rPr>
      </w:pPr>
      <w:r>
        <w:rPr>
          <w:rFonts w:hint="eastAsia" w:hAnsi="宋体"/>
          <w:bCs/>
        </w:rPr>
        <w:t>项目名称：</w:t>
      </w:r>
      <w:r>
        <w:rPr>
          <w:rFonts w:hint="eastAsia" w:hAnsi="Courier New" w:eastAsia="宋体"/>
          <w:b/>
          <w:bCs/>
          <w:lang w:val="en-US" w:eastAsia="zh-CN"/>
        </w:rPr>
        <w:t>济南智能装备有限公司2025年度国产中频炉炉膛年度外委维修</w:t>
      </w:r>
    </w:p>
    <w:p w14:paraId="53A96B5D">
      <w:pPr>
        <w:pStyle w:val="5"/>
        <w:spacing w:line="360" w:lineRule="auto"/>
        <w:rPr>
          <w:rFonts w:ascii="黑体"/>
          <w:b/>
          <w:bCs/>
          <w:color w:val="auto"/>
          <w:sz w:val="28"/>
          <w:szCs w:val="28"/>
          <w:highlight w:val="none"/>
        </w:rPr>
      </w:pPr>
      <w:r>
        <w:rPr>
          <w:rFonts w:hint="eastAsia" w:hAnsi="宋体"/>
          <w:bCs/>
          <w:color w:val="auto"/>
          <w:highlight w:val="none"/>
        </w:rPr>
        <w:t>招标方式：</w:t>
      </w:r>
      <w:r>
        <w:rPr>
          <w:rFonts w:hint="eastAsia" w:hAnsi="宋体"/>
          <w:bCs/>
          <w:color w:val="auto"/>
          <w:highlight w:val="none"/>
          <w:lang w:val="en-US" w:eastAsia="zh-CN"/>
        </w:rPr>
        <w:t>公开</w:t>
      </w:r>
      <w:r>
        <w:rPr>
          <w:rFonts w:hint="eastAsia" w:hAnsi="宋体"/>
          <w:bCs/>
          <w:color w:val="auto"/>
          <w:highlight w:val="none"/>
        </w:rPr>
        <w:t>招标</w:t>
      </w:r>
    </w:p>
    <w:p w14:paraId="01BE2E18">
      <w:pPr>
        <w:spacing w:line="360" w:lineRule="auto"/>
        <w:jc w:val="left"/>
        <w:rPr>
          <w:rFonts w:ascii="宋体" w:hAnsi="宋体" w:cs="宋体"/>
          <w:bCs/>
        </w:rPr>
      </w:pPr>
      <w:r>
        <w:rPr>
          <w:rFonts w:hint="eastAsia" w:ascii="宋体" w:hAnsi="宋体" w:cs="宋体"/>
          <w:bCs/>
        </w:rPr>
        <w:t>本次招标为</w:t>
      </w:r>
      <w:r>
        <w:rPr>
          <w:rFonts w:hint="eastAsia" w:ascii="宋体" w:hAnsi="宋体"/>
          <w:b/>
          <w:color w:val="auto"/>
          <w:u w:val="single"/>
        </w:rPr>
        <w:t>中国重汽济南智能装备有限公司2025年度国产中频炉炉膛年度外委维修项目</w:t>
      </w:r>
      <w:r>
        <w:rPr>
          <w:rFonts w:hint="eastAsia" w:ascii="宋体" w:hAnsi="宋体" w:cs="宋体"/>
          <w:bCs/>
          <w:color w:val="auto"/>
        </w:rPr>
        <w:t>，</w:t>
      </w:r>
      <w:r>
        <w:rPr>
          <w:rFonts w:hint="eastAsia" w:ascii="宋体" w:hAnsi="宋体" w:cs="宋体"/>
          <w:bCs/>
        </w:rPr>
        <w:t>具体内容如下：</w:t>
      </w:r>
    </w:p>
    <w:tbl>
      <w:tblPr>
        <w:tblStyle w:val="12"/>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675"/>
        <w:gridCol w:w="1650"/>
      </w:tblGrid>
      <w:tr w14:paraId="48C5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78" w:type="dxa"/>
            <w:vAlign w:val="center"/>
          </w:tcPr>
          <w:p w14:paraId="29A829FA">
            <w:pPr>
              <w:spacing w:line="320" w:lineRule="exact"/>
              <w:jc w:val="center"/>
              <w:rPr>
                <w:rFonts w:ascii="宋体"/>
              </w:rPr>
            </w:pPr>
            <w:r>
              <w:rPr>
                <w:rFonts w:hint="eastAsia" w:ascii="宋体"/>
              </w:rPr>
              <w:t>序号</w:t>
            </w:r>
          </w:p>
        </w:tc>
        <w:tc>
          <w:tcPr>
            <w:tcW w:w="6675" w:type="dxa"/>
            <w:vAlign w:val="center"/>
          </w:tcPr>
          <w:p w14:paraId="11144D06">
            <w:pPr>
              <w:spacing w:line="320" w:lineRule="exact"/>
              <w:jc w:val="center"/>
              <w:rPr>
                <w:rFonts w:ascii="宋体"/>
              </w:rPr>
            </w:pPr>
            <w:r>
              <w:rPr>
                <w:rFonts w:hint="eastAsia" w:ascii="宋体"/>
              </w:rPr>
              <w:t>项目名称</w:t>
            </w:r>
          </w:p>
        </w:tc>
        <w:tc>
          <w:tcPr>
            <w:tcW w:w="1650" w:type="dxa"/>
            <w:vAlign w:val="center"/>
          </w:tcPr>
          <w:p w14:paraId="13BF6F4C">
            <w:pPr>
              <w:spacing w:line="320" w:lineRule="exact"/>
              <w:jc w:val="center"/>
              <w:rPr>
                <w:rFonts w:ascii="宋体"/>
              </w:rPr>
            </w:pPr>
            <w:r>
              <w:rPr>
                <w:rFonts w:hint="eastAsia" w:ascii="宋体"/>
              </w:rPr>
              <w:t>数量</w:t>
            </w:r>
          </w:p>
        </w:tc>
      </w:tr>
      <w:tr w14:paraId="362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7C3E7AA8">
            <w:pPr>
              <w:spacing w:line="320" w:lineRule="exact"/>
              <w:jc w:val="center"/>
              <w:rPr>
                <w:rFonts w:hint="default" w:ascii="宋体" w:eastAsia="宋体"/>
                <w:lang w:val="en-US" w:eastAsia="zh-CN"/>
              </w:rPr>
            </w:pPr>
            <w:r>
              <w:rPr>
                <w:rFonts w:hint="eastAsia" w:ascii="宋体"/>
                <w:lang w:val="en-US" w:eastAsia="zh-CN"/>
              </w:rPr>
              <w:t>1</w:t>
            </w:r>
          </w:p>
        </w:tc>
        <w:tc>
          <w:tcPr>
            <w:tcW w:w="6675" w:type="dxa"/>
            <w:vAlign w:val="center"/>
          </w:tcPr>
          <w:p w14:paraId="57E795C2">
            <w:pPr>
              <w:spacing w:line="320" w:lineRule="exact"/>
              <w:jc w:val="center"/>
              <w:rPr>
                <w:rFonts w:ascii="宋体"/>
              </w:rPr>
            </w:pPr>
            <w:r>
              <w:rPr>
                <w:rFonts w:hint="eastAsia" w:ascii="宋体"/>
                <w:highlight w:val="none"/>
                <w:lang w:val="en-US" w:eastAsia="zh-CN"/>
              </w:rPr>
              <w:t>济南智能装备有限公司2025年度国产中频炉炉膛年度外委维修</w:t>
            </w:r>
          </w:p>
        </w:tc>
        <w:tc>
          <w:tcPr>
            <w:tcW w:w="1650" w:type="dxa"/>
            <w:vAlign w:val="center"/>
          </w:tcPr>
          <w:p w14:paraId="61DF6F68">
            <w:pPr>
              <w:spacing w:line="320" w:lineRule="exact"/>
              <w:jc w:val="center"/>
              <w:rPr>
                <w:rFonts w:hint="default" w:ascii="宋体" w:eastAsia="宋体"/>
                <w:highlight w:val="red"/>
                <w:lang w:val="en-US" w:eastAsia="zh-CN"/>
              </w:rPr>
            </w:pPr>
            <w:r>
              <w:rPr>
                <w:rFonts w:hint="eastAsia" w:ascii="宋体"/>
                <w:highlight w:val="none"/>
                <w:lang w:val="en-US" w:eastAsia="zh-CN"/>
              </w:rPr>
              <w:t>1宗</w:t>
            </w:r>
          </w:p>
        </w:tc>
      </w:tr>
    </w:tbl>
    <w:p w14:paraId="59D5757D">
      <w:pPr>
        <w:pStyle w:val="5"/>
        <w:spacing w:line="360" w:lineRule="auto"/>
      </w:pPr>
      <w:r>
        <w:rPr>
          <w:rFonts w:hint="eastAsia" w:ascii="黑体" w:eastAsia="黑体"/>
          <w:b/>
          <w:bCs/>
          <w:sz w:val="28"/>
          <w:szCs w:val="28"/>
        </w:rPr>
        <w:t>二、招标方技术要求及施工内容</w:t>
      </w:r>
    </w:p>
    <w:p w14:paraId="1FFD673B">
      <w:pPr>
        <w:pStyle w:val="5"/>
        <w:spacing w:line="360" w:lineRule="auto"/>
        <w:rPr>
          <w:rFonts w:hint="eastAsia"/>
        </w:rPr>
      </w:pPr>
      <w:r>
        <w:rPr>
          <w:rFonts w:hint="eastAsia"/>
        </w:rPr>
        <w:t>投标方负责承揽招标方</w:t>
      </w:r>
      <w:r>
        <w:rPr>
          <w:rFonts w:hint="eastAsia"/>
          <w:lang w:val="en-US" w:eastAsia="zh-CN"/>
        </w:rPr>
        <w:t>济南智能装备有限公司2025年度国产中频炉炉膛年度外委维修</w:t>
      </w:r>
      <w:r>
        <w:rPr>
          <w:rFonts w:hint="eastAsia"/>
        </w:rPr>
        <w:t>的相关工作，相关技术要求如下：</w:t>
      </w:r>
    </w:p>
    <w:p w14:paraId="0889635E">
      <w:pPr>
        <w:pStyle w:val="5"/>
        <w:spacing w:line="360" w:lineRule="auto"/>
        <w:rPr>
          <w:rFonts w:hint="eastAsia"/>
        </w:rPr>
      </w:pPr>
      <w:r>
        <w:rPr>
          <w:rFonts w:hint="eastAsia"/>
          <w:lang w:val="en-US" w:eastAsia="zh-CN"/>
        </w:rPr>
        <w:t>1.</w:t>
      </w:r>
      <w:r>
        <w:rPr>
          <w:rFonts w:hint="eastAsia"/>
        </w:rPr>
        <w:t>感应炉膛及电抗器拆卸，线圈去硫化；</w:t>
      </w:r>
    </w:p>
    <w:p w14:paraId="36F2F760">
      <w:pPr>
        <w:pStyle w:val="5"/>
        <w:spacing w:line="360" w:lineRule="auto"/>
        <w:rPr>
          <w:rFonts w:hint="eastAsia"/>
        </w:rPr>
      </w:pPr>
      <w:r>
        <w:rPr>
          <w:rFonts w:hint="eastAsia"/>
          <w:lang w:val="en-US" w:eastAsia="zh-CN"/>
        </w:rPr>
        <w:t>2.</w:t>
      </w:r>
      <w:r>
        <w:rPr>
          <w:rFonts w:hint="eastAsia"/>
        </w:rPr>
        <w:t>线圈及端板整形及修补，线圈及端板酸洗处理，保证绕组及管路彻底清理除垢，绕组及管路的畅通；</w:t>
      </w:r>
    </w:p>
    <w:p w14:paraId="11E66DEC">
      <w:pPr>
        <w:pStyle w:val="5"/>
        <w:spacing w:line="360" w:lineRule="auto"/>
        <w:rPr>
          <w:rFonts w:hint="eastAsia"/>
        </w:rPr>
      </w:pPr>
      <w:r>
        <w:rPr>
          <w:rFonts w:hint="eastAsia"/>
          <w:lang w:val="en-US" w:eastAsia="zh-CN"/>
        </w:rPr>
        <w:t>3.</w:t>
      </w:r>
      <w:r>
        <w:rPr>
          <w:rFonts w:hint="eastAsia"/>
        </w:rPr>
        <w:t>线圈绝缘处理及测试，确保炉膛安全性（含硫化处理及相关绝缘工艺要求）；</w:t>
      </w:r>
    </w:p>
    <w:p w14:paraId="32F16F90">
      <w:pPr>
        <w:pStyle w:val="5"/>
        <w:spacing w:line="360" w:lineRule="auto"/>
        <w:rPr>
          <w:rFonts w:hint="eastAsia"/>
        </w:rPr>
      </w:pPr>
      <w:r>
        <w:rPr>
          <w:rFonts w:hint="eastAsia"/>
        </w:rPr>
        <w:t>4</w:t>
      </w:r>
      <w:r>
        <w:rPr>
          <w:rFonts w:hint="eastAsia"/>
          <w:lang w:val="en-US" w:eastAsia="zh-CN"/>
        </w:rPr>
        <w:t>.</w:t>
      </w:r>
      <w:r>
        <w:rPr>
          <w:rFonts w:hint="eastAsia"/>
        </w:rPr>
        <w:t>装配及相应检测（包括绕组及水管管路的带压检查）；</w:t>
      </w:r>
    </w:p>
    <w:p w14:paraId="067D0ECB">
      <w:pPr>
        <w:pStyle w:val="5"/>
        <w:spacing w:line="360" w:lineRule="auto"/>
        <w:rPr>
          <w:rFonts w:hint="eastAsia"/>
        </w:rPr>
      </w:pPr>
      <w:r>
        <w:rPr>
          <w:rFonts w:hint="eastAsia"/>
        </w:rPr>
        <w:t>5</w:t>
      </w:r>
      <w:r>
        <w:rPr>
          <w:rFonts w:hint="eastAsia"/>
          <w:lang w:val="en-US" w:eastAsia="zh-CN"/>
        </w:rPr>
        <w:t>.</w:t>
      </w:r>
      <w:r>
        <w:rPr>
          <w:rFonts w:hint="eastAsia"/>
        </w:rPr>
        <w:t>感应炉浇注及保养，要求炉内平整、光滑、无裂缝；</w:t>
      </w:r>
    </w:p>
    <w:p w14:paraId="3680658D">
      <w:pPr>
        <w:pStyle w:val="5"/>
        <w:spacing w:line="360" w:lineRule="auto"/>
        <w:rPr>
          <w:rFonts w:hint="eastAsia"/>
        </w:rPr>
      </w:pPr>
      <w:r>
        <w:rPr>
          <w:rFonts w:hint="eastAsia"/>
        </w:rPr>
        <w:t>6</w:t>
      </w:r>
      <w:r>
        <w:rPr>
          <w:rFonts w:hint="eastAsia"/>
          <w:lang w:val="en-US" w:eastAsia="zh-CN"/>
        </w:rPr>
        <w:t>.</w:t>
      </w:r>
      <w:r>
        <w:rPr>
          <w:rFonts w:hint="eastAsia"/>
        </w:rPr>
        <w:t>输水软管及感应炉的常规通用件必须免费更换，感应炉烘干及相应检测使之达到使用标准；</w:t>
      </w:r>
    </w:p>
    <w:p w14:paraId="0270FEED">
      <w:pPr>
        <w:pStyle w:val="5"/>
        <w:spacing w:line="360" w:lineRule="auto"/>
        <w:rPr>
          <w:rFonts w:hint="eastAsia"/>
        </w:rPr>
      </w:pPr>
      <w:r>
        <w:rPr>
          <w:rFonts w:hint="eastAsia"/>
        </w:rPr>
        <w:t>7</w:t>
      </w:r>
      <w:r>
        <w:rPr>
          <w:rFonts w:hint="eastAsia"/>
          <w:lang w:val="en-US" w:eastAsia="zh-CN"/>
        </w:rPr>
        <w:t>.</w:t>
      </w:r>
      <w:r>
        <w:rPr>
          <w:rFonts w:hint="eastAsia"/>
        </w:rPr>
        <w:t>电抗器符合使用要求；</w:t>
      </w:r>
    </w:p>
    <w:p w14:paraId="584932ED">
      <w:pPr>
        <w:pStyle w:val="5"/>
        <w:spacing w:line="360" w:lineRule="auto"/>
        <w:rPr>
          <w:rFonts w:hint="eastAsia"/>
        </w:rPr>
      </w:pPr>
      <w:r>
        <w:rPr>
          <w:rFonts w:hint="eastAsia"/>
        </w:rPr>
        <w:t>8</w:t>
      </w:r>
      <w:r>
        <w:rPr>
          <w:rFonts w:hint="eastAsia"/>
          <w:lang w:val="en-US" w:eastAsia="zh-CN"/>
        </w:rPr>
        <w:t>.</w:t>
      </w:r>
      <w:r>
        <w:rPr>
          <w:rFonts w:hint="eastAsia"/>
        </w:rPr>
        <w:t>废旧备件及材料由投标方负责回收，并将残值在相关单项报价中进行抵除；</w:t>
      </w:r>
    </w:p>
    <w:p w14:paraId="31893E9C">
      <w:pPr>
        <w:pStyle w:val="5"/>
        <w:spacing w:line="360" w:lineRule="auto"/>
      </w:pPr>
      <w:r>
        <w:rPr>
          <w:rFonts w:hint="eastAsia"/>
        </w:rPr>
        <w:t>9</w:t>
      </w:r>
      <w:r>
        <w:rPr>
          <w:rFonts w:hint="eastAsia"/>
          <w:lang w:val="en-US" w:eastAsia="zh-CN"/>
        </w:rPr>
        <w:t>.</w:t>
      </w:r>
      <w:r>
        <w:rPr>
          <w:rFonts w:hint="eastAsia"/>
        </w:rPr>
        <w:t>投标方不得转包给其他厂商维修。</w:t>
      </w:r>
      <w:r>
        <w:t xml:space="preserve">  </w:t>
      </w:r>
    </w:p>
    <w:p w14:paraId="662A6EDE">
      <w:pPr>
        <w:keepNext w:val="0"/>
        <w:keepLines w:val="0"/>
        <w:widowControl/>
        <w:suppressLineNumbers w:val="0"/>
        <w:jc w:val="left"/>
        <w:rPr>
          <w:rFonts w:hint="default" w:ascii="宋体" w:hAnsi="宋体" w:eastAsia="宋体" w:cs="Times New Roman"/>
          <w:color w:val="auto"/>
          <w:spacing w:val="4"/>
          <w:kern w:val="2"/>
          <w:sz w:val="21"/>
          <w:szCs w:val="21"/>
          <w:lang w:val="en-US" w:eastAsia="zh-CN" w:bidi="ar-SA"/>
        </w:rPr>
      </w:pPr>
      <w:r>
        <w:rPr>
          <w:rFonts w:hint="eastAsia" w:ascii="宋体" w:hAnsi="宋体" w:eastAsia="宋体" w:cs="Times New Roman"/>
          <w:color w:val="auto"/>
          <w:spacing w:val="4"/>
          <w:kern w:val="2"/>
          <w:sz w:val="21"/>
          <w:szCs w:val="21"/>
          <w:lang w:val="en-US" w:eastAsia="zh-CN" w:bidi="ar-SA"/>
        </w:rPr>
        <w:t>9、</w:t>
      </w:r>
      <w:r>
        <w:rPr>
          <w:rFonts w:hint="eastAsia" w:hAnsi="宋体" w:cs="Times New Roman"/>
          <w:color w:val="auto"/>
          <w:spacing w:val="4"/>
          <w:kern w:val="2"/>
          <w:sz w:val="21"/>
          <w:szCs w:val="21"/>
          <w:lang w:val="en-US" w:eastAsia="zh-CN" w:bidi="ar-SA"/>
        </w:rPr>
        <w:t>项目有效期：</w:t>
      </w:r>
      <w:r>
        <w:rPr>
          <w:rFonts w:hint="eastAsia" w:ascii="宋体" w:hAnsi="Courier New" w:eastAsia="宋体" w:cstheme="minorBidi"/>
          <w:kern w:val="2"/>
          <w:sz w:val="21"/>
          <w:szCs w:val="22"/>
          <w:lang w:val="en-US" w:eastAsia="zh-CN" w:bidi="ar-SA"/>
        </w:rPr>
        <w:t>至 2026 年 3 月 26 日。</w:t>
      </w:r>
    </w:p>
    <w:p w14:paraId="75BDD881">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三、质量要求</w:t>
      </w:r>
    </w:p>
    <w:p w14:paraId="272693A0">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4EE0581B">
      <w:pPr>
        <w:spacing w:line="360" w:lineRule="auto"/>
        <w:ind w:left="-304" w:leftChars="-145" w:firstLine="436" w:firstLineChars="200"/>
        <w:rPr>
          <w:rFonts w:hint="eastAsia" w:ascii="宋体" w:hAnsi="宋体" w:eastAsia="宋体"/>
          <w:spacing w:val="4"/>
          <w:szCs w:val="21"/>
          <w:lang w:eastAsia="zh-CN"/>
        </w:rPr>
      </w:pPr>
      <w:r>
        <w:rPr>
          <w:rFonts w:hint="eastAsia" w:ascii="宋体" w:hAnsi="宋体"/>
          <w:spacing w:val="4"/>
          <w:szCs w:val="21"/>
        </w:rPr>
        <w:t>3.2</w:t>
      </w:r>
      <w:r>
        <w:rPr>
          <w:rFonts w:hint="eastAsia" w:ascii="宋体" w:hAnsi="宋体"/>
          <w:color w:val="auto"/>
          <w:spacing w:val="4"/>
          <w:szCs w:val="21"/>
        </w:rPr>
        <w:t>工程质量必须符合国家(行业)相关规范和标准</w:t>
      </w:r>
      <w:r>
        <w:rPr>
          <w:rFonts w:hint="eastAsia" w:ascii="宋体" w:hAnsi="宋体"/>
          <w:color w:val="auto"/>
          <w:spacing w:val="4"/>
          <w:szCs w:val="21"/>
          <w:lang w:eastAsia="zh-CN"/>
        </w:rPr>
        <w:t>。</w:t>
      </w:r>
    </w:p>
    <w:p w14:paraId="32346F6F">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E7CE4E9">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F724B57">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54629DF">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DA74159">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48CA15CD">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B4E9855">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4E0C31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AA00260">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81391EC">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w:t>
      </w:r>
      <w:r>
        <w:rPr>
          <w:rFonts w:hint="eastAsia"/>
          <w:lang w:val="en-US" w:eastAsia="zh-CN"/>
        </w:rPr>
        <w:t>济南智能装备有限公司2025年度国产中频炉炉膛年度外委维修</w:t>
      </w:r>
      <w:r>
        <w:rPr>
          <w:rFonts w:hint="eastAsia"/>
        </w:rPr>
        <w:t>项目施</w:t>
      </w:r>
      <w:r>
        <w:rPr>
          <w:rFonts w:hint="eastAsia" w:hAnsi="宋体"/>
          <w:szCs w:val="21"/>
        </w:rPr>
        <w:t>工</w:t>
      </w:r>
      <w:r>
        <w:rPr>
          <w:rFonts w:hint="eastAsia" w:hAnsi="宋体"/>
          <w:kern w:val="0"/>
          <w:szCs w:val="21"/>
        </w:rPr>
        <w:t>。</w:t>
      </w:r>
    </w:p>
    <w:p w14:paraId="564B826E">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F41AB20">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A830AEA">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788CCB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11197B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4C09022">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B42149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373C741">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3051E4A">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F20644F">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0910A4F">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1BBD6F4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096DD82D">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2929984">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3356097D">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68885A8">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443309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C311FB">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76A4C2A3">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54CCC9E">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3B5B994D">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94666FA">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3F0767D5">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1．验收</w:t>
      </w:r>
    </w:p>
    <w:p w14:paraId="792A48F8">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招标方负责协调各方对</w:t>
      </w:r>
      <w:r>
        <w:rPr>
          <w:rFonts w:hint="eastAsia" w:ascii="宋体" w:hAnsi="宋体" w:cs="Times New Roman"/>
          <w:color w:val="auto"/>
          <w:spacing w:val="4"/>
          <w:szCs w:val="21"/>
          <w:lang w:val="en-US" w:eastAsia="zh-CN"/>
        </w:rPr>
        <w:t>济南智能装备有限公司</w:t>
      </w:r>
      <w:r>
        <w:rPr>
          <w:rFonts w:hint="eastAsia" w:ascii="宋体" w:hAnsi="宋体" w:eastAsia="宋体" w:cs="Times New Roman"/>
          <w:color w:val="auto"/>
          <w:spacing w:val="4"/>
          <w:szCs w:val="21"/>
          <w:lang w:val="en-US" w:eastAsia="zh-CN"/>
        </w:rPr>
        <w:t>国产中频炉炉膛年度外委维修项目进行验收。验收由相关各方按照合同要求进行。对验收时不符合验收标准的部分，投标方负责整改，费用投标方自理。</w:t>
      </w:r>
    </w:p>
    <w:p w14:paraId="09627F54">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2．验收标准</w:t>
      </w:r>
    </w:p>
    <w:p w14:paraId="3C897728">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设备最后的验收以设备连续运行24小时并使加热坯料全部合格，同时炉膛无龟裂、无漏水、无脱落等为准。连续使用2天（24小时工作制）无质量问题视为验收合格。若返修炉膛到达招标方现场后，一个月内招标方没有质量反馈则视为验收合格。验收过程中如有问题投标方应及时整改，既要保证质量又要不耽误生产。</w:t>
      </w:r>
    </w:p>
    <w:p w14:paraId="4AE57BCA">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3. 质保期</w:t>
      </w:r>
    </w:p>
    <w:p w14:paraId="7C63B5C5">
      <w:pPr>
        <w:spacing w:line="276" w:lineRule="auto"/>
        <w:ind w:firstLine="436" w:firstLineChars="200"/>
        <w:rPr>
          <w:rFonts w:hint="eastAsia" w:ascii="宋体" w:hAnsi="宋体" w:eastAsia="宋体" w:cs="Times New Roman"/>
          <w:color w:val="auto"/>
          <w:spacing w:val="4"/>
          <w:szCs w:val="21"/>
          <w:lang w:val="en-US" w:eastAsia="zh-CN"/>
        </w:rPr>
      </w:pPr>
      <w:r>
        <w:rPr>
          <w:rFonts w:hint="eastAsia" w:ascii="宋体" w:hAnsi="宋体" w:eastAsia="宋体" w:cs="Times New Roman"/>
          <w:color w:val="auto"/>
          <w:spacing w:val="4"/>
          <w:szCs w:val="21"/>
          <w:lang w:val="en-US" w:eastAsia="zh-CN"/>
        </w:rPr>
        <w:t>本合同签订之日起，投标方对产品质量负责，质保期为自最终验收合格后实际使用不低于三个月（24小时工作制）。在质保期内，承包内容出现的任何质量问题，均由投标方处理，产生费用均由投标方负责承担。 </w:t>
      </w:r>
    </w:p>
    <w:p w14:paraId="1F2787C9">
      <w:pPr>
        <w:pStyle w:val="5"/>
        <w:spacing w:line="360" w:lineRule="auto"/>
      </w:pPr>
      <w:r>
        <w:rPr>
          <w:rFonts w:hint="eastAsia" w:ascii="黑体" w:eastAsia="黑体"/>
          <w:b/>
          <w:bCs/>
          <w:sz w:val="28"/>
          <w:szCs w:val="28"/>
        </w:rPr>
        <w:t>八、其他</w:t>
      </w:r>
    </w:p>
    <w:p w14:paraId="081F49CC">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4864C8C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8BCDE57">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16CDDC87">
      <w:pPr>
        <w:pStyle w:val="5"/>
        <w:spacing w:line="360" w:lineRule="auto"/>
        <w:ind w:firstLine="210" w:firstLineChars="100"/>
      </w:pPr>
    </w:p>
    <w:p w14:paraId="0EE38E44">
      <w:pPr>
        <w:pStyle w:val="5"/>
        <w:spacing w:line="360" w:lineRule="auto"/>
        <w:ind w:firstLine="210" w:firstLineChars="100"/>
      </w:pPr>
    </w:p>
    <w:p w14:paraId="184512A9">
      <w:pPr>
        <w:pStyle w:val="5"/>
        <w:spacing w:line="360" w:lineRule="auto"/>
        <w:ind w:firstLine="210" w:firstLineChars="100"/>
      </w:pPr>
    </w:p>
    <w:p w14:paraId="2BCA0B5F">
      <w:pPr>
        <w:pStyle w:val="5"/>
        <w:spacing w:line="360" w:lineRule="auto"/>
        <w:ind w:firstLine="210" w:firstLineChars="100"/>
      </w:pPr>
    </w:p>
    <w:p w14:paraId="0D4AA97A">
      <w:pPr>
        <w:pStyle w:val="5"/>
        <w:spacing w:line="360" w:lineRule="auto"/>
        <w:ind w:firstLine="210" w:firstLineChars="100"/>
      </w:pPr>
    </w:p>
    <w:p w14:paraId="02FB9526">
      <w:pPr>
        <w:pStyle w:val="5"/>
        <w:spacing w:line="360" w:lineRule="auto"/>
        <w:ind w:firstLine="210" w:firstLineChars="100"/>
      </w:pPr>
    </w:p>
    <w:p w14:paraId="41F1E236">
      <w:pPr>
        <w:pStyle w:val="5"/>
        <w:spacing w:line="360" w:lineRule="auto"/>
        <w:ind w:firstLine="210" w:firstLineChars="100"/>
      </w:pPr>
    </w:p>
    <w:p w14:paraId="5C2CC0FB">
      <w:pPr>
        <w:pStyle w:val="5"/>
        <w:spacing w:line="360" w:lineRule="auto"/>
        <w:ind w:firstLine="210" w:firstLineChars="100"/>
      </w:pPr>
    </w:p>
    <w:p w14:paraId="5D4FD23E">
      <w:pPr>
        <w:pStyle w:val="5"/>
        <w:spacing w:line="360" w:lineRule="auto"/>
        <w:ind w:firstLine="210" w:firstLineChars="100"/>
      </w:pPr>
    </w:p>
    <w:p w14:paraId="3EC6DAF9">
      <w:pPr>
        <w:pStyle w:val="5"/>
        <w:spacing w:line="360" w:lineRule="auto"/>
        <w:ind w:firstLine="210" w:firstLineChars="100"/>
      </w:pPr>
    </w:p>
    <w:p w14:paraId="01F043BF">
      <w:pPr>
        <w:pStyle w:val="5"/>
        <w:spacing w:line="360" w:lineRule="auto"/>
        <w:ind w:firstLine="210" w:firstLineChars="100"/>
      </w:pPr>
    </w:p>
    <w:p w14:paraId="7C59F2E8">
      <w:pPr>
        <w:pStyle w:val="5"/>
        <w:spacing w:line="360" w:lineRule="auto"/>
        <w:ind w:firstLine="210" w:firstLineChars="100"/>
      </w:pPr>
    </w:p>
    <w:p w14:paraId="307A37DF">
      <w:pPr>
        <w:pStyle w:val="5"/>
        <w:spacing w:line="360" w:lineRule="auto"/>
        <w:ind w:firstLine="210" w:firstLineChars="100"/>
      </w:pPr>
    </w:p>
    <w:p w14:paraId="34DFD9E8">
      <w:pPr>
        <w:pStyle w:val="5"/>
        <w:spacing w:line="360" w:lineRule="auto"/>
        <w:ind w:firstLine="210" w:firstLineChars="100"/>
      </w:pPr>
    </w:p>
    <w:p w14:paraId="76135FEC">
      <w:pPr>
        <w:pStyle w:val="5"/>
        <w:spacing w:line="360" w:lineRule="auto"/>
        <w:ind w:firstLine="210" w:firstLineChars="100"/>
      </w:pPr>
    </w:p>
    <w:p w14:paraId="40FBA3E1">
      <w:pPr>
        <w:pStyle w:val="5"/>
        <w:spacing w:line="360" w:lineRule="auto"/>
        <w:ind w:firstLine="210" w:firstLineChars="100"/>
      </w:pPr>
    </w:p>
    <w:p w14:paraId="3CE09785">
      <w:pPr>
        <w:pStyle w:val="5"/>
        <w:spacing w:line="360" w:lineRule="auto"/>
        <w:ind w:firstLine="210" w:firstLineChars="100"/>
      </w:pPr>
    </w:p>
    <w:p w14:paraId="6E5F3908">
      <w:pPr>
        <w:pStyle w:val="5"/>
        <w:spacing w:line="360" w:lineRule="auto"/>
        <w:ind w:firstLine="210" w:firstLineChars="100"/>
      </w:pPr>
    </w:p>
    <w:p w14:paraId="4BF1CCDA">
      <w:pPr>
        <w:pStyle w:val="5"/>
        <w:spacing w:line="360" w:lineRule="auto"/>
        <w:ind w:firstLine="210" w:firstLineChars="100"/>
      </w:pPr>
    </w:p>
    <w:p w14:paraId="10C85EF2">
      <w:pPr>
        <w:pStyle w:val="5"/>
        <w:spacing w:line="360" w:lineRule="auto"/>
        <w:ind w:firstLine="210" w:firstLineChars="100"/>
      </w:pPr>
    </w:p>
    <w:p w14:paraId="6D54842C">
      <w:pPr>
        <w:pStyle w:val="5"/>
        <w:spacing w:line="360" w:lineRule="auto"/>
        <w:ind w:firstLine="210" w:firstLineChars="100"/>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421027A8">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w:t>
      </w:r>
      <w:r>
        <w:rPr>
          <w:rFonts w:hint="eastAsia" w:ascii="宋体" w:hAnsi="宋体"/>
          <w:b/>
          <w:sz w:val="28"/>
          <w:szCs w:val="36"/>
          <w:u w:val="single"/>
          <w:lang w:val="en-US" w:eastAsia="zh-CN"/>
        </w:rPr>
        <w:t>智能装备</w:t>
      </w:r>
      <w:r>
        <w:rPr>
          <w:rFonts w:hint="eastAsia" w:ascii="宋体" w:hAnsi="宋体"/>
          <w:b/>
          <w:sz w:val="28"/>
          <w:szCs w:val="36"/>
          <w:u w:val="single"/>
        </w:rPr>
        <w:t>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w:t>
      </w:r>
      <w:r>
        <w:rPr>
          <w:rFonts w:hint="eastAsia" w:ascii="宋体" w:hAnsi="宋体"/>
          <w:b/>
          <w:sz w:val="28"/>
          <w:szCs w:val="36"/>
          <w:u w:val="single"/>
          <w:lang w:val="en-US" w:eastAsia="zh-CN"/>
        </w:rPr>
        <w:t>XXXXXXX</w:t>
      </w:r>
      <w:r>
        <w:rPr>
          <w:rFonts w:hint="eastAsia" w:ascii="宋体" w:hAnsi="宋体"/>
          <w:b/>
          <w:sz w:val="28"/>
          <w:szCs w:val="36"/>
          <w:u w:val="single"/>
        </w:rPr>
        <w:t>有限公司</w:t>
      </w:r>
    </w:p>
    <w:p w14:paraId="5671399D">
      <w:pPr>
        <w:pStyle w:val="2"/>
      </w:pPr>
    </w:p>
    <w:p w14:paraId="523B119C">
      <w:pPr>
        <w:pStyle w:val="3"/>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w:t>
      </w:r>
      <w:r>
        <w:rPr>
          <w:rFonts w:hint="eastAsia" w:ascii="宋体" w:hAnsi="宋体"/>
          <w:b/>
          <w:lang w:val="en-US" w:eastAsia="zh-CN"/>
        </w:rPr>
        <w:t>智能装备</w:t>
      </w:r>
      <w:r>
        <w:rPr>
          <w:rFonts w:hint="eastAsia" w:ascii="宋体" w:hAnsi="宋体"/>
          <w:b/>
        </w:rPr>
        <w:t>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w:t>
      </w:r>
      <w:r>
        <w:rPr>
          <w:rFonts w:hint="eastAsia" w:ascii="宋体" w:hAnsi="宋体"/>
          <w:b/>
          <w:lang w:val="en-US" w:eastAsia="zh-CN"/>
        </w:rPr>
        <w:t>XXXXXXX</w:t>
      </w:r>
      <w:r>
        <w:rPr>
          <w:rFonts w:hint="eastAsia" w:ascii="宋体" w:hAnsi="宋体"/>
          <w:b/>
        </w:rPr>
        <w:t>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w:t>
      </w:r>
      <w:r>
        <w:rPr>
          <w:rFonts w:hint="eastAsia" w:ascii="宋体" w:hAnsi="宋体" w:cs="宋体"/>
          <w:color w:val="FF0000"/>
          <w:sz w:val="20"/>
          <w:u w:val="single"/>
          <w:lang w:val="en-US" w:eastAsia="zh-CN"/>
        </w:rPr>
        <w:t>甲</w:t>
      </w:r>
      <w:r>
        <w:rPr>
          <w:rFonts w:hint="eastAsia" w:ascii="宋体" w:hAnsi="宋体" w:cs="宋体"/>
          <w:color w:val="FF0000"/>
          <w:sz w:val="20"/>
          <w:u w:val="single"/>
        </w:rPr>
        <w:t>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w:t>
      </w:r>
      <w:r>
        <w:rPr>
          <w:rFonts w:hint="eastAsia" w:ascii="宋体" w:hAnsi="宋体" w:cs="宋体"/>
          <w:sz w:val="20"/>
          <w:u w:val="single"/>
          <w:lang w:val="en-US" w:eastAsia="zh-CN"/>
        </w:rPr>
        <w:t>智能装备有限公司</w:t>
      </w:r>
      <w:r>
        <w:rPr>
          <w:rFonts w:hint="eastAsia" w:ascii="宋体" w:hAnsi="宋体" w:cs="宋体"/>
          <w:sz w:val="20"/>
          <w:u w:val="single"/>
        </w:rPr>
        <w:t>。</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%的增值税专用发票经甲方审核无误，甲方在发票挂账满三个月后支付乙方总金额9</w:t>
      </w:r>
      <w:r>
        <w:rPr>
          <w:rFonts w:ascii="宋体" w:hAnsi="宋体" w:cs="宋体"/>
          <w:sz w:val="20"/>
        </w:rPr>
        <w:t>0%</w:t>
      </w:r>
      <w:r>
        <w:rPr>
          <w:rFonts w:hint="eastAsia" w:ascii="宋体" w:hAnsi="宋体" w:cs="宋体"/>
          <w:sz w:val="20"/>
          <w:highlight w:val="none"/>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甲方（盖章）：中国重汽集团济南</w:t>
      </w:r>
      <w:r>
        <w:rPr>
          <w:rFonts w:hint="eastAsia" w:ascii="宋体" w:hAnsi="宋体"/>
          <w:snapToGrid w:val="0"/>
          <w:kern w:val="0"/>
          <w:sz w:val="20"/>
          <w:lang w:val="en-US" w:eastAsia="zh-CN"/>
        </w:rPr>
        <w:t>智能</w:t>
      </w:r>
      <w:r>
        <w:rPr>
          <w:rFonts w:hint="eastAsia" w:ascii="宋体" w:hAnsi="宋体"/>
          <w:snapToGrid w:val="0"/>
          <w:kern w:val="0"/>
          <w:sz w:val="20"/>
        </w:rPr>
        <w:t xml:space="preserve">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法定代表人或代理人（签字）：               </w:t>
      </w:r>
      <w:r>
        <w:rPr>
          <w:rFonts w:hint="eastAsia" w:ascii="宋体" w:hAnsi="宋体"/>
          <w:snapToGrid w:val="0"/>
          <w:kern w:val="0"/>
          <w:sz w:val="20"/>
          <w:lang w:val="en-US" w:eastAsia="zh-CN"/>
        </w:rPr>
        <w:t xml:space="preserve"> </w:t>
      </w:r>
      <w:r>
        <w:rPr>
          <w:rFonts w:ascii="宋体" w:hAnsi="宋体"/>
          <w:snapToGrid w:val="0"/>
          <w:kern w:val="0"/>
          <w:sz w:val="20"/>
        </w:rPr>
        <w:t>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lang w:val="en-US" w:eastAsia="zh-CN"/>
        </w:rPr>
        <w:t xml:space="preserve">                             </w:t>
      </w:r>
      <w:r>
        <w:rPr>
          <w:rFonts w:ascii="宋体" w:hAnsi="宋体"/>
          <w:snapToGrid w:val="0"/>
          <w:kern w:val="0"/>
          <w:sz w:val="20"/>
        </w:rPr>
        <w:t xml:space="preserve">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lang w:val="en-US" w:eastAsia="zh-CN"/>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开户银行：             </w:t>
      </w:r>
      <w:r>
        <w:rPr>
          <w:rFonts w:hint="eastAsia" w:ascii="宋体" w:hAnsi="宋体"/>
          <w:snapToGrid w:val="0"/>
          <w:kern w:val="0"/>
          <w:sz w:val="20"/>
        </w:rPr>
        <w:t xml:space="preserve">   </w:t>
      </w:r>
      <w:r>
        <w:rPr>
          <w:rFonts w:hint="eastAsia" w:ascii="宋体" w:hAnsi="宋体"/>
          <w:snapToGrid w:val="0"/>
          <w:kern w:val="0"/>
          <w:sz w:val="20"/>
          <w:lang w:val="en-US" w:eastAsia="zh-CN"/>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 xml:space="preserve">账 号：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lang w:val="en-US" w:eastAsia="zh-CN"/>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D02C73"/>
    <w:rsid w:val="01E6552F"/>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CA278E"/>
    <w:rsid w:val="0B6947A3"/>
    <w:rsid w:val="0B9C1080"/>
    <w:rsid w:val="0BF40511"/>
    <w:rsid w:val="0C0F70F9"/>
    <w:rsid w:val="0C104FD7"/>
    <w:rsid w:val="0C1C246B"/>
    <w:rsid w:val="0C234952"/>
    <w:rsid w:val="0C4C141B"/>
    <w:rsid w:val="0C6131FF"/>
    <w:rsid w:val="0C9D6E83"/>
    <w:rsid w:val="0CC929E1"/>
    <w:rsid w:val="0DE159E4"/>
    <w:rsid w:val="0E1717EB"/>
    <w:rsid w:val="0E7E0566"/>
    <w:rsid w:val="0ED83AE4"/>
    <w:rsid w:val="0F3455E8"/>
    <w:rsid w:val="0F46207F"/>
    <w:rsid w:val="0F7F00F1"/>
    <w:rsid w:val="0F9B634B"/>
    <w:rsid w:val="0FA97864"/>
    <w:rsid w:val="0FD95370"/>
    <w:rsid w:val="1030707C"/>
    <w:rsid w:val="115919CD"/>
    <w:rsid w:val="11E37691"/>
    <w:rsid w:val="11FB250E"/>
    <w:rsid w:val="124E0DA1"/>
    <w:rsid w:val="125211C7"/>
    <w:rsid w:val="12E83BAB"/>
    <w:rsid w:val="12EE2AB1"/>
    <w:rsid w:val="130677BB"/>
    <w:rsid w:val="130A061A"/>
    <w:rsid w:val="130D701F"/>
    <w:rsid w:val="13681B6F"/>
    <w:rsid w:val="139E7C22"/>
    <w:rsid w:val="13BC5DB8"/>
    <w:rsid w:val="14184FB8"/>
    <w:rsid w:val="14622E4E"/>
    <w:rsid w:val="14B60A59"/>
    <w:rsid w:val="14C44CA4"/>
    <w:rsid w:val="156C736A"/>
    <w:rsid w:val="15C8266A"/>
    <w:rsid w:val="15ED5D64"/>
    <w:rsid w:val="164A498D"/>
    <w:rsid w:val="16BC4CA0"/>
    <w:rsid w:val="17025F34"/>
    <w:rsid w:val="17A20BF0"/>
    <w:rsid w:val="17EC4792"/>
    <w:rsid w:val="18015B42"/>
    <w:rsid w:val="18354086"/>
    <w:rsid w:val="18675BED"/>
    <w:rsid w:val="18863E0C"/>
    <w:rsid w:val="193204D8"/>
    <w:rsid w:val="19960E59"/>
    <w:rsid w:val="19C20388"/>
    <w:rsid w:val="19E44E8B"/>
    <w:rsid w:val="1A13457B"/>
    <w:rsid w:val="1A137F5A"/>
    <w:rsid w:val="1AC17A63"/>
    <w:rsid w:val="1AC86132"/>
    <w:rsid w:val="1ADC0AEE"/>
    <w:rsid w:val="1AF26BB7"/>
    <w:rsid w:val="1AF37D10"/>
    <w:rsid w:val="1B534D5F"/>
    <w:rsid w:val="1B774FAC"/>
    <w:rsid w:val="1BB505BB"/>
    <w:rsid w:val="1C142509"/>
    <w:rsid w:val="1C9D3366"/>
    <w:rsid w:val="1CFC7225"/>
    <w:rsid w:val="1D4674EB"/>
    <w:rsid w:val="1D9C27B6"/>
    <w:rsid w:val="1DEA2432"/>
    <w:rsid w:val="1DF146E0"/>
    <w:rsid w:val="1E4B665D"/>
    <w:rsid w:val="1E9C2349"/>
    <w:rsid w:val="1EA456EA"/>
    <w:rsid w:val="1F464D33"/>
    <w:rsid w:val="1FDB75C6"/>
    <w:rsid w:val="2044620F"/>
    <w:rsid w:val="20736297"/>
    <w:rsid w:val="20BE7B4F"/>
    <w:rsid w:val="20C77B4A"/>
    <w:rsid w:val="2123032B"/>
    <w:rsid w:val="22E97F8E"/>
    <w:rsid w:val="2369138D"/>
    <w:rsid w:val="23AC0C12"/>
    <w:rsid w:val="23F77963"/>
    <w:rsid w:val="24267006"/>
    <w:rsid w:val="24704055"/>
    <w:rsid w:val="24794872"/>
    <w:rsid w:val="24A255AA"/>
    <w:rsid w:val="24AD52A9"/>
    <w:rsid w:val="24B14D99"/>
    <w:rsid w:val="25854FC2"/>
    <w:rsid w:val="25FF0884"/>
    <w:rsid w:val="26AB75C6"/>
    <w:rsid w:val="26C40BDF"/>
    <w:rsid w:val="26F15641"/>
    <w:rsid w:val="275622C5"/>
    <w:rsid w:val="27DB07FD"/>
    <w:rsid w:val="28C56AA5"/>
    <w:rsid w:val="28DC3349"/>
    <w:rsid w:val="29221667"/>
    <w:rsid w:val="2A385748"/>
    <w:rsid w:val="2A521C1D"/>
    <w:rsid w:val="2AD0584D"/>
    <w:rsid w:val="2AD43590"/>
    <w:rsid w:val="2AF459E0"/>
    <w:rsid w:val="2B0153A4"/>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BC5EB9"/>
    <w:rsid w:val="31E06934"/>
    <w:rsid w:val="31FC1497"/>
    <w:rsid w:val="324A1457"/>
    <w:rsid w:val="32DD31FD"/>
    <w:rsid w:val="32F37FFD"/>
    <w:rsid w:val="332B79E1"/>
    <w:rsid w:val="33E81E5A"/>
    <w:rsid w:val="33F12316"/>
    <w:rsid w:val="34B65AB4"/>
    <w:rsid w:val="350257E4"/>
    <w:rsid w:val="355B61FA"/>
    <w:rsid w:val="35CB578B"/>
    <w:rsid w:val="35F121F5"/>
    <w:rsid w:val="361208B0"/>
    <w:rsid w:val="373C13A7"/>
    <w:rsid w:val="38613F89"/>
    <w:rsid w:val="388B491A"/>
    <w:rsid w:val="38BE0DE4"/>
    <w:rsid w:val="38DE382B"/>
    <w:rsid w:val="39546426"/>
    <w:rsid w:val="39576DE9"/>
    <w:rsid w:val="39805B4C"/>
    <w:rsid w:val="3995462E"/>
    <w:rsid w:val="39C97039"/>
    <w:rsid w:val="39DF3CFF"/>
    <w:rsid w:val="39E20ABF"/>
    <w:rsid w:val="39FE4185"/>
    <w:rsid w:val="3A230C04"/>
    <w:rsid w:val="3B1D2357"/>
    <w:rsid w:val="3BA02206"/>
    <w:rsid w:val="3BBC6816"/>
    <w:rsid w:val="3C51583E"/>
    <w:rsid w:val="3C5E0698"/>
    <w:rsid w:val="3C7D42C9"/>
    <w:rsid w:val="3CDB7AF6"/>
    <w:rsid w:val="3D89020A"/>
    <w:rsid w:val="3DB159B2"/>
    <w:rsid w:val="3E175ADC"/>
    <w:rsid w:val="3E6D124E"/>
    <w:rsid w:val="3E9E499C"/>
    <w:rsid w:val="3F1A2571"/>
    <w:rsid w:val="3F6A7BC7"/>
    <w:rsid w:val="3F72206C"/>
    <w:rsid w:val="404E1296"/>
    <w:rsid w:val="4090366F"/>
    <w:rsid w:val="409F7E41"/>
    <w:rsid w:val="40D46108"/>
    <w:rsid w:val="41FE72A3"/>
    <w:rsid w:val="421513DF"/>
    <w:rsid w:val="4221593A"/>
    <w:rsid w:val="423D6F83"/>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B96583B"/>
    <w:rsid w:val="4C7871AD"/>
    <w:rsid w:val="4C7E4BF4"/>
    <w:rsid w:val="4C9D2CB4"/>
    <w:rsid w:val="4CF85716"/>
    <w:rsid w:val="4D87403A"/>
    <w:rsid w:val="4D9B3EA0"/>
    <w:rsid w:val="4DD8303E"/>
    <w:rsid w:val="4E30647F"/>
    <w:rsid w:val="4E6F4284"/>
    <w:rsid w:val="4E8326E2"/>
    <w:rsid w:val="4EBD41B7"/>
    <w:rsid w:val="4F4E12B3"/>
    <w:rsid w:val="4F7E40D5"/>
    <w:rsid w:val="4FB322B4"/>
    <w:rsid w:val="501F70B7"/>
    <w:rsid w:val="506A5C79"/>
    <w:rsid w:val="507638E7"/>
    <w:rsid w:val="51190CF8"/>
    <w:rsid w:val="51791EEB"/>
    <w:rsid w:val="51CC5A13"/>
    <w:rsid w:val="51FB551D"/>
    <w:rsid w:val="52546CFC"/>
    <w:rsid w:val="52615C47"/>
    <w:rsid w:val="52EA2546"/>
    <w:rsid w:val="53840D3D"/>
    <w:rsid w:val="53AB6130"/>
    <w:rsid w:val="53E2368A"/>
    <w:rsid w:val="53E5615A"/>
    <w:rsid w:val="53EA24F1"/>
    <w:rsid w:val="5409663C"/>
    <w:rsid w:val="548D5005"/>
    <w:rsid w:val="549E6593"/>
    <w:rsid w:val="552E58D7"/>
    <w:rsid w:val="558A6CE5"/>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0E47381"/>
    <w:rsid w:val="613227E3"/>
    <w:rsid w:val="61871BEC"/>
    <w:rsid w:val="61A9390B"/>
    <w:rsid w:val="632B573B"/>
    <w:rsid w:val="63792523"/>
    <w:rsid w:val="63AB18D5"/>
    <w:rsid w:val="63C93E46"/>
    <w:rsid w:val="63CE57E0"/>
    <w:rsid w:val="63F554FD"/>
    <w:rsid w:val="6409549B"/>
    <w:rsid w:val="641C6E32"/>
    <w:rsid w:val="642021C6"/>
    <w:rsid w:val="6445580E"/>
    <w:rsid w:val="64520E2E"/>
    <w:rsid w:val="64630F05"/>
    <w:rsid w:val="6486074F"/>
    <w:rsid w:val="649A318E"/>
    <w:rsid w:val="64A1542F"/>
    <w:rsid w:val="64F10969"/>
    <w:rsid w:val="654D029D"/>
    <w:rsid w:val="65AB4911"/>
    <w:rsid w:val="65EA3279"/>
    <w:rsid w:val="65F739F0"/>
    <w:rsid w:val="661A40C5"/>
    <w:rsid w:val="66451947"/>
    <w:rsid w:val="66833173"/>
    <w:rsid w:val="66E81180"/>
    <w:rsid w:val="66F830AB"/>
    <w:rsid w:val="675E2C65"/>
    <w:rsid w:val="67614842"/>
    <w:rsid w:val="679824B3"/>
    <w:rsid w:val="679C1CD0"/>
    <w:rsid w:val="67CC52C7"/>
    <w:rsid w:val="68AD7A43"/>
    <w:rsid w:val="68B27D65"/>
    <w:rsid w:val="68C76BC8"/>
    <w:rsid w:val="69012A9A"/>
    <w:rsid w:val="694C1F68"/>
    <w:rsid w:val="69672B89"/>
    <w:rsid w:val="696C260A"/>
    <w:rsid w:val="69DB32EB"/>
    <w:rsid w:val="6A1E1172"/>
    <w:rsid w:val="6A387B0C"/>
    <w:rsid w:val="6B326702"/>
    <w:rsid w:val="6B686EFE"/>
    <w:rsid w:val="6BCD434E"/>
    <w:rsid w:val="6BD77154"/>
    <w:rsid w:val="6C8C3140"/>
    <w:rsid w:val="6C995F35"/>
    <w:rsid w:val="6CDD4ECA"/>
    <w:rsid w:val="6D2C0165"/>
    <w:rsid w:val="6E0D5578"/>
    <w:rsid w:val="6E751E50"/>
    <w:rsid w:val="6E770867"/>
    <w:rsid w:val="6E9178AA"/>
    <w:rsid w:val="6EC34E26"/>
    <w:rsid w:val="6F103A37"/>
    <w:rsid w:val="6F37310B"/>
    <w:rsid w:val="6F62266D"/>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474A75"/>
    <w:rsid w:val="776963DA"/>
    <w:rsid w:val="77D4166A"/>
    <w:rsid w:val="7866158F"/>
    <w:rsid w:val="79444A09"/>
    <w:rsid w:val="797A68CB"/>
    <w:rsid w:val="79A11C44"/>
    <w:rsid w:val="7A2560D7"/>
    <w:rsid w:val="7A6F427A"/>
    <w:rsid w:val="7AB0436E"/>
    <w:rsid w:val="7AE876F9"/>
    <w:rsid w:val="7B0A57DF"/>
    <w:rsid w:val="7B5F0EC5"/>
    <w:rsid w:val="7BB44A8A"/>
    <w:rsid w:val="7BE75B20"/>
    <w:rsid w:val="7BFA3AA5"/>
    <w:rsid w:val="7C0B7BA7"/>
    <w:rsid w:val="7C16596C"/>
    <w:rsid w:val="7C3158FB"/>
    <w:rsid w:val="7C722DF5"/>
    <w:rsid w:val="7C8F4C94"/>
    <w:rsid w:val="7CF30EC8"/>
    <w:rsid w:val="7D9615AC"/>
    <w:rsid w:val="7DF06F0E"/>
    <w:rsid w:val="7E0D45F0"/>
    <w:rsid w:val="7E8F2BCB"/>
    <w:rsid w:val="7EA06B86"/>
    <w:rsid w:val="7EAB0196"/>
    <w:rsid w:val="7F4E65E2"/>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13814</Words>
  <Characters>14457</Characters>
  <Lines>140</Lines>
  <Paragraphs>39</Paragraphs>
  <TotalTime>139</TotalTime>
  <ScaleCrop>false</ScaleCrop>
  <LinksUpToDate>false</LinksUpToDate>
  <CharactersWithSpaces>15377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2025-09-11T03:00:44Z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0AB0A6AB759447FCAAABD45EC1BCD32D_13</vt:lpwstr>
  </property>
  <property fmtid="{D5CDD505-2E9C-101B-9397-08002B2CF9AE}" pid="4" name="KSOTemplateDocerSaveRecord">
    <vt:lpwstr>eyJoZGlkIjoiYjkwMmRlNjMxNGNlNDYzMmFiYjIyZGNkMWMzMmJhNzUiLCJ1c2VySWQiOiI1MDU1ODk3NzQifQ==</vt:lpwstr>
  </property>
</Properties>
</file>