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3161DC">
      <w:pPr>
        <w:jc w:val="center"/>
        <w:rPr>
          <w:rFonts w:ascii="黑体" w:hAnsi="黑体" w:eastAsia="黑体"/>
          <w:sz w:val="44"/>
          <w:szCs w:val="44"/>
        </w:rPr>
      </w:pPr>
    </w:p>
    <w:p w14:paraId="6B00C1A2">
      <w:pPr>
        <w:jc w:val="center"/>
        <w:rPr>
          <w:rFonts w:ascii="黑体" w:hAnsi="黑体" w:eastAsia="黑体"/>
          <w:sz w:val="44"/>
          <w:szCs w:val="44"/>
        </w:rPr>
      </w:pPr>
      <w:bookmarkStart w:id="56" w:name="_GoBack"/>
      <w:bookmarkEnd w:id="56"/>
    </w:p>
    <w:p w14:paraId="0A90DE9E">
      <w:pPr>
        <w:jc w:val="center"/>
        <w:rPr>
          <w:rFonts w:ascii="黑体" w:hAnsi="黑体" w:eastAsia="黑体"/>
          <w:sz w:val="52"/>
          <w:szCs w:val="52"/>
        </w:rPr>
      </w:pPr>
      <w:r>
        <w:rPr>
          <w:rFonts w:hint="eastAsia" w:cs="宋体" w:asciiTheme="majorEastAsia" w:hAnsiTheme="majorEastAsia" w:eastAsiaTheme="majorEastAsia"/>
          <w:kern w:val="0"/>
          <w:sz w:val="32"/>
          <w:szCs w:val="32"/>
          <w:u w:val="single"/>
          <w:lang w:bidi="en-US"/>
        </w:rPr>
        <w:t>附件</w:t>
      </w:r>
      <w:r>
        <w:rPr>
          <w:rFonts w:cs="宋体" w:asciiTheme="majorEastAsia" w:hAnsiTheme="majorEastAsia" w:eastAsiaTheme="majorEastAsia"/>
          <w:kern w:val="0"/>
          <w:sz w:val="32"/>
          <w:szCs w:val="32"/>
          <w:u w:val="single"/>
          <w:lang w:bidi="en-US"/>
        </w:rPr>
        <w:t>11</w:t>
      </w:r>
    </w:p>
    <w:p w14:paraId="3D122424">
      <w:pPr>
        <w:jc w:val="center"/>
        <w:rPr>
          <w:rFonts w:ascii="黑体" w:hAnsi="黑体" w:eastAsia="黑体"/>
          <w:sz w:val="44"/>
          <w:szCs w:val="44"/>
        </w:rPr>
      </w:pPr>
    </w:p>
    <w:p w14:paraId="00609CD2">
      <w:pPr>
        <w:jc w:val="center"/>
        <w:rPr>
          <w:rFonts w:ascii="黑体" w:hAnsi="黑体" w:eastAsia="黑体"/>
          <w:sz w:val="44"/>
          <w:szCs w:val="44"/>
        </w:rPr>
      </w:pPr>
    </w:p>
    <w:p w14:paraId="51C01647">
      <w:pPr>
        <w:jc w:val="center"/>
        <w:rPr>
          <w:rFonts w:ascii="微软雅黑" w:hAnsi="微软雅黑" w:eastAsia="微软雅黑" w:cs="微软雅黑"/>
          <w:color w:val="000000"/>
          <w:sz w:val="36"/>
          <w:szCs w:val="36"/>
          <w:shd w:val="clear" w:color="auto" w:fill="FCFCFC"/>
        </w:rPr>
      </w:pPr>
      <w:r>
        <w:rPr>
          <w:rFonts w:ascii="微软雅黑" w:hAnsi="微软雅黑" w:eastAsia="微软雅黑" w:cs="微软雅黑"/>
          <w:color w:val="000000"/>
          <w:sz w:val="36"/>
          <w:szCs w:val="36"/>
          <w:shd w:val="clear" w:color="auto" w:fill="FCFCFC"/>
        </w:rPr>
        <w:t>重汽（重庆）轻型汽车有限公司生产物流外包服务</w:t>
      </w:r>
    </w:p>
    <w:p w14:paraId="68260043">
      <w:pPr>
        <w:jc w:val="center"/>
        <w:rPr>
          <w:rFonts w:ascii="仿宋" w:hAnsi="仿宋" w:eastAsia="仿宋"/>
          <w:sz w:val="36"/>
          <w:szCs w:val="36"/>
        </w:rPr>
      </w:pPr>
      <w:r>
        <w:rPr>
          <w:rFonts w:ascii="微软雅黑" w:hAnsi="微软雅黑" w:eastAsia="微软雅黑" w:cs="微软雅黑"/>
          <w:color w:val="000000"/>
          <w:sz w:val="36"/>
          <w:szCs w:val="36"/>
          <w:shd w:val="clear" w:color="auto" w:fill="FCFCFC"/>
        </w:rPr>
        <w:t>（含新能源电池厂外仓储物流服务）</w:t>
      </w:r>
    </w:p>
    <w:p w14:paraId="05972DDE">
      <w:pPr>
        <w:spacing w:line="360" w:lineRule="auto"/>
        <w:rPr>
          <w:rFonts w:ascii="仿宋" w:hAnsi="仿宋" w:eastAsia="仿宋"/>
          <w:sz w:val="44"/>
          <w:szCs w:val="44"/>
          <w:u w:val="single"/>
        </w:rPr>
      </w:pPr>
    </w:p>
    <w:p w14:paraId="61256428">
      <w:pPr>
        <w:rPr>
          <w:rFonts w:ascii="黑体" w:hAnsi="黑体" w:eastAsia="黑体"/>
          <w:sz w:val="44"/>
          <w:szCs w:val="44"/>
        </w:rPr>
      </w:pPr>
      <w:r>
        <w:rPr>
          <w:rFonts w:hint="eastAsia" w:ascii="黑体" w:hAnsi="黑体" w:eastAsia="黑体"/>
          <w:sz w:val="44"/>
          <w:szCs w:val="44"/>
        </w:rPr>
        <w:t xml:space="preserve">               技术要求</w:t>
      </w:r>
    </w:p>
    <w:p w14:paraId="2B50CBCD">
      <w:pPr>
        <w:jc w:val="center"/>
        <w:rPr>
          <w:rFonts w:ascii="黑体" w:hAnsi="黑体" w:eastAsia="黑体"/>
          <w:sz w:val="44"/>
          <w:szCs w:val="44"/>
        </w:rPr>
      </w:pPr>
    </w:p>
    <w:p w14:paraId="43CCEA9F">
      <w:pPr>
        <w:jc w:val="center"/>
        <w:rPr>
          <w:rFonts w:ascii="黑体" w:hAnsi="黑体" w:eastAsia="黑体"/>
          <w:sz w:val="44"/>
          <w:szCs w:val="44"/>
        </w:rPr>
      </w:pPr>
    </w:p>
    <w:p w14:paraId="2237061A">
      <w:pPr>
        <w:jc w:val="center"/>
        <w:rPr>
          <w:rFonts w:ascii="黑体" w:hAnsi="黑体" w:eastAsia="黑体"/>
          <w:sz w:val="44"/>
          <w:szCs w:val="44"/>
        </w:rPr>
      </w:pPr>
    </w:p>
    <w:p w14:paraId="388B2DB5">
      <w:pPr>
        <w:jc w:val="center"/>
        <w:rPr>
          <w:rFonts w:ascii="黑体" w:hAnsi="黑体" w:eastAsia="黑体"/>
          <w:sz w:val="44"/>
          <w:szCs w:val="44"/>
        </w:rPr>
      </w:pPr>
    </w:p>
    <w:p w14:paraId="1FF1B449">
      <w:pPr>
        <w:jc w:val="center"/>
        <w:rPr>
          <w:rFonts w:ascii="黑体" w:hAnsi="黑体" w:eastAsia="黑体"/>
          <w:sz w:val="44"/>
          <w:szCs w:val="44"/>
        </w:rPr>
      </w:pPr>
    </w:p>
    <w:p w14:paraId="5CA46704">
      <w:pPr>
        <w:jc w:val="center"/>
        <w:rPr>
          <w:rFonts w:ascii="黑体" w:hAnsi="黑体" w:eastAsia="黑体"/>
          <w:sz w:val="44"/>
          <w:szCs w:val="44"/>
        </w:rPr>
      </w:pPr>
    </w:p>
    <w:p w14:paraId="70F3FB9A">
      <w:pPr>
        <w:jc w:val="center"/>
        <w:rPr>
          <w:rFonts w:ascii="黑体" w:hAnsi="黑体" w:eastAsia="黑体"/>
          <w:sz w:val="44"/>
          <w:szCs w:val="44"/>
        </w:rPr>
      </w:pPr>
    </w:p>
    <w:p w14:paraId="1159A1CB">
      <w:pPr>
        <w:jc w:val="center"/>
        <w:rPr>
          <w:rFonts w:ascii="黑体" w:hAnsi="黑体" w:eastAsia="黑体"/>
          <w:sz w:val="44"/>
          <w:szCs w:val="44"/>
        </w:rPr>
      </w:pPr>
    </w:p>
    <w:p w14:paraId="54670482">
      <w:pPr>
        <w:jc w:val="center"/>
        <w:rPr>
          <w:rFonts w:ascii="黑体" w:hAnsi="黑体" w:eastAsia="黑体"/>
          <w:sz w:val="44"/>
          <w:szCs w:val="44"/>
        </w:rPr>
      </w:pPr>
    </w:p>
    <w:p w14:paraId="577CDBC1">
      <w:pPr>
        <w:jc w:val="center"/>
        <w:rPr>
          <w:rFonts w:ascii="黑体" w:hAnsi="黑体" w:eastAsia="黑体"/>
          <w:sz w:val="44"/>
          <w:szCs w:val="44"/>
        </w:rPr>
      </w:pPr>
    </w:p>
    <w:p w14:paraId="3D84EF48">
      <w:pPr>
        <w:jc w:val="center"/>
        <w:rPr>
          <w:rFonts w:ascii="黑体" w:hAnsi="黑体" w:eastAsia="黑体"/>
          <w:sz w:val="44"/>
          <w:szCs w:val="44"/>
        </w:rPr>
      </w:pPr>
    </w:p>
    <w:p w14:paraId="7BDCF4F5">
      <w:pPr>
        <w:jc w:val="center"/>
        <w:rPr>
          <w:rFonts w:ascii="黑体" w:hAnsi="黑体" w:eastAsia="黑体"/>
          <w:sz w:val="44"/>
          <w:szCs w:val="44"/>
        </w:rPr>
      </w:pPr>
    </w:p>
    <w:p w14:paraId="76A97EFD">
      <w:pPr>
        <w:jc w:val="center"/>
        <w:rPr>
          <w:rFonts w:ascii="黑体" w:hAnsi="黑体" w:eastAsia="黑体"/>
          <w:sz w:val="44"/>
          <w:szCs w:val="44"/>
        </w:rPr>
      </w:pPr>
    </w:p>
    <w:sdt>
      <w:sdtPr>
        <w:rPr>
          <w:rFonts w:ascii="宋体" w:hAnsi="宋体" w:eastAsia="宋体"/>
        </w:rPr>
        <w:id w:val="147473894"/>
        <w15:color w:val="DBDBDB"/>
        <w:docPartObj>
          <w:docPartGallery w:val="Table of Contents"/>
          <w:docPartUnique/>
        </w:docPartObj>
      </w:sdtPr>
      <w:sdtEndPr>
        <w:rPr>
          <w:rFonts w:ascii="仿宋" w:hAnsi="仿宋" w:eastAsia="仿宋"/>
          <w:szCs w:val="24"/>
          <w:lang w:val="zh-CN"/>
        </w:rPr>
      </w:sdtEndPr>
      <w:sdtContent>
        <w:p w14:paraId="242AC4C3">
          <w:pPr>
            <w:jc w:val="center"/>
          </w:pPr>
          <w:r>
            <w:rPr>
              <w:rFonts w:ascii="宋体" w:hAnsi="宋体" w:eastAsia="宋体"/>
            </w:rPr>
            <w:t>目录</w:t>
          </w:r>
        </w:p>
        <w:p w14:paraId="1C15CB68">
          <w:pPr>
            <w:pStyle w:val="9"/>
            <w:tabs>
              <w:tab w:val="right" w:leader="dot" w:pos="8548"/>
              <w:tab w:val="clear" w:pos="360"/>
              <w:tab w:val="clear" w:pos="8538"/>
            </w:tabs>
          </w:pPr>
          <w:r>
            <w:rPr>
              <w:rFonts w:ascii="仿宋" w:hAnsi="仿宋" w:eastAsia="仿宋"/>
              <w:sz w:val="24"/>
              <w:szCs w:val="24"/>
              <w:lang w:val="zh-CN"/>
            </w:rPr>
            <w:fldChar w:fldCharType="begin"/>
          </w:r>
          <w:r>
            <w:rPr>
              <w:rFonts w:ascii="仿宋" w:hAnsi="仿宋" w:eastAsia="仿宋"/>
              <w:sz w:val="24"/>
              <w:szCs w:val="24"/>
              <w:lang w:val="zh-CN"/>
            </w:rPr>
            <w:instrText xml:space="preserve">TOC \o "1-2" \h \u </w:instrText>
          </w:r>
          <w:r>
            <w:rPr>
              <w:rFonts w:ascii="仿宋" w:hAnsi="仿宋" w:eastAsia="仿宋"/>
              <w:sz w:val="24"/>
              <w:szCs w:val="24"/>
              <w:lang w:val="zh-CN"/>
            </w:rPr>
            <w:fldChar w:fldCharType="separate"/>
          </w:r>
          <w:r>
            <w:fldChar w:fldCharType="begin"/>
          </w:r>
          <w:r>
            <w:instrText xml:space="preserve"> HYPERLINK \l "_Toc13191" </w:instrText>
          </w:r>
          <w:r>
            <w:fldChar w:fldCharType="separate"/>
          </w:r>
          <w:r>
            <w:rPr>
              <w:rFonts w:ascii="仿宋" w:hAnsi="仿宋" w:eastAsia="仿宋"/>
              <w:szCs w:val="24"/>
            </w:rPr>
            <w:t xml:space="preserve">1. </w:t>
          </w:r>
          <w:r>
            <w:rPr>
              <w:rFonts w:hint="eastAsia" w:ascii="仿宋" w:hAnsi="仿宋" w:eastAsia="仿宋"/>
              <w:szCs w:val="24"/>
            </w:rPr>
            <w:t>目的</w:t>
          </w:r>
          <w:r>
            <w:tab/>
          </w:r>
          <w:r>
            <w:fldChar w:fldCharType="begin"/>
          </w:r>
          <w:r>
            <w:instrText xml:space="preserve"> PAGEREF _Toc13191 \h </w:instrText>
          </w:r>
          <w:r>
            <w:fldChar w:fldCharType="separate"/>
          </w:r>
          <w:r>
            <w:t>3</w:t>
          </w:r>
          <w:r>
            <w:fldChar w:fldCharType="end"/>
          </w:r>
          <w:r>
            <w:fldChar w:fldCharType="end"/>
          </w:r>
        </w:p>
        <w:p w14:paraId="1C357DED">
          <w:pPr>
            <w:pStyle w:val="9"/>
            <w:tabs>
              <w:tab w:val="right" w:leader="dot" w:pos="8548"/>
              <w:tab w:val="clear" w:pos="360"/>
              <w:tab w:val="clear" w:pos="8538"/>
            </w:tabs>
          </w:pPr>
          <w:r>
            <w:fldChar w:fldCharType="begin"/>
          </w:r>
          <w:r>
            <w:instrText xml:space="preserve"> HYPERLINK \l "_Toc7173" </w:instrText>
          </w:r>
          <w:r>
            <w:fldChar w:fldCharType="separate"/>
          </w:r>
          <w:r>
            <w:rPr>
              <w:rFonts w:ascii="仿宋" w:hAnsi="仿宋" w:eastAsia="仿宋"/>
              <w:szCs w:val="24"/>
            </w:rPr>
            <w:t xml:space="preserve">2. </w:t>
          </w:r>
          <w:r>
            <w:rPr>
              <w:rFonts w:hint="eastAsia" w:ascii="仿宋" w:hAnsi="仿宋" w:eastAsia="仿宋"/>
              <w:szCs w:val="24"/>
            </w:rPr>
            <w:t>概述</w:t>
          </w:r>
          <w:r>
            <w:tab/>
          </w:r>
          <w:r>
            <w:fldChar w:fldCharType="begin"/>
          </w:r>
          <w:r>
            <w:instrText xml:space="preserve"> PAGEREF _Toc7173 \h </w:instrText>
          </w:r>
          <w:r>
            <w:fldChar w:fldCharType="separate"/>
          </w:r>
          <w:r>
            <w:t>3</w:t>
          </w:r>
          <w:r>
            <w:fldChar w:fldCharType="end"/>
          </w:r>
          <w:r>
            <w:fldChar w:fldCharType="end"/>
          </w:r>
        </w:p>
        <w:p w14:paraId="230C3DEB">
          <w:pPr>
            <w:pStyle w:val="9"/>
            <w:tabs>
              <w:tab w:val="right" w:leader="dot" w:pos="8548"/>
              <w:tab w:val="clear" w:pos="360"/>
              <w:tab w:val="clear" w:pos="8538"/>
            </w:tabs>
          </w:pPr>
          <w:r>
            <w:fldChar w:fldCharType="begin"/>
          </w:r>
          <w:r>
            <w:instrText xml:space="preserve"> HYPERLINK \l "_Toc16476" </w:instrText>
          </w:r>
          <w:r>
            <w:fldChar w:fldCharType="separate"/>
          </w:r>
          <w:r>
            <w:rPr>
              <w:rFonts w:ascii="仿宋" w:hAnsi="仿宋" w:eastAsia="仿宋"/>
              <w:szCs w:val="24"/>
            </w:rPr>
            <w:t xml:space="preserve">3. </w:t>
          </w:r>
          <w:r>
            <w:rPr>
              <w:rFonts w:hint="eastAsia" w:ascii="仿宋" w:hAnsi="仿宋" w:eastAsia="仿宋"/>
              <w:szCs w:val="24"/>
            </w:rPr>
            <w:t>报价基础信息</w:t>
          </w:r>
          <w:r>
            <w:tab/>
          </w:r>
          <w:r>
            <w:fldChar w:fldCharType="begin"/>
          </w:r>
          <w:r>
            <w:instrText xml:space="preserve"> PAGEREF _Toc16476 \h </w:instrText>
          </w:r>
          <w:r>
            <w:fldChar w:fldCharType="separate"/>
          </w:r>
          <w:r>
            <w:t>3</w:t>
          </w:r>
          <w:r>
            <w:fldChar w:fldCharType="end"/>
          </w:r>
          <w:r>
            <w:fldChar w:fldCharType="end"/>
          </w:r>
        </w:p>
        <w:p w14:paraId="1FC197DC">
          <w:pPr>
            <w:pStyle w:val="10"/>
            <w:tabs>
              <w:tab w:val="right" w:leader="dot" w:pos="8548"/>
            </w:tabs>
          </w:pPr>
          <w:r>
            <w:fldChar w:fldCharType="begin"/>
          </w:r>
          <w:r>
            <w:instrText xml:space="preserve"> HYPERLINK \l "_Toc32593" </w:instrText>
          </w:r>
          <w:r>
            <w:fldChar w:fldCharType="separate"/>
          </w:r>
          <w:r>
            <w:rPr>
              <w:rFonts w:ascii="仿宋" w:hAnsi="仿宋" w:eastAsia="仿宋"/>
              <w:szCs w:val="24"/>
            </w:rPr>
            <w:t xml:space="preserve">3.1. </w:t>
          </w:r>
          <w:r>
            <w:rPr>
              <w:rFonts w:hint="eastAsia" w:ascii="仿宋" w:hAnsi="仿宋" w:eastAsia="仿宋"/>
              <w:szCs w:val="24"/>
            </w:rPr>
            <w:t>生产物流服务范围</w:t>
          </w:r>
          <w:r>
            <w:tab/>
          </w:r>
          <w:r>
            <w:fldChar w:fldCharType="begin"/>
          </w:r>
          <w:r>
            <w:instrText xml:space="preserve"> PAGEREF _Toc32593 \h </w:instrText>
          </w:r>
          <w:r>
            <w:fldChar w:fldCharType="separate"/>
          </w:r>
          <w:r>
            <w:t>3</w:t>
          </w:r>
          <w:r>
            <w:fldChar w:fldCharType="end"/>
          </w:r>
          <w:r>
            <w:fldChar w:fldCharType="end"/>
          </w:r>
        </w:p>
        <w:p w14:paraId="7B6C9A71">
          <w:pPr>
            <w:pStyle w:val="10"/>
            <w:tabs>
              <w:tab w:val="right" w:leader="dot" w:pos="8548"/>
            </w:tabs>
          </w:pPr>
          <w:r>
            <w:fldChar w:fldCharType="begin"/>
          </w:r>
          <w:r>
            <w:instrText xml:space="preserve"> HYPERLINK \l "_Toc11833" </w:instrText>
          </w:r>
          <w:r>
            <w:fldChar w:fldCharType="separate"/>
          </w:r>
          <w:r>
            <w:rPr>
              <w:rFonts w:ascii="仿宋" w:hAnsi="仿宋" w:eastAsia="仿宋"/>
              <w:szCs w:val="24"/>
            </w:rPr>
            <w:t xml:space="preserve">3.2. </w:t>
          </w:r>
          <w:r>
            <w:rPr>
              <w:rFonts w:hint="eastAsia" w:ascii="仿宋" w:hAnsi="仿宋" w:eastAsia="仿宋"/>
              <w:szCs w:val="24"/>
            </w:rPr>
            <w:t>基础参数</w:t>
          </w:r>
          <w:r>
            <w:tab/>
          </w:r>
          <w:r>
            <w:fldChar w:fldCharType="begin"/>
          </w:r>
          <w:r>
            <w:instrText xml:space="preserve"> PAGEREF _Toc11833 \h </w:instrText>
          </w:r>
          <w:r>
            <w:fldChar w:fldCharType="separate"/>
          </w:r>
          <w:r>
            <w:t>4</w:t>
          </w:r>
          <w:r>
            <w:fldChar w:fldCharType="end"/>
          </w:r>
          <w:r>
            <w:fldChar w:fldCharType="end"/>
          </w:r>
        </w:p>
        <w:p w14:paraId="47935FAE">
          <w:pPr>
            <w:pStyle w:val="9"/>
            <w:tabs>
              <w:tab w:val="right" w:leader="dot" w:pos="8548"/>
              <w:tab w:val="clear" w:pos="360"/>
              <w:tab w:val="clear" w:pos="8538"/>
            </w:tabs>
          </w:pPr>
          <w:r>
            <w:fldChar w:fldCharType="begin"/>
          </w:r>
          <w:r>
            <w:instrText xml:space="preserve"> HYPERLINK \l "_Toc20249" </w:instrText>
          </w:r>
          <w:r>
            <w:fldChar w:fldCharType="separate"/>
          </w:r>
          <w:r>
            <w:rPr>
              <w:rFonts w:ascii="仿宋" w:hAnsi="仿宋" w:eastAsia="仿宋"/>
              <w:szCs w:val="24"/>
            </w:rPr>
            <w:t xml:space="preserve">4. </w:t>
          </w:r>
          <w:r>
            <w:rPr>
              <w:rFonts w:hint="eastAsia" w:ascii="仿宋" w:hAnsi="仿宋" w:eastAsia="仿宋"/>
              <w:szCs w:val="24"/>
            </w:rPr>
            <w:t>合作模式</w:t>
          </w:r>
          <w:r>
            <w:tab/>
          </w:r>
          <w:r>
            <w:fldChar w:fldCharType="begin"/>
          </w:r>
          <w:r>
            <w:instrText xml:space="preserve"> PAGEREF _Toc20249 \h </w:instrText>
          </w:r>
          <w:r>
            <w:fldChar w:fldCharType="separate"/>
          </w:r>
          <w:r>
            <w:t>5</w:t>
          </w:r>
          <w:r>
            <w:fldChar w:fldCharType="end"/>
          </w:r>
          <w:r>
            <w:fldChar w:fldCharType="end"/>
          </w:r>
        </w:p>
        <w:p w14:paraId="526B0BA6">
          <w:pPr>
            <w:pStyle w:val="10"/>
            <w:tabs>
              <w:tab w:val="right" w:leader="dot" w:pos="8548"/>
            </w:tabs>
          </w:pPr>
          <w:r>
            <w:fldChar w:fldCharType="begin"/>
          </w:r>
          <w:r>
            <w:instrText xml:space="preserve"> HYPERLINK \l "_Toc20701" </w:instrText>
          </w:r>
          <w:r>
            <w:fldChar w:fldCharType="separate"/>
          </w:r>
          <w:r>
            <w:rPr>
              <w:rFonts w:ascii="仿宋" w:hAnsi="仿宋" w:eastAsia="仿宋"/>
            </w:rPr>
            <w:t>4.1. 合同的签订事宜</w:t>
          </w:r>
          <w:r>
            <w:tab/>
          </w:r>
          <w:r>
            <w:fldChar w:fldCharType="begin"/>
          </w:r>
          <w:r>
            <w:instrText xml:space="preserve"> PAGEREF _Toc20701 \h </w:instrText>
          </w:r>
          <w:r>
            <w:fldChar w:fldCharType="separate"/>
          </w:r>
          <w:r>
            <w:t>5</w:t>
          </w:r>
          <w:r>
            <w:fldChar w:fldCharType="end"/>
          </w:r>
          <w:r>
            <w:fldChar w:fldCharType="end"/>
          </w:r>
        </w:p>
        <w:p w14:paraId="286A8487">
          <w:pPr>
            <w:pStyle w:val="10"/>
            <w:tabs>
              <w:tab w:val="right" w:leader="dot" w:pos="8548"/>
            </w:tabs>
          </w:pPr>
          <w:r>
            <w:fldChar w:fldCharType="begin"/>
          </w:r>
          <w:r>
            <w:instrText xml:space="preserve"> HYPERLINK \l "_Toc5846" </w:instrText>
          </w:r>
          <w:r>
            <w:fldChar w:fldCharType="separate"/>
          </w:r>
          <w:r>
            <w:rPr>
              <w:rFonts w:ascii="仿宋" w:hAnsi="仿宋" w:eastAsia="仿宋"/>
            </w:rPr>
            <w:t>4.2. 分期报价</w:t>
          </w:r>
          <w:r>
            <w:tab/>
          </w:r>
          <w:r>
            <w:fldChar w:fldCharType="begin"/>
          </w:r>
          <w:r>
            <w:instrText xml:space="preserve"> PAGEREF _Toc5846 \h </w:instrText>
          </w:r>
          <w:r>
            <w:fldChar w:fldCharType="separate"/>
          </w:r>
          <w:r>
            <w:t>5</w:t>
          </w:r>
          <w:r>
            <w:fldChar w:fldCharType="end"/>
          </w:r>
          <w:r>
            <w:fldChar w:fldCharType="end"/>
          </w:r>
        </w:p>
        <w:p w14:paraId="50C08BE0">
          <w:pPr>
            <w:pStyle w:val="10"/>
            <w:tabs>
              <w:tab w:val="right" w:leader="dot" w:pos="8548"/>
            </w:tabs>
          </w:pPr>
          <w:r>
            <w:fldChar w:fldCharType="begin"/>
          </w:r>
          <w:r>
            <w:instrText xml:space="preserve"> HYPERLINK \l "_Toc14794" </w:instrText>
          </w:r>
          <w:r>
            <w:fldChar w:fldCharType="separate"/>
          </w:r>
          <w:r>
            <w:rPr>
              <w:rFonts w:ascii="仿宋" w:hAnsi="仿宋" w:eastAsia="仿宋"/>
            </w:rPr>
            <w:t>4.3. 费用结算事宜</w:t>
          </w:r>
          <w:r>
            <w:tab/>
          </w:r>
          <w:r>
            <w:fldChar w:fldCharType="begin"/>
          </w:r>
          <w:r>
            <w:instrText xml:space="preserve"> PAGEREF _Toc14794 \h </w:instrText>
          </w:r>
          <w:r>
            <w:fldChar w:fldCharType="separate"/>
          </w:r>
          <w:r>
            <w:t>5</w:t>
          </w:r>
          <w:r>
            <w:fldChar w:fldCharType="end"/>
          </w:r>
          <w:r>
            <w:fldChar w:fldCharType="end"/>
          </w:r>
        </w:p>
        <w:p w14:paraId="3402C6F9">
          <w:pPr>
            <w:pStyle w:val="10"/>
            <w:tabs>
              <w:tab w:val="right" w:leader="dot" w:pos="8548"/>
            </w:tabs>
          </w:pPr>
          <w:r>
            <w:fldChar w:fldCharType="begin"/>
          </w:r>
          <w:r>
            <w:instrText xml:space="preserve"> HYPERLINK \l "_Toc11844" </w:instrText>
          </w:r>
          <w:r>
            <w:fldChar w:fldCharType="separate"/>
          </w:r>
          <w:r>
            <w:rPr>
              <w:rFonts w:ascii="仿宋" w:hAnsi="仿宋" w:eastAsia="仿宋"/>
            </w:rPr>
            <w:t>4.4. 费用支付方式</w:t>
          </w:r>
          <w:r>
            <w:tab/>
          </w:r>
          <w:r>
            <w:fldChar w:fldCharType="begin"/>
          </w:r>
          <w:r>
            <w:instrText xml:space="preserve"> PAGEREF _Toc11844 \h </w:instrText>
          </w:r>
          <w:r>
            <w:fldChar w:fldCharType="separate"/>
          </w:r>
          <w:r>
            <w:t>5</w:t>
          </w:r>
          <w:r>
            <w:fldChar w:fldCharType="end"/>
          </w:r>
          <w:r>
            <w:fldChar w:fldCharType="end"/>
          </w:r>
        </w:p>
        <w:p w14:paraId="03AB10D6">
          <w:pPr>
            <w:pStyle w:val="10"/>
            <w:tabs>
              <w:tab w:val="right" w:leader="dot" w:pos="8548"/>
            </w:tabs>
          </w:pPr>
          <w:r>
            <w:fldChar w:fldCharType="begin"/>
          </w:r>
          <w:r>
            <w:instrText xml:space="preserve"> HYPERLINK \l "_Toc17671" </w:instrText>
          </w:r>
          <w:r>
            <w:fldChar w:fldCharType="separate"/>
          </w:r>
          <w:r>
            <w:rPr>
              <w:rFonts w:ascii="仿宋" w:hAnsi="仿宋" w:eastAsia="仿宋"/>
              <w:szCs w:val="24"/>
            </w:rPr>
            <w:t xml:space="preserve">4.5. </w:t>
          </w:r>
          <w:r>
            <w:rPr>
              <w:rFonts w:hint="eastAsia" w:ascii="仿宋" w:hAnsi="仿宋" w:eastAsia="仿宋"/>
              <w:bCs/>
              <w:szCs w:val="24"/>
            </w:rPr>
            <w:t>系统、人员、场地、设备、能源事宜</w:t>
          </w:r>
          <w:r>
            <w:tab/>
          </w:r>
          <w:r>
            <w:fldChar w:fldCharType="begin"/>
          </w:r>
          <w:r>
            <w:instrText xml:space="preserve"> PAGEREF _Toc17671 \h </w:instrText>
          </w:r>
          <w:r>
            <w:fldChar w:fldCharType="separate"/>
          </w:r>
          <w:r>
            <w:t>5</w:t>
          </w:r>
          <w:r>
            <w:fldChar w:fldCharType="end"/>
          </w:r>
          <w:r>
            <w:fldChar w:fldCharType="end"/>
          </w:r>
        </w:p>
        <w:p w14:paraId="5BD903B4">
          <w:pPr>
            <w:pStyle w:val="10"/>
            <w:tabs>
              <w:tab w:val="right" w:leader="dot" w:pos="8548"/>
            </w:tabs>
          </w:pPr>
          <w:r>
            <w:fldChar w:fldCharType="begin"/>
          </w:r>
          <w:r>
            <w:instrText xml:space="preserve"> HYPERLINK \l "_Toc16285" </w:instrText>
          </w:r>
          <w:r>
            <w:fldChar w:fldCharType="separate"/>
          </w:r>
          <w:r>
            <w:rPr>
              <w:rFonts w:ascii="仿宋" w:hAnsi="仿宋" w:eastAsia="仿宋" w:cs="仿宋_GB2312"/>
              <w:kern w:val="44"/>
              <w:szCs w:val="28"/>
            </w:rPr>
            <w:t>4.6. 过失赔偿</w:t>
          </w:r>
          <w:r>
            <w:tab/>
          </w:r>
          <w:r>
            <w:fldChar w:fldCharType="begin"/>
          </w:r>
          <w:r>
            <w:instrText xml:space="preserve"> PAGEREF _Toc16285 \h </w:instrText>
          </w:r>
          <w:r>
            <w:fldChar w:fldCharType="separate"/>
          </w:r>
          <w:r>
            <w:t>10</w:t>
          </w:r>
          <w:r>
            <w:fldChar w:fldCharType="end"/>
          </w:r>
          <w:r>
            <w:fldChar w:fldCharType="end"/>
          </w:r>
        </w:p>
        <w:p w14:paraId="7E62C18F">
          <w:pPr>
            <w:pStyle w:val="9"/>
            <w:tabs>
              <w:tab w:val="right" w:leader="dot" w:pos="8548"/>
              <w:tab w:val="clear" w:pos="360"/>
              <w:tab w:val="clear" w:pos="8538"/>
            </w:tabs>
          </w:pPr>
          <w:r>
            <w:fldChar w:fldCharType="begin"/>
          </w:r>
          <w:r>
            <w:instrText xml:space="preserve"> HYPERLINK \l "_Toc234" </w:instrText>
          </w:r>
          <w:r>
            <w:fldChar w:fldCharType="separate"/>
          </w:r>
          <w:r>
            <w:rPr>
              <w:rFonts w:ascii="仿宋" w:hAnsi="仿宋" w:eastAsia="仿宋"/>
              <w:szCs w:val="24"/>
            </w:rPr>
            <w:t xml:space="preserve">5. </w:t>
          </w:r>
          <w:r>
            <w:rPr>
              <w:rFonts w:hint="eastAsia" w:ascii="仿宋" w:hAnsi="仿宋" w:eastAsia="仿宋"/>
              <w:szCs w:val="24"/>
            </w:rPr>
            <w:t>供应商资质能力审查</w:t>
          </w:r>
          <w:r>
            <w:tab/>
          </w:r>
          <w:r>
            <w:fldChar w:fldCharType="begin"/>
          </w:r>
          <w:r>
            <w:instrText xml:space="preserve"> PAGEREF _Toc234 \h </w:instrText>
          </w:r>
          <w:r>
            <w:fldChar w:fldCharType="separate"/>
          </w:r>
          <w:r>
            <w:t>11</w:t>
          </w:r>
          <w:r>
            <w:fldChar w:fldCharType="end"/>
          </w:r>
          <w:r>
            <w:fldChar w:fldCharType="end"/>
          </w:r>
        </w:p>
        <w:p w14:paraId="46C3D75A">
          <w:pPr>
            <w:pStyle w:val="10"/>
            <w:tabs>
              <w:tab w:val="right" w:leader="dot" w:pos="8548"/>
            </w:tabs>
          </w:pPr>
          <w:r>
            <w:fldChar w:fldCharType="begin"/>
          </w:r>
          <w:r>
            <w:instrText xml:space="preserve"> HYPERLINK \l "_Toc8385" </w:instrText>
          </w:r>
          <w:r>
            <w:fldChar w:fldCharType="separate"/>
          </w:r>
          <w:r>
            <w:rPr>
              <w:rFonts w:hint="eastAsia" w:ascii="仿宋" w:hAnsi="仿宋" w:eastAsia="仿宋"/>
              <w:szCs w:val="24"/>
            </w:rPr>
            <w:t>5.1供应商准入条件</w:t>
          </w:r>
          <w:r>
            <w:tab/>
          </w:r>
          <w:r>
            <w:fldChar w:fldCharType="begin"/>
          </w:r>
          <w:r>
            <w:instrText xml:space="preserve"> PAGEREF _Toc8385 \h </w:instrText>
          </w:r>
          <w:r>
            <w:fldChar w:fldCharType="separate"/>
          </w:r>
          <w:r>
            <w:t>11</w:t>
          </w:r>
          <w:r>
            <w:fldChar w:fldCharType="end"/>
          </w:r>
          <w:r>
            <w:fldChar w:fldCharType="end"/>
          </w:r>
        </w:p>
        <w:p w14:paraId="65180D63">
          <w:pPr>
            <w:pStyle w:val="10"/>
            <w:tabs>
              <w:tab w:val="right" w:leader="dot" w:pos="8548"/>
            </w:tabs>
          </w:pPr>
          <w:r>
            <w:fldChar w:fldCharType="begin"/>
          </w:r>
          <w:r>
            <w:instrText xml:space="preserve"> HYPERLINK \l "_Toc28982" </w:instrText>
          </w:r>
          <w:r>
            <w:fldChar w:fldCharType="separate"/>
          </w:r>
          <w:r>
            <w:rPr>
              <w:rFonts w:hint="eastAsia" w:ascii="仿宋" w:hAnsi="仿宋" w:eastAsia="仿宋"/>
              <w:szCs w:val="24"/>
            </w:rPr>
            <w:t>5.2为保证外包服务商公司的合格性，外包服务商公司应向我公司提供以下资料：</w:t>
          </w:r>
          <w:r>
            <w:tab/>
          </w:r>
          <w:r>
            <w:fldChar w:fldCharType="begin"/>
          </w:r>
          <w:r>
            <w:instrText xml:space="preserve"> PAGEREF _Toc28982 \h </w:instrText>
          </w:r>
          <w:r>
            <w:fldChar w:fldCharType="separate"/>
          </w:r>
          <w:r>
            <w:t>11</w:t>
          </w:r>
          <w:r>
            <w:fldChar w:fldCharType="end"/>
          </w:r>
          <w:r>
            <w:fldChar w:fldCharType="end"/>
          </w:r>
        </w:p>
        <w:p w14:paraId="7DEE093D">
          <w:pPr>
            <w:pStyle w:val="9"/>
            <w:tabs>
              <w:tab w:val="right" w:leader="dot" w:pos="8548"/>
              <w:tab w:val="clear" w:pos="360"/>
              <w:tab w:val="clear" w:pos="8538"/>
            </w:tabs>
          </w:pPr>
          <w:r>
            <w:fldChar w:fldCharType="begin"/>
          </w:r>
          <w:r>
            <w:instrText xml:space="preserve"> HYPERLINK \l "_Toc7772" </w:instrText>
          </w:r>
          <w:r>
            <w:fldChar w:fldCharType="separate"/>
          </w:r>
          <w:r>
            <w:rPr>
              <w:rFonts w:hint="eastAsia" w:ascii="仿宋" w:hAnsi="仿宋" w:eastAsia="仿宋"/>
              <w:szCs w:val="24"/>
            </w:rPr>
            <w:t>6、业务运作需求</w:t>
          </w:r>
          <w:r>
            <w:tab/>
          </w:r>
          <w:r>
            <w:fldChar w:fldCharType="begin"/>
          </w:r>
          <w:r>
            <w:instrText xml:space="preserve"> PAGEREF _Toc7772 \h </w:instrText>
          </w:r>
          <w:r>
            <w:fldChar w:fldCharType="separate"/>
          </w:r>
          <w:r>
            <w:t>12</w:t>
          </w:r>
          <w:r>
            <w:fldChar w:fldCharType="end"/>
          </w:r>
          <w:r>
            <w:fldChar w:fldCharType="end"/>
          </w:r>
        </w:p>
        <w:p w14:paraId="38A6D2AA">
          <w:pPr>
            <w:pStyle w:val="10"/>
            <w:tabs>
              <w:tab w:val="right" w:leader="dot" w:pos="8548"/>
            </w:tabs>
          </w:pPr>
          <w:r>
            <w:fldChar w:fldCharType="begin"/>
          </w:r>
          <w:r>
            <w:instrText xml:space="preserve"> HYPERLINK \l "_Toc28682" </w:instrText>
          </w:r>
          <w:r>
            <w:fldChar w:fldCharType="separate"/>
          </w:r>
          <w:r>
            <w:rPr>
              <w:rFonts w:hint="eastAsia" w:ascii="仿宋" w:hAnsi="仿宋" w:eastAsia="仿宋"/>
              <w:szCs w:val="24"/>
            </w:rPr>
            <w:t>6.1乙方人员要求</w:t>
          </w:r>
          <w:r>
            <w:tab/>
          </w:r>
          <w:r>
            <w:fldChar w:fldCharType="begin"/>
          </w:r>
          <w:r>
            <w:instrText xml:space="preserve"> PAGEREF _Toc28682 \h </w:instrText>
          </w:r>
          <w:r>
            <w:fldChar w:fldCharType="separate"/>
          </w:r>
          <w:r>
            <w:t>12</w:t>
          </w:r>
          <w:r>
            <w:fldChar w:fldCharType="end"/>
          </w:r>
          <w:r>
            <w:fldChar w:fldCharType="end"/>
          </w:r>
        </w:p>
        <w:p w14:paraId="3414DBDE">
          <w:pPr>
            <w:pStyle w:val="10"/>
            <w:tabs>
              <w:tab w:val="right" w:leader="dot" w:pos="8548"/>
            </w:tabs>
          </w:pPr>
          <w:r>
            <w:fldChar w:fldCharType="begin"/>
          </w:r>
          <w:r>
            <w:instrText xml:space="preserve"> HYPERLINK \l "_Toc4497" </w:instrText>
          </w:r>
          <w:r>
            <w:fldChar w:fldCharType="separate"/>
          </w:r>
          <w:r>
            <w:rPr>
              <w:rFonts w:ascii="仿宋" w:hAnsi="仿宋" w:eastAsia="仿宋" w:cs="仿宋_GB2312"/>
              <w:kern w:val="44"/>
            </w:rPr>
            <w:t>6.2运作体系</w:t>
          </w:r>
          <w:r>
            <w:tab/>
          </w:r>
          <w:r>
            <w:fldChar w:fldCharType="begin"/>
          </w:r>
          <w:r>
            <w:instrText xml:space="preserve"> PAGEREF _Toc4497 \h </w:instrText>
          </w:r>
          <w:r>
            <w:fldChar w:fldCharType="separate"/>
          </w:r>
          <w:r>
            <w:t>12</w:t>
          </w:r>
          <w:r>
            <w:fldChar w:fldCharType="end"/>
          </w:r>
          <w:r>
            <w:fldChar w:fldCharType="end"/>
          </w:r>
        </w:p>
        <w:p w14:paraId="513ABA29">
          <w:pPr>
            <w:pStyle w:val="10"/>
            <w:tabs>
              <w:tab w:val="right" w:leader="dot" w:pos="8548"/>
            </w:tabs>
          </w:pPr>
          <w:r>
            <w:fldChar w:fldCharType="begin"/>
          </w:r>
          <w:r>
            <w:instrText xml:space="preserve"> HYPERLINK \l "_Toc17274" </w:instrText>
          </w:r>
          <w:r>
            <w:fldChar w:fldCharType="separate"/>
          </w:r>
          <w:r>
            <w:rPr>
              <w:rFonts w:hint="eastAsia" w:ascii="仿宋" w:hAnsi="仿宋" w:eastAsia="仿宋"/>
              <w:szCs w:val="24"/>
            </w:rPr>
            <w:t>6.3系统要求</w:t>
          </w:r>
          <w:r>
            <w:tab/>
          </w:r>
          <w:r>
            <w:fldChar w:fldCharType="begin"/>
          </w:r>
          <w:r>
            <w:instrText xml:space="preserve"> PAGEREF _Toc17274 \h </w:instrText>
          </w:r>
          <w:r>
            <w:fldChar w:fldCharType="separate"/>
          </w:r>
          <w:r>
            <w:t>13</w:t>
          </w:r>
          <w:r>
            <w:fldChar w:fldCharType="end"/>
          </w:r>
          <w:r>
            <w:fldChar w:fldCharType="end"/>
          </w:r>
        </w:p>
        <w:p w14:paraId="6273B98C">
          <w:pPr>
            <w:pStyle w:val="10"/>
            <w:tabs>
              <w:tab w:val="right" w:leader="dot" w:pos="8548"/>
            </w:tabs>
          </w:pPr>
          <w:r>
            <w:fldChar w:fldCharType="begin"/>
          </w:r>
          <w:r>
            <w:instrText xml:space="preserve"> HYPERLINK \l "_Toc7094" </w:instrText>
          </w:r>
          <w:r>
            <w:fldChar w:fldCharType="separate"/>
          </w:r>
          <w:r>
            <w:rPr>
              <w:rFonts w:hint="eastAsia" w:ascii="仿宋" w:hAnsi="仿宋" w:eastAsia="仿宋"/>
              <w:szCs w:val="24"/>
            </w:rPr>
            <w:t>6.4</w:t>
          </w:r>
          <w:r>
            <w:rPr>
              <w:rFonts w:hint="eastAsia" w:ascii="仿宋" w:hAnsi="仿宋" w:eastAsia="仿宋" w:cs="仿宋_GB2312"/>
              <w:kern w:val="44"/>
            </w:rPr>
            <w:t>场地/设备要求及资产权属</w:t>
          </w:r>
          <w:r>
            <w:tab/>
          </w:r>
          <w:r>
            <w:fldChar w:fldCharType="begin"/>
          </w:r>
          <w:r>
            <w:instrText xml:space="preserve"> PAGEREF _Toc7094 \h </w:instrText>
          </w:r>
          <w:r>
            <w:fldChar w:fldCharType="separate"/>
          </w:r>
          <w:r>
            <w:t>13</w:t>
          </w:r>
          <w:r>
            <w:fldChar w:fldCharType="end"/>
          </w:r>
          <w:r>
            <w:fldChar w:fldCharType="end"/>
          </w:r>
        </w:p>
        <w:p w14:paraId="186EA97A">
          <w:pPr>
            <w:pStyle w:val="10"/>
            <w:tabs>
              <w:tab w:val="right" w:leader="dot" w:pos="8548"/>
            </w:tabs>
          </w:pPr>
          <w:r>
            <w:fldChar w:fldCharType="begin"/>
          </w:r>
          <w:r>
            <w:instrText xml:space="preserve"> HYPERLINK \l "_Toc29899" </w:instrText>
          </w:r>
          <w:r>
            <w:fldChar w:fldCharType="separate"/>
          </w:r>
          <w:r>
            <w:rPr>
              <w:rFonts w:hint="eastAsia" w:ascii="仿宋" w:hAnsi="仿宋" w:eastAsia="仿宋"/>
              <w:szCs w:val="24"/>
            </w:rPr>
            <w:t>6.5账实管理</w:t>
          </w:r>
          <w:r>
            <w:tab/>
          </w:r>
          <w:r>
            <w:fldChar w:fldCharType="begin"/>
          </w:r>
          <w:r>
            <w:instrText xml:space="preserve"> PAGEREF _Toc29899 \h </w:instrText>
          </w:r>
          <w:r>
            <w:fldChar w:fldCharType="separate"/>
          </w:r>
          <w:r>
            <w:t>14</w:t>
          </w:r>
          <w:r>
            <w:fldChar w:fldCharType="end"/>
          </w:r>
          <w:r>
            <w:fldChar w:fldCharType="end"/>
          </w:r>
        </w:p>
        <w:p w14:paraId="0423F836">
          <w:pPr>
            <w:pStyle w:val="10"/>
            <w:tabs>
              <w:tab w:val="right" w:leader="dot" w:pos="8548"/>
            </w:tabs>
          </w:pPr>
          <w:r>
            <w:fldChar w:fldCharType="begin"/>
          </w:r>
          <w:r>
            <w:instrText xml:space="preserve"> HYPERLINK \l "_Toc285" </w:instrText>
          </w:r>
          <w:r>
            <w:fldChar w:fldCharType="separate"/>
          </w:r>
          <w:r>
            <w:rPr>
              <w:rFonts w:hint="eastAsia" w:ascii="仿宋" w:hAnsi="仿宋" w:eastAsia="仿宋"/>
              <w:szCs w:val="24"/>
            </w:rPr>
            <w:t>6.6现场运作管理</w:t>
          </w:r>
          <w:r>
            <w:tab/>
          </w:r>
          <w:r>
            <w:fldChar w:fldCharType="begin"/>
          </w:r>
          <w:r>
            <w:instrText xml:space="preserve"> PAGEREF _Toc285 \h </w:instrText>
          </w:r>
          <w:r>
            <w:fldChar w:fldCharType="separate"/>
          </w:r>
          <w:r>
            <w:t>14</w:t>
          </w:r>
          <w:r>
            <w:fldChar w:fldCharType="end"/>
          </w:r>
          <w:r>
            <w:fldChar w:fldCharType="end"/>
          </w:r>
        </w:p>
        <w:p w14:paraId="0B6A0B91">
          <w:pPr>
            <w:pStyle w:val="10"/>
            <w:tabs>
              <w:tab w:val="right" w:leader="dot" w:pos="8548"/>
            </w:tabs>
          </w:pPr>
          <w:r>
            <w:fldChar w:fldCharType="begin"/>
          </w:r>
          <w:r>
            <w:instrText xml:space="preserve"> HYPERLINK \l "_Toc7844" </w:instrText>
          </w:r>
          <w:r>
            <w:fldChar w:fldCharType="separate"/>
          </w:r>
          <w:r>
            <w:rPr>
              <w:rFonts w:hint="eastAsia" w:ascii="仿宋" w:hAnsi="仿宋" w:eastAsia="仿宋"/>
              <w:szCs w:val="24"/>
            </w:rPr>
            <w:t>6.7盛具管理</w:t>
          </w:r>
          <w:r>
            <w:tab/>
          </w:r>
          <w:r>
            <w:fldChar w:fldCharType="begin"/>
          </w:r>
          <w:r>
            <w:instrText xml:space="preserve"> PAGEREF _Toc7844 \h </w:instrText>
          </w:r>
          <w:r>
            <w:fldChar w:fldCharType="separate"/>
          </w:r>
          <w:r>
            <w:t>19</w:t>
          </w:r>
          <w:r>
            <w:fldChar w:fldCharType="end"/>
          </w:r>
          <w:r>
            <w:fldChar w:fldCharType="end"/>
          </w:r>
        </w:p>
        <w:p w14:paraId="1CC1F507">
          <w:pPr>
            <w:pStyle w:val="10"/>
            <w:tabs>
              <w:tab w:val="right" w:leader="dot" w:pos="8548"/>
            </w:tabs>
          </w:pPr>
          <w:r>
            <w:fldChar w:fldCharType="begin"/>
          </w:r>
          <w:r>
            <w:instrText xml:space="preserve"> HYPERLINK \l "_Toc8964" </w:instrText>
          </w:r>
          <w:r>
            <w:fldChar w:fldCharType="separate"/>
          </w:r>
          <w:r>
            <w:rPr>
              <w:rFonts w:hint="eastAsia" w:ascii="仿宋" w:hAnsi="仿宋" w:eastAsia="仿宋"/>
              <w:szCs w:val="24"/>
            </w:rPr>
            <w:t>6.8异常紧急情况处理</w:t>
          </w:r>
          <w:r>
            <w:tab/>
          </w:r>
          <w:r>
            <w:fldChar w:fldCharType="begin"/>
          </w:r>
          <w:r>
            <w:instrText xml:space="preserve"> PAGEREF _Toc8964 \h </w:instrText>
          </w:r>
          <w:r>
            <w:fldChar w:fldCharType="separate"/>
          </w:r>
          <w:r>
            <w:t>19</w:t>
          </w:r>
          <w:r>
            <w:fldChar w:fldCharType="end"/>
          </w:r>
          <w:r>
            <w:fldChar w:fldCharType="end"/>
          </w:r>
        </w:p>
        <w:p w14:paraId="725C82BE">
          <w:pPr>
            <w:pStyle w:val="10"/>
            <w:tabs>
              <w:tab w:val="right" w:leader="dot" w:pos="8548"/>
            </w:tabs>
          </w:pPr>
          <w:r>
            <w:fldChar w:fldCharType="begin"/>
          </w:r>
          <w:r>
            <w:instrText xml:space="preserve"> HYPERLINK \l "_Toc20918" </w:instrText>
          </w:r>
          <w:r>
            <w:fldChar w:fldCharType="separate"/>
          </w:r>
          <w:r>
            <w:rPr>
              <w:rFonts w:hint="eastAsia" w:ascii="仿宋" w:hAnsi="仿宋" w:eastAsia="仿宋"/>
              <w:szCs w:val="24"/>
            </w:rPr>
            <w:t>6.9物流安全管理</w:t>
          </w:r>
          <w:r>
            <w:tab/>
          </w:r>
          <w:r>
            <w:fldChar w:fldCharType="begin"/>
          </w:r>
          <w:r>
            <w:instrText xml:space="preserve"> PAGEREF _Toc20918 \h </w:instrText>
          </w:r>
          <w:r>
            <w:fldChar w:fldCharType="separate"/>
          </w:r>
          <w:r>
            <w:t>20</w:t>
          </w:r>
          <w:r>
            <w:fldChar w:fldCharType="end"/>
          </w:r>
          <w:r>
            <w:fldChar w:fldCharType="end"/>
          </w:r>
        </w:p>
        <w:p w14:paraId="652EF0A8">
          <w:pPr>
            <w:pStyle w:val="10"/>
            <w:tabs>
              <w:tab w:val="right" w:leader="dot" w:pos="8548"/>
            </w:tabs>
          </w:pPr>
          <w:r>
            <w:fldChar w:fldCharType="begin"/>
          </w:r>
          <w:r>
            <w:instrText xml:space="preserve"> HYPERLINK \l "_Toc23070" </w:instrText>
          </w:r>
          <w:r>
            <w:fldChar w:fldCharType="separate"/>
          </w:r>
          <w:r>
            <w:rPr>
              <w:rFonts w:ascii="仿宋" w:hAnsi="仿宋" w:eastAsia="仿宋" w:cs="仿宋_GB2312"/>
              <w:kern w:val="44"/>
            </w:rPr>
            <w:t>6.10 废弃物处理</w:t>
          </w:r>
          <w:r>
            <w:tab/>
          </w:r>
          <w:r>
            <w:fldChar w:fldCharType="begin"/>
          </w:r>
          <w:r>
            <w:instrText xml:space="preserve"> PAGEREF _Toc23070 \h </w:instrText>
          </w:r>
          <w:r>
            <w:fldChar w:fldCharType="separate"/>
          </w:r>
          <w:r>
            <w:t>20</w:t>
          </w:r>
          <w:r>
            <w:fldChar w:fldCharType="end"/>
          </w:r>
          <w:r>
            <w:fldChar w:fldCharType="end"/>
          </w:r>
        </w:p>
        <w:p w14:paraId="136A3B4D">
          <w:pPr>
            <w:pStyle w:val="10"/>
            <w:tabs>
              <w:tab w:val="right" w:leader="dot" w:pos="8548"/>
            </w:tabs>
          </w:pPr>
          <w:r>
            <w:fldChar w:fldCharType="begin"/>
          </w:r>
          <w:r>
            <w:instrText xml:space="preserve"> HYPERLINK \l "_Toc27553" </w:instrText>
          </w:r>
          <w:r>
            <w:fldChar w:fldCharType="separate"/>
          </w:r>
          <w:r>
            <w:rPr>
              <w:rFonts w:hint="eastAsia" w:ascii="仿宋" w:hAnsi="仿宋" w:eastAsia="仿宋"/>
              <w:szCs w:val="24"/>
            </w:rPr>
            <w:t>6.11 退出机制</w:t>
          </w:r>
          <w:r>
            <w:tab/>
          </w:r>
          <w:r>
            <w:fldChar w:fldCharType="begin"/>
          </w:r>
          <w:r>
            <w:instrText xml:space="preserve"> PAGEREF _Toc27553 \h </w:instrText>
          </w:r>
          <w:r>
            <w:fldChar w:fldCharType="separate"/>
          </w:r>
          <w:r>
            <w:t>21</w:t>
          </w:r>
          <w:r>
            <w:fldChar w:fldCharType="end"/>
          </w:r>
          <w:r>
            <w:fldChar w:fldCharType="end"/>
          </w:r>
        </w:p>
        <w:p w14:paraId="359FBB0E">
          <w:pPr>
            <w:pStyle w:val="9"/>
            <w:tabs>
              <w:tab w:val="right" w:leader="dot" w:pos="8548"/>
              <w:tab w:val="clear" w:pos="360"/>
              <w:tab w:val="clear" w:pos="8538"/>
            </w:tabs>
          </w:pPr>
          <w:r>
            <w:fldChar w:fldCharType="begin"/>
          </w:r>
          <w:r>
            <w:instrText xml:space="preserve"> HYPERLINK \l "_Toc15957" </w:instrText>
          </w:r>
          <w:r>
            <w:fldChar w:fldCharType="separate"/>
          </w:r>
          <w:r>
            <w:rPr>
              <w:rFonts w:hint="eastAsia" w:ascii="仿宋" w:hAnsi="仿宋" w:eastAsia="仿宋"/>
              <w:szCs w:val="24"/>
            </w:rPr>
            <w:t>7、KPI考核</w:t>
          </w:r>
          <w:r>
            <w:tab/>
          </w:r>
          <w:r>
            <w:fldChar w:fldCharType="begin"/>
          </w:r>
          <w:r>
            <w:instrText xml:space="preserve"> PAGEREF _Toc15957 \h </w:instrText>
          </w:r>
          <w:r>
            <w:fldChar w:fldCharType="separate"/>
          </w:r>
          <w:r>
            <w:t>21</w:t>
          </w:r>
          <w:r>
            <w:fldChar w:fldCharType="end"/>
          </w:r>
          <w:r>
            <w:fldChar w:fldCharType="end"/>
          </w:r>
        </w:p>
        <w:p w14:paraId="63BEEA8D">
          <w:pPr>
            <w:pStyle w:val="9"/>
            <w:tabs>
              <w:tab w:val="right" w:leader="dot" w:pos="8548"/>
              <w:tab w:val="clear" w:pos="360"/>
              <w:tab w:val="clear" w:pos="8538"/>
            </w:tabs>
          </w:pPr>
          <w:r>
            <w:fldChar w:fldCharType="begin"/>
          </w:r>
          <w:r>
            <w:instrText xml:space="preserve"> HYPERLINK \l "_Toc23085" </w:instrText>
          </w:r>
          <w:r>
            <w:fldChar w:fldCharType="separate"/>
          </w:r>
          <w:r>
            <w:rPr>
              <w:rFonts w:hint="eastAsia" w:ascii="仿宋" w:hAnsi="仿宋" w:eastAsia="仿宋"/>
              <w:szCs w:val="24"/>
            </w:rPr>
            <w:t>8、知识产权及保密</w:t>
          </w:r>
          <w:r>
            <w:tab/>
          </w:r>
          <w:r>
            <w:fldChar w:fldCharType="begin"/>
          </w:r>
          <w:r>
            <w:instrText xml:space="preserve"> PAGEREF _Toc23085 \h </w:instrText>
          </w:r>
          <w:r>
            <w:fldChar w:fldCharType="separate"/>
          </w:r>
          <w:r>
            <w:t>21</w:t>
          </w:r>
          <w:r>
            <w:fldChar w:fldCharType="end"/>
          </w:r>
          <w:r>
            <w:fldChar w:fldCharType="end"/>
          </w:r>
        </w:p>
        <w:p w14:paraId="1DD13418">
          <w:pPr>
            <w:spacing w:line="360" w:lineRule="auto"/>
            <w:rPr>
              <w:rFonts w:ascii="仿宋" w:hAnsi="仿宋" w:eastAsia="仿宋"/>
              <w:szCs w:val="24"/>
              <w:lang w:val="zh-CN"/>
            </w:rPr>
          </w:pPr>
          <w:r>
            <w:rPr>
              <w:rFonts w:ascii="仿宋" w:hAnsi="仿宋" w:eastAsia="仿宋"/>
              <w:szCs w:val="24"/>
              <w:lang w:val="zh-CN"/>
            </w:rPr>
            <w:fldChar w:fldCharType="end"/>
          </w:r>
        </w:p>
      </w:sdtContent>
    </w:sdt>
    <w:p w14:paraId="1350567B">
      <w:pPr>
        <w:spacing w:line="360" w:lineRule="auto"/>
        <w:rPr>
          <w:rFonts w:ascii="仿宋" w:hAnsi="仿宋" w:eastAsia="仿宋"/>
          <w:szCs w:val="24"/>
          <w:lang w:val="zh-CN"/>
        </w:rPr>
      </w:pPr>
    </w:p>
    <w:p w14:paraId="4A217830">
      <w:pPr>
        <w:spacing w:line="360" w:lineRule="auto"/>
        <w:rPr>
          <w:rFonts w:ascii="仿宋" w:hAnsi="仿宋" w:eastAsia="仿宋"/>
          <w:sz w:val="24"/>
          <w:szCs w:val="24"/>
          <w:lang w:val="zh-CN"/>
        </w:rPr>
      </w:pPr>
    </w:p>
    <w:p w14:paraId="2E33E361">
      <w:pPr>
        <w:spacing w:line="360" w:lineRule="auto"/>
        <w:rPr>
          <w:rFonts w:ascii="仿宋" w:hAnsi="仿宋" w:eastAsia="仿宋"/>
          <w:sz w:val="24"/>
          <w:szCs w:val="24"/>
          <w:lang w:val="zh-CN"/>
        </w:rPr>
      </w:pPr>
    </w:p>
    <w:p w14:paraId="14F7A5A6">
      <w:pPr>
        <w:spacing w:line="360" w:lineRule="auto"/>
        <w:rPr>
          <w:rFonts w:ascii="仿宋" w:hAnsi="仿宋" w:eastAsia="仿宋"/>
          <w:sz w:val="24"/>
          <w:szCs w:val="24"/>
          <w:lang w:val="zh-CN"/>
        </w:rPr>
      </w:pPr>
    </w:p>
    <w:p w14:paraId="5A41E4AF">
      <w:pPr>
        <w:spacing w:line="360" w:lineRule="auto"/>
        <w:rPr>
          <w:rFonts w:ascii="仿宋" w:hAnsi="仿宋" w:eastAsia="仿宋"/>
          <w:sz w:val="24"/>
          <w:szCs w:val="24"/>
          <w:lang w:val="zh-CN"/>
        </w:rPr>
      </w:pPr>
    </w:p>
    <w:p w14:paraId="337C1E2E">
      <w:pPr>
        <w:spacing w:line="360" w:lineRule="auto"/>
        <w:rPr>
          <w:rFonts w:ascii="仿宋" w:hAnsi="仿宋" w:eastAsia="仿宋"/>
          <w:sz w:val="24"/>
          <w:szCs w:val="24"/>
          <w:lang w:val="zh-CN"/>
        </w:rPr>
      </w:pPr>
    </w:p>
    <w:p w14:paraId="7C3D6A25">
      <w:pPr>
        <w:spacing w:line="360" w:lineRule="auto"/>
        <w:rPr>
          <w:rFonts w:ascii="仿宋" w:hAnsi="仿宋" w:eastAsia="仿宋"/>
          <w:sz w:val="24"/>
          <w:szCs w:val="24"/>
          <w:lang w:val="zh-CN"/>
        </w:rPr>
      </w:pPr>
    </w:p>
    <w:p w14:paraId="33CDC4BD">
      <w:pPr>
        <w:spacing w:line="360" w:lineRule="auto"/>
        <w:rPr>
          <w:rFonts w:ascii="仿宋" w:hAnsi="仿宋" w:eastAsia="仿宋"/>
          <w:sz w:val="24"/>
          <w:szCs w:val="24"/>
          <w:lang w:val="zh-CN"/>
        </w:rPr>
      </w:pPr>
    </w:p>
    <w:p w14:paraId="19831BDE">
      <w:pPr>
        <w:pStyle w:val="19"/>
        <w:numPr>
          <w:ilvl w:val="0"/>
          <w:numId w:val="1"/>
        </w:numPr>
        <w:spacing w:line="360" w:lineRule="auto"/>
        <w:ind w:firstLineChars="0"/>
        <w:jc w:val="left"/>
        <w:outlineLvl w:val="0"/>
        <w:rPr>
          <w:rFonts w:ascii="仿宋" w:hAnsi="仿宋" w:eastAsia="仿宋"/>
          <w:b/>
          <w:sz w:val="24"/>
          <w:szCs w:val="24"/>
        </w:rPr>
      </w:pPr>
      <w:bookmarkStart w:id="0" w:name="_Toc13191"/>
      <w:r>
        <w:rPr>
          <w:rFonts w:hint="eastAsia" w:ascii="仿宋" w:hAnsi="仿宋" w:eastAsia="仿宋"/>
          <w:b/>
          <w:sz w:val="24"/>
          <w:szCs w:val="24"/>
        </w:rPr>
        <w:t>目的</w:t>
      </w:r>
      <w:bookmarkEnd w:id="0"/>
    </w:p>
    <w:p w14:paraId="37E84F79">
      <w:pPr>
        <w:spacing w:line="360" w:lineRule="auto"/>
        <w:ind w:firstLine="480" w:firstLineChars="200"/>
        <w:rPr>
          <w:rFonts w:ascii="仿宋" w:hAnsi="仿宋" w:eastAsia="仿宋"/>
          <w:sz w:val="24"/>
          <w:szCs w:val="24"/>
        </w:rPr>
      </w:pPr>
      <w:r>
        <w:rPr>
          <w:rFonts w:hint="eastAsia" w:ascii="仿宋" w:hAnsi="仿宋" w:eastAsia="仿宋"/>
          <w:sz w:val="24"/>
          <w:szCs w:val="24"/>
        </w:rPr>
        <w:t>本任务书适用于本公司对生产物流运作包含且不限于配送中心（以下简称</w:t>
      </w:r>
      <w:r>
        <w:rPr>
          <w:rFonts w:ascii="仿宋" w:hAnsi="仿宋" w:eastAsia="仿宋"/>
          <w:sz w:val="24"/>
          <w:szCs w:val="24"/>
        </w:rPr>
        <w:t>LOC）</w:t>
      </w:r>
      <w:r>
        <w:rPr>
          <w:rFonts w:hint="eastAsia" w:ascii="仿宋" w:hAnsi="仿宋" w:eastAsia="仿宋"/>
          <w:sz w:val="24"/>
          <w:szCs w:val="24"/>
        </w:rPr>
        <w:t>、焊装钣金物流库房(以下简称焊接仓储库房)、总装物流库房(以下简称总装仓储库房)和第三方物流公司(以下简称外包服务商)进行商务谈判前使用。旨在让参与企业了解本公司生产物流业务外包的范围以及对物流公司的要求，物流公司以此为参考，参与本公司的物流商务谈判工作。文中甲方代表重汽（重庆）轻型汽车有限公司，乙方代表物流供应商，即中标方。)</w:t>
      </w:r>
    </w:p>
    <w:p w14:paraId="33CCA32B">
      <w:pPr>
        <w:pStyle w:val="19"/>
        <w:numPr>
          <w:ilvl w:val="0"/>
          <w:numId w:val="1"/>
        </w:numPr>
        <w:spacing w:line="360" w:lineRule="auto"/>
        <w:ind w:firstLineChars="0"/>
        <w:jc w:val="left"/>
        <w:outlineLvl w:val="0"/>
        <w:rPr>
          <w:rFonts w:ascii="仿宋" w:hAnsi="仿宋" w:eastAsia="仿宋"/>
          <w:b/>
          <w:sz w:val="24"/>
          <w:szCs w:val="24"/>
        </w:rPr>
      </w:pPr>
      <w:bookmarkStart w:id="1" w:name="_Toc407115412"/>
      <w:bookmarkStart w:id="2" w:name="_Toc407116927"/>
      <w:bookmarkStart w:id="3" w:name="_Toc407117164"/>
      <w:bookmarkStart w:id="4" w:name="_Toc407305763"/>
      <w:bookmarkStart w:id="5" w:name="_Toc7173"/>
      <w:bookmarkStart w:id="6" w:name="_Toc433101452"/>
      <w:r>
        <w:rPr>
          <w:rFonts w:hint="eastAsia" w:ascii="仿宋" w:hAnsi="仿宋" w:eastAsia="仿宋"/>
          <w:b/>
          <w:sz w:val="24"/>
          <w:szCs w:val="24"/>
        </w:rPr>
        <w:t>概述</w:t>
      </w:r>
      <w:bookmarkEnd w:id="1"/>
      <w:bookmarkEnd w:id="2"/>
      <w:bookmarkEnd w:id="3"/>
      <w:bookmarkEnd w:id="4"/>
      <w:bookmarkEnd w:id="5"/>
      <w:bookmarkEnd w:id="6"/>
    </w:p>
    <w:p w14:paraId="2EBE2224">
      <w:pPr>
        <w:spacing w:line="360" w:lineRule="auto"/>
        <w:ind w:firstLine="480" w:firstLineChars="200"/>
        <w:rPr>
          <w:rFonts w:ascii="仿宋" w:hAnsi="仿宋" w:eastAsia="仿宋"/>
          <w:sz w:val="24"/>
          <w:szCs w:val="24"/>
        </w:rPr>
      </w:pPr>
      <w:r>
        <w:rPr>
          <w:rFonts w:hint="eastAsia" w:ascii="仿宋" w:hAnsi="仿宋" w:eastAsia="仿宋"/>
          <w:sz w:val="24"/>
          <w:szCs w:val="24"/>
        </w:rPr>
        <w:t>甲方基地占地1280亩，位于重庆市江津区双福工业园</w:t>
      </w:r>
      <w:r>
        <w:rPr>
          <w:rFonts w:ascii="仿宋" w:hAnsi="仿宋" w:eastAsia="仿宋"/>
          <w:sz w:val="24"/>
          <w:szCs w:val="24"/>
        </w:rPr>
        <w:t>，</w:t>
      </w:r>
      <w:r>
        <w:rPr>
          <w:rFonts w:hint="eastAsia" w:ascii="仿宋" w:hAnsi="仿宋" w:eastAsia="仿宋"/>
          <w:sz w:val="24"/>
          <w:szCs w:val="24"/>
        </w:rPr>
        <w:t>距重庆外环高速双福入口2KM，</w:t>
      </w:r>
      <w:r>
        <w:rPr>
          <w:rFonts w:ascii="仿宋" w:hAnsi="仿宋" w:eastAsia="仿宋"/>
          <w:sz w:val="24"/>
          <w:szCs w:val="24"/>
        </w:rPr>
        <w:t>交通便利。</w:t>
      </w:r>
      <w:r>
        <w:rPr>
          <w:rFonts w:hint="eastAsia" w:ascii="仿宋" w:hAnsi="仿宋" w:eastAsia="仿宋"/>
          <w:sz w:val="24"/>
          <w:szCs w:val="24"/>
        </w:rPr>
        <w:t>基地项目建设包含冲压、焊装、涂装、总装四大工艺，生产物流场地包括占地面积 3840㎡的焊接仓储库房，占地面积4320㎡总装仓储库房、占地面积1920㎡的总装西侧雨棚、占地面积12000㎡LOC配送中心以及占地面积为2000㎡的硬化场地，生产车型为目前主要为已经量产的SUV车型平台系列、VAN车型平台系列，后续投入中临近量产的大型皮卡项目。甲方为能专注于整车的精益生产，拟将其焊接、涂装、总装物料的厂内物流运作管理（收、发、存、退，以及物料按计划、排序、物流配送等）、账实管理、盛具管理、不良品管理、零星领料等在内的物流服务外包给乙方。</w:t>
      </w:r>
    </w:p>
    <w:p w14:paraId="3E9A3D9B">
      <w:pPr>
        <w:spacing w:line="360" w:lineRule="auto"/>
        <w:ind w:firstLine="480" w:firstLineChars="200"/>
        <w:rPr>
          <w:rFonts w:ascii="仿宋" w:hAnsi="仿宋" w:eastAsia="仿宋"/>
          <w:sz w:val="24"/>
          <w:szCs w:val="24"/>
        </w:rPr>
      </w:pPr>
      <w:r>
        <w:rPr>
          <w:rFonts w:hint="eastAsia" w:ascii="仿宋" w:hAnsi="仿宋" w:eastAsia="仿宋"/>
          <w:sz w:val="24"/>
          <w:szCs w:val="24"/>
        </w:rPr>
        <w:t>甲方提供用于物流运作的物流场地（占地面积 3840㎡的焊接仓储库房，占地面积4320㎡总装仓储库房、占地面积1920㎡的总装西侧雨棚、占地面积12000㎡LOC配送中心以及占地面积为2000㎡的硬化场地）给乙方运作。</w:t>
      </w:r>
    </w:p>
    <w:p w14:paraId="01654AC2">
      <w:pPr>
        <w:pStyle w:val="19"/>
        <w:numPr>
          <w:ilvl w:val="0"/>
          <w:numId w:val="1"/>
        </w:numPr>
        <w:spacing w:line="360" w:lineRule="auto"/>
        <w:ind w:firstLineChars="0"/>
        <w:jc w:val="left"/>
        <w:outlineLvl w:val="0"/>
        <w:rPr>
          <w:rFonts w:ascii="仿宋" w:hAnsi="仿宋" w:eastAsia="仿宋"/>
          <w:b/>
          <w:sz w:val="24"/>
          <w:szCs w:val="24"/>
        </w:rPr>
      </w:pPr>
      <w:bookmarkStart w:id="7" w:name="_Toc16476"/>
      <w:r>
        <w:rPr>
          <w:rFonts w:hint="eastAsia" w:ascii="仿宋" w:hAnsi="仿宋" w:eastAsia="仿宋"/>
          <w:b/>
          <w:sz w:val="24"/>
          <w:szCs w:val="24"/>
        </w:rPr>
        <w:t>报价基础信息</w:t>
      </w:r>
      <w:bookmarkEnd w:id="7"/>
    </w:p>
    <w:p w14:paraId="21699A8E">
      <w:pPr>
        <w:numPr>
          <w:ilvl w:val="1"/>
          <w:numId w:val="1"/>
        </w:numPr>
        <w:spacing w:line="360" w:lineRule="auto"/>
        <w:outlineLvl w:val="1"/>
        <w:rPr>
          <w:rFonts w:ascii="仿宋" w:hAnsi="仿宋" w:eastAsia="仿宋"/>
          <w:sz w:val="24"/>
          <w:szCs w:val="24"/>
        </w:rPr>
      </w:pPr>
      <w:bookmarkStart w:id="8" w:name="_Toc32593"/>
      <w:r>
        <w:rPr>
          <w:rFonts w:hint="eastAsia" w:ascii="仿宋" w:hAnsi="仿宋" w:eastAsia="仿宋"/>
          <w:sz w:val="24"/>
          <w:szCs w:val="24"/>
        </w:rPr>
        <w:t>生产物流服务范围</w:t>
      </w:r>
      <w:bookmarkEnd w:id="8"/>
    </w:p>
    <w:p w14:paraId="54B74CF6">
      <w:pPr>
        <w:spacing w:line="360" w:lineRule="auto"/>
        <w:rPr>
          <w:rFonts w:ascii="仿宋" w:hAnsi="仿宋" w:eastAsia="仿宋"/>
          <w:sz w:val="24"/>
          <w:szCs w:val="24"/>
        </w:rPr>
      </w:pPr>
      <w:r>
        <w:rPr>
          <w:rFonts w:hint="eastAsia" w:ascii="仿宋" w:hAnsi="仿宋" w:eastAsia="仿宋"/>
          <w:sz w:val="24"/>
          <w:szCs w:val="24"/>
        </w:rPr>
        <w:t>3.1.1焊装物流运作管理:除冲压自制件（见3.3基础参数）以外的焊接车身零部件的从供应商送货至我厂焊装物流入口开始的卸货（零部件具备叉车卸货）、收货、报检、入库、翻包、拣货、仓储和出入库扫描及相关信息系统操作、配送至焊装各工位交接、线边巡线、线边空盛具返回、线边不良品回收、供应商盛具回收整理和返厂装卸的整个物流活动的业务具体操作、物料计划、SAP系统账实管理、盛具管理、不良品管理、盘点管理、现场5S管理、单证管理、逆向物流等在内的物流服务。</w:t>
      </w:r>
    </w:p>
    <w:p w14:paraId="5571282C">
      <w:pPr>
        <w:spacing w:line="360" w:lineRule="auto"/>
        <w:rPr>
          <w:rFonts w:ascii="仿宋" w:hAnsi="仿宋" w:eastAsia="仿宋"/>
          <w:sz w:val="24"/>
          <w:szCs w:val="24"/>
        </w:rPr>
      </w:pPr>
      <w:r>
        <w:rPr>
          <w:rFonts w:hint="eastAsia" w:ascii="仿宋" w:hAnsi="仿宋" w:eastAsia="仿宋"/>
          <w:sz w:val="24"/>
          <w:szCs w:val="24"/>
        </w:rPr>
        <w:t>3.1.2总装物流（含LOC配送中心）运作管理: 从供应商送货至我厂总装物流入口开始的卸货（零部件具备叉车卸货和标准盛具）、收货、报检、入库、翻包、拣货、仓储和出入库扫描相关信息系统、零部件配送和回收周转、配送至总装各工位、线边巡线、线边空盛具返回、线边不良品回收、线边循环工装及专用零部件的厂内周转、供应商盛具和循环盛具回收整理、返厂（库）装卸的整个物流活动的业务具体操作、物料计划、SAP系统账实管理、WMS仓储管理、盛具管理、不良品管理、现场5S管理、单证管理、逆向物流等在内的物流服务。</w:t>
      </w:r>
    </w:p>
    <w:p w14:paraId="6D55BC14">
      <w:pPr>
        <w:spacing w:line="360" w:lineRule="auto"/>
        <w:rPr>
          <w:rFonts w:ascii="仿宋" w:hAnsi="仿宋" w:eastAsia="仿宋"/>
          <w:sz w:val="24"/>
          <w:szCs w:val="24"/>
        </w:rPr>
      </w:pPr>
      <w:r>
        <w:rPr>
          <w:rFonts w:hint="eastAsia" w:ascii="仿宋" w:hAnsi="仿宋" w:eastAsia="仿宋"/>
          <w:sz w:val="24"/>
          <w:szCs w:val="24"/>
        </w:rPr>
        <w:t>3.1.3辅料运作管理：负责焊、涂、总从供应商送货至我厂焊装物流入口开始的卸货（零部件具备叉车卸货）、收货、报检、入库、翻包、拣货、仓储和出入库扫描及相关信息系统操作、配送至各车间需求工位交接、线边巡线、线边空盛具返回、线边不良品回收、供应商盛具回收整理和返厂装卸的整个物流活动的业务具体操作、物料计划、SAP系统账实管理、盛具管理、不良品管理、盘点管理、现场5S管理、单证管理、逆向物流等在内的物流服务，涉及新车型或新开发辅料的物流管理。</w:t>
      </w:r>
    </w:p>
    <w:p w14:paraId="4D91FF42">
      <w:pPr>
        <w:spacing w:line="360" w:lineRule="auto"/>
        <w:outlineLvl w:val="2"/>
        <w:rPr>
          <w:rFonts w:ascii="仿宋" w:hAnsi="仿宋" w:eastAsia="仿宋"/>
          <w:sz w:val="24"/>
          <w:szCs w:val="24"/>
        </w:rPr>
      </w:pPr>
      <w:r>
        <w:rPr>
          <w:rFonts w:hint="eastAsia" w:ascii="仿宋" w:hAnsi="仿宋" w:eastAsia="仿宋"/>
          <w:sz w:val="24"/>
          <w:szCs w:val="24"/>
        </w:rPr>
        <w:t>3.1.4新能源电池仓储配送服务：新能源电池厂外仓储及配送服务，负责新能源电池的厂外仓储和日常管理，根据装车计划进行运输、配送。</w:t>
      </w:r>
    </w:p>
    <w:p w14:paraId="4E3FAC57">
      <w:pPr>
        <w:spacing w:line="360" w:lineRule="auto"/>
        <w:rPr>
          <w:rFonts w:ascii="仿宋" w:hAnsi="仿宋" w:eastAsia="仿宋"/>
          <w:sz w:val="24"/>
          <w:szCs w:val="24"/>
        </w:rPr>
      </w:pPr>
      <w:r>
        <w:rPr>
          <w:rFonts w:hint="eastAsia" w:ascii="仿宋" w:hAnsi="仿宋" w:eastAsia="仿宋"/>
          <w:sz w:val="24"/>
          <w:szCs w:val="24"/>
        </w:rPr>
        <w:t>3.1.5 VMI管理物流服务：随着业务的发展，合同期内，外包服务商存在甲方的监督下开展VMI模式的管理，由乙方对VMI模式的零部件供应商进行VMI物流服务，即乙方直接向VMI供货模式的零部件供应商签定物流服务合同，并收取仓储费用和运作服务费用；VMI运营方案、仓储费用和运作费用费率、合同必须经甲方采购部、制造部审批后方可签定执行。</w:t>
      </w:r>
    </w:p>
    <w:p w14:paraId="294E79DE">
      <w:pPr>
        <w:numPr>
          <w:ilvl w:val="1"/>
          <w:numId w:val="1"/>
        </w:numPr>
        <w:spacing w:line="360" w:lineRule="auto"/>
        <w:outlineLvl w:val="1"/>
        <w:rPr>
          <w:rFonts w:ascii="仿宋" w:hAnsi="仿宋" w:eastAsia="仿宋"/>
          <w:sz w:val="24"/>
          <w:szCs w:val="24"/>
        </w:rPr>
      </w:pPr>
      <w:bookmarkStart w:id="9" w:name="_Toc11833"/>
      <w:r>
        <w:rPr>
          <w:rFonts w:hint="eastAsia" w:ascii="仿宋" w:hAnsi="仿宋" w:eastAsia="仿宋"/>
          <w:sz w:val="24"/>
          <w:szCs w:val="24"/>
        </w:rPr>
        <w:t>基础参数</w:t>
      </w:r>
      <w:bookmarkEnd w:id="9"/>
    </w:p>
    <w:tbl>
      <w:tblPr>
        <w:tblStyle w:val="12"/>
        <w:tblW w:w="9719" w:type="dxa"/>
        <w:tblInd w:w="53" w:type="dxa"/>
        <w:tblLayout w:type="autofit"/>
        <w:tblCellMar>
          <w:top w:w="0" w:type="dxa"/>
          <w:left w:w="0" w:type="dxa"/>
          <w:bottom w:w="0" w:type="dxa"/>
          <w:right w:w="0" w:type="dxa"/>
        </w:tblCellMar>
      </w:tblPr>
      <w:tblGrid>
        <w:gridCol w:w="2410"/>
        <w:gridCol w:w="3580"/>
        <w:gridCol w:w="3729"/>
      </w:tblGrid>
      <w:tr w14:paraId="6AF1716B">
        <w:tblPrEx>
          <w:tblCellMar>
            <w:top w:w="0" w:type="dxa"/>
            <w:left w:w="0" w:type="dxa"/>
            <w:bottom w:w="0" w:type="dxa"/>
            <w:right w:w="0" w:type="dxa"/>
          </w:tblCellMar>
        </w:tblPrEx>
        <w:trPr>
          <w:trHeight w:val="353" w:hRule="atLeast"/>
        </w:trPr>
        <w:tc>
          <w:tcPr>
            <w:tcW w:w="2410"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bottom w:w="0" w:type="dxa"/>
              <w:right w:w="15" w:type="dxa"/>
            </w:tcMar>
            <w:vAlign w:val="center"/>
          </w:tcPr>
          <w:p w14:paraId="14F7391A">
            <w:pPr>
              <w:spacing w:line="360" w:lineRule="auto"/>
              <w:jc w:val="center"/>
              <w:rPr>
                <w:rFonts w:ascii="仿宋" w:hAnsi="仿宋" w:eastAsia="仿宋"/>
                <w:szCs w:val="21"/>
              </w:rPr>
            </w:pPr>
            <w:r>
              <w:rPr>
                <w:rFonts w:hint="eastAsia" w:ascii="仿宋" w:hAnsi="仿宋" w:eastAsia="仿宋"/>
                <w:bCs/>
                <w:szCs w:val="21"/>
              </w:rPr>
              <w:t>项目</w:t>
            </w:r>
          </w:p>
        </w:tc>
        <w:tc>
          <w:tcPr>
            <w:tcW w:w="3580"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bottom w:w="0" w:type="dxa"/>
              <w:right w:w="15" w:type="dxa"/>
            </w:tcMar>
            <w:vAlign w:val="center"/>
          </w:tcPr>
          <w:p w14:paraId="513EB0C6">
            <w:pPr>
              <w:spacing w:line="360" w:lineRule="auto"/>
              <w:jc w:val="center"/>
              <w:rPr>
                <w:rFonts w:ascii="仿宋" w:hAnsi="仿宋" w:eastAsia="仿宋"/>
                <w:szCs w:val="21"/>
              </w:rPr>
            </w:pPr>
            <w:r>
              <w:rPr>
                <w:rFonts w:hint="eastAsia" w:ascii="仿宋" w:hAnsi="仿宋" w:eastAsia="仿宋"/>
                <w:bCs/>
                <w:szCs w:val="21"/>
              </w:rPr>
              <w:t>参数</w:t>
            </w:r>
          </w:p>
        </w:tc>
        <w:tc>
          <w:tcPr>
            <w:tcW w:w="3729" w:type="dxa"/>
            <w:tcBorders>
              <w:top w:val="single" w:color="000000" w:sz="4" w:space="0"/>
              <w:left w:val="single" w:color="000000" w:sz="4" w:space="0"/>
              <w:bottom w:val="single" w:color="000000" w:sz="4" w:space="0"/>
              <w:right w:val="single" w:color="000000" w:sz="4" w:space="0"/>
            </w:tcBorders>
            <w:shd w:val="clear" w:color="auto" w:fill="D9D9D9"/>
            <w:tcMar>
              <w:top w:w="15" w:type="dxa"/>
              <w:left w:w="15" w:type="dxa"/>
              <w:bottom w:w="0" w:type="dxa"/>
              <w:right w:w="15" w:type="dxa"/>
            </w:tcMar>
            <w:vAlign w:val="center"/>
          </w:tcPr>
          <w:p w14:paraId="3906DD02">
            <w:pPr>
              <w:spacing w:line="360" w:lineRule="auto"/>
              <w:jc w:val="center"/>
              <w:rPr>
                <w:rFonts w:ascii="仿宋" w:hAnsi="仿宋" w:eastAsia="仿宋"/>
                <w:bCs/>
                <w:szCs w:val="21"/>
              </w:rPr>
            </w:pPr>
            <w:r>
              <w:rPr>
                <w:rFonts w:hint="eastAsia" w:ascii="仿宋" w:hAnsi="仿宋" w:eastAsia="仿宋"/>
                <w:bCs/>
                <w:szCs w:val="21"/>
              </w:rPr>
              <w:t>备注及主要生产车型</w:t>
            </w:r>
          </w:p>
        </w:tc>
      </w:tr>
      <w:tr w14:paraId="29B7876A">
        <w:tblPrEx>
          <w:tblCellMar>
            <w:top w:w="0" w:type="dxa"/>
            <w:left w:w="0" w:type="dxa"/>
            <w:bottom w:w="0" w:type="dxa"/>
            <w:right w:w="0" w:type="dxa"/>
          </w:tblCellMar>
        </w:tblPrEx>
        <w:trPr>
          <w:trHeight w:val="353" w:hRule="atLeast"/>
        </w:trPr>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3ED8435A">
            <w:pPr>
              <w:spacing w:line="360" w:lineRule="auto"/>
              <w:rPr>
                <w:rFonts w:ascii="仿宋" w:hAnsi="仿宋" w:eastAsia="仿宋"/>
                <w:bCs/>
                <w:szCs w:val="21"/>
              </w:rPr>
            </w:pPr>
            <w:r>
              <w:rPr>
                <w:rFonts w:hint="eastAsia" w:ascii="仿宋" w:hAnsi="仿宋" w:eastAsia="仿宋"/>
                <w:bCs/>
                <w:szCs w:val="21"/>
              </w:rPr>
              <w:t>焊接一车间最大生产节拍</w:t>
            </w:r>
          </w:p>
        </w:tc>
        <w:tc>
          <w:tcPr>
            <w:tcW w:w="3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32A691AA">
            <w:pPr>
              <w:spacing w:line="360" w:lineRule="auto"/>
              <w:jc w:val="center"/>
              <w:rPr>
                <w:rFonts w:ascii="仿宋" w:hAnsi="仿宋" w:eastAsia="仿宋"/>
                <w:szCs w:val="21"/>
              </w:rPr>
            </w:pPr>
            <w:r>
              <w:rPr>
                <w:rFonts w:hint="eastAsia" w:ascii="仿宋" w:hAnsi="仿宋" w:eastAsia="仿宋"/>
                <w:szCs w:val="21"/>
              </w:rPr>
              <w:t>JPH15</w:t>
            </w:r>
          </w:p>
        </w:tc>
        <w:tc>
          <w:tcPr>
            <w:tcW w:w="3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3804E186">
            <w:pPr>
              <w:spacing w:line="360" w:lineRule="auto"/>
              <w:rPr>
                <w:rFonts w:ascii="仿宋" w:hAnsi="仿宋" w:eastAsia="仿宋"/>
                <w:szCs w:val="21"/>
              </w:rPr>
            </w:pPr>
            <w:r>
              <w:rPr>
                <w:rFonts w:hint="eastAsia" w:ascii="仿宋" w:hAnsi="仿宋" w:eastAsia="仿宋"/>
                <w:szCs w:val="21"/>
              </w:rPr>
              <w:t>VAN、皮卡车型系列（目前JPH 5)</w:t>
            </w:r>
          </w:p>
        </w:tc>
      </w:tr>
      <w:tr w14:paraId="61AA7206">
        <w:tblPrEx>
          <w:tblCellMar>
            <w:top w:w="0" w:type="dxa"/>
            <w:left w:w="0" w:type="dxa"/>
            <w:bottom w:w="0" w:type="dxa"/>
            <w:right w:w="0" w:type="dxa"/>
          </w:tblCellMar>
        </w:tblPrEx>
        <w:trPr>
          <w:trHeight w:val="353" w:hRule="atLeast"/>
        </w:trPr>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1C340E48">
            <w:pPr>
              <w:spacing w:line="360" w:lineRule="auto"/>
              <w:rPr>
                <w:rFonts w:ascii="仿宋" w:hAnsi="仿宋" w:eastAsia="仿宋"/>
                <w:szCs w:val="21"/>
              </w:rPr>
            </w:pPr>
            <w:r>
              <w:rPr>
                <w:rFonts w:hint="eastAsia" w:ascii="仿宋" w:hAnsi="仿宋" w:eastAsia="仿宋"/>
                <w:bCs/>
                <w:szCs w:val="21"/>
              </w:rPr>
              <w:t>焊接一车间最大生产节拍</w:t>
            </w:r>
          </w:p>
        </w:tc>
        <w:tc>
          <w:tcPr>
            <w:tcW w:w="3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687E1B95">
            <w:pPr>
              <w:spacing w:line="360" w:lineRule="auto"/>
              <w:jc w:val="center"/>
              <w:rPr>
                <w:rFonts w:ascii="仿宋" w:hAnsi="仿宋" w:eastAsia="仿宋"/>
                <w:szCs w:val="21"/>
              </w:rPr>
            </w:pPr>
            <w:r>
              <w:rPr>
                <w:rFonts w:hint="eastAsia" w:ascii="仿宋" w:hAnsi="仿宋" w:eastAsia="仿宋"/>
                <w:szCs w:val="21"/>
              </w:rPr>
              <w:t>JPH15</w:t>
            </w:r>
          </w:p>
        </w:tc>
        <w:tc>
          <w:tcPr>
            <w:tcW w:w="3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6AE7D522">
            <w:pPr>
              <w:spacing w:line="360" w:lineRule="auto"/>
              <w:rPr>
                <w:rFonts w:ascii="仿宋" w:hAnsi="仿宋" w:eastAsia="仿宋"/>
                <w:szCs w:val="21"/>
              </w:rPr>
            </w:pPr>
            <w:r>
              <w:rPr>
                <w:rFonts w:hint="eastAsia" w:ascii="仿宋" w:hAnsi="仿宋" w:eastAsia="仿宋"/>
                <w:szCs w:val="21"/>
              </w:rPr>
              <w:t>SUV车型系列（目前JPH 8)</w:t>
            </w:r>
          </w:p>
        </w:tc>
      </w:tr>
      <w:tr w14:paraId="2D5E8084">
        <w:tblPrEx>
          <w:tblCellMar>
            <w:top w:w="0" w:type="dxa"/>
            <w:left w:w="0" w:type="dxa"/>
            <w:bottom w:w="0" w:type="dxa"/>
            <w:right w:w="0" w:type="dxa"/>
          </w:tblCellMar>
        </w:tblPrEx>
        <w:trPr>
          <w:trHeight w:val="353" w:hRule="atLeast"/>
        </w:trPr>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72612809">
            <w:pPr>
              <w:spacing w:line="360" w:lineRule="auto"/>
              <w:rPr>
                <w:rFonts w:ascii="仿宋" w:hAnsi="仿宋" w:eastAsia="仿宋"/>
                <w:szCs w:val="21"/>
              </w:rPr>
            </w:pPr>
            <w:r>
              <w:rPr>
                <w:rFonts w:hint="eastAsia" w:ascii="仿宋" w:hAnsi="仿宋" w:eastAsia="仿宋"/>
                <w:bCs/>
                <w:szCs w:val="21"/>
              </w:rPr>
              <w:t>总装一线最大生产节拍</w:t>
            </w:r>
          </w:p>
        </w:tc>
        <w:tc>
          <w:tcPr>
            <w:tcW w:w="3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02FFEE20">
            <w:pPr>
              <w:spacing w:line="360" w:lineRule="auto"/>
              <w:jc w:val="center"/>
              <w:rPr>
                <w:rFonts w:ascii="仿宋" w:hAnsi="仿宋" w:eastAsia="仿宋"/>
                <w:szCs w:val="21"/>
              </w:rPr>
            </w:pPr>
            <w:r>
              <w:rPr>
                <w:rFonts w:hint="eastAsia" w:ascii="仿宋" w:hAnsi="仿宋" w:eastAsia="仿宋"/>
                <w:szCs w:val="21"/>
              </w:rPr>
              <w:t>JPH25</w:t>
            </w:r>
          </w:p>
        </w:tc>
        <w:tc>
          <w:tcPr>
            <w:tcW w:w="3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70C90F4A">
            <w:pPr>
              <w:spacing w:line="360" w:lineRule="auto"/>
              <w:rPr>
                <w:rFonts w:ascii="仿宋" w:hAnsi="仿宋" w:eastAsia="仿宋"/>
                <w:szCs w:val="21"/>
              </w:rPr>
            </w:pPr>
            <w:r>
              <w:rPr>
                <w:rFonts w:hint="eastAsia" w:ascii="仿宋" w:hAnsi="仿宋" w:eastAsia="仿宋"/>
                <w:szCs w:val="21"/>
              </w:rPr>
              <w:t>SUV车型系列（目前JPH 8)</w:t>
            </w:r>
          </w:p>
        </w:tc>
      </w:tr>
      <w:tr w14:paraId="7F73A151">
        <w:tblPrEx>
          <w:tblCellMar>
            <w:top w:w="0" w:type="dxa"/>
            <w:left w:w="0" w:type="dxa"/>
            <w:bottom w:w="0" w:type="dxa"/>
            <w:right w:w="0" w:type="dxa"/>
          </w:tblCellMar>
        </w:tblPrEx>
        <w:trPr>
          <w:trHeight w:val="604" w:hRule="atLeast"/>
        </w:trPr>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0205066A">
            <w:pPr>
              <w:spacing w:line="360" w:lineRule="auto"/>
              <w:rPr>
                <w:rFonts w:ascii="仿宋" w:hAnsi="仿宋" w:eastAsia="仿宋"/>
                <w:bCs/>
                <w:szCs w:val="21"/>
              </w:rPr>
            </w:pPr>
            <w:r>
              <w:rPr>
                <w:rFonts w:hint="eastAsia" w:ascii="仿宋" w:hAnsi="仿宋" w:eastAsia="仿宋"/>
                <w:bCs/>
                <w:szCs w:val="21"/>
              </w:rPr>
              <w:t>总装二线最大生产节拍</w:t>
            </w:r>
          </w:p>
        </w:tc>
        <w:tc>
          <w:tcPr>
            <w:tcW w:w="3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40747CB8">
            <w:pPr>
              <w:spacing w:line="360" w:lineRule="auto"/>
              <w:jc w:val="center"/>
              <w:rPr>
                <w:rFonts w:ascii="仿宋" w:hAnsi="仿宋" w:eastAsia="仿宋"/>
                <w:szCs w:val="21"/>
              </w:rPr>
            </w:pPr>
            <w:r>
              <w:rPr>
                <w:rFonts w:hint="eastAsia" w:ascii="仿宋" w:hAnsi="仿宋" w:eastAsia="仿宋"/>
                <w:szCs w:val="21"/>
              </w:rPr>
              <w:t>JPH15</w:t>
            </w:r>
          </w:p>
        </w:tc>
        <w:tc>
          <w:tcPr>
            <w:tcW w:w="3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7DFA68DA">
            <w:pPr>
              <w:spacing w:line="360" w:lineRule="auto"/>
              <w:rPr>
                <w:rFonts w:ascii="仿宋" w:hAnsi="仿宋" w:eastAsia="仿宋"/>
                <w:szCs w:val="21"/>
              </w:rPr>
            </w:pPr>
            <w:r>
              <w:rPr>
                <w:rFonts w:hint="eastAsia" w:ascii="仿宋" w:hAnsi="仿宋" w:eastAsia="仿宋"/>
                <w:szCs w:val="21"/>
              </w:rPr>
              <w:t>手动线、VAN、皮卡车型系列</w:t>
            </w:r>
          </w:p>
          <w:p w14:paraId="5BADA7E6">
            <w:pPr>
              <w:spacing w:line="360" w:lineRule="auto"/>
              <w:rPr>
                <w:rFonts w:ascii="仿宋" w:hAnsi="仿宋" w:eastAsia="仿宋"/>
                <w:szCs w:val="21"/>
              </w:rPr>
            </w:pPr>
            <w:r>
              <w:rPr>
                <w:rFonts w:hint="eastAsia" w:ascii="仿宋" w:hAnsi="仿宋" w:eastAsia="仿宋"/>
                <w:szCs w:val="21"/>
              </w:rPr>
              <w:t>（目前JPH 5)</w:t>
            </w:r>
          </w:p>
        </w:tc>
      </w:tr>
      <w:tr w14:paraId="24192162">
        <w:tblPrEx>
          <w:tblCellMar>
            <w:top w:w="0" w:type="dxa"/>
            <w:left w:w="0" w:type="dxa"/>
            <w:bottom w:w="0" w:type="dxa"/>
            <w:right w:w="0" w:type="dxa"/>
          </w:tblCellMar>
        </w:tblPrEx>
        <w:trPr>
          <w:trHeight w:val="353" w:hRule="atLeast"/>
        </w:trPr>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3C81F84C">
            <w:pPr>
              <w:spacing w:line="360" w:lineRule="auto"/>
              <w:rPr>
                <w:rFonts w:ascii="仿宋" w:hAnsi="仿宋" w:eastAsia="仿宋"/>
                <w:bCs/>
                <w:szCs w:val="21"/>
              </w:rPr>
            </w:pPr>
            <w:r>
              <w:rPr>
                <w:rFonts w:hint="eastAsia" w:ascii="仿宋" w:hAnsi="仿宋" w:eastAsia="仿宋"/>
                <w:bCs/>
                <w:szCs w:val="21"/>
              </w:rPr>
              <w:t>涂装车间最大生产节拍</w:t>
            </w:r>
          </w:p>
        </w:tc>
        <w:tc>
          <w:tcPr>
            <w:tcW w:w="3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7D8C0168">
            <w:pPr>
              <w:spacing w:line="360" w:lineRule="auto"/>
              <w:jc w:val="center"/>
              <w:rPr>
                <w:rFonts w:ascii="仿宋" w:hAnsi="仿宋" w:eastAsia="仿宋"/>
                <w:szCs w:val="21"/>
              </w:rPr>
            </w:pPr>
            <w:r>
              <w:rPr>
                <w:rFonts w:hint="eastAsia" w:ascii="仿宋" w:hAnsi="仿宋" w:eastAsia="仿宋"/>
                <w:szCs w:val="21"/>
              </w:rPr>
              <w:t>JPH25</w:t>
            </w:r>
          </w:p>
        </w:tc>
        <w:tc>
          <w:tcPr>
            <w:tcW w:w="3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4BDF377E">
            <w:pPr>
              <w:spacing w:line="360" w:lineRule="auto"/>
              <w:rPr>
                <w:rFonts w:ascii="仿宋" w:hAnsi="仿宋" w:eastAsia="仿宋"/>
                <w:szCs w:val="21"/>
              </w:rPr>
            </w:pPr>
            <w:r>
              <w:rPr>
                <w:rFonts w:hint="eastAsia" w:ascii="仿宋" w:hAnsi="仿宋" w:eastAsia="仿宋"/>
                <w:szCs w:val="21"/>
              </w:rPr>
              <w:t>（目前JPH 15)</w:t>
            </w:r>
          </w:p>
        </w:tc>
      </w:tr>
      <w:tr w14:paraId="16DC6B36">
        <w:tblPrEx>
          <w:tblCellMar>
            <w:top w:w="0" w:type="dxa"/>
            <w:left w:w="0" w:type="dxa"/>
            <w:bottom w:w="0" w:type="dxa"/>
            <w:right w:w="0" w:type="dxa"/>
          </w:tblCellMar>
        </w:tblPrEx>
        <w:trPr>
          <w:trHeight w:val="353" w:hRule="atLeast"/>
        </w:trPr>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08B696DD">
            <w:pPr>
              <w:spacing w:line="360" w:lineRule="auto"/>
              <w:rPr>
                <w:rFonts w:ascii="仿宋" w:hAnsi="仿宋" w:eastAsia="仿宋"/>
                <w:szCs w:val="21"/>
              </w:rPr>
            </w:pPr>
            <w:r>
              <w:rPr>
                <w:rFonts w:hint="eastAsia" w:ascii="仿宋" w:hAnsi="仿宋" w:eastAsia="仿宋"/>
                <w:bCs/>
                <w:szCs w:val="21"/>
              </w:rPr>
              <w:t>周工作日</w:t>
            </w:r>
          </w:p>
        </w:tc>
        <w:tc>
          <w:tcPr>
            <w:tcW w:w="3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757C7D8E">
            <w:pPr>
              <w:spacing w:line="360" w:lineRule="auto"/>
              <w:rPr>
                <w:rFonts w:ascii="仿宋" w:hAnsi="仿宋" w:eastAsia="仿宋"/>
                <w:szCs w:val="21"/>
              </w:rPr>
            </w:pPr>
            <w:r>
              <w:rPr>
                <w:rFonts w:hint="eastAsia" w:ascii="仿宋" w:hAnsi="仿宋" w:eastAsia="仿宋"/>
                <w:szCs w:val="21"/>
              </w:rPr>
              <w:t>综合工时制（周末根据需求安排生产）</w:t>
            </w:r>
          </w:p>
        </w:tc>
        <w:tc>
          <w:tcPr>
            <w:tcW w:w="3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055D9EF5">
            <w:pPr>
              <w:spacing w:line="360" w:lineRule="auto"/>
              <w:rPr>
                <w:rFonts w:ascii="仿宋" w:hAnsi="仿宋" w:eastAsia="仿宋"/>
                <w:szCs w:val="21"/>
              </w:rPr>
            </w:pPr>
          </w:p>
        </w:tc>
      </w:tr>
      <w:tr w14:paraId="2984CCC4">
        <w:tblPrEx>
          <w:tblCellMar>
            <w:top w:w="0" w:type="dxa"/>
            <w:left w:w="0" w:type="dxa"/>
            <w:bottom w:w="0" w:type="dxa"/>
            <w:right w:w="0" w:type="dxa"/>
          </w:tblCellMar>
        </w:tblPrEx>
        <w:trPr>
          <w:trHeight w:val="353" w:hRule="atLeast"/>
        </w:trPr>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44FEC21C">
            <w:pPr>
              <w:spacing w:line="360" w:lineRule="auto"/>
              <w:rPr>
                <w:rFonts w:ascii="仿宋" w:hAnsi="仿宋" w:eastAsia="仿宋"/>
                <w:szCs w:val="21"/>
              </w:rPr>
            </w:pPr>
            <w:r>
              <w:rPr>
                <w:rFonts w:hint="eastAsia" w:ascii="仿宋" w:hAnsi="仿宋" w:eastAsia="仿宋"/>
                <w:bCs/>
                <w:szCs w:val="21"/>
              </w:rPr>
              <w:t>日工作班制</w:t>
            </w:r>
          </w:p>
        </w:tc>
        <w:tc>
          <w:tcPr>
            <w:tcW w:w="3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15F2C041">
            <w:pPr>
              <w:spacing w:line="360" w:lineRule="auto"/>
              <w:rPr>
                <w:rFonts w:ascii="仿宋" w:hAnsi="仿宋" w:eastAsia="仿宋"/>
                <w:szCs w:val="21"/>
              </w:rPr>
            </w:pPr>
            <w:r>
              <w:rPr>
                <w:rFonts w:hint="eastAsia" w:ascii="仿宋" w:hAnsi="仿宋" w:eastAsia="仿宋"/>
                <w:szCs w:val="21"/>
              </w:rPr>
              <w:t>8小时（原则上根据需求安排加班）</w:t>
            </w:r>
          </w:p>
        </w:tc>
        <w:tc>
          <w:tcPr>
            <w:tcW w:w="3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6243AFF9">
            <w:pPr>
              <w:spacing w:line="360" w:lineRule="auto"/>
              <w:rPr>
                <w:rFonts w:ascii="仿宋" w:hAnsi="仿宋" w:eastAsia="仿宋"/>
                <w:szCs w:val="21"/>
              </w:rPr>
            </w:pPr>
          </w:p>
        </w:tc>
      </w:tr>
      <w:tr w14:paraId="1552FA1C">
        <w:tblPrEx>
          <w:tblCellMar>
            <w:top w:w="0" w:type="dxa"/>
            <w:left w:w="0" w:type="dxa"/>
            <w:bottom w:w="0" w:type="dxa"/>
            <w:right w:w="0" w:type="dxa"/>
          </w:tblCellMar>
        </w:tblPrEx>
        <w:trPr>
          <w:trHeight w:val="361" w:hRule="atLeast"/>
        </w:trPr>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0DB1DF48">
            <w:pPr>
              <w:spacing w:line="360" w:lineRule="auto"/>
              <w:rPr>
                <w:rFonts w:ascii="仿宋" w:hAnsi="仿宋" w:eastAsia="仿宋"/>
                <w:szCs w:val="21"/>
              </w:rPr>
            </w:pPr>
            <w:r>
              <w:rPr>
                <w:rFonts w:hint="eastAsia" w:ascii="仿宋" w:hAnsi="仿宋" w:eastAsia="仿宋"/>
                <w:bCs/>
                <w:szCs w:val="21"/>
              </w:rPr>
              <w:t>生产车型</w:t>
            </w:r>
          </w:p>
        </w:tc>
        <w:tc>
          <w:tcPr>
            <w:tcW w:w="3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34F83D95">
            <w:pPr>
              <w:spacing w:line="360" w:lineRule="auto"/>
              <w:rPr>
                <w:rFonts w:ascii="仿宋" w:hAnsi="仿宋" w:eastAsia="仿宋"/>
                <w:szCs w:val="21"/>
              </w:rPr>
            </w:pPr>
            <w:r>
              <w:rPr>
                <w:rFonts w:hint="eastAsia" w:ascii="仿宋" w:hAnsi="仿宋" w:eastAsia="仿宋"/>
                <w:szCs w:val="21"/>
              </w:rPr>
              <w:t>VAN、SUV、皮卡（试制未量产）</w:t>
            </w:r>
          </w:p>
        </w:tc>
        <w:tc>
          <w:tcPr>
            <w:tcW w:w="3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14:paraId="76E2866E">
            <w:pPr>
              <w:spacing w:line="360" w:lineRule="auto"/>
              <w:rPr>
                <w:rFonts w:ascii="仿宋" w:hAnsi="仿宋" w:eastAsia="仿宋"/>
                <w:szCs w:val="21"/>
              </w:rPr>
            </w:pPr>
          </w:p>
        </w:tc>
      </w:tr>
    </w:tbl>
    <w:p w14:paraId="0BA1FE48">
      <w:pPr>
        <w:pStyle w:val="2"/>
        <w:numPr>
          <w:ilvl w:val="0"/>
          <w:numId w:val="1"/>
        </w:numPr>
        <w:rPr>
          <w:rFonts w:ascii="仿宋" w:hAnsi="仿宋" w:eastAsia="仿宋"/>
          <w:sz w:val="24"/>
          <w:szCs w:val="24"/>
        </w:rPr>
      </w:pPr>
      <w:bookmarkStart w:id="10" w:name="_Toc20249"/>
      <w:r>
        <w:rPr>
          <w:rFonts w:hint="eastAsia" w:ascii="仿宋" w:hAnsi="仿宋" w:eastAsia="仿宋"/>
          <w:sz w:val="24"/>
          <w:szCs w:val="24"/>
        </w:rPr>
        <w:t>合作模式</w:t>
      </w:r>
      <w:bookmarkEnd w:id="10"/>
    </w:p>
    <w:p w14:paraId="5CCF5CFC">
      <w:pPr>
        <w:pStyle w:val="3"/>
        <w:numPr>
          <w:ilvl w:val="1"/>
          <w:numId w:val="1"/>
        </w:numPr>
        <w:rPr>
          <w:rFonts w:hint="default" w:ascii="仿宋" w:hAnsi="仿宋" w:eastAsia="仿宋"/>
        </w:rPr>
      </w:pPr>
      <w:bookmarkStart w:id="11" w:name="_Toc407116958"/>
      <w:bookmarkStart w:id="12" w:name="_Toc407305794"/>
      <w:bookmarkStart w:id="13" w:name="_Toc407117195"/>
      <w:bookmarkStart w:id="14" w:name="_Toc407305956"/>
      <w:bookmarkStart w:id="15" w:name="_Toc20701"/>
      <w:bookmarkStart w:id="16" w:name="_Toc407115443"/>
      <w:r>
        <w:rPr>
          <w:rFonts w:ascii="仿宋" w:hAnsi="仿宋" w:eastAsia="仿宋"/>
        </w:rPr>
        <w:t>合同的签订事宜</w:t>
      </w:r>
      <w:bookmarkEnd w:id="11"/>
      <w:bookmarkEnd w:id="12"/>
      <w:bookmarkEnd w:id="13"/>
      <w:bookmarkEnd w:id="14"/>
      <w:bookmarkEnd w:id="15"/>
      <w:bookmarkEnd w:id="16"/>
    </w:p>
    <w:p w14:paraId="6D333B3E">
      <w:pPr>
        <w:spacing w:line="360" w:lineRule="auto"/>
        <w:ind w:firstLine="480" w:firstLineChars="200"/>
        <w:rPr>
          <w:rFonts w:ascii="仿宋" w:hAnsi="仿宋" w:eastAsia="仿宋"/>
          <w:sz w:val="24"/>
          <w:szCs w:val="24"/>
        </w:rPr>
      </w:pPr>
      <w:r>
        <w:rPr>
          <w:rFonts w:hint="eastAsia" w:ascii="仿宋" w:hAnsi="仿宋" w:eastAsia="仿宋"/>
          <w:sz w:val="24"/>
          <w:szCs w:val="24"/>
        </w:rPr>
        <w:t>针对甲方生产物流外包，乙方在</w:t>
      </w:r>
      <w:r>
        <w:rPr>
          <w:rFonts w:ascii="仿宋" w:hAnsi="仿宋" w:eastAsia="仿宋"/>
          <w:sz w:val="24"/>
          <w:szCs w:val="24"/>
        </w:rPr>
        <w:t>满足</w:t>
      </w:r>
      <w:r>
        <w:rPr>
          <w:rFonts w:hint="eastAsia" w:ascii="仿宋" w:hAnsi="仿宋" w:eastAsia="仿宋"/>
          <w:sz w:val="24"/>
          <w:szCs w:val="24"/>
        </w:rPr>
        <w:t>甲方</w:t>
      </w:r>
      <w:r>
        <w:rPr>
          <w:rFonts w:ascii="仿宋" w:hAnsi="仿宋" w:eastAsia="仿宋"/>
          <w:sz w:val="24"/>
          <w:szCs w:val="24"/>
        </w:rPr>
        <w:t>对软硬件的要求后，</w:t>
      </w:r>
      <w:r>
        <w:rPr>
          <w:rFonts w:hint="eastAsia" w:ascii="仿宋" w:hAnsi="仿宋" w:eastAsia="仿宋"/>
          <w:sz w:val="24"/>
          <w:szCs w:val="24"/>
        </w:rPr>
        <w:t>根据投标时确定的零部件物流</w:t>
      </w:r>
      <w:r>
        <w:rPr>
          <w:rFonts w:ascii="仿宋" w:hAnsi="仿宋" w:eastAsia="仿宋"/>
          <w:sz w:val="24"/>
          <w:szCs w:val="24"/>
        </w:rPr>
        <w:t>运作方案，并就其合作范围内</w:t>
      </w:r>
      <w:r>
        <w:rPr>
          <w:rFonts w:hint="eastAsia" w:ascii="仿宋" w:hAnsi="仿宋" w:eastAsia="仿宋"/>
          <w:sz w:val="24"/>
          <w:szCs w:val="24"/>
        </w:rPr>
        <w:t>的</w:t>
      </w:r>
      <w:r>
        <w:rPr>
          <w:rFonts w:ascii="仿宋" w:hAnsi="仿宋" w:eastAsia="仿宋"/>
          <w:sz w:val="24"/>
          <w:szCs w:val="24"/>
        </w:rPr>
        <w:t>零部件做出服务费用收取标准，</w:t>
      </w:r>
      <w:r>
        <w:rPr>
          <w:rFonts w:hint="eastAsia" w:ascii="仿宋" w:hAnsi="仿宋" w:eastAsia="仿宋"/>
          <w:sz w:val="24"/>
          <w:szCs w:val="24"/>
        </w:rPr>
        <w:t>经双方协商一致后签订物流服务合同。</w:t>
      </w:r>
    </w:p>
    <w:p w14:paraId="6E258D5F">
      <w:pPr>
        <w:pStyle w:val="3"/>
        <w:numPr>
          <w:ilvl w:val="1"/>
          <w:numId w:val="1"/>
        </w:numPr>
        <w:rPr>
          <w:rFonts w:hint="default" w:ascii="仿宋" w:hAnsi="仿宋" w:eastAsia="仿宋"/>
        </w:rPr>
      </w:pPr>
      <w:bookmarkStart w:id="17" w:name="_Toc5846"/>
      <w:bookmarkStart w:id="18" w:name="_Toc407115446"/>
      <w:bookmarkStart w:id="19" w:name="_Toc407305959"/>
      <w:bookmarkStart w:id="20" w:name="_Toc407116961"/>
      <w:bookmarkStart w:id="21" w:name="_Toc407305797"/>
      <w:bookmarkStart w:id="22" w:name="_Toc407117198"/>
      <w:r>
        <w:rPr>
          <w:rFonts w:ascii="仿宋" w:hAnsi="仿宋" w:eastAsia="仿宋"/>
        </w:rPr>
        <w:t>分期报价</w:t>
      </w:r>
      <w:bookmarkEnd w:id="17"/>
      <w:bookmarkEnd w:id="18"/>
      <w:bookmarkEnd w:id="19"/>
      <w:bookmarkEnd w:id="20"/>
      <w:bookmarkEnd w:id="21"/>
      <w:bookmarkEnd w:id="22"/>
    </w:p>
    <w:p w14:paraId="2574A26E">
      <w:pPr>
        <w:spacing w:line="360" w:lineRule="auto"/>
        <w:ind w:firstLine="424" w:firstLineChars="177"/>
        <w:rPr>
          <w:rFonts w:ascii="仿宋" w:hAnsi="仿宋" w:eastAsia="仿宋"/>
          <w:sz w:val="24"/>
          <w:szCs w:val="24"/>
        </w:rPr>
      </w:pPr>
      <w:r>
        <w:rPr>
          <w:rFonts w:hint="eastAsia" w:ascii="仿宋" w:hAnsi="仿宋" w:eastAsia="仿宋"/>
          <w:sz w:val="24"/>
          <w:szCs w:val="24"/>
        </w:rPr>
        <w:t xml:space="preserve">按照不同量产台数进行分段报价： </w:t>
      </w:r>
    </w:p>
    <w:p w14:paraId="1F580346">
      <w:pPr>
        <w:spacing w:line="360" w:lineRule="auto"/>
        <w:ind w:firstLine="424" w:firstLineChars="177"/>
        <w:rPr>
          <w:rFonts w:ascii="仿宋" w:hAnsi="仿宋" w:eastAsia="仿宋"/>
          <w:sz w:val="24"/>
          <w:szCs w:val="24"/>
        </w:rPr>
      </w:pPr>
      <w:r>
        <w:rPr>
          <w:rFonts w:hint="eastAsia" w:ascii="仿宋" w:hAnsi="仿宋" w:eastAsia="仿宋"/>
          <w:sz w:val="24"/>
          <w:szCs w:val="24"/>
        </w:rPr>
        <w:t>第一阶段：按照0&lt;年产≦9600台时每台车的服务费用进行报价（须有详细的软硬件配置说明，具体以商务报价要求为准）。</w:t>
      </w:r>
    </w:p>
    <w:p w14:paraId="715A1156">
      <w:pPr>
        <w:spacing w:line="360" w:lineRule="auto"/>
        <w:ind w:firstLine="424" w:firstLineChars="177"/>
        <w:rPr>
          <w:rFonts w:ascii="仿宋" w:hAnsi="仿宋" w:eastAsia="仿宋"/>
          <w:sz w:val="24"/>
          <w:szCs w:val="24"/>
        </w:rPr>
      </w:pPr>
      <w:r>
        <w:rPr>
          <w:rFonts w:hint="eastAsia" w:ascii="仿宋" w:hAnsi="仿宋" w:eastAsia="仿宋"/>
          <w:sz w:val="24"/>
          <w:szCs w:val="24"/>
        </w:rPr>
        <w:t>第二阶段：按照9600&lt;年产≦14400台时每台车的服务费用进行报价（须有详细的软硬件配置说明，具体以商务报价要求为准）。</w:t>
      </w:r>
    </w:p>
    <w:p w14:paraId="14337B31">
      <w:pPr>
        <w:spacing w:line="360" w:lineRule="auto"/>
        <w:ind w:firstLine="424" w:firstLineChars="177"/>
        <w:rPr>
          <w:rFonts w:ascii="仿宋" w:hAnsi="仿宋" w:eastAsia="仿宋"/>
          <w:sz w:val="24"/>
          <w:szCs w:val="24"/>
        </w:rPr>
      </w:pPr>
      <w:bookmarkStart w:id="23" w:name="_Toc407117196"/>
      <w:bookmarkStart w:id="24" w:name="_Toc407305957"/>
      <w:bookmarkStart w:id="25" w:name="_Toc407115444"/>
      <w:bookmarkStart w:id="26" w:name="_Toc407116959"/>
      <w:bookmarkStart w:id="27" w:name="_Toc407305795"/>
      <w:r>
        <w:rPr>
          <w:rFonts w:hint="eastAsia" w:ascii="仿宋" w:hAnsi="仿宋" w:eastAsia="仿宋"/>
          <w:sz w:val="24"/>
          <w:szCs w:val="24"/>
        </w:rPr>
        <w:t>第三阶段：按照14400&lt;年产≦19200台时每台车的服务费用进行报价（须有详细的软硬件配置说明，具体以商务报价要求为准）。</w:t>
      </w:r>
    </w:p>
    <w:p w14:paraId="299D1EAC">
      <w:pPr>
        <w:spacing w:line="360" w:lineRule="auto"/>
        <w:ind w:firstLine="424" w:firstLineChars="177"/>
        <w:rPr>
          <w:rFonts w:ascii="仿宋" w:hAnsi="仿宋" w:eastAsia="仿宋"/>
          <w:sz w:val="24"/>
          <w:szCs w:val="24"/>
        </w:rPr>
      </w:pPr>
      <w:r>
        <w:rPr>
          <w:rFonts w:hint="eastAsia" w:ascii="仿宋" w:hAnsi="仿宋" w:eastAsia="仿宋"/>
          <w:sz w:val="24"/>
          <w:szCs w:val="24"/>
        </w:rPr>
        <w:t>保底产量以商务发布的招标书为准。</w:t>
      </w:r>
    </w:p>
    <w:p w14:paraId="22DE467B">
      <w:pPr>
        <w:pStyle w:val="3"/>
        <w:numPr>
          <w:ilvl w:val="1"/>
          <w:numId w:val="1"/>
        </w:numPr>
        <w:rPr>
          <w:rFonts w:hint="default" w:ascii="仿宋" w:hAnsi="仿宋" w:eastAsia="仿宋"/>
        </w:rPr>
      </w:pPr>
      <w:bookmarkStart w:id="28" w:name="_Toc14794"/>
      <w:r>
        <w:rPr>
          <w:rFonts w:ascii="仿宋" w:hAnsi="仿宋" w:eastAsia="仿宋"/>
        </w:rPr>
        <w:t>费用结算事宜</w:t>
      </w:r>
      <w:bookmarkEnd w:id="23"/>
      <w:bookmarkEnd w:id="24"/>
      <w:bookmarkEnd w:id="25"/>
      <w:bookmarkEnd w:id="26"/>
      <w:bookmarkEnd w:id="27"/>
      <w:bookmarkEnd w:id="28"/>
    </w:p>
    <w:p w14:paraId="171BED88">
      <w:pPr>
        <w:spacing w:line="360" w:lineRule="auto"/>
        <w:ind w:firstLine="480" w:firstLineChars="200"/>
        <w:rPr>
          <w:rFonts w:ascii="仿宋" w:hAnsi="仿宋" w:eastAsia="仿宋"/>
          <w:sz w:val="24"/>
          <w:szCs w:val="24"/>
        </w:rPr>
      </w:pPr>
      <w:r>
        <w:rPr>
          <w:rFonts w:hint="eastAsia" w:ascii="仿宋" w:hAnsi="仿宋" w:eastAsia="仿宋"/>
          <w:sz w:val="24"/>
          <w:szCs w:val="24"/>
        </w:rPr>
        <w:t>乙方物流</w:t>
      </w:r>
      <w:r>
        <w:rPr>
          <w:rFonts w:ascii="仿宋" w:hAnsi="仿宋" w:eastAsia="仿宋"/>
          <w:sz w:val="24"/>
          <w:szCs w:val="24"/>
        </w:rPr>
        <w:t>服务费用</w:t>
      </w:r>
      <w:r>
        <w:rPr>
          <w:rFonts w:hint="eastAsia" w:ascii="仿宋" w:hAnsi="仿宋" w:eastAsia="仿宋"/>
          <w:sz w:val="24"/>
          <w:szCs w:val="24"/>
        </w:rPr>
        <w:t>按月</w:t>
      </w:r>
      <w:r>
        <w:rPr>
          <w:rFonts w:ascii="仿宋" w:hAnsi="仿宋" w:eastAsia="仿宋"/>
          <w:sz w:val="24"/>
          <w:szCs w:val="24"/>
        </w:rPr>
        <w:t>结算</w:t>
      </w:r>
      <w:r>
        <w:rPr>
          <w:rFonts w:hint="eastAsia" w:ascii="仿宋" w:hAnsi="仿宋" w:eastAsia="仿宋"/>
          <w:sz w:val="24"/>
          <w:szCs w:val="24"/>
        </w:rPr>
        <w:t>（统一按照合格证打印下线车辆结算）。</w:t>
      </w:r>
    </w:p>
    <w:p w14:paraId="42EE7521">
      <w:pPr>
        <w:pStyle w:val="3"/>
        <w:numPr>
          <w:ilvl w:val="1"/>
          <w:numId w:val="1"/>
        </w:numPr>
        <w:rPr>
          <w:rFonts w:hint="default" w:ascii="仿宋" w:hAnsi="仿宋" w:eastAsia="仿宋"/>
        </w:rPr>
      </w:pPr>
      <w:bookmarkStart w:id="29" w:name="_Toc407116960"/>
      <w:bookmarkStart w:id="30" w:name="_Toc11844"/>
      <w:bookmarkStart w:id="31" w:name="_Toc407115445"/>
      <w:bookmarkStart w:id="32" w:name="_Toc407117197"/>
      <w:bookmarkStart w:id="33" w:name="_Toc407305796"/>
      <w:bookmarkStart w:id="34" w:name="_Toc407305958"/>
      <w:r>
        <w:rPr>
          <w:rFonts w:ascii="仿宋" w:hAnsi="仿宋" w:eastAsia="仿宋"/>
        </w:rPr>
        <w:t>费用支付方式</w:t>
      </w:r>
      <w:bookmarkEnd w:id="29"/>
      <w:bookmarkEnd w:id="30"/>
      <w:bookmarkEnd w:id="31"/>
      <w:bookmarkEnd w:id="32"/>
      <w:bookmarkEnd w:id="33"/>
      <w:bookmarkEnd w:id="34"/>
    </w:p>
    <w:p w14:paraId="5E84BED9">
      <w:pPr>
        <w:spacing w:line="360" w:lineRule="auto"/>
        <w:ind w:firstLine="480" w:firstLineChars="200"/>
        <w:rPr>
          <w:rFonts w:ascii="仿宋" w:hAnsi="仿宋" w:eastAsia="仿宋"/>
          <w:sz w:val="24"/>
          <w:szCs w:val="24"/>
        </w:rPr>
      </w:pPr>
      <w:r>
        <w:rPr>
          <w:rFonts w:hint="eastAsia" w:ascii="仿宋" w:hAnsi="仿宋" w:eastAsia="仿宋"/>
          <w:sz w:val="24"/>
          <w:szCs w:val="24"/>
        </w:rPr>
        <w:t>按商务合同签定的支付条款进行支付。</w:t>
      </w:r>
    </w:p>
    <w:p w14:paraId="0C00B023">
      <w:pPr>
        <w:numPr>
          <w:ilvl w:val="1"/>
          <w:numId w:val="1"/>
        </w:numPr>
        <w:outlineLvl w:val="1"/>
        <w:rPr>
          <w:rFonts w:ascii="仿宋" w:hAnsi="仿宋" w:eastAsia="仿宋"/>
          <w:b/>
          <w:sz w:val="24"/>
          <w:szCs w:val="24"/>
        </w:rPr>
      </w:pPr>
      <w:bookmarkStart w:id="35" w:name="_Toc17671"/>
      <w:r>
        <w:rPr>
          <w:rFonts w:hint="eastAsia" w:ascii="仿宋" w:hAnsi="仿宋" w:eastAsia="仿宋"/>
          <w:b/>
          <w:bCs/>
          <w:sz w:val="24"/>
          <w:szCs w:val="24"/>
        </w:rPr>
        <w:t>系统、人员、场地、设备、能源事宜</w:t>
      </w:r>
      <w:bookmarkEnd w:id="35"/>
    </w:p>
    <w:p w14:paraId="78675C04">
      <w:pPr>
        <w:numPr>
          <w:ilvl w:val="2"/>
          <w:numId w:val="1"/>
        </w:numPr>
        <w:outlineLvl w:val="2"/>
        <w:rPr>
          <w:rFonts w:ascii="仿宋" w:hAnsi="仿宋" w:eastAsia="仿宋"/>
          <w:b/>
          <w:sz w:val="24"/>
          <w:szCs w:val="24"/>
        </w:rPr>
      </w:pPr>
      <w:r>
        <w:rPr>
          <w:rFonts w:hint="eastAsia" w:ascii="仿宋" w:hAnsi="仿宋" w:eastAsia="仿宋"/>
          <w:b/>
          <w:sz w:val="24"/>
          <w:szCs w:val="24"/>
        </w:rPr>
        <w:t>系统</w:t>
      </w:r>
    </w:p>
    <w:p w14:paraId="2E42F10C">
      <w:pPr>
        <w:spacing w:line="360" w:lineRule="auto"/>
        <w:ind w:firstLine="480" w:firstLineChars="200"/>
        <w:rPr>
          <w:rFonts w:ascii="仿宋" w:hAnsi="仿宋" w:eastAsia="仿宋"/>
          <w:sz w:val="24"/>
          <w:szCs w:val="24"/>
        </w:rPr>
      </w:pPr>
      <w:r>
        <w:rPr>
          <w:rFonts w:hint="eastAsia" w:ascii="仿宋" w:hAnsi="仿宋" w:eastAsia="仿宋"/>
          <w:sz w:val="24"/>
          <w:szCs w:val="24"/>
        </w:rPr>
        <w:t>甲方目前提供SAP、MES系统供乙方使用，乙方必须严格按操作规定使用信息化系统，严禁将系统权限或系统数据不得向第三方透露。如因乙方过失造成甲方系统数据泄密，甲方将就相关损失和影响进行追偿。</w:t>
      </w:r>
    </w:p>
    <w:p w14:paraId="7E6DECD6">
      <w:pPr>
        <w:numPr>
          <w:ilvl w:val="2"/>
          <w:numId w:val="1"/>
        </w:numPr>
        <w:spacing w:line="360" w:lineRule="auto"/>
        <w:jc w:val="left"/>
        <w:outlineLvl w:val="2"/>
        <w:rPr>
          <w:rFonts w:ascii="仿宋" w:hAnsi="仿宋" w:eastAsia="仿宋"/>
          <w:b/>
          <w:sz w:val="24"/>
          <w:szCs w:val="24"/>
        </w:rPr>
      </w:pPr>
      <w:r>
        <w:rPr>
          <w:rFonts w:hint="eastAsia" w:ascii="仿宋" w:hAnsi="仿宋" w:eastAsia="仿宋"/>
          <w:b/>
          <w:sz w:val="24"/>
          <w:szCs w:val="24"/>
        </w:rPr>
        <w:t>人员</w:t>
      </w:r>
    </w:p>
    <w:p w14:paraId="5B7E91B3">
      <w:pPr>
        <w:spacing w:line="360" w:lineRule="auto"/>
        <w:rPr>
          <w:rFonts w:ascii="仿宋" w:hAnsi="仿宋" w:eastAsia="仿宋" w:cs="仿宋_GB2312"/>
          <w:bCs/>
          <w:kern w:val="44"/>
          <w:sz w:val="24"/>
        </w:rPr>
      </w:pPr>
      <w:r>
        <w:rPr>
          <w:rFonts w:hint="eastAsia" w:ascii="仿宋" w:hAnsi="仿宋" w:eastAsia="仿宋"/>
          <w:sz w:val="24"/>
          <w:szCs w:val="24"/>
        </w:rPr>
        <w:t>4.5.2.1.重汽（重庆）轻型汽车有限公司生产物流室现有65人，其中管理技术人7人，工人岗人员58人。</w:t>
      </w:r>
    </w:p>
    <w:p w14:paraId="7818E2F0">
      <w:pPr>
        <w:spacing w:line="360" w:lineRule="auto"/>
        <w:ind w:left="-10"/>
        <w:rPr>
          <w:rFonts w:ascii="仿宋" w:hAnsi="仿宋" w:eastAsia="仿宋" w:cs="仿宋_GB2312"/>
          <w:bCs/>
          <w:kern w:val="44"/>
          <w:sz w:val="24"/>
        </w:rPr>
      </w:pPr>
      <w:r>
        <w:rPr>
          <w:rFonts w:hint="eastAsia" w:ascii="仿宋" w:hAnsi="仿宋" w:eastAsia="仿宋"/>
          <w:sz w:val="24"/>
          <w:szCs w:val="24"/>
        </w:rPr>
        <w:t>4.5.2.2.现有人员中工人岗原则上优先转入外包服务商，转入人员薪酬原则上不得低于现行薪酬标准。对于不愿进入外包服务商的人员由重汽（重庆）轻型汽车有限公司自行安排。</w:t>
      </w:r>
    </w:p>
    <w:p w14:paraId="174F3310">
      <w:pPr>
        <w:numPr>
          <w:ilvl w:val="2"/>
          <w:numId w:val="1"/>
        </w:numPr>
        <w:spacing w:line="360" w:lineRule="auto"/>
        <w:jc w:val="left"/>
        <w:outlineLvl w:val="2"/>
        <w:rPr>
          <w:rFonts w:ascii="仿宋" w:hAnsi="仿宋" w:eastAsia="仿宋"/>
          <w:b/>
          <w:sz w:val="24"/>
          <w:szCs w:val="24"/>
        </w:rPr>
      </w:pPr>
      <w:r>
        <w:rPr>
          <w:rFonts w:hint="eastAsia" w:ascii="仿宋" w:hAnsi="仿宋" w:eastAsia="仿宋"/>
          <w:b/>
          <w:sz w:val="24"/>
          <w:szCs w:val="24"/>
        </w:rPr>
        <w:t>场地</w:t>
      </w:r>
    </w:p>
    <w:p w14:paraId="5EE68E28">
      <w:pPr>
        <w:spacing w:line="360" w:lineRule="auto"/>
        <w:outlineLvl w:val="3"/>
        <w:rPr>
          <w:rFonts w:ascii="仿宋" w:hAnsi="仿宋" w:eastAsia="仿宋"/>
          <w:sz w:val="24"/>
          <w:szCs w:val="24"/>
        </w:rPr>
      </w:pPr>
      <w:r>
        <w:rPr>
          <w:rFonts w:hint="eastAsia" w:ascii="仿宋" w:hAnsi="仿宋" w:eastAsia="仿宋"/>
          <w:sz w:val="24"/>
          <w:szCs w:val="24"/>
        </w:rPr>
        <w:t>4.5.3.1现有场地情况</w:t>
      </w:r>
    </w:p>
    <w:p w14:paraId="3A1B3573">
      <w:pPr>
        <w:spacing w:line="360" w:lineRule="auto"/>
        <w:ind w:firstLine="480" w:firstLineChars="200"/>
        <w:outlineLvl w:val="3"/>
        <w:rPr>
          <w:rFonts w:ascii="仿宋" w:hAnsi="仿宋" w:eastAsia="仿宋"/>
          <w:sz w:val="24"/>
          <w:szCs w:val="24"/>
        </w:rPr>
      </w:pPr>
      <w:r>
        <w:rPr>
          <w:rFonts w:hint="eastAsia" w:ascii="仿宋" w:hAnsi="仿宋" w:eastAsia="仿宋"/>
          <w:sz w:val="24"/>
          <w:szCs w:val="24"/>
        </w:rPr>
        <w:t>重汽（重庆）轻型汽车有限公司提供现有物流场地（占地面积 3840㎡的焊接仓储库房，占地面积4320㎡总装仓储库房、占地面积1920㎡的总装西侧雨棚、占地面积12000㎡LOC配送中心以及占地面积为2000㎡的硬化场地）。</w:t>
      </w:r>
    </w:p>
    <w:p w14:paraId="13F4DA33">
      <w:pPr>
        <w:spacing w:line="360" w:lineRule="auto"/>
        <w:ind w:firstLine="3132" w:firstLineChars="1300"/>
        <w:jc w:val="left"/>
        <w:rPr>
          <w:rFonts w:ascii="仿宋" w:hAnsi="仿宋" w:eastAsia="仿宋"/>
          <w:b/>
          <w:bCs/>
          <w:szCs w:val="21"/>
        </w:rPr>
      </w:pPr>
      <w:r>
        <w:rPr>
          <w:rFonts w:hint="eastAsia" w:ascii="仿宋" w:hAnsi="仿宋" w:eastAsia="仿宋"/>
          <w:b/>
          <w:bCs/>
          <w:color w:val="000000"/>
          <w:sz w:val="24"/>
          <w:szCs w:val="24"/>
        </w:rPr>
        <w:t>生产物流场地布局见下图</w:t>
      </w:r>
    </w:p>
    <w:p w14:paraId="0CEAAA2C">
      <w:pPr>
        <w:spacing w:line="360" w:lineRule="auto"/>
      </w:pPr>
      <w:r>
        <w:drawing>
          <wp:inline distT="0" distB="0" distL="114300" distR="114300">
            <wp:extent cx="5454015" cy="2463800"/>
            <wp:effectExtent l="0" t="0" r="6985"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7"/>
                    <a:stretch>
                      <a:fillRect/>
                    </a:stretch>
                  </pic:blipFill>
                  <pic:spPr>
                    <a:xfrm>
                      <a:off x="0" y="0"/>
                      <a:ext cx="5454015" cy="2463800"/>
                    </a:xfrm>
                    <a:prstGeom prst="rect">
                      <a:avLst/>
                    </a:prstGeom>
                    <a:noFill/>
                    <a:ln>
                      <a:noFill/>
                    </a:ln>
                  </pic:spPr>
                </pic:pic>
              </a:graphicData>
            </a:graphic>
          </wp:inline>
        </w:drawing>
      </w:r>
    </w:p>
    <w:p w14:paraId="0307AD94">
      <w:pPr>
        <w:spacing w:line="360" w:lineRule="auto"/>
        <w:outlineLvl w:val="3"/>
        <w:rPr>
          <w:rFonts w:ascii="仿宋" w:hAnsi="仿宋" w:eastAsia="仿宋" w:cs="仿宋"/>
          <w:b/>
          <w:kern w:val="44"/>
          <w:sz w:val="24"/>
          <w:szCs w:val="24"/>
        </w:rPr>
      </w:pPr>
      <w:r>
        <w:rPr>
          <w:rFonts w:hint="eastAsia" w:ascii="仿宋" w:hAnsi="仿宋" w:eastAsia="仿宋"/>
          <w:sz w:val="24"/>
          <w:szCs w:val="24"/>
        </w:rPr>
        <w:t>4.5.3.2</w:t>
      </w:r>
      <w:r>
        <w:rPr>
          <w:rFonts w:hint="eastAsia" w:ascii="仿宋" w:hAnsi="仿宋" w:eastAsia="仿宋" w:cs="仿宋"/>
          <w:sz w:val="24"/>
          <w:szCs w:val="24"/>
        </w:rPr>
        <w:t>现有场地使用方案</w:t>
      </w:r>
    </w:p>
    <w:p w14:paraId="3888729C">
      <w:pPr>
        <w:spacing w:line="360" w:lineRule="auto"/>
        <w:ind w:firstLine="480" w:firstLineChars="200"/>
        <w:outlineLvl w:val="3"/>
      </w:pPr>
      <w:r>
        <w:rPr>
          <w:rFonts w:hint="eastAsia" w:ascii="仿宋" w:hAnsi="仿宋" w:eastAsia="仿宋" w:cs="仿宋_GB2312"/>
          <w:bCs/>
          <w:kern w:val="44"/>
          <w:sz w:val="24"/>
          <w:szCs w:val="24"/>
        </w:rPr>
        <w:t>现有场地中</w:t>
      </w:r>
      <w:r>
        <w:rPr>
          <w:rFonts w:hint="eastAsia" w:ascii="仿宋" w:hAnsi="仿宋" w:eastAsia="仿宋"/>
          <w:sz w:val="24"/>
          <w:szCs w:val="24"/>
        </w:rPr>
        <w:t>占地面积 3840㎡的焊接仓储库房，占地面积4320㎡总装仓储库房、占地面积1920㎡的总装西侧雨棚、占地面积12000㎡LOC配送中心以及占地面积为2000㎡的硬化场地</w:t>
      </w:r>
      <w:r>
        <w:rPr>
          <w:rFonts w:hint="eastAsia" w:ascii="仿宋" w:hAnsi="仿宋" w:eastAsia="仿宋" w:cs="仿宋_GB2312"/>
          <w:bCs/>
          <w:kern w:val="44"/>
          <w:sz w:val="24"/>
          <w:szCs w:val="24"/>
        </w:rPr>
        <w:t>，由甲方免费提供使用，其所有权归重汽（重庆）轻型汽车有限公司，场内设施、设备由外包服务商自行维护，主体建筑由重汽（重庆）轻型汽车有限公司统一管理</w:t>
      </w:r>
      <w:r>
        <w:rPr>
          <w:rFonts w:hint="eastAsia" w:ascii="仿宋" w:hAnsi="仿宋" w:eastAsia="仿宋" w:cs="仿宋_GB2312"/>
          <w:b/>
          <w:kern w:val="44"/>
          <w:sz w:val="24"/>
          <w:szCs w:val="24"/>
        </w:rPr>
        <w:t>。</w:t>
      </w:r>
    </w:p>
    <w:p w14:paraId="4226914B">
      <w:pPr>
        <w:spacing w:line="360" w:lineRule="auto"/>
        <w:jc w:val="left"/>
        <w:outlineLvl w:val="3"/>
        <w:rPr>
          <w:rFonts w:ascii="仿宋" w:hAnsi="仿宋" w:eastAsia="仿宋" w:cs="仿宋"/>
          <w:bCs/>
          <w:sz w:val="24"/>
          <w:szCs w:val="24"/>
        </w:rPr>
      </w:pPr>
      <w:r>
        <w:rPr>
          <w:rFonts w:hint="eastAsia" w:ascii="仿宋" w:hAnsi="仿宋" w:eastAsia="仿宋"/>
          <w:sz w:val="24"/>
          <w:szCs w:val="24"/>
        </w:rPr>
        <w:t>4.5.3.3</w:t>
      </w:r>
      <w:r>
        <w:rPr>
          <w:rFonts w:hint="eastAsia" w:ascii="仿宋" w:hAnsi="仿宋" w:eastAsia="仿宋" w:cs="仿宋"/>
          <w:bCs/>
          <w:kern w:val="44"/>
          <w:sz w:val="24"/>
          <w:szCs w:val="24"/>
        </w:rPr>
        <w:t>仓储设施的增加</w:t>
      </w:r>
    </w:p>
    <w:p w14:paraId="4E6DFE26">
      <w:pPr>
        <w:spacing w:line="360" w:lineRule="auto"/>
        <w:ind w:firstLine="480" w:firstLineChars="200"/>
        <w:jc w:val="left"/>
        <w:outlineLvl w:val="3"/>
        <w:rPr>
          <w:rFonts w:ascii="仿宋" w:hAnsi="仿宋" w:eastAsia="仿宋" w:cs="仿宋"/>
          <w:bCs/>
          <w:sz w:val="24"/>
          <w:szCs w:val="24"/>
        </w:rPr>
      </w:pPr>
      <w:r>
        <w:rPr>
          <w:rFonts w:hint="eastAsia" w:ascii="仿宋" w:hAnsi="仿宋" w:eastAsia="仿宋" w:cs="仿宋"/>
          <w:bCs/>
          <w:kern w:val="44"/>
          <w:sz w:val="24"/>
          <w:szCs w:val="24"/>
        </w:rPr>
        <w:t>因发展需要，外包服务商根据规划或自行配置的货架的仓储设施，由外包服务商自行投放，维护维修，自交接之日起由外包服务商自行增加的仓储设施其所有权归外包服务商。增加的仓储设施需符合重汽（重庆）汽车的整体规划。</w:t>
      </w:r>
      <w:r>
        <w:rPr>
          <w:rFonts w:hint="eastAsia" w:ascii="仿宋" w:hAnsi="仿宋" w:eastAsia="仿宋" w:cs="仿宋"/>
          <w:bCs/>
          <w:color w:val="000000"/>
          <w:sz w:val="24"/>
          <w:szCs w:val="24"/>
        </w:rPr>
        <w:t>本次中标后需供应商在入场时投放仓储简易货架（规划LOC西侧占地面积3840平方米投放货架），</w:t>
      </w:r>
      <w:r>
        <w:rPr>
          <w:rFonts w:hint="eastAsia" w:ascii="仿宋" w:hAnsi="仿宋" w:eastAsia="仿宋" w:cs="仿宋"/>
          <w:bCs/>
          <w:sz w:val="24"/>
          <w:szCs w:val="24"/>
        </w:rPr>
        <w:t>简易货架的规划，本次建议投放简易货架，两层梁三层货，具体规划如下：</w:t>
      </w:r>
    </w:p>
    <w:p w14:paraId="2ED683F7">
      <w:pPr>
        <w:spacing w:line="360" w:lineRule="auto"/>
        <w:jc w:val="left"/>
        <w:outlineLvl w:val="3"/>
      </w:pPr>
      <w:r>
        <w:rPr>
          <w:rFonts w:hint="eastAsia"/>
        </w:rPr>
        <w:t xml:space="preserve">                             简易货架规划平面图</w:t>
      </w:r>
    </w:p>
    <w:p w14:paraId="0A78BE8A">
      <w:pPr>
        <w:spacing w:line="360" w:lineRule="auto"/>
      </w:pPr>
      <w:r>
        <w:drawing>
          <wp:inline distT="0" distB="0" distL="114300" distR="114300">
            <wp:extent cx="5541645" cy="2265045"/>
            <wp:effectExtent l="0" t="0" r="825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541645" cy="2265045"/>
                    </a:xfrm>
                    <a:prstGeom prst="rect">
                      <a:avLst/>
                    </a:prstGeom>
                    <a:noFill/>
                    <a:ln>
                      <a:noFill/>
                    </a:ln>
                  </pic:spPr>
                </pic:pic>
              </a:graphicData>
            </a:graphic>
          </wp:inline>
        </w:drawing>
      </w:r>
    </w:p>
    <w:p w14:paraId="2EB09368">
      <w:pPr>
        <w:spacing w:line="360" w:lineRule="auto"/>
        <w:ind w:firstLine="4200" w:firstLineChars="2000"/>
      </w:pPr>
      <w:r>
        <w:rPr>
          <w:rFonts w:hint="eastAsia"/>
        </w:rPr>
        <w:t>简易货架示意图</w:t>
      </w:r>
    </w:p>
    <w:p w14:paraId="6BF8D741">
      <w:pPr>
        <w:spacing w:line="360" w:lineRule="auto"/>
      </w:pPr>
      <w:r>
        <w:drawing>
          <wp:inline distT="0" distB="0" distL="114300" distR="114300">
            <wp:extent cx="5518785" cy="1789430"/>
            <wp:effectExtent l="19050" t="19050" r="24765" b="20320"/>
            <wp:docPr id="2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pic:cNvPicPr>
                      <a:picLocks noChangeAspect="1"/>
                    </pic:cNvPicPr>
                  </pic:nvPicPr>
                  <pic:blipFill>
                    <a:blip r:embed="rId9"/>
                    <a:stretch>
                      <a:fillRect/>
                    </a:stretch>
                  </pic:blipFill>
                  <pic:spPr>
                    <a:xfrm>
                      <a:off x="0" y="0"/>
                      <a:ext cx="5518785" cy="1789430"/>
                    </a:xfrm>
                    <a:prstGeom prst="rect">
                      <a:avLst/>
                    </a:prstGeom>
                    <a:ln w="19050">
                      <a:solidFill>
                        <a:schemeClr val="bg2"/>
                      </a:solidFill>
                    </a:ln>
                  </pic:spPr>
                </pic:pic>
              </a:graphicData>
            </a:graphic>
          </wp:inline>
        </w:drawing>
      </w:r>
    </w:p>
    <w:p w14:paraId="436127F7">
      <w:pPr>
        <w:spacing w:line="360" w:lineRule="auto"/>
        <w:outlineLvl w:val="3"/>
        <w:rPr>
          <w:rFonts w:ascii="仿宋" w:hAnsi="仿宋" w:eastAsia="仿宋"/>
          <w:bCs/>
          <w:sz w:val="24"/>
          <w:szCs w:val="24"/>
        </w:rPr>
      </w:pPr>
      <w:r>
        <w:rPr>
          <w:rFonts w:hint="eastAsia" w:ascii="仿宋" w:hAnsi="仿宋" w:eastAsia="仿宋"/>
          <w:sz w:val="24"/>
          <w:szCs w:val="24"/>
        </w:rPr>
        <w:t>4.5.3.4</w:t>
      </w:r>
      <w:r>
        <w:rPr>
          <w:rFonts w:hint="eastAsia" w:ascii="仿宋" w:hAnsi="仿宋" w:eastAsia="仿宋" w:cs="仿宋_GB2312"/>
          <w:bCs/>
          <w:kern w:val="44"/>
          <w:sz w:val="24"/>
        </w:rPr>
        <w:t>仓储场地补充</w:t>
      </w:r>
    </w:p>
    <w:p w14:paraId="38753ACE">
      <w:pPr>
        <w:spacing w:line="360" w:lineRule="auto"/>
        <w:ind w:firstLine="480" w:firstLineChars="200"/>
        <w:outlineLvl w:val="3"/>
        <w:rPr>
          <w:rFonts w:ascii="仿宋" w:hAnsi="仿宋" w:eastAsia="仿宋"/>
          <w:sz w:val="24"/>
          <w:szCs w:val="24"/>
        </w:rPr>
      </w:pPr>
      <w:r>
        <w:rPr>
          <w:rFonts w:hint="eastAsia" w:ascii="仿宋" w:hAnsi="仿宋" w:eastAsia="仿宋"/>
          <w:sz w:val="24"/>
          <w:szCs w:val="24"/>
        </w:rPr>
        <w:t>现有厂区内场地通过仓储设施建设仍然不足的情况下，业务外包方可在重汽（重庆）轻型汽车有限公司工厂周边租赁实行VMI管理，运作服务费用和仓储费用由业务外包方与供应商自行根据具体标准由业务外包方与供应商签署服务协议。具体服务运作费用和仓储费用标准需报由重汽（重庆）轻型汽车有限公司采购部门、制造部生产物流室门审批备案后方可执行。</w:t>
      </w:r>
    </w:p>
    <w:p w14:paraId="424001F9">
      <w:pPr>
        <w:numPr>
          <w:ilvl w:val="2"/>
          <w:numId w:val="1"/>
        </w:numPr>
        <w:spacing w:line="360" w:lineRule="auto"/>
        <w:jc w:val="left"/>
        <w:outlineLvl w:val="2"/>
        <w:rPr>
          <w:rFonts w:ascii="仿宋" w:hAnsi="仿宋" w:eastAsia="仿宋"/>
          <w:b/>
          <w:sz w:val="24"/>
          <w:szCs w:val="24"/>
        </w:rPr>
      </w:pPr>
      <w:r>
        <w:rPr>
          <w:rFonts w:hint="eastAsia" w:ascii="仿宋" w:hAnsi="仿宋" w:eastAsia="仿宋"/>
          <w:b/>
          <w:sz w:val="24"/>
          <w:szCs w:val="24"/>
        </w:rPr>
        <w:t>物流设备</w:t>
      </w:r>
    </w:p>
    <w:p w14:paraId="7F722B13">
      <w:pPr>
        <w:spacing w:line="360" w:lineRule="auto"/>
        <w:outlineLvl w:val="3"/>
        <w:rPr>
          <w:rFonts w:ascii="仿宋" w:hAnsi="仿宋" w:eastAsia="仿宋"/>
          <w:b/>
          <w:bCs/>
          <w:sz w:val="24"/>
          <w:szCs w:val="24"/>
        </w:rPr>
      </w:pPr>
      <w:r>
        <w:rPr>
          <w:rFonts w:hint="eastAsia" w:ascii="仿宋" w:hAnsi="仿宋" w:eastAsia="仿宋"/>
          <w:sz w:val="24"/>
          <w:szCs w:val="24"/>
        </w:rPr>
        <w:t>4.5.4.1物流设备由乙方根据自行运作需要，所有物流设备由乙方自行提供，设备必须满足甲方需要，所有设备必须为绿色动力电动车，符合国家安全标准。</w:t>
      </w:r>
    </w:p>
    <w:p w14:paraId="05632FBC">
      <w:pPr>
        <w:spacing w:line="360" w:lineRule="auto"/>
        <w:jc w:val="left"/>
        <w:outlineLvl w:val="3"/>
        <w:rPr>
          <w:rFonts w:ascii="仿宋" w:hAnsi="仿宋" w:eastAsia="仿宋"/>
          <w:sz w:val="24"/>
          <w:szCs w:val="24"/>
        </w:rPr>
      </w:pPr>
      <w:r>
        <w:rPr>
          <w:rFonts w:hint="eastAsia" w:ascii="仿宋" w:hAnsi="仿宋" w:eastAsia="仿宋"/>
          <w:sz w:val="24"/>
          <w:szCs w:val="24"/>
        </w:rPr>
        <w:t>4.5.3.2甲方按乙方租赁设备进行业务对接，后期如乙方正常退出，不涉及资产转让和资产残值处理，所有设备维修、维护由乙方自行负责。</w:t>
      </w:r>
    </w:p>
    <w:p w14:paraId="65AEF1E5">
      <w:pPr>
        <w:numPr>
          <w:ilvl w:val="2"/>
          <w:numId w:val="1"/>
        </w:numPr>
        <w:spacing w:line="360" w:lineRule="auto"/>
        <w:jc w:val="left"/>
        <w:outlineLvl w:val="2"/>
        <w:rPr>
          <w:rFonts w:ascii="仿宋" w:hAnsi="仿宋" w:eastAsia="仿宋" w:cs="仿宋_GB2312"/>
          <w:b/>
          <w:kern w:val="44"/>
          <w:sz w:val="24"/>
        </w:rPr>
      </w:pPr>
      <w:r>
        <w:rPr>
          <w:rFonts w:hint="eastAsia" w:ascii="仿宋" w:hAnsi="仿宋" w:eastAsia="仿宋" w:cs="仿宋_GB2312"/>
          <w:b/>
          <w:kern w:val="44"/>
          <w:sz w:val="24"/>
        </w:rPr>
        <w:t>办公设备</w:t>
      </w:r>
    </w:p>
    <w:p w14:paraId="270E937E">
      <w:pPr>
        <w:spacing w:line="360" w:lineRule="auto"/>
        <w:ind w:firstLine="480" w:firstLineChars="200"/>
        <w:outlineLvl w:val="3"/>
        <w:rPr>
          <w:rFonts w:ascii="仿宋" w:hAnsi="仿宋" w:eastAsia="仿宋" w:cs="仿宋_GB2312"/>
          <w:color w:val="000000" w:themeColor="text1"/>
          <w:kern w:val="44"/>
          <w:sz w:val="24"/>
        </w:rPr>
      </w:pPr>
      <w:r>
        <w:rPr>
          <w:rFonts w:hint="eastAsia" w:ascii="仿宋" w:hAnsi="仿宋" w:eastAsia="仿宋" w:cs="仿宋_GB2312"/>
          <w:color w:val="000000" w:themeColor="text1"/>
          <w:kern w:val="44"/>
          <w:sz w:val="24"/>
        </w:rPr>
        <w:t>办公及办公用品，运营过程中使用的辅料及低值易耗品全权由外包服务商即中标方自行负责。</w:t>
      </w:r>
    </w:p>
    <w:p w14:paraId="47391E71">
      <w:pPr>
        <w:numPr>
          <w:ilvl w:val="2"/>
          <w:numId w:val="1"/>
        </w:numPr>
        <w:spacing w:line="360" w:lineRule="auto"/>
        <w:jc w:val="left"/>
        <w:outlineLvl w:val="2"/>
        <w:rPr>
          <w:rFonts w:ascii="仿宋" w:hAnsi="仿宋" w:eastAsia="仿宋" w:cs="仿宋_GB2312"/>
          <w:b/>
          <w:kern w:val="44"/>
          <w:sz w:val="24"/>
        </w:rPr>
      </w:pPr>
      <w:r>
        <w:rPr>
          <w:rFonts w:hint="eastAsia" w:ascii="仿宋" w:hAnsi="仿宋" w:eastAsia="仿宋" w:cs="仿宋_GB2312"/>
          <w:b/>
          <w:kern w:val="44"/>
          <w:sz w:val="24"/>
        </w:rPr>
        <w:t>资产保管</w:t>
      </w:r>
    </w:p>
    <w:p w14:paraId="57781CBD">
      <w:pPr>
        <w:spacing w:line="360" w:lineRule="auto"/>
        <w:ind w:firstLine="480" w:firstLineChars="200"/>
        <w:outlineLvl w:val="2"/>
        <w:rPr>
          <w:rFonts w:ascii="仿宋" w:hAnsi="仿宋" w:eastAsia="仿宋" w:cs="仿宋_GB2312"/>
          <w:color w:val="000000" w:themeColor="text1"/>
          <w:kern w:val="44"/>
          <w:sz w:val="24"/>
        </w:rPr>
      </w:pPr>
      <w:r>
        <w:rPr>
          <w:rFonts w:hint="eastAsia" w:ascii="仿宋" w:hAnsi="仿宋" w:eastAsia="仿宋" w:cs="仿宋_GB2312"/>
          <w:color w:val="000000" w:themeColor="text1"/>
          <w:kern w:val="44"/>
          <w:sz w:val="24"/>
        </w:rPr>
        <w:t>外包服输务商需确保投入</w:t>
      </w:r>
      <w:r>
        <w:rPr>
          <w:rFonts w:hint="eastAsia" w:ascii="仿宋" w:hAnsi="仿宋" w:eastAsia="仿宋"/>
          <w:color w:val="000000" w:themeColor="text1"/>
          <w:sz w:val="24"/>
          <w:szCs w:val="24"/>
        </w:rPr>
        <w:t>重汽（重庆）轻型汽车有限公司</w:t>
      </w:r>
      <w:r>
        <w:rPr>
          <w:rFonts w:hint="eastAsia" w:ascii="仿宋" w:hAnsi="仿宋" w:eastAsia="仿宋" w:cs="仿宋_GB2312"/>
          <w:color w:val="000000" w:themeColor="text1"/>
          <w:kern w:val="44"/>
          <w:sz w:val="24"/>
        </w:rPr>
        <w:t>的车辆、设备满足</w:t>
      </w:r>
      <w:r>
        <w:rPr>
          <w:rFonts w:hint="eastAsia" w:ascii="仿宋" w:hAnsi="仿宋" w:eastAsia="仿宋"/>
          <w:color w:val="000000" w:themeColor="text1"/>
          <w:sz w:val="24"/>
          <w:szCs w:val="24"/>
        </w:rPr>
        <w:t>重汽（重庆）轻型汽车有限公司</w:t>
      </w:r>
      <w:r>
        <w:rPr>
          <w:rFonts w:hint="eastAsia" w:ascii="仿宋" w:hAnsi="仿宋" w:eastAsia="仿宋" w:cs="仿宋_GB2312"/>
          <w:color w:val="000000" w:themeColor="text1"/>
          <w:kern w:val="44"/>
          <w:sz w:val="24"/>
        </w:rPr>
        <w:t>的运作、安全规定。对于</w:t>
      </w:r>
      <w:r>
        <w:rPr>
          <w:rFonts w:hint="eastAsia" w:ascii="仿宋" w:hAnsi="仿宋" w:eastAsia="仿宋"/>
          <w:color w:val="000000" w:themeColor="text1"/>
          <w:sz w:val="24"/>
          <w:szCs w:val="24"/>
        </w:rPr>
        <w:t>外包服务商</w:t>
      </w:r>
      <w:r>
        <w:rPr>
          <w:rFonts w:hint="eastAsia" w:ascii="仿宋" w:hAnsi="仿宋" w:eastAsia="仿宋" w:cs="仿宋_GB2312"/>
          <w:color w:val="000000" w:themeColor="text1"/>
          <w:kern w:val="44"/>
          <w:sz w:val="24"/>
        </w:rPr>
        <w:t>所保管或使用的</w:t>
      </w:r>
      <w:r>
        <w:rPr>
          <w:rFonts w:hint="eastAsia" w:ascii="仿宋" w:hAnsi="仿宋" w:eastAsia="仿宋"/>
          <w:color w:val="000000" w:themeColor="text1"/>
          <w:sz w:val="24"/>
          <w:szCs w:val="24"/>
        </w:rPr>
        <w:t>重汽（重庆）轻型汽车有限公司</w:t>
      </w:r>
      <w:r>
        <w:rPr>
          <w:rFonts w:hint="eastAsia" w:ascii="仿宋" w:hAnsi="仿宋" w:eastAsia="仿宋" w:cs="仿宋_GB2312"/>
          <w:color w:val="000000" w:themeColor="text1"/>
          <w:kern w:val="44"/>
          <w:sz w:val="24"/>
        </w:rPr>
        <w:t>厂房、设备、设施及资产，如发生损坏或丢失，</w:t>
      </w:r>
      <w:r>
        <w:rPr>
          <w:rFonts w:hint="eastAsia" w:ascii="仿宋" w:hAnsi="仿宋" w:eastAsia="仿宋"/>
          <w:color w:val="000000" w:themeColor="text1"/>
          <w:sz w:val="24"/>
          <w:szCs w:val="24"/>
        </w:rPr>
        <w:t>外包服务商</w:t>
      </w:r>
      <w:r>
        <w:rPr>
          <w:rFonts w:hint="eastAsia" w:ascii="仿宋" w:hAnsi="仿宋" w:eastAsia="仿宋" w:cs="仿宋_GB2312"/>
          <w:color w:val="000000" w:themeColor="text1"/>
          <w:kern w:val="44"/>
          <w:sz w:val="24"/>
        </w:rPr>
        <w:t>要负责照价赔偿。外包服务项目中由</w:t>
      </w:r>
      <w:r>
        <w:rPr>
          <w:rFonts w:hint="eastAsia" w:ascii="仿宋" w:hAnsi="仿宋" w:eastAsia="仿宋"/>
          <w:color w:val="000000" w:themeColor="text1"/>
          <w:sz w:val="24"/>
          <w:szCs w:val="24"/>
        </w:rPr>
        <w:t>重汽（重庆）轻型汽车有限公司</w:t>
      </w:r>
      <w:r>
        <w:rPr>
          <w:rFonts w:hint="eastAsia" w:ascii="仿宋" w:hAnsi="仿宋" w:eastAsia="仿宋" w:cs="仿宋_GB2312"/>
          <w:color w:val="000000" w:themeColor="text1"/>
          <w:kern w:val="44"/>
          <w:sz w:val="24"/>
        </w:rPr>
        <w:t>提供给供应商使用的固定资产（场地、设备和设施），权属于</w:t>
      </w:r>
      <w:r>
        <w:rPr>
          <w:rFonts w:hint="eastAsia" w:ascii="仿宋" w:hAnsi="仿宋" w:eastAsia="仿宋"/>
          <w:color w:val="000000" w:themeColor="text1"/>
          <w:sz w:val="24"/>
          <w:szCs w:val="24"/>
        </w:rPr>
        <w:t>重汽（重庆）轻型汽车有限公司</w:t>
      </w:r>
      <w:r>
        <w:rPr>
          <w:rFonts w:hint="eastAsia" w:ascii="仿宋" w:hAnsi="仿宋" w:eastAsia="仿宋" w:cs="仿宋_GB2312"/>
          <w:color w:val="000000" w:themeColor="text1"/>
          <w:kern w:val="44"/>
          <w:sz w:val="24"/>
        </w:rPr>
        <w:t xml:space="preserve">。 </w:t>
      </w:r>
    </w:p>
    <w:p w14:paraId="57C5B97C">
      <w:pPr>
        <w:numPr>
          <w:ilvl w:val="2"/>
          <w:numId w:val="1"/>
        </w:numPr>
        <w:spacing w:line="360" w:lineRule="auto"/>
        <w:outlineLvl w:val="2"/>
        <w:rPr>
          <w:rFonts w:ascii="仿宋" w:hAnsi="仿宋" w:eastAsia="仿宋" w:cs="仿宋_GB2312"/>
          <w:b/>
          <w:bCs/>
          <w:color w:val="000000" w:themeColor="text1"/>
          <w:kern w:val="44"/>
          <w:sz w:val="24"/>
        </w:rPr>
      </w:pPr>
      <w:r>
        <w:rPr>
          <w:rFonts w:hint="eastAsia" w:ascii="仿宋" w:hAnsi="仿宋" w:eastAsia="仿宋" w:cs="仿宋_GB2312"/>
          <w:b/>
          <w:bCs/>
          <w:color w:val="000000" w:themeColor="text1"/>
          <w:kern w:val="44"/>
          <w:sz w:val="24"/>
        </w:rPr>
        <w:t>能源</w:t>
      </w:r>
    </w:p>
    <w:p w14:paraId="00D3E77C">
      <w:pPr>
        <w:spacing w:line="360" w:lineRule="auto"/>
        <w:outlineLvl w:val="2"/>
        <w:rPr>
          <w:rFonts w:ascii="仿宋" w:hAnsi="仿宋" w:eastAsia="仿宋" w:cs="仿宋_GB2312"/>
          <w:color w:val="000000" w:themeColor="text1"/>
          <w:kern w:val="44"/>
          <w:sz w:val="24"/>
        </w:rPr>
      </w:pPr>
      <w:r>
        <w:rPr>
          <w:rFonts w:hint="eastAsia" w:ascii="仿宋" w:hAnsi="仿宋" w:eastAsia="仿宋" w:cs="仿宋_GB2312"/>
          <w:color w:val="000000" w:themeColor="text1"/>
          <w:kern w:val="44"/>
          <w:sz w:val="24"/>
        </w:rPr>
        <w:t>所有物流辖区的照明、充电所耗用的能源费用由外包服务商自行管理并单独计量支付。</w:t>
      </w:r>
    </w:p>
    <w:p w14:paraId="3A902FF3">
      <w:pPr>
        <w:numPr>
          <w:ilvl w:val="2"/>
          <w:numId w:val="1"/>
        </w:numPr>
        <w:spacing w:line="360" w:lineRule="auto"/>
        <w:outlineLvl w:val="2"/>
        <w:rPr>
          <w:rFonts w:ascii="仿宋" w:hAnsi="仿宋" w:eastAsia="仿宋" w:cs="仿宋_GB2312"/>
          <w:b/>
          <w:bCs/>
          <w:color w:val="000000" w:themeColor="text1"/>
          <w:kern w:val="44"/>
          <w:sz w:val="24"/>
        </w:rPr>
      </w:pPr>
      <w:r>
        <w:rPr>
          <w:rFonts w:hint="eastAsia" w:ascii="仿宋" w:hAnsi="仿宋" w:eastAsia="仿宋" w:cs="仿宋_GB2312"/>
          <w:b/>
          <w:bCs/>
          <w:color w:val="000000" w:themeColor="text1"/>
          <w:kern w:val="44"/>
          <w:sz w:val="24"/>
        </w:rPr>
        <w:t>VMI管理服务</w:t>
      </w:r>
    </w:p>
    <w:p w14:paraId="6E3F51B3">
      <w:pPr>
        <w:spacing w:line="360" w:lineRule="auto"/>
        <w:rPr>
          <w:rFonts w:ascii="仿宋" w:hAnsi="仿宋" w:eastAsia="仿宋" w:cs="仿宋_GB2312"/>
          <w:color w:val="000000" w:themeColor="text1"/>
          <w:kern w:val="44"/>
          <w:sz w:val="24"/>
        </w:rPr>
      </w:pPr>
      <w:r>
        <w:rPr>
          <w:rFonts w:hint="eastAsia" w:ascii="仿宋" w:hAnsi="仿宋" w:eastAsia="仿宋" w:cs="仿宋_GB2312"/>
          <w:color w:val="000000" w:themeColor="text1"/>
          <w:kern w:val="44"/>
          <w:sz w:val="24"/>
        </w:rPr>
        <w:t>4.5.8.1重庆（重庆）轻型汽车有限公司根据战略规划，视情况适时开展实施VMI（对供应商物料实施仓储和运作服务进行收费管理）服务管理，对实施VMI服务的供应商，由零部件供应商直接与外包服务商进行物流物务合同签定。</w:t>
      </w:r>
    </w:p>
    <w:p w14:paraId="2F946CDA">
      <w:pPr>
        <w:spacing w:line="360" w:lineRule="auto"/>
        <w:rPr>
          <w:rFonts w:ascii="仿宋" w:hAnsi="仿宋" w:eastAsia="仿宋" w:cs="仿宋_GB2312"/>
          <w:color w:val="000000" w:themeColor="text1"/>
          <w:kern w:val="44"/>
          <w:sz w:val="24"/>
        </w:rPr>
      </w:pPr>
      <w:r>
        <w:rPr>
          <w:rFonts w:hint="eastAsia" w:ascii="仿宋" w:hAnsi="仿宋" w:eastAsia="仿宋" w:cs="仿宋_GB2312"/>
          <w:color w:val="000000" w:themeColor="text1"/>
          <w:kern w:val="44"/>
          <w:sz w:val="24"/>
        </w:rPr>
        <w:t>4.5.8.2外包服务商不得随意与供应商开展和签定VMI服务合同，必须由重汽（重庆）轻型汽车采购部和制造部生产物流室监管下开展，VMI服务合同需由重汽（重庆）轻型汽车审核后方可执行。</w:t>
      </w:r>
    </w:p>
    <w:p w14:paraId="0B9654CA">
      <w:pPr>
        <w:spacing w:line="360" w:lineRule="auto"/>
        <w:rPr>
          <w:rFonts w:ascii="仿宋" w:hAnsi="仿宋" w:eastAsia="仿宋" w:cs="仿宋_GB2312"/>
          <w:color w:val="000000" w:themeColor="text1"/>
          <w:kern w:val="44"/>
          <w:sz w:val="24"/>
        </w:rPr>
      </w:pPr>
      <w:r>
        <w:rPr>
          <w:rFonts w:hint="eastAsia" w:ascii="仿宋" w:hAnsi="仿宋" w:eastAsia="仿宋" w:cs="仿宋_GB2312"/>
          <w:color w:val="000000" w:themeColor="text1"/>
          <w:kern w:val="44"/>
          <w:sz w:val="24"/>
        </w:rPr>
        <w:t>4.5.8.3当VMI服务是利用厂内场地实施时，收取VMI仓储费和服务费，收取费用归属重汽（重庆）轻型汽车有限公司，由重汽（重庆）轻型汽车有限公司从应支付物流费用中抵扣。</w:t>
      </w:r>
    </w:p>
    <w:p w14:paraId="7B3B3548">
      <w:pPr>
        <w:spacing w:line="360" w:lineRule="auto"/>
        <w:rPr>
          <w:rFonts w:ascii="仿宋" w:hAnsi="仿宋" w:eastAsia="仿宋" w:cs="仿宋_GB2312"/>
          <w:color w:val="000000" w:themeColor="text1"/>
          <w:kern w:val="44"/>
          <w:sz w:val="24"/>
        </w:rPr>
      </w:pPr>
      <w:r>
        <w:rPr>
          <w:rFonts w:hint="eastAsia" w:ascii="仿宋" w:hAnsi="仿宋" w:eastAsia="仿宋" w:cs="仿宋_GB2312"/>
          <w:color w:val="000000" w:themeColor="text1"/>
          <w:kern w:val="44"/>
          <w:sz w:val="24"/>
        </w:rPr>
        <w:t>4.5.8.4当厂内场地不足时，VMI服务是利用厂外场地实施时，外包服务商必需向重汽（重庆）轻型汽车备案后方可执行，收取费用归属外包服务商。场地租赁，短驳运输，经营由外包服务商自行负责。</w:t>
      </w:r>
    </w:p>
    <w:p w14:paraId="1918391C">
      <w:pPr>
        <w:numPr>
          <w:ilvl w:val="2"/>
          <w:numId w:val="1"/>
        </w:numPr>
        <w:spacing w:line="360" w:lineRule="auto"/>
        <w:outlineLvl w:val="2"/>
        <w:rPr>
          <w:rFonts w:ascii="仿宋" w:hAnsi="仿宋" w:eastAsia="仿宋" w:cs="仿宋_GB2312"/>
          <w:b/>
          <w:bCs/>
          <w:color w:val="000000" w:themeColor="text1"/>
          <w:kern w:val="44"/>
          <w:sz w:val="24"/>
        </w:rPr>
      </w:pPr>
      <w:r>
        <w:rPr>
          <w:rFonts w:hint="eastAsia" w:ascii="仿宋" w:hAnsi="仿宋" w:eastAsia="仿宋" w:cs="仿宋_GB2312"/>
          <w:b/>
          <w:bCs/>
          <w:color w:val="000000" w:themeColor="text1"/>
          <w:kern w:val="44"/>
          <w:sz w:val="24"/>
        </w:rPr>
        <w:t>厂外新能源动力电池仓储</w:t>
      </w:r>
    </w:p>
    <w:p w14:paraId="24C2015B">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4.5.9.1货物交付与验收</w:t>
      </w:r>
    </w:p>
    <w:p w14:paraId="352E340E">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4.5.9.1.1交付：甲方应提前通知乙方货物的交付时间、数量、规格等信息。乙方应按照甲方通知的时间和要求，做好货物接收准备工作。货物交付地点为乙方仓库所在地。</w:t>
      </w:r>
    </w:p>
    <w:p w14:paraId="11121B1D">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4.5.9.1.2 验收：乙方在接收货物时，应对货物的数量、规格、外观等进行验收并签字确认；如发现货物存在数量不符、规格不符、外观损坏等问题，应及时通知甲方。</w:t>
      </w:r>
    </w:p>
    <w:p w14:paraId="3FA7DC9A">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4.5.9.1.3.所有动力电池均为甲方委托乙方仓储运输物流服务，未有甲方通知，乙方不得随意接收未经许可的收货；如出现违规接收，所有损失由乙方自行承担。</w:t>
      </w:r>
    </w:p>
    <w:p w14:paraId="1C1B8914">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4.5.9.2仓储服务：</w:t>
      </w:r>
    </w:p>
    <w:p w14:paraId="2DBB19D7">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4.5.9.2.1.存储：乙方提供符合新能源电池安全存储标准的仓库场地，用于甲方新能源电池的存放。仓库应具备完善的消防、通风、温度与湿度控制、防火防爆等安全设施设备，并定期进行检查与维护，确保符合相关安全规范。</w:t>
      </w:r>
    </w:p>
    <w:p w14:paraId="0B76CD3F">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4.5.9.2.2 货物管理：乙方负责对甲方存储的新能源电池进行出入库管理，包括货物的清点、验收、上架、保管、盘点、下架等操作。乙方应准确记录货物的出入库时间、数量、状态等信息，并建立详细的库存台账，以便甲方随时查询。</w:t>
      </w:r>
    </w:p>
    <w:p w14:paraId="34A58DEF">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4.5.9.2.3未经甲方书面同意，不得擅自将甲方货物转租、转存给第三方。</w:t>
      </w:r>
    </w:p>
    <w:p w14:paraId="7E8CC00D">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4.5.9.2.4严格遵守国家有关新能源电池安全存储的法律法规和行业标准，接受相关部门的监督检查，并积极配合甲方进行安全检查和整改工作。</w:t>
      </w:r>
    </w:p>
    <w:p w14:paraId="07D40D4E">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4.5.9.3短驳运输服务</w:t>
      </w:r>
    </w:p>
    <w:p w14:paraId="1D628BC2">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4.5.9.3.1甲方提前1天将生产所需的电池型号、电池数量信息提供给乙方，乙方需在规定时间将生产所需的动力电池短驳运输到甲方工厂，因乙方原因，造成停线，由甲方按200元/分钟实施考核。</w:t>
      </w:r>
    </w:p>
    <w:p w14:paraId="48E37B8D">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4.5.9.3.2乙方需使用符合国家标准的运输车辆，确保运输安全。确保在规定时间内完成运输任务</w:t>
      </w:r>
    </w:p>
    <w:p w14:paraId="54B7C96B">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4.5.9.3.3乙方需在运输、转运过程中，使用标准运输和转运设备进行，必须按规范进行操作，确保动力电池不受到撞击、损坏等。</w:t>
      </w:r>
    </w:p>
    <w:p w14:paraId="3A032170">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4.5.9.4安全管控</w:t>
      </w:r>
    </w:p>
    <w:p w14:paraId="1AC83E0D">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4.5.9.4.1由乙方寻找符合动力电池存储安全规定的标准库房进行存储，由甲方全权委托乙方对电池进行日常的安全管理，乙方提供的动力电池库房，必须符合电池存储条件必须符合国家和行业规定，动力电池的仓储、运输、转运须符合重汽（重庆）轻型汽车有限公司（GBD1401011《新能源车动力电池EHS管理规范》中管理内容和要求详见附件）。</w:t>
      </w:r>
    </w:p>
    <w:p w14:paraId="12D7D7E6">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4.5.9.4.2乙方应当指定专人负责动力电池安全仓库的日常管理和保管工作，负责人具有相关的管理经验和技术知识；动力电池安全仓库的使用人员必须接受相关的安全培训，取得相应的仓库使用资格证书方可进入动力电池安全仓库工作。</w:t>
      </w:r>
    </w:p>
    <w:p w14:paraId="4F6E5AD9">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4.5.9.4.3动力电池安全仓库定期对使用人员进行安全防护培训，提高人员的安全意识和应对突发事件的能力。动力电池安全仓库的使用人员应当切实履行仓库管理的责任，如发现异常情况及时报告并采取相应的措施。</w:t>
      </w:r>
    </w:p>
    <w:p w14:paraId="29286DE5">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4.5.9.4.4应急处理：乙方制定针对新能源电池存储可能出现的安全事故（如火灾、爆炸、泄漏等）的应急预案，并定期进行演练。一旦发生安全事故，乙方应立即启动应急预案，采取有效的应急措施，降低事故损失，并及时通知甲方。</w:t>
      </w:r>
    </w:p>
    <w:p w14:paraId="19423420">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4.5.9.5厂外电池库房收费：厂外电池库房根据重汽（重庆）轻型汽车有限公司规划，按季度锁定仓储面积，招标时按仓储费用面积单价进行报价。</w:t>
      </w:r>
    </w:p>
    <w:p w14:paraId="46FF18D7">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4.5.9.6租赁面积根据当季电池产销量规划进行存储量进行测算，测算后的方案由外包服务商报重汽（重庆）轻型汽车有限公司审核批准，并核定为当期租赁面积，由重汽（重庆）轻型汽车有限公司按月支付。</w:t>
      </w:r>
    </w:p>
    <w:p w14:paraId="0E67CCD8">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4.5.9.7仓储管理费用：按年测算，管理费用按年计，均摊至每月，按月支付管理费用。</w:t>
      </w:r>
    </w:p>
    <w:p w14:paraId="73FBA21D">
      <w:pPr>
        <w:widowControl/>
        <w:adjustRightInd w:val="0"/>
        <w:snapToGrid w:val="0"/>
        <w:spacing w:line="360" w:lineRule="auto"/>
        <w:contextualSpacing/>
        <w:jc w:val="left"/>
        <w:rPr>
          <w:rFonts w:ascii="仿宋" w:hAnsi="仿宋" w:eastAsia="仿宋"/>
        </w:rPr>
      </w:pPr>
      <w:r>
        <w:rPr>
          <w:rFonts w:hint="eastAsia" w:ascii="仿宋" w:hAnsi="仿宋" w:eastAsia="仿宋" w:cs="仿宋_GB2312"/>
          <w:kern w:val="44"/>
          <w:sz w:val="24"/>
          <w:szCs w:val="28"/>
        </w:rPr>
        <w:t>4.5.9.8短驳费用：短驳费用，原则上要求外包服务公司寻求电池库房在重汽（重庆）轻型汽车有限公司方圆30公里范围内，短驳费用按次计，短驳费用单面运输一次费用进行报价，费用结算按月度短驳次数进行计算。9</w:t>
      </w:r>
      <w:r>
        <w:rPr>
          <w:rFonts w:ascii="仿宋" w:hAnsi="仿宋" w:eastAsia="仿宋" w:cs="仿宋_GB2312"/>
          <w:kern w:val="44"/>
          <w:sz w:val="24"/>
          <w:szCs w:val="28"/>
        </w:rPr>
        <w:t>.6</w:t>
      </w:r>
      <w:r>
        <w:rPr>
          <w:rFonts w:hint="eastAsia" w:ascii="仿宋" w:hAnsi="仿宋" w:eastAsia="仿宋" w:cs="仿宋_GB2312"/>
          <w:kern w:val="44"/>
          <w:sz w:val="24"/>
          <w:szCs w:val="28"/>
        </w:rPr>
        <w:t>米</w:t>
      </w:r>
    </w:p>
    <w:p w14:paraId="4D0F6CC1">
      <w:pPr>
        <w:pStyle w:val="3"/>
        <w:numPr>
          <w:ilvl w:val="1"/>
          <w:numId w:val="1"/>
        </w:numPr>
        <w:rPr>
          <w:rFonts w:hint="default" w:ascii="仿宋" w:hAnsi="仿宋" w:eastAsia="仿宋" w:cs="仿宋_GB2312"/>
          <w:kern w:val="44"/>
          <w:szCs w:val="28"/>
        </w:rPr>
      </w:pPr>
      <w:bookmarkStart w:id="36" w:name="_Toc16285"/>
      <w:r>
        <w:rPr>
          <w:rFonts w:ascii="仿宋" w:hAnsi="仿宋" w:eastAsia="仿宋" w:cs="仿宋_GB2312"/>
          <w:kern w:val="44"/>
          <w:szCs w:val="28"/>
        </w:rPr>
        <w:t>过失赔偿</w:t>
      </w:r>
      <w:bookmarkEnd w:id="36"/>
    </w:p>
    <w:p w14:paraId="051EB130">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乙方在运作过程中因过失或被甲方监管部门KPI考核产生的扣款，在当月应收物流服务费用中由甲方扣除后进行支付。因外包服务商公司原因发生下列情况时，外包服务商公司应在事发当月按下列要求向甲方做出赔偿：</w:t>
      </w:r>
    </w:p>
    <w:p w14:paraId="6BC62599">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4.6.1 造成甲方重大安全问题的，除承担甲方实际损失外， 甲方保留进一步索赔的权利。</w:t>
      </w:r>
    </w:p>
    <w:p w14:paraId="60A5B5CC">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4.6.2 未准时发料(或错发料)造成甲方经济损失的，按实际损失进行赔偿。</w:t>
      </w:r>
    </w:p>
    <w:p w14:paraId="7E15E43E">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4.6.3 发生客户索赔(或由于未执行甲方产品可追溯性要求)造成损失的，承担相应的赔偿责任。由此引起紧急运输的，还须按甲方实际发生额承担运输费。</w:t>
      </w:r>
    </w:p>
    <w:p w14:paraId="0E64BC99">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4.6.4 未执行“先进先出”原则(或未及时报告接收差异情况)导致零件无法使用或无法索赔的，按实际损失进行赔偿。</w:t>
      </w:r>
    </w:p>
    <w:p w14:paraId="531F16E0">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4.6.5 在外包服务商公司负责操作管理区域内发生物料(或包装材料)损坏、或遗失的，不论任何客观原因先按甲方实际损失进行赔偿。由此引起紧急运输的，还须按实际发生额承担运输费。如系接收方在接收时发现物料(或包装材料)损坏(或短缺)， 甲方索赔的范围将包括整个合同年度内所有曾发生的不明原因的损坏(或遗失)量。外包服务商公司同时也有再追溯的权力，以确凿的证据向甲方相关部门申诉。</w:t>
      </w:r>
    </w:p>
    <w:p w14:paraId="6C83B3C5">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4.6.6 盘点(或系统账面)错误造成甲方经济损失和供应商经济损失的，按实际损失进行赔偿。其中，误盘盈造成甲方少采购了相关配套零件的，按盘盈数相对应的甲方实际采购费用进行赔偿；误盘亏造成甲方多采购了零件(包括相关配套零件)、或提前断点的，按盘亏数相对应的实际损失进行赔偿。</w:t>
      </w:r>
    </w:p>
    <w:p w14:paraId="3C9DBEDD">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4.6.7 信息沟通不及时造成物料过时不再需要、或过期无法使用的，按甲方实际损失进行赔偿。</w:t>
      </w:r>
    </w:p>
    <w:p w14:paraId="0ADE4AA0">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4.6.8 造成甲方设备和设施损坏、或遗失的，按实际损失进行赔偿。</w:t>
      </w:r>
    </w:p>
    <w:p w14:paraId="4C7BF266">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4.6.9 因外包服务商公司自身过错导致甲方工厂生产停线，外包服务商公司应赔偿甲方经济损失，赔偿金额为人民币（RMB200元/分钟）。</w:t>
      </w:r>
    </w:p>
    <w:p w14:paraId="76D58AFC">
      <w:pPr>
        <w:numPr>
          <w:ilvl w:val="0"/>
          <w:numId w:val="1"/>
        </w:numPr>
        <w:spacing w:line="360" w:lineRule="auto"/>
        <w:jc w:val="left"/>
        <w:outlineLvl w:val="0"/>
        <w:rPr>
          <w:rFonts w:ascii="仿宋" w:hAnsi="仿宋" w:eastAsia="仿宋"/>
          <w:b/>
          <w:sz w:val="24"/>
          <w:szCs w:val="24"/>
        </w:rPr>
      </w:pPr>
      <w:bookmarkStart w:id="37" w:name="_Toc234"/>
      <w:r>
        <w:rPr>
          <w:rFonts w:hint="eastAsia" w:ascii="仿宋" w:hAnsi="仿宋" w:eastAsia="仿宋"/>
          <w:b/>
          <w:sz w:val="24"/>
          <w:szCs w:val="24"/>
        </w:rPr>
        <w:t>供应商资质能力审查</w:t>
      </w:r>
      <w:bookmarkEnd w:id="37"/>
    </w:p>
    <w:p w14:paraId="5AFD0291">
      <w:pPr>
        <w:spacing w:line="360" w:lineRule="auto"/>
        <w:ind w:left="-3"/>
        <w:jc w:val="left"/>
        <w:outlineLvl w:val="1"/>
        <w:rPr>
          <w:rFonts w:ascii="仿宋" w:hAnsi="仿宋" w:eastAsia="仿宋"/>
          <w:sz w:val="24"/>
          <w:szCs w:val="24"/>
        </w:rPr>
      </w:pPr>
      <w:bookmarkStart w:id="38" w:name="_Toc8385"/>
      <w:r>
        <w:rPr>
          <w:rFonts w:hint="eastAsia" w:ascii="仿宋" w:hAnsi="仿宋" w:eastAsia="仿宋"/>
          <w:sz w:val="24"/>
          <w:szCs w:val="24"/>
        </w:rPr>
        <w:t>5.1供应商准入条件</w:t>
      </w:r>
      <w:bookmarkEnd w:id="38"/>
    </w:p>
    <w:p w14:paraId="28AABC1D">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a.企业注册资本1000万以上，近3年信用良好且无失信行为；</w:t>
      </w:r>
    </w:p>
    <w:p w14:paraId="40A509C8">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b.具有汽车及零部件生产物流和VMI运作业绩及案例；具备仓储、配送、运输、整车物流运输等物流服务资质；</w:t>
      </w:r>
    </w:p>
    <w:p w14:paraId="7815964D">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sz w:val="24"/>
          <w:szCs w:val="24"/>
        </w:rPr>
        <w:t>c.乙方须接手甲方现行自主运营物流人员;设备、办公设备、耗材由乙方自行提供</w:t>
      </w:r>
      <w:r>
        <w:rPr>
          <w:rFonts w:hint="eastAsia" w:ascii="仿宋" w:hAnsi="仿宋" w:eastAsia="仿宋" w:cs="仿宋_GB2312"/>
          <w:kern w:val="44"/>
          <w:sz w:val="24"/>
          <w:szCs w:val="28"/>
        </w:rPr>
        <w:t>。</w:t>
      </w:r>
    </w:p>
    <w:p w14:paraId="78619578">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d.零部件物流服务业务不允许外包；</w:t>
      </w:r>
    </w:p>
    <w:p w14:paraId="2F9507D6">
      <w:pPr>
        <w:spacing w:line="360" w:lineRule="auto"/>
        <w:ind w:left="-3"/>
        <w:jc w:val="left"/>
        <w:outlineLvl w:val="1"/>
        <w:rPr>
          <w:rFonts w:ascii="仿宋" w:hAnsi="仿宋" w:eastAsia="仿宋"/>
          <w:sz w:val="24"/>
          <w:szCs w:val="24"/>
        </w:rPr>
      </w:pPr>
      <w:bookmarkStart w:id="39" w:name="_Toc28982"/>
      <w:r>
        <w:rPr>
          <w:rFonts w:hint="eastAsia" w:ascii="仿宋" w:hAnsi="仿宋" w:eastAsia="仿宋"/>
          <w:sz w:val="24"/>
          <w:szCs w:val="24"/>
        </w:rPr>
        <w:t>5.2为保证外包服务商公司的合格性，外包服务商公司应向我公司提供以下资料：</w:t>
      </w:r>
      <w:bookmarkEnd w:id="39"/>
    </w:p>
    <w:p w14:paraId="418E8068">
      <w:pPr>
        <w:widowControl/>
        <w:tabs>
          <w:tab w:val="left" w:pos="709"/>
        </w:tabs>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a.企业资质证明(税务登记证副本复印件、营业执照副本复印件、组织机构代码证副本复印件、</w:t>
      </w:r>
      <w:r>
        <w:rPr>
          <w:rFonts w:ascii="仿宋" w:hAnsi="仿宋" w:eastAsia="仿宋" w:cs="仿宋_GB2312"/>
          <w:kern w:val="44"/>
          <w:sz w:val="24"/>
          <w:szCs w:val="28"/>
        </w:rPr>
        <w:t>公司</w:t>
      </w:r>
      <w:r>
        <w:rPr>
          <w:rFonts w:hint="eastAsia" w:ascii="仿宋" w:hAnsi="仿宋" w:eastAsia="仿宋" w:cs="仿宋_GB2312"/>
          <w:kern w:val="44"/>
          <w:sz w:val="24"/>
          <w:szCs w:val="28"/>
        </w:rPr>
        <w:t>法定代表人身份证明书（后附格式）、法定代表人授权委托书（后附格式）。以上文件为复印件的需加盖公司公章，以上文件均需要最新审核版本)；</w:t>
      </w:r>
    </w:p>
    <w:p w14:paraId="4D54AE92">
      <w:pPr>
        <w:widowControl/>
        <w:tabs>
          <w:tab w:val="left" w:pos="709"/>
        </w:tabs>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b.所做的业绩以及案例；</w:t>
      </w:r>
    </w:p>
    <w:p w14:paraId="77BA6D89">
      <w:pPr>
        <w:widowControl/>
        <w:tabs>
          <w:tab w:val="left" w:pos="709"/>
        </w:tabs>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c.焊装生产物流、总装生产物流的运作技术方案（参与本项目运作团队和项目经理介绍、如何接手现有甲方自主运营的物流运作团队、物流账实管理及物流规划管理的平稳过渡以及后期比较详细的运作规划方案）；</w:t>
      </w:r>
    </w:p>
    <w:p w14:paraId="19362234">
      <w:pPr>
        <w:widowControl/>
        <w:tabs>
          <w:tab w:val="left" w:pos="709"/>
        </w:tabs>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d.提供近三年的审计报告或财务报表。(备注：a至d项目证明材料单独密封并加盖公章)</w:t>
      </w:r>
    </w:p>
    <w:p w14:paraId="75ED805A">
      <w:pPr>
        <w:widowControl/>
        <w:tabs>
          <w:tab w:val="left" w:pos="709"/>
        </w:tabs>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e.按产量分段提报物流服务费用标准（在商务报价中体现单独密封并加盖公章）;</w:t>
      </w:r>
    </w:p>
    <w:p w14:paraId="5BA221DA">
      <w:pPr>
        <w:spacing w:line="360" w:lineRule="auto"/>
        <w:jc w:val="left"/>
        <w:outlineLvl w:val="0"/>
        <w:rPr>
          <w:rFonts w:ascii="仿宋" w:hAnsi="仿宋" w:eastAsia="仿宋"/>
          <w:b/>
          <w:sz w:val="24"/>
          <w:szCs w:val="24"/>
        </w:rPr>
      </w:pPr>
      <w:bookmarkStart w:id="40" w:name="_Toc7772"/>
      <w:r>
        <w:rPr>
          <w:rFonts w:hint="eastAsia" w:ascii="仿宋" w:hAnsi="仿宋" w:eastAsia="仿宋"/>
          <w:b/>
          <w:sz w:val="24"/>
          <w:szCs w:val="24"/>
        </w:rPr>
        <w:t>6、业务运作需求</w:t>
      </w:r>
      <w:bookmarkEnd w:id="40"/>
    </w:p>
    <w:p w14:paraId="5853B52B">
      <w:pPr>
        <w:spacing w:line="360" w:lineRule="auto"/>
        <w:ind w:left="-3"/>
        <w:jc w:val="left"/>
        <w:outlineLvl w:val="1"/>
        <w:rPr>
          <w:rFonts w:ascii="仿宋" w:hAnsi="仿宋" w:eastAsia="仿宋"/>
          <w:b/>
          <w:sz w:val="24"/>
          <w:szCs w:val="24"/>
        </w:rPr>
      </w:pPr>
      <w:bookmarkStart w:id="41" w:name="_Toc28682"/>
      <w:r>
        <w:rPr>
          <w:rFonts w:hint="eastAsia" w:ascii="仿宋" w:hAnsi="仿宋" w:eastAsia="仿宋"/>
          <w:b/>
          <w:sz w:val="24"/>
          <w:szCs w:val="24"/>
        </w:rPr>
        <w:t>6.1乙方人员要求</w:t>
      </w:r>
      <w:bookmarkEnd w:id="41"/>
    </w:p>
    <w:p w14:paraId="2249C3D9">
      <w:pPr>
        <w:spacing w:line="360" w:lineRule="auto"/>
        <w:rPr>
          <w:rFonts w:ascii="仿宋" w:hAnsi="仿宋" w:eastAsia="仿宋" w:cs="仿宋_GB2312"/>
          <w:kern w:val="44"/>
          <w:sz w:val="24"/>
        </w:rPr>
      </w:pPr>
      <w:r>
        <w:rPr>
          <w:rFonts w:hint="eastAsia" w:ascii="仿宋" w:hAnsi="仿宋" w:eastAsia="仿宋" w:cs="仿宋_GB2312"/>
          <w:kern w:val="44"/>
          <w:sz w:val="24"/>
        </w:rPr>
        <w:t>6.1.1 外包服务商公司根据甲方的整体年产量、新车型量产进度及物流规划，设置自身内部组织机构和人员配置，并向甲方定期提交人员组织机构图、岗位说明书以及人员分工表等。组织机构的设置、更改以及人员的配备必须满足甲方的精益生产和业务发展的需要，其中必须具有对安全和质量保证进行管理及监控的功能。</w:t>
      </w:r>
    </w:p>
    <w:p w14:paraId="066786B2">
      <w:pPr>
        <w:spacing w:line="360" w:lineRule="auto"/>
        <w:rPr>
          <w:rFonts w:ascii="仿宋" w:hAnsi="仿宋" w:eastAsia="仿宋" w:cs="仿宋_GB2312"/>
          <w:kern w:val="44"/>
          <w:sz w:val="24"/>
        </w:rPr>
      </w:pPr>
      <w:r>
        <w:rPr>
          <w:rFonts w:hint="eastAsia" w:ascii="仿宋" w:hAnsi="仿宋" w:eastAsia="仿宋" w:cs="仿宋_GB2312"/>
          <w:kern w:val="44"/>
          <w:sz w:val="24"/>
        </w:rPr>
        <w:t>6.1.2 外包服务商公司应该建立完善的人事管理制度。各级人员应具备“一人多岗”，在管理上要求做到 “一岗多人”。在组织机构设置和人员配备上，外包服务商公司应充分体现这一要求，达到人员的高效。</w:t>
      </w:r>
    </w:p>
    <w:p w14:paraId="4220E8D6">
      <w:pPr>
        <w:spacing w:line="360" w:lineRule="auto"/>
        <w:rPr>
          <w:rFonts w:ascii="仿宋" w:hAnsi="仿宋" w:eastAsia="仿宋" w:cs="仿宋_GB2312"/>
          <w:kern w:val="44"/>
          <w:sz w:val="24"/>
        </w:rPr>
      </w:pPr>
      <w:r>
        <w:rPr>
          <w:rFonts w:hint="eastAsia" w:ascii="仿宋" w:hAnsi="仿宋" w:eastAsia="仿宋" w:cs="仿宋_GB2312"/>
          <w:kern w:val="44"/>
          <w:sz w:val="24"/>
        </w:rPr>
        <w:t>6.1.3 外包服务商公司根据甲方的业务需要定期安排人员培训，保存培训记录，培训费用由其自行承担。此类培训必须包括基本操作技能及标准化作业的培训、安全和消防的培训、新业务流程和要求方面的培训、甲方组织的物流业务培训等。如果需要，外包服务商公司应根据甲方要求及时提交培训计划，对新聘的员工在服务前需进行三级培训。</w:t>
      </w:r>
    </w:p>
    <w:p w14:paraId="03668D97">
      <w:pPr>
        <w:spacing w:line="360" w:lineRule="auto"/>
        <w:rPr>
          <w:rFonts w:ascii="仿宋" w:hAnsi="仿宋" w:eastAsia="仿宋" w:cs="仿宋_GB2312"/>
          <w:kern w:val="44"/>
          <w:sz w:val="24"/>
        </w:rPr>
      </w:pPr>
      <w:r>
        <w:rPr>
          <w:rFonts w:hint="eastAsia" w:ascii="仿宋" w:hAnsi="仿宋" w:eastAsia="仿宋" w:cs="仿宋_GB2312"/>
          <w:kern w:val="44"/>
          <w:sz w:val="24"/>
        </w:rPr>
        <w:t>6.1.4 外包服务商公司所需特种作业证人员均需持有效证件，对特种设备要按规定进行保养、年检等。甲方定期复审及要求外包服务商公司证明工作人员资格、技能和人数的确切资料，外包服务商公司应根据实际业务需求做出相应的调整。</w:t>
      </w:r>
    </w:p>
    <w:p w14:paraId="1DA7CA25">
      <w:pPr>
        <w:spacing w:line="360" w:lineRule="auto"/>
        <w:rPr>
          <w:rFonts w:ascii="仿宋" w:hAnsi="仿宋" w:eastAsia="仿宋" w:cs="仿宋_GB2312"/>
          <w:kern w:val="44"/>
          <w:sz w:val="24"/>
        </w:rPr>
      </w:pPr>
      <w:r>
        <w:rPr>
          <w:rFonts w:hint="eastAsia" w:ascii="仿宋" w:hAnsi="仿宋" w:eastAsia="仿宋" w:cs="仿宋_GB2312"/>
          <w:kern w:val="44"/>
          <w:sz w:val="24"/>
        </w:rPr>
        <w:t>6.1.5 外包服务商公司员工工作服及劳保用品要符合国家安全委员会的相关规定，颜色及款式报甲方认可，对不符合有关规定者，将不能进入甲方生产区域。</w:t>
      </w:r>
    </w:p>
    <w:p w14:paraId="1B399DC7">
      <w:pPr>
        <w:spacing w:line="360" w:lineRule="auto"/>
        <w:rPr>
          <w:rFonts w:ascii="仿宋" w:hAnsi="仿宋" w:eastAsia="仿宋" w:cs="仿宋_GB2312"/>
          <w:kern w:val="44"/>
          <w:sz w:val="24"/>
        </w:rPr>
      </w:pPr>
      <w:r>
        <w:rPr>
          <w:rFonts w:hint="eastAsia" w:ascii="仿宋" w:hAnsi="仿宋" w:eastAsia="仿宋" w:cs="仿宋_GB2312"/>
          <w:kern w:val="44"/>
          <w:sz w:val="24"/>
        </w:rPr>
        <w:t>6.1.6 外包服务商公司的组织机构或管理人员变更前须书面通知甲方物流管理部门，甲方物流管理部门可以就外包服务商公司组织结构及管理人员的任免提出建议。</w:t>
      </w:r>
    </w:p>
    <w:p w14:paraId="582EA9D5">
      <w:pPr>
        <w:pStyle w:val="3"/>
        <w:rPr>
          <w:rFonts w:hint="default" w:ascii="仿宋" w:hAnsi="仿宋" w:eastAsia="仿宋" w:cs="仿宋_GB2312"/>
          <w:b w:val="0"/>
          <w:kern w:val="44"/>
        </w:rPr>
      </w:pPr>
      <w:bookmarkStart w:id="42" w:name="_Toc4497"/>
      <w:r>
        <w:rPr>
          <w:rFonts w:ascii="仿宋" w:hAnsi="仿宋" w:eastAsia="仿宋" w:cs="仿宋_GB2312"/>
          <w:kern w:val="44"/>
        </w:rPr>
        <w:t>6.2运作体系</w:t>
      </w:r>
      <w:bookmarkEnd w:id="42"/>
    </w:p>
    <w:p w14:paraId="3D58582C">
      <w:pPr>
        <w:spacing w:line="360" w:lineRule="auto"/>
        <w:rPr>
          <w:rFonts w:ascii="仿宋" w:hAnsi="仿宋" w:eastAsia="仿宋" w:cs="仿宋_GB2312"/>
          <w:kern w:val="44"/>
          <w:sz w:val="24"/>
        </w:rPr>
      </w:pPr>
      <w:r>
        <w:rPr>
          <w:rFonts w:hint="eastAsia" w:ascii="仿宋" w:hAnsi="仿宋" w:eastAsia="仿宋" w:cs="仿宋_GB2312"/>
          <w:kern w:val="44"/>
          <w:sz w:val="24"/>
        </w:rPr>
        <w:t>6.2.1根据甲方的业务宗旨、目标、流程及要求建立完善的业务运作体系，并按要求做好整个物流拉动体系的建设、6S、目视化标准及规范操作。必须包括改进流程、安全操作制度、紧急业务和突发事件的应对措施等内容。</w:t>
      </w:r>
    </w:p>
    <w:p w14:paraId="586CC492">
      <w:pPr>
        <w:spacing w:line="360" w:lineRule="auto"/>
        <w:rPr>
          <w:rFonts w:ascii="仿宋" w:hAnsi="仿宋" w:eastAsia="仿宋" w:cs="仿宋_GB2312"/>
          <w:kern w:val="44"/>
          <w:sz w:val="24"/>
        </w:rPr>
      </w:pPr>
      <w:r>
        <w:rPr>
          <w:rFonts w:hint="eastAsia" w:ascii="仿宋" w:hAnsi="仿宋" w:eastAsia="仿宋" w:cs="仿宋_GB2312"/>
          <w:kern w:val="44"/>
          <w:sz w:val="24"/>
        </w:rPr>
        <w:t>6.2.2 必须制订包含量化指标的年度业务实施计划，所有指标均应符合甲方管理部门、采购部门、制造部提出的指标，且须报甲方分管生产、采购的重汽（重庆）轻型汽车有限公司领导的批准，实施跟踪并执行目视化管理；自觉接受和贯彻实施甲方在操作体系方面所做的不断改进，并及时反馈操作中存在的问题或隐患；实施标准化、目视化、高效率、低成本管理，对自身操作质量实施全面监控，保留检查和整改记录。</w:t>
      </w:r>
    </w:p>
    <w:p w14:paraId="5134E59C">
      <w:pPr>
        <w:spacing w:line="360" w:lineRule="auto"/>
        <w:rPr>
          <w:rFonts w:ascii="仿宋" w:hAnsi="仿宋" w:eastAsia="仿宋" w:cs="仿宋_GB2312"/>
          <w:kern w:val="44"/>
          <w:sz w:val="24"/>
        </w:rPr>
      </w:pPr>
      <w:r>
        <w:rPr>
          <w:rFonts w:hint="eastAsia" w:ascii="仿宋" w:hAnsi="仿宋" w:eastAsia="仿宋" w:cs="仿宋_GB2312"/>
          <w:kern w:val="44"/>
          <w:sz w:val="24"/>
        </w:rPr>
        <w:t>6.2.3 树立“以客户为中心”的服务宗旨，快速响应甲方公司的业务需求、意见和整改要求，并制订和落实相应的行动计划，报甲方制造部评估。严格按照时间节点，安全高效的完成推进计划及服务的各项工作。</w:t>
      </w:r>
    </w:p>
    <w:p w14:paraId="58893AAE">
      <w:pPr>
        <w:spacing w:line="360" w:lineRule="auto"/>
        <w:rPr>
          <w:rFonts w:ascii="仿宋" w:hAnsi="仿宋" w:eastAsia="仿宋" w:cs="仿宋_GB2312"/>
          <w:kern w:val="44"/>
          <w:sz w:val="24"/>
        </w:rPr>
      </w:pPr>
      <w:r>
        <w:rPr>
          <w:rFonts w:hint="eastAsia" w:ascii="仿宋" w:hAnsi="仿宋" w:eastAsia="仿宋" w:cs="仿宋_GB2312"/>
          <w:kern w:val="44"/>
          <w:sz w:val="24"/>
        </w:rPr>
        <w:t>6.2.4 遵守国家、重庆市及甲方有关安全、环保、健康的规定;根据相应的质量体系和环境管理体系的要求，建立一整套的运行管理模式和相应的自检机制。确保质量体系、安全健康、环境体系等管理体系在外包服务商公司区域内有效运行，对因外包服务商公司自身各种原因影响到甲方无法通过外部审核应当承担相应责任。</w:t>
      </w:r>
    </w:p>
    <w:p w14:paraId="29CFD420">
      <w:pPr>
        <w:spacing w:line="360" w:lineRule="auto"/>
        <w:jc w:val="left"/>
        <w:outlineLvl w:val="1"/>
        <w:rPr>
          <w:rFonts w:ascii="仿宋" w:hAnsi="仿宋" w:eastAsia="仿宋"/>
          <w:b/>
          <w:sz w:val="24"/>
          <w:szCs w:val="24"/>
        </w:rPr>
      </w:pPr>
      <w:bookmarkStart w:id="43" w:name="_Toc17274"/>
      <w:r>
        <w:rPr>
          <w:rFonts w:hint="eastAsia" w:ascii="仿宋" w:hAnsi="仿宋" w:eastAsia="仿宋"/>
          <w:b/>
          <w:sz w:val="24"/>
          <w:szCs w:val="24"/>
        </w:rPr>
        <w:t>6.3系统要求</w:t>
      </w:r>
      <w:bookmarkEnd w:id="43"/>
    </w:p>
    <w:p w14:paraId="4242AB39">
      <w:pPr>
        <w:spacing w:line="360" w:lineRule="auto"/>
        <w:rPr>
          <w:rFonts w:ascii="仿宋" w:hAnsi="仿宋" w:eastAsia="仿宋"/>
          <w:sz w:val="24"/>
          <w:szCs w:val="24"/>
        </w:rPr>
      </w:pPr>
      <w:r>
        <w:rPr>
          <w:rFonts w:hint="eastAsia" w:ascii="仿宋" w:hAnsi="仿宋" w:eastAsia="仿宋"/>
          <w:sz w:val="24"/>
          <w:szCs w:val="24"/>
        </w:rPr>
        <w:t>6.3.1甲方目前提供SAP、MES系统供乙方使用，乙方必须严格按操作规定使用信息化系统，严禁将系统权限或系统数据不得向第三方透露。如因乙方过失造成甲方系统数据泄密，甲方将就相关损失和影响进行追偿。</w:t>
      </w:r>
    </w:p>
    <w:p w14:paraId="28C54975">
      <w:pPr>
        <w:spacing w:line="360" w:lineRule="auto"/>
        <w:rPr>
          <w:rFonts w:ascii="仿宋" w:hAnsi="仿宋" w:eastAsia="仿宋"/>
          <w:sz w:val="24"/>
          <w:szCs w:val="24"/>
        </w:rPr>
      </w:pPr>
      <w:bookmarkStart w:id="44" w:name="OLE_LINK1"/>
      <w:bookmarkStart w:id="45" w:name="OLE_LINK2"/>
      <w:r>
        <w:rPr>
          <w:rFonts w:hint="eastAsia" w:ascii="仿宋" w:hAnsi="仿宋" w:eastAsia="仿宋"/>
          <w:sz w:val="24"/>
          <w:szCs w:val="24"/>
        </w:rPr>
        <w:t>6.3.2</w:t>
      </w:r>
      <w:bookmarkEnd w:id="44"/>
      <w:bookmarkEnd w:id="45"/>
      <w:r>
        <w:rPr>
          <w:rFonts w:hint="eastAsia" w:ascii="仿宋" w:hAnsi="仿宋" w:eastAsia="仿宋"/>
          <w:sz w:val="24"/>
          <w:szCs w:val="24"/>
        </w:rPr>
        <w:t>鼓励乙方供应商自有WMS物料仓储管理系统进行物流运作及管理，并拥有IT团队对系统进行开发维护，有实力按公司需求自行拓展系统相关模块，可实现与甲方公司现已运行的SAP、MES系统进行对接。系统具备通过终端扫描实现物料接收、入库、归位、上架、拣货、盘点、出库、翻包、波次管理等功能，系统可支持物料拉动、排序上线等业务。</w:t>
      </w:r>
    </w:p>
    <w:p w14:paraId="6CBC3356">
      <w:pPr>
        <w:spacing w:line="360" w:lineRule="auto"/>
        <w:rPr>
          <w:rFonts w:ascii="仿宋" w:hAnsi="仿宋" w:eastAsia="仿宋" w:cs="仿宋_GB2312"/>
          <w:kern w:val="44"/>
          <w:sz w:val="24"/>
        </w:rPr>
      </w:pPr>
      <w:r>
        <w:rPr>
          <w:rFonts w:hint="eastAsia" w:ascii="仿宋" w:hAnsi="仿宋" w:eastAsia="仿宋"/>
          <w:sz w:val="24"/>
          <w:szCs w:val="24"/>
        </w:rPr>
        <w:t>6.3.3</w:t>
      </w:r>
      <w:r>
        <w:rPr>
          <w:rFonts w:hint="eastAsia" w:ascii="仿宋" w:hAnsi="仿宋" w:eastAsia="仿宋" w:cs="仿宋_GB2312"/>
          <w:kern w:val="44"/>
          <w:sz w:val="24"/>
        </w:rPr>
        <w:t>按甲方要求及时将各类操作信息和数据输入指定的信息系统内，确保系统内的这些信息和数据准确、安全、可靠，并及时交换上传到甲方使用系统中，不得向甲方以外的第三方透露；没有甲方相关部门书面认可依据，不得更改系统已有信息和数据；对于任何录入系统的数据信息，均需有对应的单证为依据，所有单证需在要求的时间内保留备查，确保可追溯。</w:t>
      </w:r>
    </w:p>
    <w:p w14:paraId="0D5B1A7E">
      <w:pPr>
        <w:spacing w:line="360" w:lineRule="auto"/>
        <w:jc w:val="left"/>
        <w:outlineLvl w:val="1"/>
        <w:rPr>
          <w:rFonts w:ascii="仿宋" w:hAnsi="仿宋" w:eastAsia="仿宋"/>
          <w:b/>
          <w:sz w:val="24"/>
          <w:szCs w:val="24"/>
        </w:rPr>
      </w:pPr>
      <w:bookmarkStart w:id="46" w:name="_Toc7094"/>
      <w:r>
        <w:rPr>
          <w:rFonts w:hint="eastAsia" w:ascii="仿宋" w:hAnsi="仿宋" w:eastAsia="仿宋"/>
          <w:b/>
          <w:sz w:val="24"/>
          <w:szCs w:val="24"/>
        </w:rPr>
        <w:t>6.4</w:t>
      </w:r>
      <w:r>
        <w:rPr>
          <w:rFonts w:hint="eastAsia" w:ascii="仿宋" w:hAnsi="仿宋" w:eastAsia="仿宋" w:cs="仿宋_GB2312"/>
          <w:b/>
          <w:kern w:val="44"/>
          <w:sz w:val="24"/>
        </w:rPr>
        <w:t>场地/设备要求及资产权属</w:t>
      </w:r>
      <w:bookmarkEnd w:id="46"/>
    </w:p>
    <w:p w14:paraId="55A06DBF">
      <w:pPr>
        <w:spacing w:line="360" w:lineRule="auto"/>
        <w:rPr>
          <w:rFonts w:ascii="仿宋" w:hAnsi="仿宋" w:eastAsia="仿宋" w:cs="仿宋_GB2312"/>
          <w:kern w:val="44"/>
          <w:sz w:val="24"/>
        </w:rPr>
      </w:pPr>
      <w:r>
        <w:rPr>
          <w:rFonts w:hint="eastAsia" w:ascii="仿宋" w:hAnsi="仿宋" w:eastAsia="仿宋" w:cs="仿宋_GB2312"/>
          <w:kern w:val="44"/>
          <w:sz w:val="24"/>
        </w:rPr>
        <w:t>6.4.1 乙方自行补充购置适量、合格的装卸/运输/仓储/通讯/IT/办公设备、辅助包装材料(包括标签纸、打印纸等)及低值易耗品等。确保投入甲方的车辆、设备满足甲方的运作、安全规定。设备维修维护由乙方自行负责。甲方及甲方供应商投放的厂内周转盛具，乙方必须妥善保管，如出现丢失，必须照价赔偿。针对甲方的自有盛具，甲方提供给乙方使用，乙方自行维修维护（自有盛具清单详见附件）。乙方须根据甲方LOC库房规划购置物流货架。</w:t>
      </w:r>
    </w:p>
    <w:p w14:paraId="404DE59D">
      <w:pPr>
        <w:spacing w:line="360" w:lineRule="auto"/>
        <w:rPr>
          <w:rFonts w:ascii="仿宋" w:hAnsi="仿宋" w:eastAsia="仿宋" w:cs="仿宋_GB2312"/>
          <w:kern w:val="44"/>
          <w:sz w:val="24"/>
        </w:rPr>
      </w:pPr>
      <w:r>
        <w:rPr>
          <w:rFonts w:hint="eastAsia" w:ascii="仿宋" w:hAnsi="仿宋" w:eastAsia="仿宋" w:cs="仿宋_GB2312"/>
          <w:kern w:val="44"/>
          <w:sz w:val="24"/>
        </w:rPr>
        <w:t>6.4.2 确保各类设备、设施功能齐全和状态良好；所有问题设备、设施须以醒目标识加以识别。对于外包服务商公司所保管或使用的甲方厂房及资产，如发生损坏或丢失，外包服务商公司要负责照价赔偿。</w:t>
      </w:r>
    </w:p>
    <w:p w14:paraId="5313C70D">
      <w:pPr>
        <w:spacing w:line="360" w:lineRule="auto"/>
        <w:rPr>
          <w:rFonts w:ascii="仿宋" w:hAnsi="仿宋" w:eastAsia="仿宋" w:cs="仿宋_GB2312"/>
          <w:kern w:val="44"/>
          <w:sz w:val="24"/>
        </w:rPr>
      </w:pPr>
      <w:r>
        <w:rPr>
          <w:rFonts w:hint="eastAsia" w:ascii="仿宋" w:hAnsi="仿宋" w:eastAsia="仿宋" w:cs="仿宋_GB2312"/>
          <w:kern w:val="44"/>
          <w:sz w:val="24"/>
        </w:rPr>
        <w:t>6.4.3 外包服务商公司必须对仓库的照明设施做到有日常的检查，发现问题要及时维修、报修；工作时，工作区域的照明与电器要按需求开关。乙方使用的场地区域内所有能源费用（水、电、气单独安装表）按甲方缴付标准计费由乙方承担。</w:t>
      </w:r>
    </w:p>
    <w:p w14:paraId="586DDD34">
      <w:pPr>
        <w:spacing w:line="360" w:lineRule="auto"/>
        <w:jc w:val="left"/>
        <w:outlineLvl w:val="1"/>
        <w:rPr>
          <w:rFonts w:ascii="仿宋" w:hAnsi="仿宋" w:eastAsia="仿宋"/>
          <w:b/>
          <w:sz w:val="24"/>
          <w:szCs w:val="24"/>
        </w:rPr>
      </w:pPr>
      <w:bookmarkStart w:id="47" w:name="_Toc29899"/>
      <w:r>
        <w:rPr>
          <w:rFonts w:hint="eastAsia" w:ascii="仿宋" w:hAnsi="仿宋" w:eastAsia="仿宋"/>
          <w:b/>
          <w:sz w:val="24"/>
          <w:szCs w:val="24"/>
        </w:rPr>
        <w:t>6.5账实管理</w:t>
      </w:r>
      <w:bookmarkEnd w:id="47"/>
    </w:p>
    <w:p w14:paraId="7A4DCDDC">
      <w:pPr>
        <w:spacing w:line="360" w:lineRule="auto"/>
        <w:rPr>
          <w:rFonts w:ascii="仿宋" w:hAnsi="仿宋" w:eastAsia="仿宋" w:cs="仿宋_GB2312"/>
          <w:kern w:val="44"/>
          <w:sz w:val="24"/>
        </w:rPr>
      </w:pPr>
      <w:r>
        <w:rPr>
          <w:rFonts w:hint="eastAsia" w:ascii="仿宋" w:hAnsi="仿宋" w:eastAsia="仿宋" w:cs="仿宋_GB2312"/>
          <w:kern w:val="44"/>
          <w:sz w:val="24"/>
        </w:rPr>
        <w:t>6.5.1 外包服务商公司根据其内部管理并结合甲方的相关要求建立物料的接收、入库、仓储、领料、退料各环节完整的账务管理机制进行管理。账务处理方法需满足甲方财务部、制造部的账务管理要求。以便于甲方财务部及制造部的相关账务控制，如出现偏离，以甲方财务部要求为准。</w:t>
      </w:r>
    </w:p>
    <w:p w14:paraId="515B69DF">
      <w:pPr>
        <w:spacing w:line="360" w:lineRule="auto"/>
        <w:rPr>
          <w:rFonts w:ascii="仿宋" w:hAnsi="仿宋" w:eastAsia="仿宋" w:cs="仿宋_GB2312"/>
          <w:kern w:val="44"/>
          <w:sz w:val="24"/>
        </w:rPr>
      </w:pPr>
      <w:r>
        <w:rPr>
          <w:rFonts w:hint="eastAsia" w:ascii="仿宋" w:hAnsi="仿宋" w:eastAsia="仿宋" w:cs="仿宋_GB2312"/>
          <w:kern w:val="44"/>
          <w:sz w:val="24"/>
        </w:rPr>
        <w:t>6.5.2 入库物料的相关凭证需有单独联提供给甲方制造部。制造部将对入库单据进行与甲方的账务系统内数据进行核对。外包服务商必须确保甲方系统账物的一致性，并按要求做到日清。</w:t>
      </w:r>
    </w:p>
    <w:p w14:paraId="14B40B63">
      <w:pPr>
        <w:spacing w:line="360" w:lineRule="auto"/>
        <w:rPr>
          <w:rFonts w:ascii="仿宋" w:hAnsi="仿宋" w:eastAsia="仿宋" w:cs="仿宋_GB2312"/>
          <w:kern w:val="44"/>
          <w:sz w:val="24"/>
        </w:rPr>
      </w:pPr>
      <w:r>
        <w:rPr>
          <w:rFonts w:hint="eastAsia" w:ascii="仿宋" w:hAnsi="仿宋" w:eastAsia="仿宋" w:cs="仿宋_GB2312"/>
          <w:kern w:val="44"/>
          <w:sz w:val="24"/>
        </w:rPr>
        <w:t>6.5.3 出库物料作为物权交接凭证， 外包服务商公司同甲方生产车间交接双方对随货票数量和零部件编码确认无误后在SAP系统扫描，双方对SAP扫描记录确认，甲方生产车间在物料交接时发现的差异按甲方公司相关规定进行考核，以确保出库账目的准确性。</w:t>
      </w:r>
    </w:p>
    <w:p w14:paraId="28E2DFC6">
      <w:pPr>
        <w:spacing w:line="360" w:lineRule="auto"/>
        <w:rPr>
          <w:rFonts w:ascii="仿宋" w:hAnsi="仿宋" w:eastAsia="仿宋" w:cs="仿宋_GB2312"/>
          <w:kern w:val="44"/>
          <w:sz w:val="24"/>
        </w:rPr>
      </w:pPr>
      <w:r>
        <w:rPr>
          <w:rFonts w:hint="eastAsia" w:ascii="仿宋" w:hAnsi="仿宋" w:eastAsia="仿宋" w:cs="仿宋_GB2312"/>
          <w:kern w:val="44"/>
          <w:sz w:val="24"/>
        </w:rPr>
        <w:t>6.5.4 甲方财务部及制造部需要的各节点相关报表和日常循环盘点报表、月度盘点报表、季度、年度盘点报表，外包服务商公司必须按照甲方公司要求格式按规定时间节点给予提供。</w:t>
      </w:r>
    </w:p>
    <w:p w14:paraId="2C68D98E">
      <w:pPr>
        <w:spacing w:line="360" w:lineRule="auto"/>
        <w:jc w:val="left"/>
        <w:outlineLvl w:val="1"/>
        <w:rPr>
          <w:rFonts w:ascii="仿宋" w:hAnsi="仿宋" w:eastAsia="仿宋"/>
          <w:b/>
          <w:sz w:val="24"/>
          <w:szCs w:val="24"/>
        </w:rPr>
      </w:pPr>
      <w:bookmarkStart w:id="48" w:name="_Toc285"/>
      <w:r>
        <w:rPr>
          <w:rFonts w:hint="eastAsia" w:ascii="仿宋" w:hAnsi="仿宋" w:eastAsia="仿宋"/>
          <w:b/>
          <w:sz w:val="24"/>
          <w:szCs w:val="24"/>
        </w:rPr>
        <w:t>6.6现场运作管理</w:t>
      </w:r>
      <w:bookmarkEnd w:id="48"/>
    </w:p>
    <w:p w14:paraId="37E6F04D">
      <w:pPr>
        <w:spacing w:line="360" w:lineRule="auto"/>
        <w:rPr>
          <w:rFonts w:ascii="仿宋" w:hAnsi="仿宋" w:eastAsia="仿宋"/>
          <w:b/>
          <w:sz w:val="24"/>
          <w:szCs w:val="24"/>
        </w:rPr>
      </w:pPr>
      <w:r>
        <w:rPr>
          <w:rFonts w:hint="eastAsia" w:ascii="仿宋" w:hAnsi="仿宋" w:eastAsia="仿宋"/>
          <w:b/>
          <w:sz w:val="24"/>
          <w:szCs w:val="24"/>
        </w:rPr>
        <w:t>6.6.1 5S管理</w:t>
      </w:r>
    </w:p>
    <w:p w14:paraId="6C4F41C3">
      <w:pPr>
        <w:spacing w:line="360" w:lineRule="auto"/>
        <w:ind w:firstLine="480" w:firstLineChars="200"/>
        <w:rPr>
          <w:rFonts w:ascii="仿宋" w:hAnsi="仿宋" w:eastAsia="仿宋"/>
          <w:sz w:val="24"/>
          <w:szCs w:val="24"/>
        </w:rPr>
      </w:pPr>
      <w:r>
        <w:rPr>
          <w:rFonts w:hint="eastAsia" w:ascii="仿宋" w:hAnsi="仿宋" w:eastAsia="仿宋"/>
          <w:sz w:val="24"/>
          <w:szCs w:val="24"/>
        </w:rPr>
        <w:t>仓库区域以及作业时须满足5S管理要求，运作区域整洁、干净、无杂物等，物料达到定置、定位、定量要求。</w:t>
      </w:r>
    </w:p>
    <w:p w14:paraId="5278728F">
      <w:pPr>
        <w:spacing w:line="360" w:lineRule="auto"/>
        <w:rPr>
          <w:rFonts w:ascii="仿宋" w:hAnsi="仿宋" w:eastAsia="仿宋"/>
          <w:b/>
          <w:sz w:val="24"/>
          <w:szCs w:val="24"/>
        </w:rPr>
      </w:pPr>
      <w:r>
        <w:rPr>
          <w:rFonts w:hint="eastAsia" w:ascii="仿宋" w:hAnsi="仿宋" w:eastAsia="仿宋"/>
          <w:b/>
          <w:sz w:val="24"/>
          <w:szCs w:val="24"/>
        </w:rPr>
        <w:t>6.6.2 目视化管理</w:t>
      </w:r>
    </w:p>
    <w:p w14:paraId="653ED9ED">
      <w:pPr>
        <w:spacing w:line="360" w:lineRule="auto"/>
        <w:ind w:firstLine="480" w:firstLineChars="200"/>
        <w:rPr>
          <w:rFonts w:ascii="仿宋" w:hAnsi="仿宋" w:eastAsia="仿宋"/>
          <w:sz w:val="24"/>
          <w:szCs w:val="24"/>
        </w:rPr>
      </w:pPr>
      <w:r>
        <w:rPr>
          <w:rFonts w:hint="eastAsia" w:ascii="仿宋" w:hAnsi="仿宋" w:eastAsia="仿宋"/>
          <w:sz w:val="24"/>
          <w:szCs w:val="24"/>
        </w:rPr>
        <w:t>为便于业务运作开展，推行相关目视化管理。如开展班组管理、先进先出、定置定位、库龄、不良品区等目视化工作</w:t>
      </w:r>
    </w:p>
    <w:p w14:paraId="29EA866C">
      <w:pPr>
        <w:spacing w:line="360" w:lineRule="auto"/>
        <w:rPr>
          <w:rFonts w:ascii="仿宋" w:hAnsi="仿宋" w:eastAsia="仿宋"/>
          <w:b/>
          <w:sz w:val="24"/>
          <w:szCs w:val="24"/>
        </w:rPr>
      </w:pPr>
      <w:r>
        <w:rPr>
          <w:rFonts w:hint="eastAsia" w:ascii="仿宋" w:hAnsi="仿宋" w:eastAsia="仿宋"/>
          <w:b/>
          <w:sz w:val="24"/>
          <w:szCs w:val="24"/>
        </w:rPr>
        <w:t>6.6.3接收</w:t>
      </w:r>
    </w:p>
    <w:p w14:paraId="2546EAD7">
      <w:pPr>
        <w:spacing w:line="360" w:lineRule="auto"/>
        <w:rPr>
          <w:rFonts w:ascii="仿宋" w:hAnsi="仿宋" w:eastAsia="仿宋" w:cs="仿宋_GB2312"/>
          <w:color w:val="FF0000"/>
          <w:kern w:val="44"/>
          <w:sz w:val="24"/>
        </w:rPr>
      </w:pPr>
      <w:r>
        <w:rPr>
          <w:rFonts w:hint="eastAsia" w:ascii="仿宋" w:hAnsi="仿宋" w:eastAsia="仿宋" w:cs="仿宋_GB2312"/>
          <w:kern w:val="44"/>
          <w:sz w:val="24"/>
        </w:rPr>
        <w:t>6.6.3.1 外包服务商公司应根据甲方要求建立自身的各类物料接收流程、标准化操作单、岗位作业指导书等、各类操作单证，安排好收货环节车辆入场顺序和卸货道口，组织足够的人力和设备资源及时卸货和报检，切实做到卸货及时，车流、物流有序入场、卸货、报检和入库。</w:t>
      </w:r>
    </w:p>
    <w:p w14:paraId="5DD2590C">
      <w:pPr>
        <w:spacing w:line="360" w:lineRule="auto"/>
        <w:rPr>
          <w:rFonts w:ascii="仿宋" w:hAnsi="仿宋" w:eastAsia="仿宋" w:cs="仿宋_GB2312"/>
          <w:color w:val="000000" w:themeColor="text1"/>
          <w:kern w:val="44"/>
          <w:sz w:val="24"/>
        </w:rPr>
      </w:pPr>
      <w:r>
        <w:rPr>
          <w:rFonts w:hint="eastAsia" w:ascii="仿宋" w:hAnsi="仿宋" w:eastAsia="仿宋" w:cs="仿宋_GB2312"/>
          <w:kern w:val="44"/>
          <w:sz w:val="24"/>
        </w:rPr>
        <w:t xml:space="preserve">6.6.3.2 </w:t>
      </w:r>
      <w:r>
        <w:rPr>
          <w:rFonts w:hint="eastAsia" w:ascii="仿宋" w:hAnsi="仿宋" w:eastAsia="仿宋" w:cs="仿宋_GB2312"/>
          <w:color w:val="000000" w:themeColor="text1"/>
          <w:kern w:val="44"/>
          <w:sz w:val="24"/>
        </w:rPr>
        <w:t>外包服务商公司的接收人员在业供应商到货后，卸货人员在卸货前，先对供货包装确认，发现包装箱变形、破损以及未按甲方规划包装方案执行供货等异常情况，立即向甲方包装工程技术人员反馈，技术人员确认后卸货；收货人员在收货时，认真仔细清点合格物料数量，若发现外检判定合格数量与清点实物数量差异，立即通知外检现场确认（若有厂家售后在场一并参与确认），拍照后对入库数量进行更正签字，同时完成系统数据记录和审验。</w:t>
      </w:r>
    </w:p>
    <w:p w14:paraId="02A9ABA7">
      <w:pPr>
        <w:spacing w:line="360" w:lineRule="auto"/>
        <w:rPr>
          <w:rFonts w:ascii="仿宋" w:hAnsi="仿宋" w:eastAsia="仿宋" w:cs="仿宋_GB2312"/>
          <w:kern w:val="44"/>
          <w:sz w:val="24"/>
        </w:rPr>
      </w:pPr>
      <w:r>
        <w:rPr>
          <w:rFonts w:hint="eastAsia" w:ascii="仿宋" w:hAnsi="仿宋" w:eastAsia="仿宋" w:cs="仿宋_GB2312"/>
          <w:kern w:val="44"/>
          <w:sz w:val="24"/>
        </w:rPr>
        <w:t>6.6.3.3公司物料接收时应督促供应商清退完所有的来料不良物料、生产过程产生的料废物料及其需返厂的空盛具，遵循先退后收的原则；在物料接收过程产生的各种异常问题，应严格按相应操作规范立即通知甲方制造部相关人员，并跟踪直至问题解决。</w:t>
      </w:r>
    </w:p>
    <w:p w14:paraId="30153AF2">
      <w:pPr>
        <w:spacing w:line="360" w:lineRule="auto"/>
        <w:rPr>
          <w:rFonts w:ascii="仿宋" w:hAnsi="仿宋" w:eastAsia="仿宋" w:cs="仿宋_GB2312"/>
          <w:kern w:val="44"/>
          <w:sz w:val="24"/>
        </w:rPr>
      </w:pPr>
      <w:r>
        <w:rPr>
          <w:rFonts w:hint="eastAsia" w:ascii="仿宋" w:hAnsi="仿宋" w:eastAsia="仿宋" w:cs="仿宋_GB2312"/>
          <w:kern w:val="44"/>
          <w:sz w:val="24"/>
        </w:rPr>
        <w:t>6.6.3.4根据物料进货计划规定在窗口时间内完成物料进货验证，做到单证和实物相符，杜绝短缺和明显的、目视可测的损坏及污垢。如果接收时未提出异议，事后发生问题时由外包服务商公司承担相应责任。</w:t>
      </w:r>
    </w:p>
    <w:p w14:paraId="66947077">
      <w:pPr>
        <w:spacing w:line="360" w:lineRule="auto"/>
        <w:rPr>
          <w:rFonts w:ascii="仿宋" w:hAnsi="仿宋" w:eastAsia="仿宋" w:cs="仿宋_GB2312"/>
          <w:kern w:val="44"/>
          <w:sz w:val="24"/>
        </w:rPr>
      </w:pPr>
      <w:r>
        <w:rPr>
          <w:rFonts w:hint="eastAsia" w:ascii="仿宋" w:hAnsi="仿宋" w:eastAsia="仿宋" w:cs="仿宋_GB2312"/>
          <w:kern w:val="44"/>
          <w:sz w:val="24"/>
        </w:rPr>
        <w:t>6.6.3.5若甲方推行窗口时间到货，乙方需跟踪到货状态，在超过窗口时间未到货、到货不符合规范的情况以及承运人违规操作情况及时反馈到甲方，由甲方对供应商约束，如影响生产则需报告给甲方，及时制止一切违反甲方安全管理条例及要求的行为，并记录一切未按规定影响生产正常运行的情况及供应商，并由相关部门签字确定，便于对供应商的考核和索赔。</w:t>
      </w:r>
    </w:p>
    <w:p w14:paraId="66522C4A">
      <w:pPr>
        <w:spacing w:line="360" w:lineRule="auto"/>
        <w:rPr>
          <w:rFonts w:ascii="仿宋" w:hAnsi="仿宋" w:eastAsia="仿宋" w:cs="仿宋_GB2312"/>
          <w:kern w:val="44"/>
          <w:sz w:val="24"/>
        </w:rPr>
      </w:pPr>
      <w:r>
        <w:rPr>
          <w:rFonts w:hint="eastAsia" w:ascii="仿宋" w:hAnsi="仿宋" w:eastAsia="仿宋" w:cs="仿宋_GB2312"/>
          <w:kern w:val="44"/>
          <w:sz w:val="24"/>
        </w:rPr>
        <w:t>6.6.3.6对于物料混装，外包服务商公司接收时要认真核对《</w:t>
      </w:r>
      <w:r>
        <w:rPr>
          <w:rFonts w:hint="eastAsia" w:cs="仿宋_GB2312" w:asciiTheme="minorEastAsia" w:hAnsiTheme="minorEastAsia"/>
          <w:kern w:val="44"/>
          <w:sz w:val="24"/>
        </w:rPr>
        <w:t>交货通知单</w:t>
      </w:r>
      <w:r>
        <w:rPr>
          <w:rFonts w:hint="eastAsia" w:ascii="仿宋" w:hAnsi="仿宋" w:eastAsia="仿宋" w:cs="仿宋_GB2312"/>
          <w:kern w:val="44"/>
          <w:sz w:val="24"/>
        </w:rPr>
        <w:t>》与系统采购订单，不要错误的收取物料。发现此情况立即拍照存档，并向甲方报告，按照物料混装处理流程进行处理，并存档报告作为考核和向供应商索赔的依据。如在卸料时，外包服务商公司将需求物料损坏，由外包服务商赔偿并承担相应责任。</w:t>
      </w:r>
    </w:p>
    <w:p w14:paraId="44A27DA2">
      <w:pPr>
        <w:spacing w:line="360" w:lineRule="auto"/>
        <w:rPr>
          <w:rFonts w:ascii="仿宋" w:hAnsi="仿宋" w:eastAsia="仿宋" w:cs="仿宋_GB2312"/>
          <w:kern w:val="44"/>
          <w:sz w:val="24"/>
        </w:rPr>
      </w:pPr>
      <w:r>
        <w:rPr>
          <w:rFonts w:hint="eastAsia" w:ascii="仿宋" w:hAnsi="仿宋" w:eastAsia="仿宋" w:cs="仿宋_GB2312"/>
          <w:kern w:val="44"/>
          <w:sz w:val="24"/>
        </w:rPr>
        <w:t>6.6.3.7 外包服务商公司负责对到货包装及零部件外观进行自检，同时根据需要随时对到货数量进行全检，于第一时间将检查结果书面反馈甲方质量部外检和制造部，当班汇总和统计检查记录。</w:t>
      </w:r>
    </w:p>
    <w:p w14:paraId="0313ADF4">
      <w:pPr>
        <w:spacing w:line="360" w:lineRule="auto"/>
        <w:rPr>
          <w:rFonts w:ascii="仿宋" w:hAnsi="仿宋" w:eastAsia="仿宋" w:cs="仿宋_GB2312"/>
          <w:kern w:val="44"/>
          <w:sz w:val="24"/>
        </w:rPr>
      </w:pPr>
      <w:r>
        <w:rPr>
          <w:rFonts w:hint="eastAsia" w:ascii="仿宋" w:hAnsi="仿宋" w:eastAsia="仿宋" w:cs="仿宋_GB2312"/>
          <w:kern w:val="44"/>
          <w:sz w:val="24"/>
        </w:rPr>
        <w:t>6.6.3.8物料接收后，自检过程中发现的物料到货包装短缺、物料损坏现象造成的损失经供应商售后人员或甲方责任采购人员、制造部确认后，开具报告按甲方包装短缺流程进行处理，所造成的一切损失由零部件供应商承担。</w:t>
      </w:r>
    </w:p>
    <w:p w14:paraId="7C3AF4FE">
      <w:pPr>
        <w:spacing w:line="360" w:lineRule="auto"/>
        <w:rPr>
          <w:rFonts w:ascii="仿宋" w:hAnsi="仿宋" w:eastAsia="仿宋" w:cs="仿宋_GB2312"/>
          <w:kern w:val="44"/>
          <w:sz w:val="24"/>
        </w:rPr>
      </w:pPr>
      <w:r>
        <w:rPr>
          <w:rFonts w:hint="eastAsia" w:ascii="仿宋" w:hAnsi="仿宋" w:eastAsia="仿宋" w:cs="仿宋_GB2312"/>
          <w:kern w:val="44"/>
          <w:sz w:val="24"/>
        </w:rPr>
        <w:t>6.6.3.9物料接收后再发现的物料缺料、损坏等异常损失，应立即在接收现场进行重新检查，如没有发现前一道环节中的问题，则损失由外包服务商公司负责承担。如在前一道环节发现问题，则责任由零部件供应商承担。承担的责任包括往前追溯当年内该零件发生的所有物料损失和视情节进行经济处罚。</w:t>
      </w:r>
    </w:p>
    <w:p w14:paraId="217224F5">
      <w:pPr>
        <w:spacing w:line="360" w:lineRule="auto"/>
        <w:rPr>
          <w:rFonts w:ascii="仿宋" w:hAnsi="仿宋" w:eastAsia="仿宋" w:cs="仿宋_GB2312"/>
          <w:kern w:val="44"/>
          <w:sz w:val="24"/>
        </w:rPr>
      </w:pPr>
      <w:r>
        <w:rPr>
          <w:rFonts w:hint="eastAsia" w:ascii="仿宋" w:hAnsi="仿宋" w:eastAsia="仿宋" w:cs="仿宋_GB2312"/>
          <w:kern w:val="44"/>
          <w:sz w:val="24"/>
        </w:rPr>
        <w:t>6.6.3.10对于供应商到货后未携带甲方供应商管理信息系统（E采通）下载的送货凭证的情况，外包服务商公司原则不予接收，如需接收，需外包服务商公司负责人及甲方物流、采购部门共同确认后可由甲方采购部申请补单，并记录相关信息，作为供应商考核依据。由此情况造成的生产线停线损失，由供应商自行承担。</w:t>
      </w:r>
    </w:p>
    <w:p w14:paraId="3E20E57F">
      <w:pPr>
        <w:spacing w:line="360" w:lineRule="auto"/>
        <w:rPr>
          <w:rFonts w:ascii="仿宋" w:hAnsi="仿宋" w:eastAsia="仿宋" w:cs="仿宋_GB2312"/>
          <w:kern w:val="44"/>
          <w:sz w:val="24"/>
        </w:rPr>
      </w:pPr>
      <w:r>
        <w:rPr>
          <w:rFonts w:hint="eastAsia" w:ascii="仿宋" w:hAnsi="仿宋" w:eastAsia="仿宋" w:cs="仿宋_GB2312"/>
          <w:kern w:val="44"/>
          <w:sz w:val="24"/>
        </w:rPr>
        <w:t>6.6.3.11实物接收检验合格后及时放置到指定区域并按定置定位管理要求归位，在第一时间将接收数据传输到甲方指定的管理系统，物料收发数据必须达到日清，收发数据差异必须在次日下班前查明原因并调整账务。物料收发单据中的物流联当日必须上交到甲方制造部指定人员处，以便于当日数据核对使用。对收到的非生产物料和项目物料(包括其他部门零星采购的零件、装车清单中未出现的零件等等)及时反馈给甲方制造部相关人员。</w:t>
      </w:r>
    </w:p>
    <w:p w14:paraId="343B864D">
      <w:pPr>
        <w:spacing w:line="360" w:lineRule="auto"/>
        <w:rPr>
          <w:rFonts w:ascii="仿宋" w:hAnsi="仿宋" w:eastAsia="仿宋" w:cs="仿宋_GB2312"/>
          <w:kern w:val="44"/>
          <w:sz w:val="24"/>
        </w:rPr>
      </w:pPr>
      <w:r>
        <w:rPr>
          <w:rFonts w:hint="eastAsia" w:ascii="仿宋" w:hAnsi="仿宋" w:eastAsia="仿宋" w:cs="仿宋_GB2312"/>
          <w:kern w:val="44"/>
          <w:sz w:val="24"/>
        </w:rPr>
        <w:t>6.6.3.12积极完成紧急物料需求，配合甲方索赔工作（包括信息提供及追溯）。</w:t>
      </w:r>
    </w:p>
    <w:p w14:paraId="3B3D9C48">
      <w:pPr>
        <w:spacing w:line="360" w:lineRule="auto"/>
        <w:rPr>
          <w:rFonts w:ascii="仿宋" w:hAnsi="仿宋" w:eastAsia="仿宋" w:cs="仿宋_GB2312"/>
          <w:kern w:val="44"/>
          <w:sz w:val="24"/>
        </w:rPr>
      </w:pPr>
      <w:r>
        <w:rPr>
          <w:rFonts w:hint="eastAsia" w:ascii="仿宋" w:hAnsi="仿宋" w:eastAsia="仿宋" w:cs="仿宋_GB2312"/>
          <w:kern w:val="44"/>
          <w:sz w:val="24"/>
        </w:rPr>
        <w:t>自觉接受和贯彻实施甲方在收料环节所做的不断改进，并及时反馈操作中存在的问题或隐患。</w:t>
      </w:r>
    </w:p>
    <w:p w14:paraId="52258366">
      <w:pPr>
        <w:spacing w:line="360" w:lineRule="auto"/>
        <w:rPr>
          <w:rFonts w:ascii="仿宋" w:hAnsi="仿宋" w:eastAsia="仿宋"/>
          <w:b/>
          <w:sz w:val="24"/>
          <w:szCs w:val="24"/>
        </w:rPr>
      </w:pPr>
      <w:r>
        <w:rPr>
          <w:rFonts w:hint="eastAsia" w:ascii="仿宋" w:hAnsi="仿宋" w:eastAsia="仿宋"/>
          <w:b/>
          <w:sz w:val="24"/>
          <w:szCs w:val="24"/>
        </w:rPr>
        <w:t>6.6.4归位上架</w:t>
      </w:r>
    </w:p>
    <w:p w14:paraId="0A6A29B3">
      <w:pPr>
        <w:spacing w:line="360" w:lineRule="auto"/>
        <w:ind w:firstLine="480" w:firstLineChars="200"/>
        <w:rPr>
          <w:rFonts w:ascii="仿宋" w:hAnsi="仿宋" w:eastAsia="仿宋" w:cs="仿宋_GB2312"/>
          <w:kern w:val="44"/>
          <w:sz w:val="24"/>
        </w:rPr>
      </w:pPr>
      <w:r>
        <w:rPr>
          <w:rFonts w:hint="eastAsia" w:ascii="仿宋" w:hAnsi="仿宋" w:eastAsia="仿宋"/>
          <w:sz w:val="24"/>
          <w:szCs w:val="24"/>
        </w:rPr>
        <w:t>归位上架遵循先进先出、定置定位原则，确保物料正确安全放置。</w:t>
      </w:r>
      <w:r>
        <w:rPr>
          <w:rFonts w:hint="eastAsia" w:ascii="仿宋" w:hAnsi="仿宋" w:eastAsia="仿宋" w:cs="仿宋_GB2312"/>
          <w:kern w:val="44"/>
          <w:sz w:val="24"/>
        </w:rPr>
        <w:t>合格物料需存放在室内，按不同状态、不同用途分类、分区域储存，并实施定置及目视化管理，确保物料完好、堆放整齐、无灰尘、无污垢、实际存放与系统信息一致，整个区域整齐和清洁。</w:t>
      </w:r>
    </w:p>
    <w:p w14:paraId="42A46AD4">
      <w:pPr>
        <w:spacing w:line="360" w:lineRule="auto"/>
        <w:rPr>
          <w:rFonts w:ascii="仿宋" w:hAnsi="仿宋" w:eastAsia="仿宋" w:cs="仿宋_GB2312"/>
          <w:kern w:val="44"/>
          <w:sz w:val="24"/>
        </w:rPr>
      </w:pPr>
      <w:r>
        <w:rPr>
          <w:rFonts w:hint="eastAsia" w:ascii="仿宋" w:hAnsi="仿宋" w:eastAsia="仿宋" w:cs="仿宋_GB2312"/>
          <w:kern w:val="44"/>
          <w:sz w:val="24"/>
        </w:rPr>
        <w:t>① 物料存放应合理、集中，做到重不压轻、大不压小、坏箱单独码放。严格按照甲方的物料码放标准来执行。</w:t>
      </w:r>
    </w:p>
    <w:p w14:paraId="7692B695">
      <w:pPr>
        <w:spacing w:line="360" w:lineRule="auto"/>
        <w:rPr>
          <w:rFonts w:ascii="仿宋" w:hAnsi="仿宋" w:eastAsia="仿宋" w:cs="仿宋_GB2312"/>
          <w:kern w:val="44"/>
          <w:sz w:val="24"/>
        </w:rPr>
      </w:pPr>
      <w:r>
        <w:rPr>
          <w:rFonts w:hint="eastAsia" w:ascii="仿宋" w:hAnsi="仿宋" w:eastAsia="仿宋" w:cs="仿宋_GB2312"/>
          <w:kern w:val="44"/>
          <w:sz w:val="24"/>
        </w:rPr>
        <w:t>② 拆/翻包后的剩余零头须单独、集中存放，做好目视化标识，并靠近拆包装操作区。</w:t>
      </w:r>
    </w:p>
    <w:p w14:paraId="5F1AA432">
      <w:pPr>
        <w:spacing w:line="360" w:lineRule="auto"/>
        <w:rPr>
          <w:rFonts w:ascii="仿宋" w:hAnsi="仿宋" w:eastAsia="仿宋" w:cs="仿宋_GB2312"/>
          <w:kern w:val="44"/>
          <w:sz w:val="24"/>
        </w:rPr>
      </w:pPr>
      <w:r>
        <w:rPr>
          <w:rFonts w:hint="eastAsia" w:ascii="仿宋" w:hAnsi="仿宋" w:eastAsia="仿宋" w:cs="仿宋_GB2312"/>
          <w:kern w:val="44"/>
          <w:sz w:val="24"/>
        </w:rPr>
        <w:t>③ 对品质可疑、待处理的物料需单独、集中存放，并与其它状态的物料分开，要有明显的目视标识。</w:t>
      </w:r>
    </w:p>
    <w:p w14:paraId="670AE6C5">
      <w:pPr>
        <w:spacing w:line="360" w:lineRule="auto"/>
        <w:rPr>
          <w:rFonts w:ascii="仿宋" w:hAnsi="仿宋" w:eastAsia="仿宋" w:cs="仿宋_GB2312"/>
          <w:kern w:val="44"/>
          <w:sz w:val="24"/>
        </w:rPr>
      </w:pPr>
      <w:r>
        <w:rPr>
          <w:rFonts w:hint="eastAsia" w:ascii="仿宋" w:hAnsi="仿宋" w:eastAsia="仿宋" w:cs="仿宋_GB2312"/>
          <w:kern w:val="44"/>
          <w:sz w:val="24"/>
        </w:rPr>
        <w:t>④ 对长期不用的零件应做好防护(包括防尘、防损坏等)工作，在使用前应全面检查。</w:t>
      </w:r>
    </w:p>
    <w:p w14:paraId="4D608DF7">
      <w:pPr>
        <w:spacing w:line="360" w:lineRule="auto"/>
        <w:rPr>
          <w:rFonts w:ascii="仿宋" w:hAnsi="仿宋" w:eastAsia="仿宋"/>
          <w:b/>
          <w:sz w:val="24"/>
          <w:szCs w:val="24"/>
        </w:rPr>
      </w:pPr>
      <w:r>
        <w:rPr>
          <w:rFonts w:hint="eastAsia" w:ascii="仿宋" w:hAnsi="仿宋" w:eastAsia="仿宋"/>
          <w:b/>
          <w:sz w:val="24"/>
          <w:szCs w:val="24"/>
        </w:rPr>
        <w:t>6.6.5包装器具及翻包</w:t>
      </w:r>
    </w:p>
    <w:p w14:paraId="2907B3EB">
      <w:pPr>
        <w:spacing w:line="360" w:lineRule="auto"/>
        <w:rPr>
          <w:rFonts w:ascii="仿宋" w:hAnsi="仿宋" w:eastAsia="仿宋" w:cs="仿宋_GB2312"/>
          <w:kern w:val="44"/>
          <w:sz w:val="24"/>
        </w:rPr>
      </w:pPr>
      <w:r>
        <w:rPr>
          <w:rFonts w:hint="eastAsia" w:ascii="仿宋" w:hAnsi="仿宋" w:eastAsia="仿宋" w:cs="仿宋_GB2312"/>
          <w:kern w:val="44"/>
          <w:sz w:val="24"/>
        </w:rPr>
        <w:t>6.6.5.1 外包服务商公司应依据甲方生产现场所要求的包装类别协助甲方包装工程师对包装箱、包装台车、物料架的方案进行科学设计和可行性验证；供应商投入的所有的包装盛具，外包服务商公司应妥善保管，不得随意挪作他用甚至变卖。</w:t>
      </w:r>
    </w:p>
    <w:p w14:paraId="3C1680FE">
      <w:pPr>
        <w:spacing w:line="360" w:lineRule="auto"/>
        <w:rPr>
          <w:rFonts w:ascii="仿宋" w:hAnsi="仿宋" w:eastAsia="仿宋" w:cs="仿宋_GB2312"/>
          <w:kern w:val="44"/>
          <w:sz w:val="24"/>
        </w:rPr>
      </w:pPr>
      <w:r>
        <w:rPr>
          <w:rFonts w:hint="eastAsia" w:ascii="仿宋" w:hAnsi="仿宋" w:eastAsia="仿宋" w:cs="仿宋_GB2312"/>
          <w:kern w:val="44"/>
          <w:sz w:val="24"/>
        </w:rPr>
        <w:t>6.6.5.2 外包服务商公司对需要进行包装转换的零部件必须严格按照“先进先出”原则和甲方包装要求进行包装转换；</w:t>
      </w:r>
    </w:p>
    <w:p w14:paraId="600A4029">
      <w:pPr>
        <w:spacing w:line="360" w:lineRule="auto"/>
        <w:rPr>
          <w:rFonts w:ascii="仿宋" w:hAnsi="仿宋" w:eastAsia="仿宋" w:cs="仿宋_GB2312"/>
          <w:kern w:val="44"/>
          <w:sz w:val="24"/>
        </w:rPr>
      </w:pPr>
      <w:r>
        <w:rPr>
          <w:rFonts w:hint="eastAsia" w:ascii="仿宋" w:hAnsi="仿宋" w:eastAsia="仿宋" w:cs="仿宋_GB2312"/>
          <w:kern w:val="44"/>
          <w:sz w:val="24"/>
        </w:rPr>
        <w:t>6.6.5.3 开箱和再包装过程中应清点零件数量，转换包装后，零部件排放整齐并利于交接清点；转换包装人员必须对其外观进行目视化检查，杜绝短缺和明显的、目视可测的损坏及污垢。</w:t>
      </w:r>
    </w:p>
    <w:p w14:paraId="3040B8CA">
      <w:pPr>
        <w:spacing w:line="360" w:lineRule="auto"/>
        <w:rPr>
          <w:rFonts w:ascii="仿宋" w:hAnsi="仿宋" w:eastAsia="仿宋" w:cs="仿宋_GB2312"/>
          <w:kern w:val="44"/>
          <w:sz w:val="24"/>
        </w:rPr>
      </w:pPr>
      <w:r>
        <w:rPr>
          <w:rFonts w:hint="eastAsia" w:ascii="仿宋" w:hAnsi="仿宋" w:eastAsia="仿宋" w:cs="仿宋_GB2312"/>
          <w:kern w:val="44"/>
          <w:sz w:val="24"/>
        </w:rPr>
        <w:t xml:space="preserve">6.6.5.4对在开箱、再包装过程中发现的异常问题，发现后需将此批次物料进行全部排查；批量问题，需协调供应商及承运商进行解决。 </w:t>
      </w:r>
    </w:p>
    <w:p w14:paraId="050EFBD6">
      <w:pPr>
        <w:spacing w:line="360" w:lineRule="auto"/>
        <w:rPr>
          <w:rFonts w:ascii="仿宋" w:hAnsi="仿宋" w:eastAsia="仿宋" w:cs="仿宋_GB2312"/>
          <w:kern w:val="44"/>
          <w:sz w:val="24"/>
        </w:rPr>
      </w:pPr>
      <w:r>
        <w:rPr>
          <w:rFonts w:hint="eastAsia" w:ascii="仿宋" w:hAnsi="仿宋" w:eastAsia="仿宋" w:cs="仿宋_GB2312"/>
          <w:kern w:val="44"/>
          <w:sz w:val="24"/>
        </w:rPr>
        <w:t>6.6.5.5包装转换整个操作过程中应做到轻拿轻放，严禁碰撞物料，严禁野蛮操作，确保产品包装转换后无灰尘、无污垢、无锈蚀、无残损，其包装箱/物料架上粘贴的标签满足甲方目视化及终端扫描要求（物料名称、物料代码、供应商名称/代码、生产批次、生产日期），具有可追溯性，无残损、污垢、涂改、信息残缺现象。</w:t>
      </w:r>
    </w:p>
    <w:p w14:paraId="46EE0D5B">
      <w:pPr>
        <w:spacing w:line="360" w:lineRule="auto"/>
        <w:rPr>
          <w:rFonts w:ascii="仿宋" w:hAnsi="仿宋" w:eastAsia="仿宋" w:cs="仿宋_GB2312"/>
          <w:kern w:val="44"/>
          <w:sz w:val="24"/>
        </w:rPr>
      </w:pPr>
      <w:r>
        <w:rPr>
          <w:rFonts w:hint="eastAsia" w:ascii="仿宋" w:hAnsi="仿宋" w:eastAsia="仿宋" w:cs="仿宋_GB2312"/>
          <w:kern w:val="44"/>
          <w:sz w:val="24"/>
        </w:rPr>
        <w:t>6.6.5.6当所用包装材料(或操作工艺)可能造成零部件损坏时及时反馈甲方质量部、制造部相关人员共同解决。积极协助甲方制造部分析、改进包装方案，以减少二次包装、及再包装过程中产生的零件质量问题。</w:t>
      </w:r>
    </w:p>
    <w:p w14:paraId="7DC31ABA">
      <w:pPr>
        <w:spacing w:line="360" w:lineRule="auto"/>
        <w:rPr>
          <w:rFonts w:ascii="仿宋" w:hAnsi="仿宋" w:eastAsia="仿宋"/>
          <w:b/>
          <w:sz w:val="24"/>
          <w:szCs w:val="24"/>
        </w:rPr>
      </w:pPr>
      <w:r>
        <w:rPr>
          <w:rFonts w:hint="eastAsia" w:ascii="仿宋" w:hAnsi="仿宋" w:eastAsia="仿宋"/>
          <w:b/>
          <w:sz w:val="24"/>
          <w:szCs w:val="24"/>
        </w:rPr>
        <w:t>6.6.6不良品管理</w:t>
      </w:r>
    </w:p>
    <w:p w14:paraId="1907D926">
      <w:pPr>
        <w:spacing w:line="360" w:lineRule="auto"/>
        <w:rPr>
          <w:rFonts w:ascii="仿宋" w:hAnsi="仿宋" w:eastAsia="仿宋" w:cs="仿宋_GB2312"/>
          <w:kern w:val="44"/>
          <w:sz w:val="24"/>
        </w:rPr>
      </w:pPr>
      <w:r>
        <w:rPr>
          <w:rFonts w:hint="eastAsia" w:ascii="仿宋" w:hAnsi="仿宋" w:eastAsia="仿宋" w:cs="仿宋_GB2312"/>
          <w:kern w:val="44"/>
          <w:sz w:val="24"/>
        </w:rPr>
        <w:t>6.6.6.1 外包服务商公司负责对库房产生的不合格品进行管理，严格按照甲方的《不合格品管理流程》到生产现场清点和接收物料，并设立单独的库区进行合理存放，系统内进行单独的账务管理与处理。同时按照相关部门要求做好记录，以便于索赔处理。对于不合格品的退库，需要甲方质量部确认签字，外包服务商公司签字确认，方可清退，并保留有效出门单据。</w:t>
      </w:r>
    </w:p>
    <w:p w14:paraId="0CF679C2">
      <w:pPr>
        <w:spacing w:line="360" w:lineRule="auto"/>
        <w:rPr>
          <w:rFonts w:ascii="仿宋" w:hAnsi="仿宋" w:eastAsia="仿宋" w:cs="仿宋_GB2312"/>
          <w:kern w:val="44"/>
          <w:sz w:val="24"/>
        </w:rPr>
      </w:pPr>
      <w:r>
        <w:rPr>
          <w:rFonts w:hint="eastAsia" w:ascii="仿宋" w:hAnsi="仿宋" w:eastAsia="仿宋" w:cs="仿宋_GB2312"/>
          <w:kern w:val="44"/>
          <w:sz w:val="24"/>
        </w:rPr>
        <w:t>6.6.6.2对于入库检验发现的来料不良品及技术变更需要退库的物料，同样需要办理退库手续，按规定流程办理，需由质量部、甲方采购部、外包服务商公司负责人签字后方可退出。</w:t>
      </w:r>
    </w:p>
    <w:p w14:paraId="1CA0FC6A">
      <w:pPr>
        <w:spacing w:line="360" w:lineRule="auto"/>
        <w:rPr>
          <w:rFonts w:ascii="仿宋" w:hAnsi="仿宋" w:eastAsia="仿宋"/>
          <w:b/>
          <w:sz w:val="24"/>
          <w:szCs w:val="24"/>
        </w:rPr>
      </w:pPr>
      <w:r>
        <w:rPr>
          <w:rFonts w:hint="eastAsia" w:ascii="仿宋" w:hAnsi="仿宋" w:eastAsia="仿宋"/>
          <w:b/>
          <w:sz w:val="24"/>
          <w:szCs w:val="24"/>
        </w:rPr>
        <w:t>6.6.7库存、盘点管理</w:t>
      </w:r>
    </w:p>
    <w:p w14:paraId="77F721B2">
      <w:pPr>
        <w:spacing w:line="360" w:lineRule="auto"/>
        <w:rPr>
          <w:rFonts w:ascii="仿宋" w:hAnsi="仿宋" w:eastAsia="仿宋" w:cs="仿宋_GB2312"/>
          <w:kern w:val="44"/>
          <w:sz w:val="24"/>
        </w:rPr>
      </w:pPr>
      <w:r>
        <w:rPr>
          <w:rFonts w:hint="eastAsia" w:ascii="仿宋" w:hAnsi="仿宋" w:eastAsia="仿宋" w:cs="仿宋_GB2312"/>
          <w:kern w:val="44"/>
          <w:sz w:val="24"/>
        </w:rPr>
        <w:t>6.6.7.1 外包服务商公司应建立自身的各类零部件储存控制业务流程、标准化操作单、岗位指导书等、各类操作单证，并严格遵守执行，以保证相关储存业务执行的准确、及时。具体业务包括：物料报废、隔离品待处理、返修、售后领料、开箱、翻包、移库、各类库存调整等。</w:t>
      </w:r>
    </w:p>
    <w:p w14:paraId="3F5AAFD9">
      <w:pPr>
        <w:spacing w:line="360" w:lineRule="auto"/>
        <w:rPr>
          <w:rFonts w:ascii="仿宋" w:hAnsi="仿宋" w:eastAsia="仿宋" w:cs="仿宋_GB2312"/>
          <w:kern w:val="44"/>
          <w:sz w:val="24"/>
        </w:rPr>
      </w:pPr>
      <w:r>
        <w:rPr>
          <w:rFonts w:hint="eastAsia" w:ascii="仿宋" w:hAnsi="仿宋" w:eastAsia="仿宋" w:cs="仿宋_GB2312"/>
          <w:kern w:val="44"/>
          <w:sz w:val="24"/>
        </w:rPr>
        <w:t>6.6.7.2库存控制业务应具备各类完善的物料审批凭证、物料计划凭证、物料交接凭证，以规范实物交接到系统操作之间的单据交接，保证单据在规定时间以规定形式交给规定人员。</w:t>
      </w:r>
    </w:p>
    <w:p w14:paraId="6384CEA5">
      <w:pPr>
        <w:spacing w:line="360" w:lineRule="auto"/>
        <w:rPr>
          <w:rFonts w:ascii="仿宋" w:hAnsi="仿宋" w:eastAsia="仿宋" w:cs="仿宋_GB2312"/>
          <w:kern w:val="44"/>
          <w:sz w:val="24"/>
        </w:rPr>
      </w:pPr>
      <w:r>
        <w:rPr>
          <w:rFonts w:hint="eastAsia" w:ascii="仿宋" w:hAnsi="仿宋" w:eastAsia="仿宋" w:cs="仿宋_GB2312"/>
          <w:kern w:val="44"/>
          <w:sz w:val="24"/>
        </w:rPr>
        <w:t>6.6.7.3应保证使用系统各模块中相关账务处理的及时(日清)、</w:t>
      </w:r>
      <w:r>
        <w:rPr>
          <w:rFonts w:hint="eastAsia" w:ascii="仿宋" w:hAnsi="仿宋" w:eastAsia="仿宋" w:cs="仿宋_GB2312"/>
          <w:color w:val="000000" w:themeColor="text1"/>
          <w:kern w:val="44"/>
          <w:sz w:val="24"/>
        </w:rPr>
        <w:t>正确、准确。</w:t>
      </w:r>
    </w:p>
    <w:p w14:paraId="67927365">
      <w:pPr>
        <w:spacing w:line="360" w:lineRule="auto"/>
        <w:rPr>
          <w:rFonts w:ascii="仿宋" w:hAnsi="仿宋" w:eastAsia="仿宋" w:cs="仿宋_GB2312"/>
          <w:kern w:val="44"/>
          <w:sz w:val="24"/>
        </w:rPr>
      </w:pPr>
      <w:r>
        <w:rPr>
          <w:rFonts w:hint="eastAsia" w:ascii="仿宋" w:hAnsi="仿宋" w:eastAsia="仿宋" w:cs="仿宋_GB2312"/>
          <w:kern w:val="44"/>
          <w:sz w:val="24"/>
        </w:rPr>
        <w:t>6.6.7.4严格遵循“先进先出”“批次管理”原则并贯穿库存管理的所有日常操作。6.6.7.5外包服务商公司建立库存跟踪和报警流程，积极、主动地跟踪并反馈库存异常情况，于第一时间报告甲方相关业务人员，确保信息准确、及时。根据当日和次日生产计划在甲方指定时间上报当天计划和次日上线生产的缺件情况。</w:t>
      </w:r>
    </w:p>
    <w:p w14:paraId="3A41CF41">
      <w:pPr>
        <w:spacing w:line="360" w:lineRule="auto"/>
        <w:rPr>
          <w:rFonts w:ascii="仿宋" w:hAnsi="仿宋" w:eastAsia="仿宋" w:cs="仿宋_GB2312"/>
          <w:kern w:val="44"/>
          <w:sz w:val="24"/>
        </w:rPr>
      </w:pPr>
      <w:r>
        <w:rPr>
          <w:rFonts w:hint="eastAsia" w:ascii="仿宋" w:hAnsi="仿宋" w:eastAsia="仿宋" w:cs="仿宋_GB2312"/>
          <w:kern w:val="44"/>
          <w:sz w:val="24"/>
        </w:rPr>
        <w:t>6.6.8.6按周统计期末未处理的断点旧零件库存、按月提交未处理的断点旧零件库存报表，对超过三个月无消耗记录的零件库存须以专用报表方式汇总报告甲方制造部，由制造部向责任部门追责和处理。对于塑料及挥发等化工类物料，外包服务商需结合甲方提供的物料保质期定期进行自查。</w:t>
      </w:r>
    </w:p>
    <w:p w14:paraId="659CDF81">
      <w:pPr>
        <w:spacing w:line="360" w:lineRule="auto"/>
        <w:rPr>
          <w:rFonts w:ascii="仿宋" w:hAnsi="仿宋" w:eastAsia="仿宋" w:cs="仿宋_GB2312"/>
          <w:kern w:val="44"/>
          <w:sz w:val="24"/>
        </w:rPr>
      </w:pPr>
      <w:r>
        <w:rPr>
          <w:rFonts w:hint="eastAsia" w:ascii="仿宋" w:hAnsi="仿宋" w:eastAsia="仿宋" w:cs="仿宋_GB2312"/>
          <w:kern w:val="44"/>
          <w:sz w:val="24"/>
        </w:rPr>
        <w:t>6.6.8.7物料库位管理:在库区内针对不同物料设定不同的库位，根据物料供货包装及单托盘数量，结合三方物流WMS仓储管理系统，设定合理的库位；同时根据存储零部件的需求与状态变动不断更新与维护，要求推行使用条码进行扫描入库及逐步条码进行库位管理。以便于入库物料库位的合理安排及出库物料的先进先出和账物处理同步。并逐步推行到能使用条码扫描盘库，尽量缩短盘库占用时间及保证盘库的准确性。</w:t>
      </w:r>
    </w:p>
    <w:p w14:paraId="44DC4F50">
      <w:pPr>
        <w:spacing w:line="360" w:lineRule="auto"/>
        <w:rPr>
          <w:rFonts w:ascii="仿宋" w:hAnsi="仿宋" w:eastAsia="仿宋" w:cs="仿宋_GB2312"/>
          <w:kern w:val="44"/>
          <w:sz w:val="24"/>
        </w:rPr>
      </w:pPr>
      <w:r>
        <w:rPr>
          <w:rFonts w:hint="eastAsia" w:ascii="仿宋" w:hAnsi="仿宋" w:eastAsia="仿宋" w:cs="仿宋_GB2312"/>
          <w:kern w:val="44"/>
          <w:sz w:val="24"/>
        </w:rPr>
        <w:t>6.6.8.8外包服务商公司应根据甲方管理要求建立自身的盘点、循环盘点流程、标准化操作单、岗位作业指导书等各类操作单证，并严格遵守执行，以确保账物相符，对盘点差异及时分析原因制定可行性的整改措施并对每一次的盘点情况形成盘点报告提交与制造部。</w:t>
      </w:r>
    </w:p>
    <w:p w14:paraId="1AD80CF0">
      <w:pPr>
        <w:spacing w:line="360" w:lineRule="auto"/>
        <w:rPr>
          <w:rFonts w:ascii="仿宋" w:hAnsi="仿宋" w:eastAsia="仿宋" w:cs="仿宋_GB2312"/>
          <w:kern w:val="44"/>
          <w:sz w:val="24"/>
        </w:rPr>
      </w:pPr>
      <w:r>
        <w:rPr>
          <w:rFonts w:hint="eastAsia" w:ascii="仿宋" w:hAnsi="仿宋" w:eastAsia="仿宋" w:cs="仿宋_GB2312"/>
          <w:kern w:val="44"/>
          <w:sz w:val="24"/>
        </w:rPr>
        <w:t>6.6.8.9必须指定专门的盘点协调人员，负责按照甲方制造部及财务部的要求进行盘点通知分发，盘点实施以及盘点差异分析工作。在接到物流或财务发出的盘点差异清单后，须在规定的时间内完成盘点差异分析。对于静态盘点要确保物料在无拉动的情况下进行。</w:t>
      </w:r>
    </w:p>
    <w:p w14:paraId="28F24396">
      <w:pPr>
        <w:spacing w:line="360" w:lineRule="auto"/>
        <w:rPr>
          <w:rFonts w:ascii="仿宋" w:hAnsi="仿宋" w:eastAsia="仿宋" w:cs="仿宋_GB2312"/>
          <w:kern w:val="44"/>
          <w:sz w:val="24"/>
        </w:rPr>
      </w:pPr>
      <w:r>
        <w:rPr>
          <w:rFonts w:hint="eastAsia" w:ascii="仿宋" w:hAnsi="仿宋" w:eastAsia="仿宋" w:cs="仿宋_GB2312"/>
          <w:kern w:val="44"/>
          <w:sz w:val="24"/>
        </w:rPr>
        <w:t>6.6.8.10对于断点零件、排序零件、待发区域零件、问题零件以及溢库区等特殊区域的零件要账物清楚、摆放有序，以便保证盘点的准确性。在盘点业务中，外包服务商公司对由于其自身责任导致的物料盘点差异按照甲方的物料损失承担全部赔偿责任。</w:t>
      </w:r>
    </w:p>
    <w:p w14:paraId="6526363A">
      <w:pPr>
        <w:spacing w:line="360" w:lineRule="auto"/>
        <w:rPr>
          <w:rFonts w:ascii="仿宋" w:hAnsi="仿宋" w:eastAsia="仿宋"/>
          <w:b/>
          <w:sz w:val="24"/>
          <w:szCs w:val="24"/>
        </w:rPr>
      </w:pPr>
      <w:r>
        <w:rPr>
          <w:rFonts w:hint="eastAsia" w:ascii="仿宋" w:hAnsi="仿宋" w:eastAsia="仿宋"/>
          <w:b/>
          <w:sz w:val="24"/>
          <w:szCs w:val="24"/>
        </w:rPr>
        <w:t>6.6.9 易盗件管理</w:t>
      </w:r>
    </w:p>
    <w:p w14:paraId="20B81980">
      <w:pPr>
        <w:spacing w:line="360" w:lineRule="auto"/>
        <w:rPr>
          <w:rFonts w:ascii="仿宋" w:hAnsi="仿宋" w:eastAsia="仿宋" w:cs="仿宋_GB2312"/>
          <w:kern w:val="44"/>
          <w:sz w:val="24"/>
        </w:rPr>
      </w:pPr>
      <w:r>
        <w:rPr>
          <w:rFonts w:hint="eastAsia" w:ascii="仿宋" w:hAnsi="仿宋" w:eastAsia="仿宋" w:cs="仿宋_GB2312"/>
          <w:kern w:val="44"/>
          <w:sz w:val="24"/>
        </w:rPr>
        <w:t>按照公司《易盗件管理规范》执行管理。</w:t>
      </w:r>
    </w:p>
    <w:p w14:paraId="066E9F86">
      <w:pPr>
        <w:spacing w:line="360" w:lineRule="auto"/>
        <w:jc w:val="left"/>
        <w:outlineLvl w:val="1"/>
        <w:rPr>
          <w:rFonts w:ascii="仿宋" w:hAnsi="仿宋" w:eastAsia="仿宋"/>
          <w:b/>
          <w:sz w:val="24"/>
          <w:szCs w:val="24"/>
        </w:rPr>
      </w:pPr>
      <w:bookmarkStart w:id="49" w:name="_Toc7844"/>
      <w:r>
        <w:rPr>
          <w:rFonts w:hint="eastAsia" w:ascii="仿宋" w:hAnsi="仿宋" w:eastAsia="仿宋"/>
          <w:b/>
          <w:sz w:val="24"/>
          <w:szCs w:val="24"/>
        </w:rPr>
        <w:t>6.7盛具管理</w:t>
      </w:r>
      <w:bookmarkEnd w:id="49"/>
    </w:p>
    <w:p w14:paraId="01658D5E">
      <w:pPr>
        <w:spacing w:line="360" w:lineRule="auto"/>
        <w:rPr>
          <w:rFonts w:ascii="仿宋" w:hAnsi="仿宋" w:eastAsia="仿宋" w:cs="仿宋_GB2312"/>
          <w:kern w:val="44"/>
          <w:sz w:val="24"/>
        </w:rPr>
      </w:pPr>
      <w:r>
        <w:rPr>
          <w:rFonts w:hint="eastAsia" w:ascii="仿宋" w:hAnsi="仿宋" w:eastAsia="仿宋" w:cs="仿宋_GB2312"/>
          <w:kern w:val="44"/>
          <w:sz w:val="24"/>
        </w:rPr>
        <w:t>6.7.1需采用固定的场地用于料箱、料架的整理及返回工作，料箱、料架必须设专人进行现场规整，做到供应商盛具分类并整齐堆放。</w:t>
      </w:r>
    </w:p>
    <w:p w14:paraId="00927B55">
      <w:pPr>
        <w:spacing w:line="360" w:lineRule="auto"/>
        <w:rPr>
          <w:rFonts w:ascii="仿宋" w:hAnsi="仿宋" w:eastAsia="仿宋" w:cs="仿宋_GB2312"/>
          <w:kern w:val="44"/>
          <w:sz w:val="24"/>
        </w:rPr>
      </w:pPr>
      <w:r>
        <w:rPr>
          <w:rFonts w:hint="eastAsia" w:ascii="仿宋" w:hAnsi="仿宋" w:eastAsia="仿宋" w:cs="仿宋_GB2312"/>
          <w:kern w:val="44"/>
          <w:sz w:val="24"/>
        </w:rPr>
        <w:t>6.7.2及时回收焊接仓储库房、总装仓储库房和生产线旁的空置的料箱、料架及托盘。</w:t>
      </w:r>
    </w:p>
    <w:p w14:paraId="7BCBDD9A">
      <w:pPr>
        <w:spacing w:line="360" w:lineRule="auto"/>
        <w:rPr>
          <w:rFonts w:ascii="仿宋" w:hAnsi="仿宋" w:eastAsia="仿宋" w:cs="仿宋_GB2312"/>
          <w:kern w:val="44"/>
          <w:sz w:val="24"/>
        </w:rPr>
      </w:pPr>
      <w:r>
        <w:rPr>
          <w:rFonts w:hint="eastAsia" w:ascii="仿宋" w:hAnsi="仿宋" w:eastAsia="仿宋" w:cs="仿宋_GB2312"/>
          <w:kern w:val="44"/>
          <w:sz w:val="24"/>
        </w:rPr>
        <w:t>6.7.3规范操作要求和遵守操作规定，铲运和发运物料时应注意不损伤料箱、料架等包装器具，避免跌落造成的盛具损坏。</w:t>
      </w:r>
    </w:p>
    <w:p w14:paraId="7E19471A">
      <w:pPr>
        <w:spacing w:line="360" w:lineRule="auto"/>
        <w:rPr>
          <w:rFonts w:ascii="仿宋" w:hAnsi="仿宋" w:eastAsia="仿宋" w:cs="仿宋_GB2312"/>
          <w:kern w:val="44"/>
          <w:sz w:val="24"/>
        </w:rPr>
      </w:pPr>
      <w:r>
        <w:rPr>
          <w:rFonts w:hint="eastAsia" w:ascii="仿宋" w:hAnsi="仿宋" w:eastAsia="仿宋" w:cs="仿宋_GB2312"/>
          <w:kern w:val="44"/>
          <w:sz w:val="24"/>
        </w:rPr>
        <w:t>6.7.4根据包装规范，在包装材料接收或使用时进行目视化检查，并及时向供应商提交包装材料残损信息，配合修复工作，杜绝将不洁(或残损、潮湿)包装盛具投入使用。</w:t>
      </w:r>
    </w:p>
    <w:p w14:paraId="7B6719F0">
      <w:pPr>
        <w:spacing w:line="360" w:lineRule="auto"/>
        <w:jc w:val="left"/>
        <w:outlineLvl w:val="1"/>
        <w:rPr>
          <w:rFonts w:ascii="仿宋" w:hAnsi="仿宋" w:eastAsia="仿宋"/>
          <w:b/>
          <w:sz w:val="24"/>
          <w:szCs w:val="24"/>
        </w:rPr>
      </w:pPr>
      <w:bookmarkStart w:id="50" w:name="_Toc8964"/>
      <w:r>
        <w:rPr>
          <w:rFonts w:hint="eastAsia" w:ascii="仿宋" w:hAnsi="仿宋" w:eastAsia="仿宋"/>
          <w:b/>
          <w:sz w:val="24"/>
          <w:szCs w:val="24"/>
        </w:rPr>
        <w:t>6.8异常紧急情况处理</w:t>
      </w:r>
      <w:bookmarkEnd w:id="50"/>
    </w:p>
    <w:p w14:paraId="4E79BEE8">
      <w:pPr>
        <w:spacing w:line="360" w:lineRule="auto"/>
        <w:ind w:firstLine="480" w:firstLineChars="200"/>
        <w:rPr>
          <w:rFonts w:ascii="仿宋" w:hAnsi="仿宋" w:eastAsia="仿宋"/>
          <w:sz w:val="24"/>
          <w:szCs w:val="24"/>
        </w:rPr>
      </w:pPr>
      <w:r>
        <w:rPr>
          <w:rFonts w:hint="eastAsia" w:ascii="仿宋" w:hAnsi="仿宋" w:eastAsia="仿宋"/>
          <w:sz w:val="24"/>
          <w:szCs w:val="24"/>
        </w:rPr>
        <w:t>外包服务商公司应做好库存信息、供应商信息、物料信息等备份文件，以防止重要数据在非正常工作或停电等情况下丢失。相关资料备份定期交甲方制造部存档，甲方有权定期对供应商系统进行核对，并要求出具报告。应对意外情况（如系统故障、停电、自然灾害等）须制定应急预案，并通过主管部门和甲方的审核。</w:t>
      </w:r>
    </w:p>
    <w:p w14:paraId="05D66BF2">
      <w:pPr>
        <w:spacing w:line="360" w:lineRule="auto"/>
        <w:jc w:val="left"/>
        <w:outlineLvl w:val="1"/>
        <w:rPr>
          <w:rFonts w:ascii="仿宋" w:hAnsi="仿宋" w:eastAsia="仿宋"/>
          <w:b/>
          <w:sz w:val="24"/>
          <w:szCs w:val="24"/>
        </w:rPr>
      </w:pPr>
      <w:bookmarkStart w:id="51" w:name="_Toc20918"/>
      <w:r>
        <w:rPr>
          <w:rFonts w:hint="eastAsia" w:ascii="仿宋" w:hAnsi="仿宋" w:eastAsia="仿宋"/>
          <w:b/>
          <w:sz w:val="24"/>
          <w:szCs w:val="24"/>
        </w:rPr>
        <w:t>6.9物流安全管理</w:t>
      </w:r>
      <w:bookmarkEnd w:id="51"/>
      <w:r>
        <w:rPr>
          <w:rFonts w:hint="eastAsia" w:ascii="仿宋" w:hAnsi="仿宋" w:eastAsia="仿宋"/>
          <w:b/>
          <w:sz w:val="24"/>
          <w:szCs w:val="24"/>
        </w:rPr>
        <w:tab/>
      </w:r>
    </w:p>
    <w:p w14:paraId="620EE00F">
      <w:pPr>
        <w:spacing w:line="360" w:lineRule="auto"/>
        <w:rPr>
          <w:rFonts w:ascii="仿宋" w:hAnsi="仿宋" w:eastAsia="仿宋"/>
          <w:sz w:val="24"/>
          <w:szCs w:val="24"/>
        </w:rPr>
      </w:pPr>
      <w:r>
        <w:rPr>
          <w:rFonts w:hint="eastAsia" w:ascii="仿宋" w:hAnsi="仿宋" w:eastAsia="仿宋"/>
          <w:sz w:val="24"/>
          <w:szCs w:val="24"/>
        </w:rPr>
        <w:t>6.9.1 在仓库的主要出入口应明示人员入库管理条例和库房安全规定，规定要符合甲方要求。及时发现并制止与条例(或规定)相抵触的情况和行为发生，与此同时外包服务商公司人员的举止应文明、规范。</w:t>
      </w:r>
    </w:p>
    <w:p w14:paraId="3C71F248">
      <w:pPr>
        <w:spacing w:line="360" w:lineRule="auto"/>
        <w:rPr>
          <w:rFonts w:ascii="仿宋" w:hAnsi="仿宋" w:eastAsia="仿宋"/>
          <w:sz w:val="24"/>
          <w:szCs w:val="24"/>
        </w:rPr>
      </w:pPr>
      <w:r>
        <w:rPr>
          <w:rFonts w:hint="eastAsia" w:ascii="仿宋" w:hAnsi="仿宋" w:eastAsia="仿宋"/>
          <w:sz w:val="24"/>
          <w:szCs w:val="24"/>
        </w:rPr>
        <w:t>6.9.2 外包服务商公司仓库内所有的接收、发送区域需根据标准的装卸安全规范进行布置。并通过甲方相关部门的审核和批准，所有装卸货操作必须遵守相关安全操作规范。</w:t>
      </w:r>
    </w:p>
    <w:p w14:paraId="051BF3CB">
      <w:pPr>
        <w:spacing w:line="360" w:lineRule="auto"/>
        <w:rPr>
          <w:rFonts w:ascii="仿宋" w:hAnsi="仿宋" w:eastAsia="仿宋"/>
          <w:sz w:val="24"/>
          <w:szCs w:val="24"/>
        </w:rPr>
      </w:pPr>
      <w:r>
        <w:rPr>
          <w:rFonts w:hint="eastAsia" w:ascii="仿宋" w:hAnsi="仿宋" w:eastAsia="仿宋"/>
          <w:sz w:val="24"/>
          <w:szCs w:val="24"/>
        </w:rPr>
        <w:t>6.9.3 建立日常巡检制度，做到每日、每班对安全、环境、设备设施、物料存放状况进行检查，记录和保存检查结果，并及时报修、整改。</w:t>
      </w:r>
    </w:p>
    <w:p w14:paraId="488A0FCB">
      <w:pPr>
        <w:spacing w:line="360" w:lineRule="auto"/>
        <w:rPr>
          <w:rFonts w:ascii="仿宋" w:hAnsi="仿宋" w:eastAsia="仿宋"/>
          <w:sz w:val="24"/>
          <w:szCs w:val="24"/>
        </w:rPr>
      </w:pPr>
      <w:r>
        <w:rPr>
          <w:rFonts w:hint="eastAsia" w:ascii="仿宋" w:hAnsi="仿宋" w:eastAsia="仿宋"/>
          <w:sz w:val="24"/>
          <w:szCs w:val="24"/>
        </w:rPr>
        <w:t>6.9.4 外包服务商公司负责进入仓库内人员的安全管理。</w:t>
      </w:r>
    </w:p>
    <w:p w14:paraId="0A4ED66B">
      <w:pPr>
        <w:spacing w:line="360" w:lineRule="auto"/>
        <w:rPr>
          <w:rFonts w:ascii="仿宋" w:hAnsi="仿宋" w:eastAsia="仿宋"/>
          <w:sz w:val="24"/>
          <w:szCs w:val="24"/>
        </w:rPr>
      </w:pPr>
      <w:r>
        <w:rPr>
          <w:rFonts w:hint="eastAsia" w:ascii="仿宋" w:hAnsi="仿宋" w:eastAsia="仿宋"/>
          <w:sz w:val="24"/>
          <w:szCs w:val="24"/>
        </w:rPr>
        <w:t>6.9.4.1 现场实行人、车分流，通道要有醒目的人行或车行标识及通道线，在转弯或交叉处应有醒目的减速或注意标识。</w:t>
      </w:r>
    </w:p>
    <w:p w14:paraId="41CF2702">
      <w:pPr>
        <w:spacing w:line="360" w:lineRule="auto"/>
        <w:rPr>
          <w:rFonts w:ascii="仿宋" w:hAnsi="仿宋" w:eastAsia="仿宋"/>
          <w:sz w:val="24"/>
          <w:szCs w:val="24"/>
        </w:rPr>
      </w:pPr>
      <w:r>
        <w:rPr>
          <w:rFonts w:hint="eastAsia" w:ascii="仿宋" w:hAnsi="仿宋" w:eastAsia="仿宋"/>
          <w:sz w:val="24"/>
          <w:szCs w:val="24"/>
        </w:rPr>
        <w:t>6.9.4.2 除外包服务商公司工作人员及甲方指定的人员外，公司内部其他任何人员不得进入外包服务商公司仓库内。如确有需要，由提出部门填写工作联系单，经外包服务商公司仓库负责人签字后方可进入。</w:t>
      </w:r>
    </w:p>
    <w:p w14:paraId="735AA1A9">
      <w:pPr>
        <w:spacing w:line="360" w:lineRule="auto"/>
        <w:rPr>
          <w:rFonts w:ascii="仿宋" w:hAnsi="仿宋" w:eastAsia="仿宋"/>
          <w:sz w:val="24"/>
          <w:szCs w:val="24"/>
        </w:rPr>
      </w:pPr>
      <w:r>
        <w:rPr>
          <w:rFonts w:hint="eastAsia" w:ascii="仿宋" w:hAnsi="仿宋" w:eastAsia="仿宋"/>
          <w:sz w:val="24"/>
          <w:szCs w:val="24"/>
        </w:rPr>
        <w:t>6.9.4.3 坚决禁止外来人员擅自进入仓库内，若因业务需要，需经甲方制造部批准后方可进入，并由第三方物流相关人员全程陪同。</w:t>
      </w:r>
    </w:p>
    <w:p w14:paraId="1F2368AF">
      <w:pPr>
        <w:spacing w:line="360" w:lineRule="auto"/>
        <w:rPr>
          <w:rFonts w:ascii="仿宋" w:hAnsi="仿宋" w:eastAsia="仿宋"/>
          <w:sz w:val="24"/>
          <w:szCs w:val="24"/>
        </w:rPr>
      </w:pPr>
      <w:r>
        <w:rPr>
          <w:rFonts w:hint="eastAsia" w:ascii="仿宋" w:hAnsi="仿宋" w:eastAsia="仿宋"/>
          <w:sz w:val="24"/>
          <w:szCs w:val="24"/>
        </w:rPr>
        <w:t>6.9.4.4 落实防雨、防汛、防火、防震、防盗等异常环境条件的防范工作，必要时要安排人员24小时值班，确保甲方物资和外包服务商公司运作设备、运作设施及物资的安全。</w:t>
      </w:r>
    </w:p>
    <w:p w14:paraId="70C7C555">
      <w:pPr>
        <w:spacing w:line="360" w:lineRule="auto"/>
        <w:rPr>
          <w:rFonts w:ascii="仿宋" w:hAnsi="仿宋" w:eastAsia="仿宋"/>
          <w:sz w:val="24"/>
          <w:szCs w:val="24"/>
        </w:rPr>
      </w:pPr>
      <w:r>
        <w:rPr>
          <w:rFonts w:hint="eastAsia" w:ascii="仿宋" w:hAnsi="仿宋" w:eastAsia="仿宋"/>
          <w:sz w:val="24"/>
          <w:szCs w:val="24"/>
        </w:rPr>
        <w:t>6.9.5 不得将业务资料和信息透露给任何第三方，不得冒用甲方名义从事自身职责范围以外的事务，不得接受甲方汽车零部件供应商的请客和馈赠，不得故意刁难供应商，一经查实，将按甲方相关管理规定严肃处理，情节严重的依法送公安机关处理。</w:t>
      </w:r>
    </w:p>
    <w:p w14:paraId="66798F5D">
      <w:pPr>
        <w:spacing w:line="360" w:lineRule="auto"/>
        <w:rPr>
          <w:rFonts w:ascii="仿宋" w:hAnsi="仿宋" w:eastAsia="仿宋"/>
          <w:sz w:val="24"/>
          <w:szCs w:val="24"/>
        </w:rPr>
      </w:pPr>
      <w:r>
        <w:rPr>
          <w:rFonts w:hint="eastAsia" w:ascii="仿宋" w:hAnsi="仿宋" w:eastAsia="仿宋"/>
          <w:sz w:val="24"/>
          <w:szCs w:val="24"/>
        </w:rPr>
        <w:t>6.9.6 禁止外包服务商公司在甲方所提供的仓库内从事任何非甲方指定业务。</w:t>
      </w:r>
    </w:p>
    <w:p w14:paraId="56D9DAC2">
      <w:pPr>
        <w:pStyle w:val="3"/>
        <w:rPr>
          <w:rFonts w:hint="default" w:ascii="仿宋" w:hAnsi="仿宋" w:eastAsia="仿宋" w:cs="仿宋_GB2312"/>
          <w:b w:val="0"/>
          <w:kern w:val="44"/>
        </w:rPr>
      </w:pPr>
      <w:bookmarkStart w:id="52" w:name="_Toc23070"/>
      <w:r>
        <w:rPr>
          <w:rFonts w:ascii="仿宋" w:hAnsi="仿宋" w:eastAsia="仿宋" w:cs="仿宋_GB2312"/>
          <w:kern w:val="44"/>
        </w:rPr>
        <w:t>6.10 废弃物处理</w:t>
      </w:r>
      <w:bookmarkEnd w:id="52"/>
    </w:p>
    <w:p w14:paraId="56587F7E">
      <w:pPr>
        <w:spacing w:line="360" w:lineRule="auto"/>
        <w:rPr>
          <w:rFonts w:ascii="仿宋" w:hAnsi="仿宋" w:eastAsia="仿宋"/>
          <w:sz w:val="24"/>
          <w:szCs w:val="24"/>
        </w:rPr>
      </w:pPr>
      <w:r>
        <w:rPr>
          <w:rFonts w:hint="eastAsia" w:ascii="仿宋" w:hAnsi="仿宋" w:eastAsia="仿宋"/>
          <w:sz w:val="24"/>
          <w:szCs w:val="24"/>
        </w:rPr>
        <w:t>6.10.1物流作业产生废弃物种类包括：零部件的原包装物（纸箱）、零件包装物中的隔断、填充物、废弃工位器具、废弃设备、货架、操作中产生的废弃胶带、手套等垃圾；</w:t>
      </w:r>
    </w:p>
    <w:p w14:paraId="631F4029">
      <w:pPr>
        <w:spacing w:line="360" w:lineRule="auto"/>
        <w:rPr>
          <w:rFonts w:ascii="仿宋" w:hAnsi="仿宋" w:eastAsia="仿宋"/>
          <w:sz w:val="24"/>
          <w:szCs w:val="24"/>
        </w:rPr>
      </w:pPr>
      <w:r>
        <w:rPr>
          <w:rFonts w:hint="eastAsia" w:ascii="仿宋" w:hAnsi="仿宋" w:eastAsia="仿宋"/>
          <w:sz w:val="24"/>
          <w:szCs w:val="24"/>
        </w:rPr>
        <w:t>6.10.2 废弃物资处理区分原则：</w:t>
      </w:r>
    </w:p>
    <w:p w14:paraId="46AD3AF8">
      <w:pPr>
        <w:spacing w:line="360" w:lineRule="auto"/>
        <w:rPr>
          <w:rFonts w:ascii="仿宋" w:hAnsi="仿宋" w:eastAsia="仿宋"/>
          <w:sz w:val="24"/>
          <w:szCs w:val="24"/>
        </w:rPr>
      </w:pPr>
      <w:r>
        <w:rPr>
          <w:rFonts w:hint="eastAsia" w:ascii="仿宋" w:hAnsi="仿宋" w:eastAsia="仿宋"/>
          <w:sz w:val="24"/>
          <w:szCs w:val="24"/>
        </w:rPr>
        <w:t>6.10.2.1 一次性包装物（纸箱）价格已含在零部件成本中，属于公司财产，在操作被替换后，应全部定义为甲方物资，全部由甲方指定部门负责处理。外包服务商公司负责将其运送到甲方指定点存放。</w:t>
      </w:r>
    </w:p>
    <w:p w14:paraId="684F2026">
      <w:pPr>
        <w:spacing w:line="360" w:lineRule="auto"/>
        <w:rPr>
          <w:rFonts w:ascii="仿宋" w:hAnsi="仿宋" w:eastAsia="仿宋"/>
          <w:sz w:val="24"/>
          <w:szCs w:val="24"/>
        </w:rPr>
      </w:pPr>
      <w:r>
        <w:rPr>
          <w:rFonts w:hint="eastAsia" w:ascii="仿宋" w:hAnsi="仿宋" w:eastAsia="仿宋"/>
          <w:sz w:val="24"/>
          <w:szCs w:val="24"/>
        </w:rPr>
        <w:t>6.10.2.2 涉及供应商提供的、器具、货架，处理权全部属于甲方，外包服务商公司没有自行变卖、处理、改造的权利。</w:t>
      </w:r>
    </w:p>
    <w:p w14:paraId="3E84F617">
      <w:pPr>
        <w:spacing w:line="360" w:lineRule="auto"/>
        <w:rPr>
          <w:rFonts w:ascii="仿宋" w:hAnsi="仿宋" w:eastAsia="仿宋"/>
          <w:sz w:val="24"/>
          <w:szCs w:val="24"/>
        </w:rPr>
      </w:pPr>
      <w:r>
        <w:rPr>
          <w:rFonts w:hint="eastAsia" w:ascii="仿宋" w:hAnsi="仿宋" w:eastAsia="仿宋"/>
          <w:sz w:val="24"/>
          <w:szCs w:val="24"/>
        </w:rPr>
        <w:t>6.10.2.3 处罚原则：</w:t>
      </w:r>
    </w:p>
    <w:p w14:paraId="59C312A7">
      <w:pPr>
        <w:spacing w:line="360" w:lineRule="auto"/>
        <w:rPr>
          <w:rFonts w:ascii="仿宋" w:hAnsi="仿宋" w:eastAsia="仿宋"/>
          <w:sz w:val="24"/>
          <w:szCs w:val="24"/>
        </w:rPr>
      </w:pPr>
      <w:r>
        <w:rPr>
          <w:rFonts w:hint="eastAsia" w:ascii="仿宋" w:hAnsi="仿宋" w:eastAsia="仿宋"/>
          <w:sz w:val="24"/>
          <w:szCs w:val="24"/>
        </w:rPr>
        <w:t>a.如未通过供应商报告申请，擅自将包装物回收给供应商的情况，按照此种包装物所承载物料的前三个月消耗总数量进行包装物价格计算，对外包服务商公司进行考核。</w:t>
      </w:r>
    </w:p>
    <w:p w14:paraId="0DC5F102">
      <w:pPr>
        <w:spacing w:line="360" w:lineRule="auto"/>
        <w:rPr>
          <w:rFonts w:ascii="仿宋" w:hAnsi="仿宋" w:eastAsia="仿宋"/>
          <w:sz w:val="24"/>
          <w:szCs w:val="24"/>
        </w:rPr>
      </w:pPr>
      <w:r>
        <w:rPr>
          <w:rFonts w:hint="eastAsia" w:ascii="仿宋" w:hAnsi="仿宋" w:eastAsia="仿宋"/>
          <w:sz w:val="24"/>
          <w:szCs w:val="24"/>
        </w:rPr>
        <w:t>b.如有私自处理属甲方所有的其它废弃物的情况（包括包装、器具、货架及其他废弃物），按照处理废弃物的10倍价值进行考核。</w:t>
      </w:r>
    </w:p>
    <w:p w14:paraId="3FBDC19D">
      <w:pPr>
        <w:spacing w:line="360" w:lineRule="auto"/>
        <w:jc w:val="left"/>
        <w:outlineLvl w:val="1"/>
        <w:rPr>
          <w:rFonts w:ascii="仿宋" w:hAnsi="仿宋" w:eastAsia="仿宋"/>
          <w:b/>
          <w:sz w:val="24"/>
          <w:szCs w:val="24"/>
        </w:rPr>
      </w:pPr>
      <w:bookmarkStart w:id="53" w:name="_Toc27553"/>
      <w:r>
        <w:rPr>
          <w:rFonts w:hint="eastAsia" w:ascii="仿宋" w:hAnsi="仿宋" w:eastAsia="仿宋"/>
          <w:b/>
          <w:sz w:val="24"/>
          <w:szCs w:val="24"/>
        </w:rPr>
        <w:t>6.11 退出机制</w:t>
      </w:r>
      <w:bookmarkEnd w:id="53"/>
    </w:p>
    <w:p w14:paraId="64436411">
      <w:pPr>
        <w:widowControl/>
        <w:adjustRightInd w:val="0"/>
        <w:snapToGrid w:val="0"/>
        <w:spacing w:line="360" w:lineRule="auto"/>
        <w:ind w:firstLine="480" w:firstLineChars="200"/>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第三方物流公司的退出分为主动退出和被要求退出两种形式。主动退出时，第三方物流公司要提交正式的公文或函件，说明退出理由；被要求退出时重汽（重庆）轻型汽车有限公司采购部、制造部生产物流室须事先达成一致意见，经公司总经理办公会批准后由重汽（重庆）轻型汽车有限公司采购部正式通知外包服务商。具体管理办法如下：</w:t>
      </w:r>
    </w:p>
    <w:p w14:paraId="495301DD">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6.11.1退出时的提前期时间：一方欲提前终止合同的，应至少提前三个月书面告知对方；经对方书面同意后，合同终止，合同终止后，双方应及时办理费用结算。</w:t>
      </w:r>
    </w:p>
    <w:p w14:paraId="0CEECCC5">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6.11.2人员安排：外包服务商公司自行招聘人员，由外包服务商公司解除与其的劳动合同后，甲方或新接手的外包服务商公司可与员工签订劳动合同。</w:t>
      </w:r>
    </w:p>
    <w:p w14:paraId="0E5DCBBE">
      <w:pPr>
        <w:spacing w:line="360" w:lineRule="auto"/>
        <w:jc w:val="left"/>
        <w:outlineLvl w:val="0"/>
        <w:rPr>
          <w:rFonts w:ascii="仿宋" w:hAnsi="仿宋" w:eastAsia="仿宋"/>
          <w:b/>
          <w:sz w:val="24"/>
          <w:szCs w:val="24"/>
        </w:rPr>
      </w:pPr>
      <w:bookmarkStart w:id="54" w:name="_Toc15957"/>
      <w:r>
        <w:rPr>
          <w:rFonts w:hint="eastAsia" w:ascii="仿宋" w:hAnsi="仿宋" w:eastAsia="仿宋"/>
          <w:b/>
          <w:sz w:val="24"/>
          <w:szCs w:val="24"/>
        </w:rPr>
        <w:t>7、KPI考核</w:t>
      </w:r>
      <w:bookmarkEnd w:id="54"/>
    </w:p>
    <w:p w14:paraId="3C7D3BEF">
      <w:pPr>
        <w:widowControl/>
        <w:adjustRightInd w:val="0"/>
        <w:snapToGrid w:val="0"/>
        <w:spacing w:line="360" w:lineRule="auto"/>
        <w:ind w:firstLine="480" w:firstLineChars="200"/>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在双方平等合作的业务关系的基础上，甲方将建立相应的管理考核标准（详见附件—外包服务商考核细则）和指标对外包服务商公司进行业绩评价和现场管理水平考评。</w:t>
      </w:r>
    </w:p>
    <w:p w14:paraId="61CC26E1">
      <w:pPr>
        <w:widowControl/>
        <w:adjustRightInd w:val="0"/>
        <w:snapToGrid w:val="0"/>
        <w:spacing w:line="360" w:lineRule="auto"/>
        <w:ind w:firstLine="480" w:firstLineChars="200"/>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甲方和甲方上级单位对其自身的物流系统所制定的管理考核标准和业绩评价标准，涉及到外包服务商公司工作范围的，由甲方制造部负责分解，外包服务商公司应当遵照执行。如发生变更，甲方以书面形式通知外包服务商公司。</w:t>
      </w:r>
    </w:p>
    <w:p w14:paraId="54E17889">
      <w:pPr>
        <w:spacing w:line="360" w:lineRule="auto"/>
        <w:jc w:val="left"/>
        <w:outlineLvl w:val="0"/>
        <w:rPr>
          <w:rFonts w:ascii="仿宋" w:hAnsi="仿宋" w:eastAsia="仿宋"/>
          <w:b/>
          <w:sz w:val="24"/>
          <w:szCs w:val="24"/>
        </w:rPr>
      </w:pPr>
      <w:bookmarkStart w:id="55" w:name="_Toc23085"/>
      <w:r>
        <w:rPr>
          <w:rFonts w:hint="eastAsia" w:ascii="仿宋" w:hAnsi="仿宋" w:eastAsia="仿宋"/>
          <w:b/>
          <w:sz w:val="24"/>
          <w:szCs w:val="24"/>
        </w:rPr>
        <w:t>8、知识产权及保密</w:t>
      </w:r>
      <w:bookmarkEnd w:id="55"/>
    </w:p>
    <w:p w14:paraId="144E53D0">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8.1 第三方物流公司应对在技术交流、合同的协商、签订及履行过程中所接触到的任何重汽（重庆）轻型汽车有限公司的技术、经营、管理、供应商信息等承担保密义务。除非法律法规规定或第三方物流公司为履行合同外，未经甲方同意，不得以任何方式使用或透漏给任何第三方。</w:t>
      </w:r>
    </w:p>
    <w:p w14:paraId="402E1ACA">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8.2 合同解除或终止时，在没有对方特别指示时，双方应立即将收到的载有信息的资料，包括摘录、概要、复制等返还给对方。</w:t>
      </w:r>
    </w:p>
    <w:p w14:paraId="01C641C1">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8.3 保密义务在合同终止后10年内仍然继续有效。甲乙双方应要求获知对方信息的全体从业人员，在职中和退职后都以书面形式履行同等的保密义务。</w:t>
      </w:r>
    </w:p>
    <w:p w14:paraId="501D5DA2">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8.4 如未经甲方事先的书面许可，向任何第三方转让、转借或允许第三方阅览或复制的，第三方物流公司应赔偿因此给甲方带来的损失。</w:t>
      </w:r>
    </w:p>
    <w:p w14:paraId="4F953319">
      <w:pPr>
        <w:widowControl/>
        <w:adjustRightInd w:val="0"/>
        <w:snapToGrid w:val="0"/>
        <w:spacing w:line="360" w:lineRule="auto"/>
        <w:contextualSpacing/>
        <w:jc w:val="left"/>
        <w:rPr>
          <w:rFonts w:ascii="仿宋" w:hAnsi="仿宋" w:eastAsia="仿宋" w:cs="仿宋_GB2312"/>
          <w:kern w:val="44"/>
          <w:sz w:val="24"/>
          <w:szCs w:val="28"/>
        </w:rPr>
      </w:pPr>
    </w:p>
    <w:p w14:paraId="0B87CA22">
      <w:pPr>
        <w:widowControl/>
        <w:adjustRightInd w:val="0"/>
        <w:snapToGrid w:val="0"/>
        <w:spacing w:line="360" w:lineRule="auto"/>
        <w:contextualSpacing/>
        <w:jc w:val="left"/>
        <w:rPr>
          <w:rFonts w:ascii="仿宋" w:hAnsi="仿宋" w:eastAsia="仿宋" w:cs="仿宋_GB2312"/>
          <w:kern w:val="44"/>
          <w:sz w:val="24"/>
          <w:szCs w:val="28"/>
        </w:rPr>
      </w:pPr>
    </w:p>
    <w:p w14:paraId="58396D9B">
      <w:pPr>
        <w:widowControl/>
        <w:adjustRightInd w:val="0"/>
        <w:snapToGrid w:val="0"/>
        <w:spacing w:line="360" w:lineRule="auto"/>
        <w:contextualSpacing/>
        <w:jc w:val="left"/>
        <w:rPr>
          <w:rFonts w:ascii="仿宋" w:hAnsi="仿宋" w:eastAsia="仿宋" w:cs="仿宋_GB2312"/>
          <w:kern w:val="44"/>
          <w:sz w:val="24"/>
          <w:szCs w:val="28"/>
        </w:rPr>
      </w:pPr>
    </w:p>
    <w:p w14:paraId="0E113026">
      <w:pPr>
        <w:widowControl/>
        <w:adjustRightInd w:val="0"/>
        <w:snapToGrid w:val="0"/>
        <w:spacing w:line="360" w:lineRule="auto"/>
        <w:contextualSpacing/>
        <w:jc w:val="left"/>
        <w:rPr>
          <w:rFonts w:ascii="仿宋" w:hAnsi="仿宋" w:eastAsia="仿宋" w:cs="仿宋_GB2312"/>
          <w:kern w:val="44"/>
          <w:sz w:val="24"/>
          <w:szCs w:val="28"/>
        </w:rPr>
      </w:pPr>
    </w:p>
    <w:p w14:paraId="537A4849">
      <w:pPr>
        <w:widowControl/>
        <w:adjustRightInd w:val="0"/>
        <w:snapToGrid w:val="0"/>
        <w:spacing w:line="360" w:lineRule="auto"/>
        <w:contextualSpacing/>
        <w:jc w:val="left"/>
        <w:rPr>
          <w:rFonts w:ascii="仿宋" w:hAnsi="仿宋" w:eastAsia="仿宋" w:cs="仿宋_GB2312"/>
          <w:kern w:val="44"/>
          <w:sz w:val="24"/>
          <w:szCs w:val="28"/>
        </w:rPr>
      </w:pPr>
    </w:p>
    <w:p w14:paraId="67F7B9B4">
      <w:pPr>
        <w:widowControl/>
        <w:adjustRightInd w:val="0"/>
        <w:snapToGrid w:val="0"/>
        <w:spacing w:line="360" w:lineRule="auto"/>
        <w:contextualSpacing/>
        <w:jc w:val="left"/>
        <w:rPr>
          <w:rFonts w:ascii="仿宋" w:hAnsi="仿宋" w:eastAsia="仿宋" w:cs="仿宋_GB2312"/>
          <w:kern w:val="44"/>
          <w:sz w:val="24"/>
          <w:szCs w:val="28"/>
        </w:rPr>
      </w:pPr>
    </w:p>
    <w:p w14:paraId="296BA14E">
      <w:pPr>
        <w:widowControl/>
        <w:adjustRightInd w:val="0"/>
        <w:snapToGrid w:val="0"/>
        <w:spacing w:line="360" w:lineRule="auto"/>
        <w:contextualSpacing/>
        <w:jc w:val="left"/>
        <w:rPr>
          <w:rFonts w:ascii="仿宋" w:hAnsi="仿宋" w:eastAsia="仿宋" w:cs="仿宋_GB2312"/>
          <w:kern w:val="44"/>
          <w:sz w:val="24"/>
          <w:szCs w:val="28"/>
        </w:rPr>
      </w:pPr>
    </w:p>
    <w:p w14:paraId="2F74428C">
      <w:pPr>
        <w:widowControl/>
        <w:adjustRightInd w:val="0"/>
        <w:snapToGrid w:val="0"/>
        <w:spacing w:line="360" w:lineRule="auto"/>
        <w:contextualSpacing/>
        <w:jc w:val="left"/>
        <w:rPr>
          <w:rFonts w:ascii="仿宋" w:hAnsi="仿宋" w:eastAsia="仿宋" w:cs="仿宋_GB2312"/>
          <w:kern w:val="44"/>
          <w:sz w:val="24"/>
          <w:szCs w:val="28"/>
        </w:rPr>
      </w:pPr>
    </w:p>
    <w:p w14:paraId="7CD78766">
      <w:pPr>
        <w:widowControl/>
        <w:adjustRightInd w:val="0"/>
        <w:snapToGrid w:val="0"/>
        <w:spacing w:line="360" w:lineRule="auto"/>
        <w:contextualSpacing/>
        <w:jc w:val="left"/>
        <w:rPr>
          <w:rFonts w:ascii="仿宋" w:hAnsi="仿宋" w:eastAsia="仿宋" w:cs="仿宋_GB2312"/>
          <w:kern w:val="44"/>
          <w:sz w:val="24"/>
          <w:szCs w:val="28"/>
        </w:rPr>
      </w:pPr>
    </w:p>
    <w:p w14:paraId="325B011E">
      <w:pPr>
        <w:widowControl/>
        <w:adjustRightInd w:val="0"/>
        <w:snapToGrid w:val="0"/>
        <w:spacing w:line="360" w:lineRule="auto"/>
        <w:contextualSpacing/>
        <w:jc w:val="left"/>
        <w:rPr>
          <w:rFonts w:ascii="仿宋" w:hAnsi="仿宋" w:eastAsia="仿宋" w:cs="仿宋_GB2312"/>
          <w:kern w:val="44"/>
          <w:sz w:val="24"/>
          <w:szCs w:val="28"/>
        </w:rPr>
      </w:pPr>
    </w:p>
    <w:p w14:paraId="67280FC6">
      <w:pPr>
        <w:widowControl/>
        <w:adjustRightInd w:val="0"/>
        <w:snapToGrid w:val="0"/>
        <w:spacing w:line="360" w:lineRule="auto"/>
        <w:contextualSpacing/>
        <w:jc w:val="left"/>
        <w:rPr>
          <w:rFonts w:ascii="仿宋" w:hAnsi="仿宋" w:eastAsia="仿宋" w:cs="仿宋_GB2312"/>
          <w:kern w:val="44"/>
          <w:sz w:val="24"/>
          <w:szCs w:val="28"/>
        </w:rPr>
      </w:pPr>
    </w:p>
    <w:p w14:paraId="0DC0D49B">
      <w:pPr>
        <w:widowControl/>
        <w:adjustRightInd w:val="0"/>
        <w:snapToGrid w:val="0"/>
        <w:spacing w:line="360" w:lineRule="auto"/>
        <w:contextualSpacing/>
        <w:jc w:val="left"/>
        <w:rPr>
          <w:rFonts w:ascii="仿宋" w:hAnsi="仿宋" w:eastAsia="仿宋" w:cs="仿宋_GB2312"/>
          <w:kern w:val="44"/>
          <w:sz w:val="24"/>
          <w:szCs w:val="28"/>
        </w:rPr>
      </w:pPr>
    </w:p>
    <w:p w14:paraId="2214F67C">
      <w:pPr>
        <w:widowControl/>
        <w:adjustRightInd w:val="0"/>
        <w:snapToGrid w:val="0"/>
        <w:spacing w:line="360" w:lineRule="auto"/>
        <w:contextualSpacing/>
        <w:jc w:val="left"/>
        <w:rPr>
          <w:rFonts w:ascii="仿宋" w:hAnsi="仿宋" w:eastAsia="仿宋" w:cs="仿宋_GB2312"/>
          <w:kern w:val="44"/>
          <w:sz w:val="24"/>
          <w:szCs w:val="28"/>
        </w:rPr>
      </w:pPr>
    </w:p>
    <w:p w14:paraId="6FFE9388">
      <w:pPr>
        <w:widowControl/>
        <w:adjustRightInd w:val="0"/>
        <w:snapToGrid w:val="0"/>
        <w:spacing w:line="360" w:lineRule="auto"/>
        <w:contextualSpacing/>
        <w:jc w:val="left"/>
        <w:rPr>
          <w:rFonts w:ascii="仿宋" w:hAnsi="仿宋" w:eastAsia="仿宋" w:cs="仿宋_GB2312"/>
          <w:kern w:val="44"/>
          <w:sz w:val="24"/>
          <w:szCs w:val="28"/>
        </w:rPr>
      </w:pPr>
    </w:p>
    <w:p w14:paraId="036BD80F">
      <w:pPr>
        <w:widowControl/>
        <w:adjustRightInd w:val="0"/>
        <w:snapToGrid w:val="0"/>
        <w:spacing w:line="360" w:lineRule="auto"/>
        <w:contextualSpacing/>
        <w:jc w:val="left"/>
        <w:rPr>
          <w:rFonts w:ascii="仿宋" w:hAnsi="仿宋" w:eastAsia="仿宋" w:cs="仿宋_GB2312"/>
          <w:kern w:val="44"/>
          <w:sz w:val="24"/>
          <w:szCs w:val="28"/>
        </w:rPr>
      </w:pPr>
    </w:p>
    <w:p w14:paraId="1A70FC8B">
      <w:pPr>
        <w:widowControl/>
        <w:adjustRightInd w:val="0"/>
        <w:snapToGrid w:val="0"/>
        <w:spacing w:line="360" w:lineRule="auto"/>
        <w:contextualSpacing/>
        <w:jc w:val="left"/>
        <w:rPr>
          <w:rFonts w:ascii="仿宋" w:hAnsi="仿宋" w:eastAsia="仿宋" w:cs="仿宋_GB2312"/>
          <w:kern w:val="44"/>
          <w:sz w:val="24"/>
          <w:szCs w:val="28"/>
        </w:rPr>
      </w:pPr>
    </w:p>
    <w:p w14:paraId="23F37B1A">
      <w:pPr>
        <w:widowControl/>
        <w:adjustRightInd w:val="0"/>
        <w:snapToGrid w:val="0"/>
        <w:spacing w:line="360" w:lineRule="auto"/>
        <w:contextualSpacing/>
        <w:jc w:val="left"/>
        <w:rPr>
          <w:rFonts w:ascii="仿宋" w:hAnsi="仿宋" w:eastAsia="仿宋" w:cs="仿宋_GB2312"/>
          <w:kern w:val="44"/>
          <w:sz w:val="24"/>
          <w:szCs w:val="28"/>
        </w:rPr>
      </w:pPr>
      <w:r>
        <w:rPr>
          <w:rFonts w:hint="eastAsia" w:ascii="仿宋" w:hAnsi="仿宋" w:eastAsia="仿宋" w:cs="仿宋_GB2312"/>
          <w:kern w:val="44"/>
          <w:sz w:val="24"/>
          <w:szCs w:val="28"/>
        </w:rPr>
        <w:t>附件：</w:t>
      </w:r>
    </w:p>
    <w:p w14:paraId="37D7AEDD">
      <w:pPr>
        <w:adjustRightInd w:val="0"/>
        <w:snapToGrid w:val="0"/>
        <w:spacing w:before="78" w:beforeLines="25" w:line="300" w:lineRule="auto"/>
        <w:jc w:val="center"/>
        <w:rPr>
          <w:rFonts w:ascii="Times New Roman" w:hAnsi="Times New Roman" w:eastAsia="黑体"/>
          <w:sz w:val="32"/>
          <w:szCs w:val="32"/>
        </w:rPr>
      </w:pPr>
      <w:r>
        <w:rPr>
          <w:rFonts w:hint="eastAsia" w:ascii="Times New Roman" w:hAnsi="Times New Roman" w:eastAsia="黑体"/>
          <w:sz w:val="32"/>
          <w:szCs w:val="32"/>
        </w:rPr>
        <w:t>新能源车动力电池</w:t>
      </w:r>
      <w:r>
        <w:rPr>
          <w:rFonts w:ascii="Times New Roman" w:hAnsi="Times New Roman" w:eastAsia="黑体"/>
          <w:sz w:val="32"/>
          <w:szCs w:val="32"/>
        </w:rPr>
        <w:t>EHS管理规范</w:t>
      </w:r>
    </w:p>
    <w:p w14:paraId="4E0B4657">
      <w:pPr>
        <w:adjustRightInd w:val="0"/>
        <w:snapToGrid w:val="0"/>
        <w:spacing w:before="78" w:beforeLines="25" w:line="300" w:lineRule="auto"/>
        <w:rPr>
          <w:rFonts w:ascii="仿宋" w:hAnsi="仿宋" w:eastAsia="仿宋" w:cs="仿宋"/>
          <w:sz w:val="24"/>
          <w:szCs w:val="24"/>
        </w:rPr>
      </w:pPr>
      <w:r>
        <w:rPr>
          <w:rFonts w:hint="eastAsia" w:ascii="仿宋" w:hAnsi="仿宋" w:eastAsia="仿宋" w:cs="仿宋"/>
          <w:sz w:val="24"/>
          <w:szCs w:val="24"/>
        </w:rPr>
        <w:t>1、目的及适用范围</w:t>
      </w:r>
    </w:p>
    <w:p w14:paraId="50082466">
      <w:pPr>
        <w:adjustRightInd w:val="0"/>
        <w:snapToGrid w:val="0"/>
        <w:spacing w:line="300" w:lineRule="auto"/>
        <w:ind w:firstLine="480" w:firstLineChars="200"/>
        <w:rPr>
          <w:rFonts w:ascii="仿宋" w:hAnsi="仿宋" w:eastAsia="仿宋" w:cs="仿宋"/>
          <w:sz w:val="24"/>
          <w:szCs w:val="24"/>
        </w:rPr>
      </w:pPr>
      <w:r>
        <w:rPr>
          <w:rFonts w:hint="eastAsia" w:ascii="仿宋" w:hAnsi="仿宋" w:eastAsia="仿宋" w:cs="仿宋"/>
          <w:sz w:val="24"/>
          <w:szCs w:val="24"/>
        </w:rPr>
        <w:t>为加强新能源车动力电池EHS管理，确保动力电池在公司各环节满足安全、环保和职业健康的要求，制定本管理规范。</w:t>
      </w:r>
    </w:p>
    <w:p w14:paraId="39E44208">
      <w:pPr>
        <w:adjustRightInd w:val="0"/>
        <w:snapToGrid w:val="0"/>
        <w:spacing w:line="300" w:lineRule="auto"/>
        <w:ind w:firstLine="480" w:firstLineChars="200"/>
        <w:rPr>
          <w:rFonts w:ascii="仿宋" w:hAnsi="仿宋" w:eastAsia="仿宋" w:cs="仿宋"/>
          <w:sz w:val="24"/>
          <w:szCs w:val="24"/>
        </w:rPr>
      </w:pPr>
      <w:r>
        <w:rPr>
          <w:rFonts w:hint="eastAsia" w:ascii="仿宋" w:hAnsi="仿宋" w:eastAsia="仿宋" w:cs="仿宋"/>
          <w:sz w:val="24"/>
          <w:szCs w:val="24"/>
        </w:rPr>
        <w:t>本规范适用于公司新能源车动力电池的EHS管理。</w:t>
      </w:r>
    </w:p>
    <w:p w14:paraId="7B76F9A6">
      <w:pPr>
        <w:adjustRightInd w:val="0"/>
        <w:snapToGrid w:val="0"/>
        <w:spacing w:before="78" w:beforeLines="25" w:line="300" w:lineRule="auto"/>
        <w:rPr>
          <w:rFonts w:ascii="仿宋" w:hAnsi="仿宋" w:eastAsia="仿宋" w:cs="仿宋"/>
          <w:sz w:val="24"/>
          <w:szCs w:val="24"/>
        </w:rPr>
      </w:pPr>
      <w:r>
        <w:rPr>
          <w:rFonts w:hint="eastAsia" w:ascii="仿宋" w:hAnsi="仿宋" w:eastAsia="仿宋" w:cs="仿宋"/>
          <w:sz w:val="24"/>
          <w:szCs w:val="24"/>
        </w:rPr>
        <w:t>2、相关文件及术语</w:t>
      </w:r>
    </w:p>
    <w:p w14:paraId="2BCBEC39">
      <w:pPr>
        <w:adjustRightInd w:val="0"/>
        <w:snapToGrid w:val="0"/>
        <w:spacing w:before="78" w:beforeLines="25" w:line="300" w:lineRule="auto"/>
        <w:ind w:firstLine="480" w:firstLineChars="200"/>
        <w:rPr>
          <w:rFonts w:ascii="仿宋" w:hAnsi="仿宋" w:eastAsia="仿宋" w:cs="仿宋"/>
          <w:sz w:val="24"/>
          <w:szCs w:val="24"/>
        </w:rPr>
      </w:pPr>
      <w:r>
        <w:rPr>
          <w:rFonts w:hint="eastAsia" w:ascii="仿宋" w:hAnsi="仿宋" w:eastAsia="仿宋" w:cs="仿宋"/>
          <w:sz w:val="24"/>
          <w:szCs w:val="24"/>
        </w:rPr>
        <w:t>无。</w:t>
      </w:r>
    </w:p>
    <w:p w14:paraId="5E160E48">
      <w:pPr>
        <w:adjustRightInd w:val="0"/>
        <w:snapToGrid w:val="0"/>
        <w:spacing w:before="78" w:beforeLines="25" w:line="300" w:lineRule="auto"/>
        <w:rPr>
          <w:rFonts w:ascii="仿宋" w:hAnsi="仿宋" w:eastAsia="仿宋" w:cs="仿宋"/>
          <w:sz w:val="24"/>
          <w:szCs w:val="24"/>
        </w:rPr>
      </w:pPr>
      <w:r>
        <w:rPr>
          <w:rFonts w:hint="eastAsia" w:ascii="仿宋" w:hAnsi="仿宋" w:eastAsia="仿宋" w:cs="仿宋"/>
          <w:sz w:val="24"/>
          <w:szCs w:val="24"/>
        </w:rPr>
        <w:t>3、管理职责</w:t>
      </w:r>
    </w:p>
    <w:p w14:paraId="2C20717B">
      <w:pPr>
        <w:adjustRightInd w:val="0"/>
        <w:snapToGrid w:val="0"/>
        <w:spacing w:before="78" w:beforeLines="25" w:line="300" w:lineRule="auto"/>
        <w:rPr>
          <w:rFonts w:ascii="仿宋" w:hAnsi="仿宋" w:eastAsia="仿宋" w:cs="仿宋"/>
          <w:sz w:val="24"/>
          <w:szCs w:val="24"/>
        </w:rPr>
      </w:pPr>
      <w:r>
        <w:rPr>
          <w:rFonts w:hint="eastAsia" w:ascii="仿宋" w:hAnsi="仿宋" w:eastAsia="仿宋" w:cs="仿宋"/>
          <w:sz w:val="24"/>
          <w:szCs w:val="24"/>
        </w:rPr>
        <w:t>4、管理内容和要求</w:t>
      </w:r>
    </w:p>
    <w:p w14:paraId="134EC8E6">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4.1动力电池存在的安全隐患</w:t>
      </w:r>
    </w:p>
    <w:p w14:paraId="7C66B4CF">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动力电池使用存贮过程中可能产生的危险主要是中毒、火灾、爆炸，灼烫、机械伤害、腐蚀伤害及触电等，主要有以下内容：　</w:t>
      </w:r>
    </w:p>
    <w:p w14:paraId="13328F54">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1）电池中存在有害物质，如果防护不当会对人体产生危害。</w:t>
      </w:r>
    </w:p>
    <w:p w14:paraId="290EA388">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2）动力电池属于高压电池，如果操作不当会产生高压触电，产生电伤</w:t>
      </w:r>
    </w:p>
    <w:p w14:paraId="3083E530">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3）电池中存在电解液，如果操作不当产生电解液泄漏，会对人体产生腐蚀、灼伤等伤害。</w:t>
      </w:r>
    </w:p>
    <w:p w14:paraId="2B5572E7">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4）电池最大的安全隐患是火灾和爆炸，如果电池被过充（超负荷充电）、剧烈碰撞、离明火过近、温度太高等都可能引起火灾、爆炸。电池存储库房通风设备失效，造成室内可燃气体积累，明火引起燃爆。</w:t>
      </w:r>
    </w:p>
    <w:p w14:paraId="64BF7E6F">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5）电池里可能包含多种有害物质，若将废旧电池随便丢弃处置，会对环境产生污染。</w:t>
      </w:r>
    </w:p>
    <w:p w14:paraId="503A4788">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4.2动力电池安全防护规定</w:t>
      </w:r>
    </w:p>
    <w:p w14:paraId="696994AE">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4.2.1电池的存储安全规定</w:t>
      </w:r>
    </w:p>
    <w:p w14:paraId="5BE1291B">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4.2.1.1电池的存储环境要求：</w:t>
      </w:r>
    </w:p>
    <w:p w14:paraId="243A5C4D">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1）存储点必须干燥、阴凉、通风、清洁、必须防雨和远离其他水源</w:t>
      </w:r>
    </w:p>
    <w:p w14:paraId="2183267F">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2）为避免危险气体的积累，存储点必须有排气系统或排风装置；</w:t>
      </w:r>
    </w:p>
    <w:p w14:paraId="108862E5">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3）存储环境的温度为-20℃～45℃；相对湿度&lt;70%；</w:t>
      </w:r>
    </w:p>
    <w:p w14:paraId="7E0CB4C6">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4）避免电池组与腐蚀性的物体接触；</w:t>
      </w:r>
    </w:p>
    <w:p w14:paraId="3160B9CA">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5）走道畅通、严禁与其它物品混放，成立专门的存放区域；</w:t>
      </w:r>
    </w:p>
    <w:p w14:paraId="5F8840C8">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6）远离热源，距离热源不得少于2m；</w:t>
      </w:r>
    </w:p>
    <w:p w14:paraId="58FCE83C">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 xml:space="preserve">7）禁止烟火，避免阳光直射。 </w:t>
      </w:r>
    </w:p>
    <w:p w14:paraId="70ECACB7">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4.2.1.2贮存要求：</w:t>
      </w:r>
    </w:p>
    <w:p w14:paraId="54950F02">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1）做好绝缘处理，确定电池箱体上方的保护盖板安装紧固，无破损；</w:t>
      </w:r>
    </w:p>
    <w:p w14:paraId="64329A5F">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2）将电池箱的正、负极接线柱用绝缘胶带或者其他绝缘材料进行包裹，确保无金属部分裸露在外面，确保正、负端柱不会短路；</w:t>
      </w:r>
    </w:p>
    <w:p w14:paraId="09436765">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3）电池贮存时，单体电池静止状态的电压保持在3.8V-3.9V以上；</w:t>
      </w:r>
    </w:p>
    <w:p w14:paraId="138A502C">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4）电池存储场所附近要配备齐全的干粉灭火器等灭火器材；</w:t>
      </w:r>
    </w:p>
    <w:p w14:paraId="1497D70D">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5）高电压电池不允许临时露天存放：</w:t>
      </w:r>
    </w:p>
    <w:p w14:paraId="6CD5F397">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6）叠放层数不能过高，带包装不应超过三层，禁止裸露存放</w:t>
      </w:r>
    </w:p>
    <w:p w14:paraId="57DDBF34">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7）货架或盛具要牢固，防止发生倒塌，距离墙壁≥20cm；</w:t>
      </w:r>
    </w:p>
    <w:p w14:paraId="026D03D3">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8）不得倒置、卧放或斜放，避免机械冲击和重压；</w:t>
      </w:r>
    </w:p>
    <w:p w14:paraId="314F7DBD">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 xml:space="preserve">9）贮存点必须限制人员进入，必须作为危险品贮存点进行管理。 </w:t>
      </w:r>
    </w:p>
    <w:p w14:paraId="161A9C43">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4.2.2电池的装卸、搬运安全规定</w:t>
      </w:r>
    </w:p>
    <w:p w14:paraId="64C24BD5">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4.2.2.1在搬运、储存时，不要倾斜45度以上，轻拿轻放，防止发生泄漏。</w:t>
      </w:r>
    </w:p>
    <w:p w14:paraId="0348194B">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4.2.2.2在装卸过程中，产品应轻搬轻放，严防摔掷、翻滚、重压。</w:t>
      </w:r>
    </w:p>
    <w:p w14:paraId="1FBEAC56">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4.2.2.3应有防水、防潮、防雨淋、防日晒措施。</w:t>
      </w:r>
    </w:p>
    <w:p w14:paraId="03606660">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4.2.2.5运输过程中电池必须放好、捆紧、并码好，应避免剧烈振动、冲击或挤压。</w:t>
      </w:r>
    </w:p>
    <w:p w14:paraId="08A056E3">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4.2.2.6应当有运输标识：运输过程中，必须按有关要求采用通用符号、颜色、含义正确标注，以警示其腐蚀性和危险。</w:t>
      </w:r>
    </w:p>
    <w:p w14:paraId="07100624">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4.2.2.7电池或电池组必须加以保护以防短路，包括采取措施防止电池与同一包装内导电物质相互接触。电池包装成箱进行运输，在包装箱内电池间应隔开，电池并列放置时正负极方向一致。防止电池短路包括但不限于以下方法：</w:t>
      </w:r>
    </w:p>
    <w:p w14:paraId="2124F19F">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1）用非导电材料（如塑料袋）制成的完全封闭的内包装来包装每个电池；</w:t>
      </w:r>
    </w:p>
    <w:p w14:paraId="2A43927A">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2）使用适当的方式对电池进行隔离或包装，使其无法与包装件内的其他电池相互接触；</w:t>
      </w:r>
    </w:p>
    <w:p w14:paraId="6E6FAB2E">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3）对裸露的电极或插头使用不导电的保护帽、绝缘带或其他适当的方式进行保护，确保无金属部分裸露在外面，确保正、负端柱不会短路。</w:t>
      </w:r>
    </w:p>
    <w:p w14:paraId="4C3A6B6F">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4.2.2.8不能使用抵挡碰撞要求不达标的外包装来防止电池电极破损或短路。应使用衬垫防止移动，否则由于移动导致的电极帽松动，或者电极改变方向易引起短路。电极保护方法包括但不限于以下措施：</w:t>
      </w:r>
    </w:p>
    <w:p w14:paraId="7E0D6F3F">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1）将电极牢固地附上有足够强度的盖；</w:t>
      </w:r>
    </w:p>
    <w:p w14:paraId="39F5E2B5">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2）将电池包装在刚性塑料包装内。</w:t>
      </w:r>
    </w:p>
    <w:p w14:paraId="7FB3C7D7">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4.2.2.9 每个包装件必须能承受以任何方位的1.2m跌落试验，而不造成以下问题：</w:t>
      </w:r>
    </w:p>
    <w:p w14:paraId="76A9BB91">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1）包含在其中的电池或电池组的损坏；</w:t>
      </w:r>
    </w:p>
    <w:p w14:paraId="5A166F16">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2）使电池组与电池组（或电池与电池）接触的内含物的移动；</w:t>
      </w:r>
    </w:p>
    <w:p w14:paraId="3B5A5D5B">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3）内含物的释出。</w:t>
      </w:r>
    </w:p>
    <w:p w14:paraId="753B95A0">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4.2.2.10对处理危险废物的人进行应急救援方面的培训，包括防火、防泄漏、各危险材料应急处理措施及如何联络应急响应人员等。</w:t>
      </w:r>
    </w:p>
    <w:p w14:paraId="0ECCE937">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 xml:space="preserve">4.2.2.11对运输人员提供个人保护设备并培训使用方法及可能发生问题的应对措施。   </w:t>
      </w:r>
    </w:p>
    <w:p w14:paraId="4A5B5444">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4.2.3电池的安装、接线和调试安全规定</w:t>
      </w:r>
    </w:p>
    <w:p w14:paraId="52BFDCCC">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4.2.3.1工作区域确保通风良好、远离火源，安装前，取下随身金属饰品，佩戴安全防护眼镜、绝缘手套、绝缘鞋等防护用品。检查以下内容：</w:t>
      </w:r>
    </w:p>
    <w:p w14:paraId="55D37802">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1）仔细阅读产品使用说明书；</w:t>
      </w:r>
    </w:p>
    <w:p w14:paraId="0A411B9E">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2）电池箱外观有无异常；</w:t>
      </w:r>
    </w:p>
    <w:p w14:paraId="41F45F2D">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3）电池箱的正负极与标识是否一致；</w:t>
      </w:r>
    </w:p>
    <w:p w14:paraId="77CDD914">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4）检测电池箱的绝缘电阻；</w:t>
      </w:r>
    </w:p>
    <w:p w14:paraId="12F45ACA">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5）确定电池正常后，揭开电池箱正负极柱的封条；</w:t>
      </w:r>
    </w:p>
    <w:p w14:paraId="1F85B01C">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6）检查电池是否破损漏液，并用干布清洁电池表面，如发现电池外壳破裂、渗漏时，应立即更换电池；</w:t>
      </w:r>
    </w:p>
    <w:p w14:paraId="5435A564">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7）检查安装托盘是否有螺丝或螺母，防止电池损伤；</w:t>
      </w:r>
    </w:p>
    <w:p w14:paraId="50BD6F5B">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8）确保所有电器处于“断电”状态。</w:t>
      </w:r>
    </w:p>
    <w:p w14:paraId="59BA84B3">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4.2.3.2电池在安装调试中须遵守以下安全规定：</w:t>
      </w:r>
    </w:p>
    <w:p w14:paraId="7B006F8E">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1）电池倾斜不要超过45度，禁止将电池倒置或侧向放置；</w:t>
      </w:r>
    </w:p>
    <w:p w14:paraId="4A04B5C8">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2）禁止烟火，避免阳光直射，电池不可靠近火源、热源，炎热季节严禁在阳光下直接暴晒，避免电池剧烈震动、碰撞和正负极短路；</w:t>
      </w:r>
    </w:p>
    <w:p w14:paraId="33BFC41D">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3）不同型号、不同品牌、新旧不一的电池不得混用；</w:t>
      </w:r>
    </w:p>
    <w:p w14:paraId="1B537938">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4）安装时确保电池极性正确，禁止对电池端柱敲击、扭动；</w:t>
      </w:r>
    </w:p>
    <w:p w14:paraId="488EACB1">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5）安装电池及电力线时避免金属工具和导线同时接触正负极，以防止短路；</w:t>
      </w:r>
    </w:p>
    <w:p w14:paraId="2A355688">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6）电池应正立安装，不得倒置，同时要防振、防压，安装牢固，使用过程中不会窜动撞击、相互摩擦，不能进水；</w:t>
      </w:r>
    </w:p>
    <w:p w14:paraId="6AF944F5">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7）安装电池的电池箱必须留有通大气的通气孔，且不得堵塞，防止电池充电过程产生的气体聚集在电池箱内；</w:t>
      </w:r>
    </w:p>
    <w:p w14:paraId="03530780">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8）各电池串联连接，正、负极性应正确，并保证连接点接触良好、牢固；</w:t>
      </w:r>
    </w:p>
    <w:p w14:paraId="64EA7429">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9）电门锁、保险座等容易产生电火花的器件应与电池隔离；</w:t>
      </w:r>
    </w:p>
    <w:p w14:paraId="64C685C0">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10）将电池箱推入电池仓时应顺畅，注意位置要对正，防止将电池箱挤压变形；</w:t>
      </w:r>
    </w:p>
    <w:p w14:paraId="38E202AE">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11）为防止高压触电，安装人员不得徒手接触电池的极柱，严禁任何时候用双手同时接触电池的正负极，不得湿手或带水接触电池；</w:t>
      </w:r>
    </w:p>
    <w:p w14:paraId="2BB00E59">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12）注意防止电池滑出砸伤人员；</w:t>
      </w:r>
    </w:p>
    <w:p w14:paraId="1D94FF11">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13）防止雨水进入电池系统，禁止将电池组投入水中或弄湿；</w:t>
      </w:r>
    </w:p>
    <w:p w14:paraId="264DF143">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14）禁止擅自解剖电池或电池组；</w:t>
      </w:r>
    </w:p>
    <w:p w14:paraId="601CD44B">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15）禁止将电池组正负极用金属导体直接连接到一起，禁止将电池组与能够引起短路的物品接触和混放；</w:t>
      </w:r>
    </w:p>
    <w:p w14:paraId="4B7D233B">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16）按照工艺技术图纸进行电力线连接，使用的电力线必须达到绝缘要求，不能有破损、打结、打折、老化、裸露等缺陷，电力线走向必须平直规范牢固，电池接线柱之间的连接线不能松动，接线处必须用绝缘胶带缠绕紧实，不能有裸露产生；</w:t>
      </w:r>
    </w:p>
    <w:p w14:paraId="04A62876">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17）电池箱、控制箱的附近应安装醒目的警示标识；</w:t>
      </w:r>
    </w:p>
    <w:p w14:paraId="03449598">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18）不得采用高温焊接的方式焊接电池。</w:t>
      </w:r>
    </w:p>
    <w:p w14:paraId="3F9BBA30">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4.2.4充放电安全防护规定</w:t>
      </w:r>
    </w:p>
    <w:p w14:paraId="693FD9B6">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4.2.4.1电池组长期不使用时应保持50%-80%的电量，并每隔3个月充放电循环一次，以免存放时间过长，电池因自放电导致电量过低，造成不可逆的容量损失。</w:t>
      </w:r>
    </w:p>
    <w:p w14:paraId="210FBEA4">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4.2.4.2禁止未经专业培训人员对电池组充电。</w:t>
      </w:r>
    </w:p>
    <w:p w14:paraId="69A230C9">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4.2.4.3充放电不得超过技术参数中规定的最大电流，充放电电压、电流设置必须按照技术参数表中规定电压值设置。</w:t>
      </w:r>
    </w:p>
    <w:p w14:paraId="7760ED0C">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4.2.4.4严禁将电池靠近高温热源，严禁直接加热电池，避免在阳光直射下充电。</w:t>
      </w:r>
    </w:p>
    <w:p w14:paraId="4D396B33">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4.2.4.5当电池组最高温度超过60℃时不得进行充、放电，应立即进行散热处理；当电池组最低温度低于-5℃时不得进行充电。</w:t>
      </w:r>
    </w:p>
    <w:p w14:paraId="460A87BD">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4.2.4.6充电枪应插入完全并且锁止方能开始充电操作，禁止充电过程中插拔充电枪。</w:t>
      </w:r>
    </w:p>
    <w:p w14:paraId="6452D9F4">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4.2.4.7车辆充电时应放置警示标志，以免触碰电池箱体及充电线束；车辆上的充电接口除充电使用外，务必将保护盖盖紧以防进入灰尘或水造成充电事故。</w:t>
      </w:r>
    </w:p>
    <w:p w14:paraId="482D449A">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4.2.4.8充电过程中，如发现任何异常现象，应立即切断电源，联系专业人员。</w:t>
      </w:r>
    </w:p>
    <w:p w14:paraId="18A92691">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4.2.5电动车存放安全规定</w:t>
      </w:r>
    </w:p>
    <w:p w14:paraId="6F819756">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4.2.5.1电动车存放环境温度小于45 ℃，停放时尽量避免阳光直射，场地无积水。</w:t>
      </w:r>
    </w:p>
    <w:p w14:paraId="2384A9A1">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4.2.5.2关闭低压电源，断开高压电源。</w:t>
      </w:r>
    </w:p>
    <w:p w14:paraId="15C8DC22">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4.2.5.3车辆长期不用时，对低压蓄电池充电15~30 分钟/月/次，同时检查仪表上显示最低单体电压和温度。</w:t>
      </w:r>
    </w:p>
    <w:p w14:paraId="51B3D913">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4.3动力电池的环保要求</w:t>
      </w:r>
    </w:p>
    <w:p w14:paraId="110A1C1B">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废弃的动力电池、破损的动力电池按规定办法处理，破损的动力电池应收集泄漏物。</w:t>
      </w:r>
    </w:p>
    <w:p w14:paraId="23365B98">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4.4动力电池突发事故与应急措施</w:t>
      </w:r>
    </w:p>
    <w:p w14:paraId="05D1983C">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4.4.1触电伤害事故与应急措施</w:t>
      </w:r>
    </w:p>
    <w:p w14:paraId="292B9BC9">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4.4.1.1产生触电伤害的因素：动力电池组输出电压高达200 伏以上，在动力电池存储、搬运、安装、充电过程中，因电池的电极未做好绝缘防护，人员接触到后可能造成电击或电伤。</w:t>
      </w:r>
    </w:p>
    <w:p w14:paraId="169F4003">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4.4.1.2 防止触电的预防措施：</w:t>
      </w:r>
    </w:p>
    <w:p w14:paraId="34278DE1">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1）对裸露的电极或插头使用不导电的保护帽、绝缘带或其他适当的方式进行保护，确保无金属部分裸露在外面；</w:t>
      </w:r>
    </w:p>
    <w:p w14:paraId="226F3F5A">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2）在电池箱位置预留缓冲空间、安装防撞立柱，箱门内侧粘附绝缘层</w:t>
      </w:r>
    </w:p>
    <w:p w14:paraId="5C76ACD9">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3）对电池进行作业时操作者必须佩戴绝缘手套和绝缘鞋；</w:t>
      </w:r>
    </w:p>
    <w:p w14:paraId="6A1E6FDA">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4）转运过程中做好电池的防碰撞防护，防止因碰撞发生短路；</w:t>
      </w:r>
    </w:p>
    <w:p w14:paraId="5E6EC2E0">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5）电力线安装要牢固，严禁出现晃动或松动现象，电力线不能有裸露、破损等缺陷，连接处必须用绝缘胶带缠绕严实，电力线不能与车身发生摩擦；</w:t>
      </w:r>
    </w:p>
    <w:p w14:paraId="2B0E769E">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6）转运或存放电池的盛具必须具有绝缘性；</w:t>
      </w:r>
    </w:p>
    <w:p w14:paraId="1F1C6558">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7）存储区禁止金属体与电池接触，作业过程中防止金属件与电池电极产生接触；</w:t>
      </w:r>
    </w:p>
    <w:p w14:paraId="23AB7923">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8）在电池箱或动力电池粘贴醒目的强电警示标识。</w:t>
      </w:r>
    </w:p>
    <w:p w14:paraId="45B6D590">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4.4.1.3触电伤害的应急措施：</w:t>
      </w:r>
    </w:p>
    <w:p w14:paraId="5B222E09">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1）当电力线在触电者身上或被压在身下时，用干燥的木板、木棒等绝缘物为工具，或带上绝缘手套拉开或挑开电线，使触电者脱离电源，切不可直接去拉触电者；</w:t>
      </w:r>
    </w:p>
    <w:p w14:paraId="0D1281A2">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2）带上绝缘手套，穿上绝缘鞋，用相应电压等级的绝缘工具断开电源开关；</w:t>
      </w:r>
    </w:p>
    <w:p w14:paraId="18AC45AB">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3）如果触电者伤势不重，神志清醒，但有些心慌，四肢麻木，全身无力或者触电者曾一度昏迷，但已清醒过来，应使触电者安静休息，不要走动，严密观察并及时送去医院；</w:t>
      </w:r>
    </w:p>
    <w:p w14:paraId="0713B6BD">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4）如果触电者伤势较重，已失去知觉，但心脏跳动和呼吸还存在，应将触电者抬至空气畅通处，解开衣服，让触电者平直仰卧，并用软衣服垫在身下，使其头部比肩稍低，以免妨碍呼吸，如天气寒冷要注意保温，并迅速送往医院；</w:t>
      </w:r>
    </w:p>
    <w:p w14:paraId="72F7DB26">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5）如果发现触电者呼吸困难，发生痉挛，应立即准备对心脏停止跳动或者呼吸停止后的抢救；</w:t>
      </w:r>
    </w:p>
    <w:p w14:paraId="1D07E689">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 xml:space="preserve">6）如果触电者伤势较重，呼吸停止或心脏跳动停止或二者都已停止，应立即进行口对口人工呼吸法及胸外心脏挤压法进行抢救，并送往医院。在送往医院的途中，不应停止抢救，许多触电者就是在送往医院途中死亡的。 </w:t>
      </w:r>
    </w:p>
    <w:p w14:paraId="636B7F1A">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4.4.2火灾爆炸事故与应急措施</w:t>
      </w:r>
    </w:p>
    <w:p w14:paraId="52965EA1">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 xml:space="preserve">4.4.2.1 产生电池火灾爆炸的因素： 电池在充电、大电流放电、搬运、环境过热、短路时可能会产生冒烟、着火、易爆气体，并从排气孔中排出，当环境中氢气浓度超过4%，遇明火即会发生爆炸。 </w:t>
      </w:r>
    </w:p>
    <w:p w14:paraId="0C115CF3">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 xml:space="preserve">4.4.2.2 防止电池火灾或爆炸的预防措施： </w:t>
      </w:r>
    </w:p>
    <w:p w14:paraId="36DA2C5B">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1）在对电池进行运输、搬运、存储、装配过程中，严格按照安全操作规程执行，防止电池发生短路、碰撞、过充电、过放电；</w:t>
      </w:r>
    </w:p>
    <w:p w14:paraId="4E7FCC80">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2）在电池存储或作业场所要保持良好的通风、干燥、阴凉，远离热源，防止太阳直晒，要有通风设备，严禁在存储或充电区吸烟，用明火照明或取暖；</w:t>
      </w:r>
    </w:p>
    <w:p w14:paraId="639176C4">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3）电池存储充电区不得使用临时线路；</w:t>
      </w:r>
    </w:p>
    <w:p w14:paraId="3BE0F93E">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4）室内各电气线路应穿管敷设，电气连接处应接触良好、牢靠，不得松动，避免产生火花放电。不能穿化纤服装进入充电区，以免摩擦产生放电；</w:t>
      </w:r>
    </w:p>
    <w:p w14:paraId="5213D5F0">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5）电池存储或作业区域附近要设备充足的灭火消防器材（禁止用液体类灭火剂）；</w:t>
      </w:r>
    </w:p>
    <w:p w14:paraId="11649C1C">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6）从业人员必须熟悉和掌握电池的安全防护知识、技能；</w:t>
      </w:r>
    </w:p>
    <w:p w14:paraId="69831126">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7）加强安全检查和监督，提前发现隐患及时处理。</w:t>
      </w:r>
    </w:p>
    <w:p w14:paraId="2B4B7C5C">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4.4.2.3 应急处理措施：</w:t>
      </w:r>
    </w:p>
    <w:p w14:paraId="1B38D35D">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1）如果是初起火灾，用干粉或二氧化碳灭火器、沙子、湿棉被进行灭火，禁止使用泡沫灭火器或水进行灭火；</w:t>
      </w:r>
    </w:p>
    <w:p w14:paraId="395961A8">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2）灭火人员必须正确佩戴压缩空气 防毒面罩、胶皮手套，穿绝缘鞋；</w:t>
      </w:r>
    </w:p>
    <w:p w14:paraId="02092942">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3）设法隔离火源，防止火蔓延扩大事故；</w:t>
      </w:r>
    </w:p>
    <w:p w14:paraId="4455AA3A">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4）灭火人员禁止用手摸不接地的金属部件，禁止触动电缆托架 和移动电缆；</w:t>
      </w:r>
    </w:p>
    <w:p w14:paraId="2BE98677">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5）如果火势扩大，启动人员疏散；</w:t>
      </w:r>
    </w:p>
    <w:p w14:paraId="0AA28047">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6）如有人员伤害，按相关救援规范进行救援。</w:t>
      </w:r>
    </w:p>
    <w:p w14:paraId="5436E879">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4.4.3中毒、灼伤事故与应急措施</w:t>
      </w:r>
    </w:p>
    <w:p w14:paraId="05474013">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4.4.3.1 产生中毒、灼伤的因素：电池在充电、大电流放电、环境过热、短路时会产生有毒气体，存贮或操作不当时电池内的电解液会泄漏或溢流。</w:t>
      </w:r>
    </w:p>
    <w:p w14:paraId="5544362B">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4.4.3.2 预防措施：</w:t>
      </w:r>
    </w:p>
    <w:p w14:paraId="248976D4">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1）在对电池进行运输、搬运、存储、装配过程中，严格按照安全操作规程执行，防止电池发生短路、碰撞、过充电、过放电等在电池存储或作业场所要保持良好的通风、干燥、阴凉，远离热源，防止太阳直晒；</w:t>
      </w:r>
    </w:p>
    <w:p w14:paraId="71D1D012">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2）进入电池存储区时佩戴好防毒面具，搬运电池时戴好防护手套和眼镜，同时作业场所或存储区禁止吸烟；</w:t>
      </w:r>
    </w:p>
    <w:p w14:paraId="5E06EFCA">
      <w:pPr>
        <w:widowControl/>
        <w:adjustRightInd w:val="0"/>
        <w:snapToGrid w:val="0"/>
        <w:spacing w:line="360" w:lineRule="auto"/>
        <w:rPr>
          <w:rFonts w:ascii="仿宋" w:hAnsi="仿宋" w:eastAsia="仿宋" w:cs="仿宋"/>
          <w:kern w:val="0"/>
          <w:sz w:val="24"/>
          <w:szCs w:val="24"/>
        </w:rPr>
      </w:pPr>
      <w:r>
        <w:rPr>
          <w:rFonts w:hint="eastAsia" w:ascii="仿宋" w:hAnsi="仿宋" w:eastAsia="仿宋" w:cs="仿宋"/>
          <w:kern w:val="0"/>
          <w:sz w:val="24"/>
          <w:szCs w:val="24"/>
        </w:rPr>
        <w:t>4.4.3.3 应急措施：</w:t>
      </w:r>
    </w:p>
    <w:p w14:paraId="55D1BF87">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1）当电解液溅到皮肤、眼中须立即用流动清水或生理盐水冲洗各至少20min，严重时须送医院治疗；</w:t>
      </w:r>
    </w:p>
    <w:p w14:paraId="3B4E6249">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2）当发生人员中毒时，抢救人员穿防护用具，速将患者移至空气新鲜处，去除污染衣物；注意保暖、安静，呼吸困难给氧，必要时用合适的呼吸器进行人工呼吸；立即与医疗急救单位联系抢救。</w:t>
      </w:r>
    </w:p>
    <w:p w14:paraId="757AB2A1">
      <w:pPr>
        <w:widowControl/>
        <w:adjustRightInd w:val="0"/>
        <w:snapToGrid w:val="0"/>
        <w:spacing w:line="360" w:lineRule="auto"/>
        <w:contextualSpacing/>
        <w:jc w:val="left"/>
        <w:rPr>
          <w:rFonts w:ascii="仿宋" w:hAnsi="仿宋" w:eastAsia="仿宋" w:cs="仿宋_GB2312"/>
          <w:kern w:val="44"/>
          <w:sz w:val="24"/>
          <w:szCs w:val="28"/>
        </w:rPr>
      </w:pPr>
    </w:p>
    <w:p w14:paraId="51CD5710">
      <w:pPr>
        <w:widowControl/>
        <w:adjustRightInd w:val="0"/>
        <w:snapToGrid w:val="0"/>
        <w:spacing w:line="360" w:lineRule="auto"/>
        <w:contextualSpacing/>
        <w:jc w:val="left"/>
        <w:rPr>
          <w:rFonts w:ascii="仿宋" w:hAnsi="仿宋" w:eastAsia="仿宋" w:cs="仿宋_GB2312"/>
          <w:kern w:val="44"/>
          <w:sz w:val="24"/>
          <w:szCs w:val="28"/>
        </w:rPr>
      </w:pPr>
    </w:p>
    <w:p w14:paraId="01051793">
      <w:pPr>
        <w:widowControl/>
        <w:adjustRightInd w:val="0"/>
        <w:snapToGrid w:val="0"/>
        <w:spacing w:line="360" w:lineRule="auto"/>
        <w:contextualSpacing/>
        <w:jc w:val="left"/>
        <w:rPr>
          <w:rFonts w:ascii="仿宋" w:hAnsi="仿宋" w:eastAsia="仿宋" w:cs="仿宋_GB2312"/>
          <w:kern w:val="44"/>
          <w:sz w:val="24"/>
          <w:szCs w:val="28"/>
        </w:rPr>
      </w:pPr>
    </w:p>
    <w:sectPr>
      <w:headerReference r:id="rId4" w:type="first"/>
      <w:headerReference r:id="rId3" w:type="default"/>
      <w:footerReference r:id="rId5" w:type="default"/>
      <w:pgSz w:w="11906" w:h="16838"/>
      <w:pgMar w:top="1440" w:right="1558"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sdt>
        <w:sdtPr>
          <w:id w:val="98381352"/>
        </w:sdtPr>
        <w:sdtContent>
          <w:p w14:paraId="4FBA432D">
            <w:pPr>
              <w:pStyle w:val="7"/>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29</w:t>
            </w:r>
            <w:r>
              <w:rPr>
                <w:b/>
                <w:bCs/>
                <w:sz w:val="24"/>
                <w:szCs w:val="24"/>
              </w:rPr>
              <w:fldChar w:fldCharType="end"/>
            </w:r>
          </w:p>
        </w:sdtContent>
      </w:sdt>
    </w:sdtContent>
  </w:sdt>
  <w:p w14:paraId="04E713BD">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9ECD1">
    <w:pPr>
      <w:pBdr>
        <w:bottom w:val="single" w:color="auto" w:sz="4" w:space="0"/>
      </w:pBdr>
      <w:jc w:val="center"/>
      <w:rPr>
        <w:rFonts w:ascii="仿宋" w:hAnsi="仿宋"/>
        <w:szCs w:val="21"/>
      </w:rPr>
    </w:pPr>
    <w:r>
      <w:pict>
        <v:shape id="PowerPlusWaterMarkObject10546036" o:spid="_x0000_s2074" o:spt="136" type="#_x0000_t136" style="position:absolute;left:0pt;margin-left:439.7pt;margin-top:562.7pt;height:14pt;width:125pt;mso-position-horizontal-relative:margin;mso-position-vertical-relative:margin;rotation:-2949120f;z-index:-251630592;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10054966" o:spid="_x0000_s2073" o:spt="136" type="#_x0000_t136" style="position:absolute;left:0pt;margin-left:330.1pt;margin-top:672.3pt;height:14pt;width:125pt;mso-position-horizontal-relative:margin;mso-position-vertical-relative:margin;rotation:-2949120f;z-index:-251631616;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9574526" o:spid="_x0000_s2072" o:spt="136" type="#_x0000_t136" style="position:absolute;left:0pt;margin-left:220.5pt;margin-top:781.9pt;height:14pt;width:125pt;mso-position-horizontal-relative:margin;mso-position-vertical-relative:margin;rotation:-2949120f;z-index:-251632640;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9502275" o:spid="_x0000_s2071" o:spt="136" type="#_x0000_t136" style="position:absolute;left:0pt;margin-left:439.7pt;margin-top:357.4pt;height:14pt;width:125pt;mso-position-horizontal-relative:margin;mso-position-vertical-relative:margin;rotation:-2949120f;z-index:-251633664;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9326810" o:spid="_x0000_s2070" o:spt="136" type="#_x0000_t136" style="position:absolute;left:0pt;margin-left:330.1pt;margin-top:467pt;height:14pt;width:125pt;mso-position-horizontal-relative:margin;mso-position-vertical-relative:margin;rotation:-2949120f;z-index:-251634688;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9299158" o:spid="_x0000_s2069" o:spt="136" type="#_x0000_t136" style="position:absolute;left:0pt;margin-left:220.5pt;margin-top:576.6pt;height:14pt;width:125pt;mso-position-horizontal-relative:margin;mso-position-vertical-relative:margin;rotation:-2949120f;z-index:-251635712;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8872166" o:spid="_x0000_s2068" o:spt="136" type="#_x0000_t136" style="position:absolute;left:0pt;margin-left:110.9pt;margin-top:686.2pt;height:14pt;width:125pt;mso-position-horizontal-relative:margin;mso-position-vertical-relative:margin;rotation:-2949120f;z-index:-251636736;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8413107" o:spid="_x0000_s2067" o:spt="136" type="#_x0000_t136" style="position:absolute;left:0pt;margin-left:1.3pt;margin-top:795.8pt;height:14pt;width:125pt;mso-position-horizontal-relative:margin;mso-position-vertical-relative:margin;rotation:-2949120f;z-index:-251637760;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7637696" o:spid="_x0000_s2066" o:spt="136" type="#_x0000_t136" style="position:absolute;left:0pt;margin-left:439.7pt;margin-top:152.1pt;height:14pt;width:125pt;mso-position-horizontal-relative:margin;mso-position-vertical-relative:margin;rotation:-2949120f;z-index:-251638784;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6739623" o:spid="_x0000_s2065" o:spt="136" type="#_x0000_t136" style="position:absolute;left:0pt;margin-left:330.1pt;margin-top:261.7pt;height:14pt;width:125pt;mso-position-horizontal-relative:margin;mso-position-vertical-relative:margin;rotation:-2949120f;z-index:-251639808;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6449091" o:spid="_x0000_s2064" o:spt="136" type="#_x0000_t136" style="position:absolute;left:0pt;margin-left:220.5pt;margin-top:371.3pt;height:14pt;width:125pt;mso-position-horizontal-relative:margin;mso-position-vertical-relative:margin;rotation:-2949120f;z-index:-251640832;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6246563" o:spid="_x0000_s2063" o:spt="136" type="#_x0000_t136" style="position:absolute;left:0pt;margin-left:110.9pt;margin-top:480.9pt;height:14pt;width:125pt;mso-position-horizontal-relative:margin;mso-position-vertical-relative:margin;rotation:-2949120f;z-index:-251641856;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5542039" o:spid="_x0000_s2062" o:spt="136" type="#_x0000_t136" style="position:absolute;left:0pt;margin-left:1.3pt;margin-top:590.5pt;height:14pt;width:125pt;mso-position-horizontal-relative:margin;mso-position-vertical-relative:margin;rotation:-2949120f;z-index:-251642880;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4987095" o:spid="_x0000_s2061" o:spt="136" type="#_x0000_t136" style="position:absolute;left:0pt;margin-left:-108.3pt;margin-top:700.1pt;height:14pt;width:125pt;mso-position-horizontal-relative:margin;mso-position-vertical-relative:margin;rotation:-2949120f;z-index:-251643904;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4718711" o:spid="_x0000_s2060" o:spt="136" type="#_x0000_t136" style="position:absolute;left:0pt;margin-left:439.7pt;margin-top:-53.25pt;height:14pt;width:125pt;mso-position-horizontal-relative:margin;mso-position-vertical-relative:margin;rotation:-2949120f;z-index:-251644928;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4416796" o:spid="_x0000_s2059" o:spt="136" type="#_x0000_t136" style="position:absolute;left:0pt;margin-left:330.1pt;margin-top:56.35pt;height:14pt;width:125pt;mso-position-horizontal-relative:margin;mso-position-vertical-relative:margin;rotation:-2949120f;z-index:-251645952;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3550431" o:spid="_x0000_s2058" o:spt="136" type="#_x0000_t136" style="position:absolute;left:0pt;margin-left:220.5pt;margin-top:165.95pt;height:14pt;width:125pt;mso-position-horizontal-relative:margin;mso-position-vertical-relative:margin;rotation:-2949120f;z-index:-251646976;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2852742" o:spid="_x0000_s2057" o:spt="136" type="#_x0000_t136" style="position:absolute;left:0pt;margin-left:110.9pt;margin-top:275.55pt;height:14pt;width:125pt;mso-position-horizontal-relative:margin;mso-position-vertical-relative:margin;rotation:-2949120f;z-index:-251648000;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2727836" o:spid="_x0000_s2056" o:spt="136" type="#_x0000_t136" style="position:absolute;left:0pt;margin-left:1.3pt;margin-top:385.15pt;height:14pt;width:125pt;mso-position-horizontal-relative:margin;mso-position-vertical-relative:margin;rotation:-2949120f;z-index:-251649024;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1835363" o:spid="_x0000_s2055" o:spt="136" type="#_x0000_t136" style="position:absolute;left:0pt;margin-left:-108.3pt;margin-top:494.75pt;height:14pt;width:125pt;mso-position-horizontal-relative:margin;mso-position-vertical-relative:margin;rotation:-2949120f;z-index:-251650048;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1377766" o:spid="_x0000_s2054" o:spt="136" type="#_x0000_t136" style="position:absolute;left:0pt;margin-left:220.5pt;margin-top:-39.35pt;height:14pt;width:125pt;mso-position-horizontal-relative:margin;mso-position-vertical-relative:margin;rotation:-2949120f;z-index:-251651072;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1328862" o:spid="_x0000_s2053" o:spt="136" type="#_x0000_t136" style="position:absolute;left:0pt;margin-left:110.9pt;margin-top:70.25pt;height:14pt;width:125pt;mso-position-horizontal-relative:margin;mso-position-vertical-relative:margin;rotation:-2949120f;z-index:-251652096;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956349" o:spid="_x0000_s2052" o:spt="136" type="#_x0000_t136" style="position:absolute;left:0pt;margin-left:1.3pt;margin-top:179.85pt;height:14pt;width:125pt;mso-position-horizontal-relative:margin;mso-position-vertical-relative:margin;rotation:-2949120f;z-index:-251653120;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941966" o:spid="_x0000_s2051" o:spt="136" type="#_x0000_t136" style="position:absolute;left:0pt;margin-left:-108.3pt;margin-top:289.45pt;height:14pt;width:125pt;mso-position-horizontal-relative:margin;mso-position-vertical-relative:margin;rotation:-2949120f;z-index:-251654144;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599680" o:spid="_x0000_s2050" o:spt="136" type="#_x0000_t136" style="position:absolute;left:0pt;margin-left:1.3pt;margin-top:-25.45pt;height:14pt;width:125pt;mso-position-horizontal-relative:margin;mso-position-vertical-relative:margin;rotation:-2949120f;z-index:-251655168;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301222" o:spid="_x0000_s2049" o:spt="136" type="#_x0000_t136" style="position:absolute;left:0pt;margin-left:-108.3pt;margin-top:84.15pt;height:14pt;width:125pt;mso-position-horizontal-relative:margin;mso-position-vertical-relative:margin;rotation:-2949120f;z-index:-251656192;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drawing>
        <wp:anchor distT="0" distB="0" distL="114300" distR="114300" simplePos="0" relativeHeight="251659264" behindDoc="0" locked="0" layoutInCell="1" allowOverlap="1">
          <wp:simplePos x="0" y="0"/>
          <wp:positionH relativeFrom="column">
            <wp:posOffset>69215</wp:posOffset>
          </wp:positionH>
          <wp:positionV relativeFrom="paragraph">
            <wp:posOffset>-122555</wp:posOffset>
          </wp:positionV>
          <wp:extent cx="1138555" cy="292735"/>
          <wp:effectExtent l="0" t="0" r="4445" b="12065"/>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stretch>
                    <a:fillRect/>
                  </a:stretch>
                </pic:blipFill>
                <pic:spPr>
                  <a:xfrm>
                    <a:off x="0" y="0"/>
                    <a:ext cx="1138555" cy="292735"/>
                  </a:xfrm>
                  <a:prstGeom prst="rect">
                    <a:avLst/>
                  </a:prstGeom>
                  <a:solidFill>
                    <a:srgbClr val="FFCC99"/>
                  </a:solidFill>
                  <a:ln>
                    <a:noFill/>
                  </a:ln>
                </pic:spPr>
              </pic:pic>
            </a:graphicData>
          </a:graphic>
        </wp:anchor>
      </w:drawing>
    </w:r>
    <w:r>
      <w:ptab w:relativeTo="margin" w:alignment="center" w:leader="underscore"/>
    </w:r>
    <w:r>
      <w:rPr>
        <w:rFonts w:hint="eastAsia"/>
      </w:rPr>
      <w:t xml:space="preserve">                         </w:t>
    </w:r>
    <w:r>
      <w:rPr>
        <w:rFonts w:hint="eastAsia" w:ascii="仿宋" w:hAnsi="仿宋" w:eastAsia="仿宋"/>
        <w:szCs w:val="21"/>
      </w:rPr>
      <w:t xml:space="preserve">                                生产物流外包服务技术要求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2431D">
    <w:pPr>
      <w:pStyle w:val="8"/>
    </w:pPr>
    <w:r>
      <w:pict>
        <v:shape id="PowerPlusWaterMarkObject20355843" o:spid="_x0000_s2100" o:spt="136" type="#_x0000_t136" style="position:absolute;left:0pt;margin-left:439.7pt;margin-top:562.7pt;height:14pt;width:125pt;mso-position-horizontal-relative:margin;mso-position-vertical-relative:margin;rotation:-2949120f;z-index:-251616256;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19974192" o:spid="_x0000_s2099" o:spt="136" type="#_x0000_t136" style="position:absolute;left:0pt;margin-left:330.1pt;margin-top:672.3pt;height:14pt;width:125pt;mso-position-horizontal-relative:margin;mso-position-vertical-relative:margin;rotation:-2949120f;z-index:-251617280;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19825661" o:spid="_x0000_s2098" o:spt="136" type="#_x0000_t136" style="position:absolute;left:0pt;margin-left:220.5pt;margin-top:781.9pt;height:14pt;width:125pt;mso-position-horizontal-relative:margin;mso-position-vertical-relative:margin;rotation:-2949120f;z-index:-251618304;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19357388" o:spid="_x0000_s2097" o:spt="136" type="#_x0000_t136" style="position:absolute;left:0pt;margin-left:439.7pt;margin-top:357.4pt;height:14pt;width:125pt;mso-position-horizontal-relative:margin;mso-position-vertical-relative:margin;rotation:-2949120f;z-index:-251619328;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18410898" o:spid="_x0000_s2096" o:spt="136" type="#_x0000_t136" style="position:absolute;left:0pt;margin-left:330.1pt;margin-top:467pt;height:14pt;width:125pt;mso-position-horizontal-relative:margin;mso-position-vertical-relative:margin;rotation:-2949120f;z-index:-251620352;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18222513" o:spid="_x0000_s2095" o:spt="136" type="#_x0000_t136" style="position:absolute;left:0pt;margin-left:220.5pt;margin-top:576.6pt;height:14pt;width:125pt;mso-position-horizontal-relative:margin;mso-position-vertical-relative:margin;rotation:-2949120f;z-index:-251621376;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17656073" o:spid="_x0000_s2094" o:spt="136" type="#_x0000_t136" style="position:absolute;left:0pt;margin-left:110.9pt;margin-top:686.2pt;height:14pt;width:125pt;mso-position-horizontal-relative:margin;mso-position-vertical-relative:margin;rotation:-2949120f;z-index:-251622400;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16795016" o:spid="_x0000_s2093" o:spt="136" type="#_x0000_t136" style="position:absolute;left:0pt;margin-left:1.3pt;margin-top:795.8pt;height:14pt;width:125pt;mso-position-horizontal-relative:margin;mso-position-vertical-relative:margin;rotation:-2949120f;z-index:-251623424;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16155268" o:spid="_x0000_s2090" o:spt="136" type="#_x0000_t136" style="position:absolute;left:0pt;margin-left:220.5pt;margin-top:371.3pt;height:14pt;width:125pt;mso-position-horizontal-relative:margin;mso-position-vertical-relative:margin;rotation:-2949120f;z-index:-251624448;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15959361" o:spid="_x0000_s2089" o:spt="136" type="#_x0000_t136" style="position:absolute;left:0pt;margin-left:110.9pt;margin-top:480.9pt;height:14pt;width:125pt;mso-position-horizontal-relative:margin;mso-position-vertical-relative:margin;rotation:-2949120f;z-index:-251625472;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15747298" o:spid="_x0000_s2088" o:spt="136" type="#_x0000_t136" style="position:absolute;left:0pt;margin-left:1.3pt;margin-top:590.5pt;height:14pt;width:125pt;mso-position-horizontal-relative:margin;mso-position-vertical-relative:margin;rotation:-2949120f;z-index:-251626496;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15414938" o:spid="_x0000_s2087" o:spt="136" type="#_x0000_t136" style="position:absolute;left:0pt;margin-left:-108.3pt;margin-top:700.1pt;height:14pt;width:125pt;mso-position-horizontal-relative:margin;mso-position-vertical-relative:margin;rotation:-2949120f;z-index:-251627520;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13223823" o:spid="_x0000_s2082" o:spt="136" type="#_x0000_t136" style="position:absolute;left:0pt;margin-left:1.3pt;margin-top:385.15pt;height:14pt;width:125pt;mso-position-horizontal-relative:margin;mso-position-vertical-relative:margin;rotation:-2949120f;z-index:-251628544;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r>
      <w:pict>
        <v:shape id="PowerPlusWaterMarkObject13111256" o:spid="_x0000_s2081" o:spt="136" type="#_x0000_t136" style="position:absolute;left:0pt;margin-left:-108.3pt;margin-top:494.75pt;height:14pt;width:125pt;mso-position-horizontal-relative:margin;mso-position-vertical-relative:margin;rotation:-2949120f;z-index:-251629568;mso-width-relative:page;mso-height-relative:page;" fillcolor="#CCCCCC" filled="t" stroked="f" coordsize="21600,21600">
          <v:path/>
          <v:fill on="t" opacity="26214f" focussize="0,0"/>
          <v:stroke on="f"/>
          <v:imagedata o:title=""/>
          <o:lock v:ext="edit" aspectratio="t"/>
          <v:textpath on="t" fitshape="t" fitpath="t" trim="t" xscale="f" string="刘玄2900892025-07-18" style="font-family:汉仪旗黑KW 55S;font-size:14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CB42C4"/>
    <w:multiLevelType w:val="multilevel"/>
    <w:tmpl w:val="ADCB42C4"/>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FF07F4"/>
    <w:rsid w:val="00005BE9"/>
    <w:rsid w:val="000105A6"/>
    <w:rsid w:val="00013583"/>
    <w:rsid w:val="00013BA7"/>
    <w:rsid w:val="00013E8E"/>
    <w:rsid w:val="00042699"/>
    <w:rsid w:val="00046C4A"/>
    <w:rsid w:val="00047AFE"/>
    <w:rsid w:val="00057D3A"/>
    <w:rsid w:val="000716F5"/>
    <w:rsid w:val="00085DCC"/>
    <w:rsid w:val="00086346"/>
    <w:rsid w:val="000864A4"/>
    <w:rsid w:val="000900F1"/>
    <w:rsid w:val="00092279"/>
    <w:rsid w:val="000924EA"/>
    <w:rsid w:val="000A62B0"/>
    <w:rsid w:val="000B2933"/>
    <w:rsid w:val="000B55F2"/>
    <w:rsid w:val="000D0A63"/>
    <w:rsid w:val="000E5AF0"/>
    <w:rsid w:val="000E78DC"/>
    <w:rsid w:val="000F70E3"/>
    <w:rsid w:val="00107676"/>
    <w:rsid w:val="001102DE"/>
    <w:rsid w:val="00114C26"/>
    <w:rsid w:val="00116744"/>
    <w:rsid w:val="001216C3"/>
    <w:rsid w:val="00133847"/>
    <w:rsid w:val="00140F17"/>
    <w:rsid w:val="001477C9"/>
    <w:rsid w:val="0015796B"/>
    <w:rsid w:val="001741E2"/>
    <w:rsid w:val="00175C75"/>
    <w:rsid w:val="00177BAD"/>
    <w:rsid w:val="001841C9"/>
    <w:rsid w:val="00184ECC"/>
    <w:rsid w:val="001917E4"/>
    <w:rsid w:val="001A720F"/>
    <w:rsid w:val="001B60EE"/>
    <w:rsid w:val="001C51D2"/>
    <w:rsid w:val="001D3B32"/>
    <w:rsid w:val="001D6D17"/>
    <w:rsid w:val="001F1D9D"/>
    <w:rsid w:val="0020077F"/>
    <w:rsid w:val="002025F9"/>
    <w:rsid w:val="002054F4"/>
    <w:rsid w:val="00210738"/>
    <w:rsid w:val="0022235C"/>
    <w:rsid w:val="00224363"/>
    <w:rsid w:val="00225F8D"/>
    <w:rsid w:val="002269EF"/>
    <w:rsid w:val="002279B2"/>
    <w:rsid w:val="00242681"/>
    <w:rsid w:val="00244B8D"/>
    <w:rsid w:val="00266D97"/>
    <w:rsid w:val="002A135A"/>
    <w:rsid w:val="002C6C90"/>
    <w:rsid w:val="002E3202"/>
    <w:rsid w:val="002F384E"/>
    <w:rsid w:val="002F7BBE"/>
    <w:rsid w:val="00301F1C"/>
    <w:rsid w:val="00310405"/>
    <w:rsid w:val="003123DB"/>
    <w:rsid w:val="003147BD"/>
    <w:rsid w:val="00326664"/>
    <w:rsid w:val="00326D8F"/>
    <w:rsid w:val="003326A5"/>
    <w:rsid w:val="00342BF5"/>
    <w:rsid w:val="00346468"/>
    <w:rsid w:val="0035124E"/>
    <w:rsid w:val="00353545"/>
    <w:rsid w:val="00355E09"/>
    <w:rsid w:val="00367BA3"/>
    <w:rsid w:val="00370075"/>
    <w:rsid w:val="003710C6"/>
    <w:rsid w:val="00374BC8"/>
    <w:rsid w:val="0037510A"/>
    <w:rsid w:val="00380D31"/>
    <w:rsid w:val="0038175D"/>
    <w:rsid w:val="003863D0"/>
    <w:rsid w:val="003B67E2"/>
    <w:rsid w:val="003B736F"/>
    <w:rsid w:val="003C2270"/>
    <w:rsid w:val="003D766A"/>
    <w:rsid w:val="003D7BD6"/>
    <w:rsid w:val="003E6F0E"/>
    <w:rsid w:val="003E752A"/>
    <w:rsid w:val="0040579D"/>
    <w:rsid w:val="00411626"/>
    <w:rsid w:val="00416D8C"/>
    <w:rsid w:val="00420BB3"/>
    <w:rsid w:val="00422BA5"/>
    <w:rsid w:val="00432715"/>
    <w:rsid w:val="00435FF0"/>
    <w:rsid w:val="00437567"/>
    <w:rsid w:val="00444C91"/>
    <w:rsid w:val="00451C26"/>
    <w:rsid w:val="00465515"/>
    <w:rsid w:val="004711F2"/>
    <w:rsid w:val="00472337"/>
    <w:rsid w:val="004828C8"/>
    <w:rsid w:val="00483E0B"/>
    <w:rsid w:val="00485F2C"/>
    <w:rsid w:val="00490B57"/>
    <w:rsid w:val="004A2072"/>
    <w:rsid w:val="004A4CEA"/>
    <w:rsid w:val="004D0F33"/>
    <w:rsid w:val="0050079A"/>
    <w:rsid w:val="00501BFE"/>
    <w:rsid w:val="00527FA4"/>
    <w:rsid w:val="00531C81"/>
    <w:rsid w:val="0053288C"/>
    <w:rsid w:val="00532FEF"/>
    <w:rsid w:val="005368CF"/>
    <w:rsid w:val="00536D2E"/>
    <w:rsid w:val="0055793A"/>
    <w:rsid w:val="00573CEF"/>
    <w:rsid w:val="00582843"/>
    <w:rsid w:val="00582C01"/>
    <w:rsid w:val="00586362"/>
    <w:rsid w:val="00596417"/>
    <w:rsid w:val="005B0E10"/>
    <w:rsid w:val="005C3445"/>
    <w:rsid w:val="005C375D"/>
    <w:rsid w:val="005C64A7"/>
    <w:rsid w:val="005D1A85"/>
    <w:rsid w:val="005D1C74"/>
    <w:rsid w:val="005F22B0"/>
    <w:rsid w:val="005F57E9"/>
    <w:rsid w:val="00615DAE"/>
    <w:rsid w:val="00625656"/>
    <w:rsid w:val="00626B6F"/>
    <w:rsid w:val="00642648"/>
    <w:rsid w:val="0064401F"/>
    <w:rsid w:val="006503B8"/>
    <w:rsid w:val="006544C2"/>
    <w:rsid w:val="00662EC9"/>
    <w:rsid w:val="006847B7"/>
    <w:rsid w:val="00693F61"/>
    <w:rsid w:val="006A28B5"/>
    <w:rsid w:val="006A6138"/>
    <w:rsid w:val="006B23DD"/>
    <w:rsid w:val="006D16D4"/>
    <w:rsid w:val="006D6D4D"/>
    <w:rsid w:val="00700180"/>
    <w:rsid w:val="00702010"/>
    <w:rsid w:val="007035FD"/>
    <w:rsid w:val="007138FE"/>
    <w:rsid w:val="00716BCC"/>
    <w:rsid w:val="007203FD"/>
    <w:rsid w:val="0072069E"/>
    <w:rsid w:val="00724414"/>
    <w:rsid w:val="007251EB"/>
    <w:rsid w:val="0073012B"/>
    <w:rsid w:val="00750E01"/>
    <w:rsid w:val="00752B41"/>
    <w:rsid w:val="00765654"/>
    <w:rsid w:val="007706D7"/>
    <w:rsid w:val="0077652A"/>
    <w:rsid w:val="00783804"/>
    <w:rsid w:val="00790402"/>
    <w:rsid w:val="00793477"/>
    <w:rsid w:val="007937C2"/>
    <w:rsid w:val="0079747B"/>
    <w:rsid w:val="007A19AA"/>
    <w:rsid w:val="007A2F16"/>
    <w:rsid w:val="007A34A1"/>
    <w:rsid w:val="007A44F3"/>
    <w:rsid w:val="007B6B52"/>
    <w:rsid w:val="007C0B04"/>
    <w:rsid w:val="007C5750"/>
    <w:rsid w:val="007D0383"/>
    <w:rsid w:val="007D331A"/>
    <w:rsid w:val="007D3975"/>
    <w:rsid w:val="007E2313"/>
    <w:rsid w:val="007E359C"/>
    <w:rsid w:val="007E3EDE"/>
    <w:rsid w:val="007E6B46"/>
    <w:rsid w:val="007F2514"/>
    <w:rsid w:val="007F2916"/>
    <w:rsid w:val="007F3DA2"/>
    <w:rsid w:val="00806569"/>
    <w:rsid w:val="00811668"/>
    <w:rsid w:val="008205EE"/>
    <w:rsid w:val="008244B2"/>
    <w:rsid w:val="0083077A"/>
    <w:rsid w:val="008549B7"/>
    <w:rsid w:val="0085747E"/>
    <w:rsid w:val="00862101"/>
    <w:rsid w:val="00866B16"/>
    <w:rsid w:val="008758B6"/>
    <w:rsid w:val="0088322A"/>
    <w:rsid w:val="00893A85"/>
    <w:rsid w:val="008B6B4D"/>
    <w:rsid w:val="008C51EF"/>
    <w:rsid w:val="008C6F3D"/>
    <w:rsid w:val="008D3CB7"/>
    <w:rsid w:val="008E7CB5"/>
    <w:rsid w:val="008F20C9"/>
    <w:rsid w:val="008F744D"/>
    <w:rsid w:val="00900718"/>
    <w:rsid w:val="00901021"/>
    <w:rsid w:val="00906CB1"/>
    <w:rsid w:val="00910884"/>
    <w:rsid w:val="009222DA"/>
    <w:rsid w:val="00924850"/>
    <w:rsid w:val="00925CBF"/>
    <w:rsid w:val="00934BC5"/>
    <w:rsid w:val="00941E96"/>
    <w:rsid w:val="009428F5"/>
    <w:rsid w:val="00944326"/>
    <w:rsid w:val="00945E81"/>
    <w:rsid w:val="009513EC"/>
    <w:rsid w:val="00951C6B"/>
    <w:rsid w:val="00956B67"/>
    <w:rsid w:val="0096047C"/>
    <w:rsid w:val="00962DC3"/>
    <w:rsid w:val="00971C25"/>
    <w:rsid w:val="00973618"/>
    <w:rsid w:val="00980E2C"/>
    <w:rsid w:val="00984DD2"/>
    <w:rsid w:val="009879E7"/>
    <w:rsid w:val="009963A2"/>
    <w:rsid w:val="009A114E"/>
    <w:rsid w:val="009A5F48"/>
    <w:rsid w:val="009B351A"/>
    <w:rsid w:val="009B7B85"/>
    <w:rsid w:val="009D192E"/>
    <w:rsid w:val="009D20F6"/>
    <w:rsid w:val="009E67E7"/>
    <w:rsid w:val="009F6009"/>
    <w:rsid w:val="00A10C69"/>
    <w:rsid w:val="00A201BF"/>
    <w:rsid w:val="00A26EFD"/>
    <w:rsid w:val="00A31B4D"/>
    <w:rsid w:val="00A40E33"/>
    <w:rsid w:val="00A50914"/>
    <w:rsid w:val="00A51A65"/>
    <w:rsid w:val="00A66491"/>
    <w:rsid w:val="00A7160A"/>
    <w:rsid w:val="00A83499"/>
    <w:rsid w:val="00A97AB1"/>
    <w:rsid w:val="00AA6F25"/>
    <w:rsid w:val="00AC19DD"/>
    <w:rsid w:val="00AC5DB3"/>
    <w:rsid w:val="00AD03EC"/>
    <w:rsid w:val="00AD5818"/>
    <w:rsid w:val="00AD76B5"/>
    <w:rsid w:val="00AE3428"/>
    <w:rsid w:val="00AE5EA7"/>
    <w:rsid w:val="00AE719C"/>
    <w:rsid w:val="00AF3C14"/>
    <w:rsid w:val="00B01684"/>
    <w:rsid w:val="00B030F6"/>
    <w:rsid w:val="00B16D69"/>
    <w:rsid w:val="00B2323F"/>
    <w:rsid w:val="00B238F1"/>
    <w:rsid w:val="00B452CE"/>
    <w:rsid w:val="00B54114"/>
    <w:rsid w:val="00B5483E"/>
    <w:rsid w:val="00B622B2"/>
    <w:rsid w:val="00B71C60"/>
    <w:rsid w:val="00B728F8"/>
    <w:rsid w:val="00B778A7"/>
    <w:rsid w:val="00B77C27"/>
    <w:rsid w:val="00B8074F"/>
    <w:rsid w:val="00B91D64"/>
    <w:rsid w:val="00B94984"/>
    <w:rsid w:val="00B96BA4"/>
    <w:rsid w:val="00B9723C"/>
    <w:rsid w:val="00BA234B"/>
    <w:rsid w:val="00BA3CB1"/>
    <w:rsid w:val="00BA46C4"/>
    <w:rsid w:val="00BB4301"/>
    <w:rsid w:val="00BC047C"/>
    <w:rsid w:val="00BC5AA6"/>
    <w:rsid w:val="00BC5F12"/>
    <w:rsid w:val="00BD5A3E"/>
    <w:rsid w:val="00BF1366"/>
    <w:rsid w:val="00BF2575"/>
    <w:rsid w:val="00BF30BB"/>
    <w:rsid w:val="00BF4407"/>
    <w:rsid w:val="00C03E85"/>
    <w:rsid w:val="00C1114A"/>
    <w:rsid w:val="00C22D57"/>
    <w:rsid w:val="00C41709"/>
    <w:rsid w:val="00C45FC9"/>
    <w:rsid w:val="00C57491"/>
    <w:rsid w:val="00C6321D"/>
    <w:rsid w:val="00C813B6"/>
    <w:rsid w:val="00C8215D"/>
    <w:rsid w:val="00C85581"/>
    <w:rsid w:val="00C86B85"/>
    <w:rsid w:val="00C87D8A"/>
    <w:rsid w:val="00C91C98"/>
    <w:rsid w:val="00C925D3"/>
    <w:rsid w:val="00CA22FD"/>
    <w:rsid w:val="00CA468D"/>
    <w:rsid w:val="00CA5C7C"/>
    <w:rsid w:val="00CB1787"/>
    <w:rsid w:val="00CC493A"/>
    <w:rsid w:val="00CC60B2"/>
    <w:rsid w:val="00CC7D1C"/>
    <w:rsid w:val="00CD3251"/>
    <w:rsid w:val="00CD42CC"/>
    <w:rsid w:val="00CD7460"/>
    <w:rsid w:val="00CD7A03"/>
    <w:rsid w:val="00CE6A7F"/>
    <w:rsid w:val="00CE7014"/>
    <w:rsid w:val="00CF0DA7"/>
    <w:rsid w:val="00CF27A1"/>
    <w:rsid w:val="00D0321B"/>
    <w:rsid w:val="00D065A5"/>
    <w:rsid w:val="00D136C1"/>
    <w:rsid w:val="00D17C3E"/>
    <w:rsid w:val="00D205E3"/>
    <w:rsid w:val="00D24B89"/>
    <w:rsid w:val="00D30619"/>
    <w:rsid w:val="00D30850"/>
    <w:rsid w:val="00D334EF"/>
    <w:rsid w:val="00D34FA4"/>
    <w:rsid w:val="00D355D0"/>
    <w:rsid w:val="00D43A4A"/>
    <w:rsid w:val="00D50026"/>
    <w:rsid w:val="00D516AA"/>
    <w:rsid w:val="00D57526"/>
    <w:rsid w:val="00D77617"/>
    <w:rsid w:val="00DA7131"/>
    <w:rsid w:val="00DB0845"/>
    <w:rsid w:val="00DB59D7"/>
    <w:rsid w:val="00DC3C7B"/>
    <w:rsid w:val="00DD4A46"/>
    <w:rsid w:val="00DD5D53"/>
    <w:rsid w:val="00DE0530"/>
    <w:rsid w:val="00DF1644"/>
    <w:rsid w:val="00E02E5B"/>
    <w:rsid w:val="00E041A1"/>
    <w:rsid w:val="00E069F6"/>
    <w:rsid w:val="00E13A12"/>
    <w:rsid w:val="00E151C8"/>
    <w:rsid w:val="00E24692"/>
    <w:rsid w:val="00E34AE1"/>
    <w:rsid w:val="00E37C2D"/>
    <w:rsid w:val="00E51B09"/>
    <w:rsid w:val="00E556AE"/>
    <w:rsid w:val="00E622B7"/>
    <w:rsid w:val="00E651B7"/>
    <w:rsid w:val="00E741E2"/>
    <w:rsid w:val="00E84FFD"/>
    <w:rsid w:val="00E87AD8"/>
    <w:rsid w:val="00E92DA9"/>
    <w:rsid w:val="00EA1F4C"/>
    <w:rsid w:val="00EA5895"/>
    <w:rsid w:val="00EC237B"/>
    <w:rsid w:val="00EC3B32"/>
    <w:rsid w:val="00ED075D"/>
    <w:rsid w:val="00EE2604"/>
    <w:rsid w:val="00EE4D8D"/>
    <w:rsid w:val="00EE6CA7"/>
    <w:rsid w:val="00EF245B"/>
    <w:rsid w:val="00EF3BBE"/>
    <w:rsid w:val="00F049D4"/>
    <w:rsid w:val="00F0702B"/>
    <w:rsid w:val="00F125C7"/>
    <w:rsid w:val="00F21F0F"/>
    <w:rsid w:val="00F318FE"/>
    <w:rsid w:val="00F3209E"/>
    <w:rsid w:val="00F349FA"/>
    <w:rsid w:val="00F40DCE"/>
    <w:rsid w:val="00F45212"/>
    <w:rsid w:val="00F56ABD"/>
    <w:rsid w:val="00F60199"/>
    <w:rsid w:val="00F70176"/>
    <w:rsid w:val="00F769BA"/>
    <w:rsid w:val="00F82F4F"/>
    <w:rsid w:val="00F87E18"/>
    <w:rsid w:val="00F96FE5"/>
    <w:rsid w:val="00FB7CC9"/>
    <w:rsid w:val="00FF07F4"/>
    <w:rsid w:val="00FF622E"/>
    <w:rsid w:val="00FF77FE"/>
    <w:rsid w:val="012C64AD"/>
    <w:rsid w:val="016F45ED"/>
    <w:rsid w:val="01877B89"/>
    <w:rsid w:val="01A42306"/>
    <w:rsid w:val="024430DE"/>
    <w:rsid w:val="02A12AE0"/>
    <w:rsid w:val="02A31406"/>
    <w:rsid w:val="03123DCA"/>
    <w:rsid w:val="035B2563"/>
    <w:rsid w:val="0374413D"/>
    <w:rsid w:val="040C6A6B"/>
    <w:rsid w:val="04175F9A"/>
    <w:rsid w:val="04180F6C"/>
    <w:rsid w:val="042711AF"/>
    <w:rsid w:val="04331637"/>
    <w:rsid w:val="04506958"/>
    <w:rsid w:val="04581CB1"/>
    <w:rsid w:val="04583A5F"/>
    <w:rsid w:val="04700DA8"/>
    <w:rsid w:val="05ED01D7"/>
    <w:rsid w:val="06581AF4"/>
    <w:rsid w:val="06733183"/>
    <w:rsid w:val="072E47D9"/>
    <w:rsid w:val="079254DA"/>
    <w:rsid w:val="07DC0503"/>
    <w:rsid w:val="07F10452"/>
    <w:rsid w:val="08406CE4"/>
    <w:rsid w:val="0896666F"/>
    <w:rsid w:val="08A059D4"/>
    <w:rsid w:val="093C56FD"/>
    <w:rsid w:val="095C2A96"/>
    <w:rsid w:val="099A2423"/>
    <w:rsid w:val="09B434E5"/>
    <w:rsid w:val="09C9292B"/>
    <w:rsid w:val="0A424F95"/>
    <w:rsid w:val="0A852F24"/>
    <w:rsid w:val="0AA3355A"/>
    <w:rsid w:val="0ACA7F0F"/>
    <w:rsid w:val="0B114678"/>
    <w:rsid w:val="0B1A7CC0"/>
    <w:rsid w:val="0BC77182"/>
    <w:rsid w:val="0C0223CE"/>
    <w:rsid w:val="0C542D5E"/>
    <w:rsid w:val="0CFC34C0"/>
    <w:rsid w:val="0DAF0B93"/>
    <w:rsid w:val="0DCB4B4B"/>
    <w:rsid w:val="0DEF71E2"/>
    <w:rsid w:val="0F256C33"/>
    <w:rsid w:val="0F3F22CE"/>
    <w:rsid w:val="0F670FFA"/>
    <w:rsid w:val="10261F23"/>
    <w:rsid w:val="109A51A8"/>
    <w:rsid w:val="10A818CA"/>
    <w:rsid w:val="10D17073"/>
    <w:rsid w:val="117F087D"/>
    <w:rsid w:val="118916FB"/>
    <w:rsid w:val="12025ACB"/>
    <w:rsid w:val="12122867"/>
    <w:rsid w:val="12F6691D"/>
    <w:rsid w:val="13442AF4"/>
    <w:rsid w:val="13EB65CB"/>
    <w:rsid w:val="14357918"/>
    <w:rsid w:val="15124184"/>
    <w:rsid w:val="1525798D"/>
    <w:rsid w:val="15406575"/>
    <w:rsid w:val="1594241D"/>
    <w:rsid w:val="167C182F"/>
    <w:rsid w:val="173739A8"/>
    <w:rsid w:val="17712A16"/>
    <w:rsid w:val="18510A99"/>
    <w:rsid w:val="185A3426"/>
    <w:rsid w:val="18D47700"/>
    <w:rsid w:val="18F558C8"/>
    <w:rsid w:val="18F704EB"/>
    <w:rsid w:val="19BE215E"/>
    <w:rsid w:val="19E33973"/>
    <w:rsid w:val="1A231FC1"/>
    <w:rsid w:val="1B0818E3"/>
    <w:rsid w:val="1B4B7A22"/>
    <w:rsid w:val="1B7E78A5"/>
    <w:rsid w:val="1BA17641"/>
    <w:rsid w:val="1BB90E2F"/>
    <w:rsid w:val="1BC54766"/>
    <w:rsid w:val="1CF5235C"/>
    <w:rsid w:val="1D862F93"/>
    <w:rsid w:val="1DDB508D"/>
    <w:rsid w:val="1E9516DF"/>
    <w:rsid w:val="1EB678A8"/>
    <w:rsid w:val="1F8359DC"/>
    <w:rsid w:val="1FE11893"/>
    <w:rsid w:val="1FE83A91"/>
    <w:rsid w:val="20531852"/>
    <w:rsid w:val="2063580D"/>
    <w:rsid w:val="206F5F60"/>
    <w:rsid w:val="2080016D"/>
    <w:rsid w:val="20823EE5"/>
    <w:rsid w:val="20F9646D"/>
    <w:rsid w:val="21BE2FFB"/>
    <w:rsid w:val="21C516C6"/>
    <w:rsid w:val="21CF4F08"/>
    <w:rsid w:val="22C24A6D"/>
    <w:rsid w:val="23201794"/>
    <w:rsid w:val="23425BAE"/>
    <w:rsid w:val="23871813"/>
    <w:rsid w:val="23A67EEB"/>
    <w:rsid w:val="23F23BDF"/>
    <w:rsid w:val="245312DC"/>
    <w:rsid w:val="253E1B2C"/>
    <w:rsid w:val="25537BFE"/>
    <w:rsid w:val="25DC5E46"/>
    <w:rsid w:val="25EE5B79"/>
    <w:rsid w:val="263D0127"/>
    <w:rsid w:val="265562AA"/>
    <w:rsid w:val="2663162B"/>
    <w:rsid w:val="26CF59AB"/>
    <w:rsid w:val="26EF42B1"/>
    <w:rsid w:val="27A40BE5"/>
    <w:rsid w:val="29A55187"/>
    <w:rsid w:val="29B253A8"/>
    <w:rsid w:val="2A2C0A1E"/>
    <w:rsid w:val="2B712D4D"/>
    <w:rsid w:val="2B7408CF"/>
    <w:rsid w:val="2BAB67E2"/>
    <w:rsid w:val="2BE80446"/>
    <w:rsid w:val="2D354EB8"/>
    <w:rsid w:val="2DF67CC1"/>
    <w:rsid w:val="2E982B26"/>
    <w:rsid w:val="2EEE2746"/>
    <w:rsid w:val="2F276B61"/>
    <w:rsid w:val="2F3C1703"/>
    <w:rsid w:val="2F7E3ACA"/>
    <w:rsid w:val="2FC516F9"/>
    <w:rsid w:val="2FCE2CA3"/>
    <w:rsid w:val="300B02E4"/>
    <w:rsid w:val="3059097C"/>
    <w:rsid w:val="307D0225"/>
    <w:rsid w:val="31132938"/>
    <w:rsid w:val="313A33F6"/>
    <w:rsid w:val="31501496"/>
    <w:rsid w:val="316B4418"/>
    <w:rsid w:val="323952B7"/>
    <w:rsid w:val="325E7BE3"/>
    <w:rsid w:val="32DA370D"/>
    <w:rsid w:val="32F1298B"/>
    <w:rsid w:val="33BB780B"/>
    <w:rsid w:val="341C4B0F"/>
    <w:rsid w:val="345B087E"/>
    <w:rsid w:val="34C54615"/>
    <w:rsid w:val="35240B27"/>
    <w:rsid w:val="35845419"/>
    <w:rsid w:val="35A3766D"/>
    <w:rsid w:val="35C16E06"/>
    <w:rsid w:val="36021FC4"/>
    <w:rsid w:val="36566E82"/>
    <w:rsid w:val="37113475"/>
    <w:rsid w:val="376B702A"/>
    <w:rsid w:val="37800685"/>
    <w:rsid w:val="38561A88"/>
    <w:rsid w:val="3929719C"/>
    <w:rsid w:val="39641F82"/>
    <w:rsid w:val="39A51244"/>
    <w:rsid w:val="3A461CFF"/>
    <w:rsid w:val="3B2E2848"/>
    <w:rsid w:val="3C4D1267"/>
    <w:rsid w:val="3C771FCD"/>
    <w:rsid w:val="3CD45671"/>
    <w:rsid w:val="3D2601D2"/>
    <w:rsid w:val="3D736C38"/>
    <w:rsid w:val="3DC9047D"/>
    <w:rsid w:val="3E03620E"/>
    <w:rsid w:val="3E8403CF"/>
    <w:rsid w:val="3E907376"/>
    <w:rsid w:val="3E9A28DD"/>
    <w:rsid w:val="3EB07A18"/>
    <w:rsid w:val="3F23468E"/>
    <w:rsid w:val="3F850EA5"/>
    <w:rsid w:val="3FEF2A59"/>
    <w:rsid w:val="40093884"/>
    <w:rsid w:val="401F6C03"/>
    <w:rsid w:val="406D5BC1"/>
    <w:rsid w:val="40896772"/>
    <w:rsid w:val="40BA557C"/>
    <w:rsid w:val="40DE261A"/>
    <w:rsid w:val="41EE0F83"/>
    <w:rsid w:val="426E5C20"/>
    <w:rsid w:val="42707BEA"/>
    <w:rsid w:val="42815953"/>
    <w:rsid w:val="42894808"/>
    <w:rsid w:val="42BF022A"/>
    <w:rsid w:val="42F04B8C"/>
    <w:rsid w:val="432033BE"/>
    <w:rsid w:val="434240D9"/>
    <w:rsid w:val="43AC41B4"/>
    <w:rsid w:val="44DF2E05"/>
    <w:rsid w:val="44FF7003"/>
    <w:rsid w:val="45CC15DB"/>
    <w:rsid w:val="45E5269D"/>
    <w:rsid w:val="465B295F"/>
    <w:rsid w:val="47797F80"/>
    <w:rsid w:val="47BB1907"/>
    <w:rsid w:val="488937B4"/>
    <w:rsid w:val="49804BB7"/>
    <w:rsid w:val="498B70B7"/>
    <w:rsid w:val="49F6493C"/>
    <w:rsid w:val="4A372D9B"/>
    <w:rsid w:val="4AA7092A"/>
    <w:rsid w:val="4AD83ABF"/>
    <w:rsid w:val="4B0215FB"/>
    <w:rsid w:val="4B863275"/>
    <w:rsid w:val="4D0553D3"/>
    <w:rsid w:val="4D4F33B6"/>
    <w:rsid w:val="4D8B1D7C"/>
    <w:rsid w:val="4DA131F7"/>
    <w:rsid w:val="4E6F0D56"/>
    <w:rsid w:val="4F455F5A"/>
    <w:rsid w:val="4FBE3058"/>
    <w:rsid w:val="51383FC9"/>
    <w:rsid w:val="51516E38"/>
    <w:rsid w:val="515C0A19"/>
    <w:rsid w:val="515D57DD"/>
    <w:rsid w:val="51784D22"/>
    <w:rsid w:val="52831274"/>
    <w:rsid w:val="53073C53"/>
    <w:rsid w:val="530D4FE1"/>
    <w:rsid w:val="536E2E3F"/>
    <w:rsid w:val="53834824"/>
    <w:rsid w:val="53CB2ED2"/>
    <w:rsid w:val="53EE096F"/>
    <w:rsid w:val="548B5410"/>
    <w:rsid w:val="552030EA"/>
    <w:rsid w:val="553B6B3B"/>
    <w:rsid w:val="55872E29"/>
    <w:rsid w:val="55C97039"/>
    <w:rsid w:val="55EC35D4"/>
    <w:rsid w:val="56C02A96"/>
    <w:rsid w:val="57CE2F91"/>
    <w:rsid w:val="58F9403E"/>
    <w:rsid w:val="59684D1F"/>
    <w:rsid w:val="5AE40D1D"/>
    <w:rsid w:val="5BDE75D2"/>
    <w:rsid w:val="5C0337D3"/>
    <w:rsid w:val="5C071A1E"/>
    <w:rsid w:val="5CE2303B"/>
    <w:rsid w:val="5E111E29"/>
    <w:rsid w:val="5EA70098"/>
    <w:rsid w:val="5ED605DB"/>
    <w:rsid w:val="5EFB9E70"/>
    <w:rsid w:val="5F580646"/>
    <w:rsid w:val="5F7A40B8"/>
    <w:rsid w:val="60672C79"/>
    <w:rsid w:val="609D5BF6"/>
    <w:rsid w:val="60D831C1"/>
    <w:rsid w:val="61412A26"/>
    <w:rsid w:val="616D381B"/>
    <w:rsid w:val="61701814"/>
    <w:rsid w:val="61857F29"/>
    <w:rsid w:val="619C7C5C"/>
    <w:rsid w:val="62805714"/>
    <w:rsid w:val="62D5168F"/>
    <w:rsid w:val="639826A5"/>
    <w:rsid w:val="64322AF9"/>
    <w:rsid w:val="646627A3"/>
    <w:rsid w:val="64891A5D"/>
    <w:rsid w:val="649D23DD"/>
    <w:rsid w:val="64AA324B"/>
    <w:rsid w:val="657809E0"/>
    <w:rsid w:val="658A09B5"/>
    <w:rsid w:val="659B1403"/>
    <w:rsid w:val="664D08B4"/>
    <w:rsid w:val="665C3E5E"/>
    <w:rsid w:val="66B21D9F"/>
    <w:rsid w:val="67440158"/>
    <w:rsid w:val="679118E5"/>
    <w:rsid w:val="67AA29A7"/>
    <w:rsid w:val="67D22629"/>
    <w:rsid w:val="68064081"/>
    <w:rsid w:val="6861575B"/>
    <w:rsid w:val="68EA39A3"/>
    <w:rsid w:val="69180510"/>
    <w:rsid w:val="69227E69"/>
    <w:rsid w:val="6932208B"/>
    <w:rsid w:val="695157D0"/>
    <w:rsid w:val="6A154A4F"/>
    <w:rsid w:val="6A7F45BF"/>
    <w:rsid w:val="6C55074B"/>
    <w:rsid w:val="6D080CD1"/>
    <w:rsid w:val="6D8223FC"/>
    <w:rsid w:val="6DD13FF8"/>
    <w:rsid w:val="6DFA6436"/>
    <w:rsid w:val="6E6E2980"/>
    <w:rsid w:val="6E7C32EF"/>
    <w:rsid w:val="6F1C6503"/>
    <w:rsid w:val="6F63625D"/>
    <w:rsid w:val="6FC767EC"/>
    <w:rsid w:val="6FD42CB7"/>
    <w:rsid w:val="70161521"/>
    <w:rsid w:val="706109EE"/>
    <w:rsid w:val="7189187F"/>
    <w:rsid w:val="719E357C"/>
    <w:rsid w:val="71BB2380"/>
    <w:rsid w:val="72473805"/>
    <w:rsid w:val="72F62F44"/>
    <w:rsid w:val="73C82B32"/>
    <w:rsid w:val="740F42BD"/>
    <w:rsid w:val="74156C0C"/>
    <w:rsid w:val="744F5002"/>
    <w:rsid w:val="7496678D"/>
    <w:rsid w:val="751A5610"/>
    <w:rsid w:val="7541494A"/>
    <w:rsid w:val="75A1188D"/>
    <w:rsid w:val="75BA0885"/>
    <w:rsid w:val="768B31E2"/>
    <w:rsid w:val="76FE6C86"/>
    <w:rsid w:val="77000835"/>
    <w:rsid w:val="770D1399"/>
    <w:rsid w:val="771340C5"/>
    <w:rsid w:val="773C38FF"/>
    <w:rsid w:val="77DC6BAC"/>
    <w:rsid w:val="787A7220"/>
    <w:rsid w:val="78EE4B91"/>
    <w:rsid w:val="7A413E6B"/>
    <w:rsid w:val="7A592736"/>
    <w:rsid w:val="7AA65250"/>
    <w:rsid w:val="7B362CED"/>
    <w:rsid w:val="7B670E83"/>
    <w:rsid w:val="7B9B574E"/>
    <w:rsid w:val="7C1A5EF5"/>
    <w:rsid w:val="7C2E19A1"/>
    <w:rsid w:val="7C413482"/>
    <w:rsid w:val="7C727ADF"/>
    <w:rsid w:val="7D4959DA"/>
    <w:rsid w:val="7D6E02A7"/>
    <w:rsid w:val="7E224777"/>
    <w:rsid w:val="7E5A0D77"/>
    <w:rsid w:val="7E9975A5"/>
    <w:rsid w:val="7F0569E9"/>
    <w:rsid w:val="7F84200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1"/>
    <w:qFormat/>
    <w:uiPriority w:val="0"/>
    <w:pPr>
      <w:keepNext/>
      <w:spacing w:line="360" w:lineRule="auto"/>
      <w:jc w:val="left"/>
      <w:outlineLvl w:val="1"/>
    </w:pPr>
    <w:rPr>
      <w:rFonts w:hint="eastAsia" w:ascii="楷体_GB2312" w:hAnsi="Arial Unicode MS" w:eastAsia="宋体" w:cs="Times New Roman"/>
      <w:b/>
      <w:sz w:val="24"/>
      <w:szCs w:val="20"/>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4">
    <w:name w:val="toc 3"/>
    <w:basedOn w:val="1"/>
    <w:next w:val="1"/>
    <w:unhideWhenUsed/>
    <w:qFormat/>
    <w:uiPriority w:val="39"/>
    <w:pPr>
      <w:ind w:left="840" w:leftChars="400"/>
    </w:pPr>
  </w:style>
  <w:style w:type="paragraph" w:styleId="5">
    <w:name w:val="Date"/>
    <w:basedOn w:val="1"/>
    <w:next w:val="1"/>
    <w:link w:val="20"/>
    <w:semiHidden/>
    <w:unhideWhenUsed/>
    <w:qFormat/>
    <w:uiPriority w:val="99"/>
    <w:pPr>
      <w:ind w:left="100" w:leftChars="2500"/>
    </w:pPr>
  </w:style>
  <w:style w:type="paragraph" w:styleId="6">
    <w:name w:val="Balloon Text"/>
    <w:basedOn w:val="1"/>
    <w:link w:val="18"/>
    <w:semiHidden/>
    <w:unhideWhenUsed/>
    <w:qFormat/>
    <w:uiPriority w:val="99"/>
    <w:rPr>
      <w:sz w:val="18"/>
      <w:szCs w:val="18"/>
    </w:r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tabs>
        <w:tab w:val="left" w:pos="360"/>
        <w:tab w:val="right" w:leader="dot" w:pos="8538"/>
      </w:tabs>
    </w:pPr>
  </w:style>
  <w:style w:type="paragraph" w:styleId="10">
    <w:name w:val="toc 2"/>
    <w:basedOn w:val="1"/>
    <w:next w:val="1"/>
    <w:unhideWhenUsed/>
    <w:qFormat/>
    <w:uiPriority w:val="39"/>
    <w:pPr>
      <w:ind w:left="420" w:leftChars="200"/>
    </w:pPr>
  </w:style>
  <w:style w:type="paragraph" w:styleId="11">
    <w:name w:val="Normal (Web)"/>
    <w:basedOn w:val="1"/>
    <w:semiHidden/>
    <w:unhideWhenUsed/>
    <w:qFormat/>
    <w:uiPriority w:val="99"/>
    <w:rPr>
      <w:sz w:val="24"/>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unhideWhenUsed/>
    <w:qFormat/>
    <w:uiPriority w:val="99"/>
    <w:rPr>
      <w:color w:val="0000FF" w:themeColor="hyperlink"/>
      <w:u w:val="single"/>
    </w:rPr>
  </w:style>
  <w:style w:type="character" w:customStyle="1" w:styleId="16">
    <w:name w:val="页眉 字符"/>
    <w:basedOn w:val="14"/>
    <w:link w:val="8"/>
    <w:qFormat/>
    <w:uiPriority w:val="99"/>
    <w:rPr>
      <w:sz w:val="18"/>
      <w:szCs w:val="18"/>
    </w:rPr>
  </w:style>
  <w:style w:type="character" w:customStyle="1" w:styleId="17">
    <w:name w:val="页脚 字符"/>
    <w:basedOn w:val="14"/>
    <w:link w:val="7"/>
    <w:qFormat/>
    <w:uiPriority w:val="99"/>
    <w:rPr>
      <w:sz w:val="18"/>
      <w:szCs w:val="18"/>
    </w:rPr>
  </w:style>
  <w:style w:type="character" w:customStyle="1" w:styleId="18">
    <w:name w:val="批注框文本 字符"/>
    <w:basedOn w:val="14"/>
    <w:link w:val="6"/>
    <w:semiHidden/>
    <w:qFormat/>
    <w:uiPriority w:val="99"/>
    <w:rPr>
      <w:sz w:val="18"/>
      <w:szCs w:val="18"/>
    </w:rPr>
  </w:style>
  <w:style w:type="paragraph" w:styleId="19">
    <w:name w:val="List Paragraph"/>
    <w:basedOn w:val="1"/>
    <w:qFormat/>
    <w:uiPriority w:val="34"/>
    <w:pPr>
      <w:ind w:firstLine="420" w:firstLineChars="200"/>
    </w:pPr>
  </w:style>
  <w:style w:type="character" w:customStyle="1" w:styleId="20">
    <w:name w:val="日期 字符"/>
    <w:basedOn w:val="14"/>
    <w:link w:val="5"/>
    <w:semiHidden/>
    <w:qFormat/>
    <w:uiPriority w:val="99"/>
  </w:style>
  <w:style w:type="character" w:customStyle="1" w:styleId="21">
    <w:name w:val="标题 2 字符"/>
    <w:basedOn w:val="14"/>
    <w:link w:val="3"/>
    <w:qFormat/>
    <w:uiPriority w:val="0"/>
    <w:rPr>
      <w:rFonts w:ascii="楷体_GB2312" w:hAnsi="Arial Unicode MS" w:eastAsia="宋体" w:cs="Times New Roman"/>
      <w:b/>
      <w:sz w:val="24"/>
      <w:szCs w:val="20"/>
    </w:rPr>
  </w:style>
  <w:style w:type="character" w:customStyle="1" w:styleId="22">
    <w:name w:val="标题 1 字符"/>
    <w:basedOn w:val="14"/>
    <w:link w:val="2"/>
    <w:qFormat/>
    <w:uiPriority w:val="9"/>
    <w:rPr>
      <w:b/>
      <w:bCs/>
      <w:kern w:val="44"/>
      <w:sz w:val="44"/>
      <w:szCs w:val="44"/>
    </w:rPr>
  </w:style>
  <w:style w:type="paragraph" w:customStyle="1" w:styleId="23">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24">
    <w:name w:val="潍柴文档正文"/>
    <w:basedOn w:val="1"/>
    <w:qFormat/>
    <w:uiPriority w:val="0"/>
    <w:pPr>
      <w:spacing w:line="360" w:lineRule="auto"/>
      <w:ind w:firstLine="200" w:firstLineChars="200"/>
    </w:pPr>
    <w:rPr>
      <w:rFonts w:ascii="Times New Roman" w:hAnsi="Times New Roman" w:eastAsia="宋体" w:cs="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74"/>
    <customShpInfo spid="_x0000_s2073"/>
    <customShpInfo spid="_x0000_s2072"/>
    <customShpInfo spid="_x0000_s2071"/>
    <customShpInfo spid="_x0000_s2070"/>
    <customShpInfo spid="_x0000_s2069"/>
    <customShpInfo spid="_x0000_s2068"/>
    <customShpInfo spid="_x0000_s2067"/>
    <customShpInfo spid="_x0000_s2066"/>
    <customShpInfo spid="_x0000_s2065"/>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Info spid="_x0000_s2049"/>
    <customShpInfo spid="_x0000_s2100"/>
    <customShpInfo spid="_x0000_s2099"/>
    <customShpInfo spid="_x0000_s2098"/>
    <customShpInfo spid="_x0000_s2097"/>
    <customShpInfo spid="_x0000_s2096"/>
    <customShpInfo spid="_x0000_s2095"/>
    <customShpInfo spid="_x0000_s2094"/>
    <customShpInfo spid="_x0000_s2093"/>
    <customShpInfo spid="_x0000_s2090"/>
    <customShpInfo spid="_x0000_s2089"/>
    <customShpInfo spid="_x0000_s2088"/>
    <customShpInfo spid="_x0000_s2087"/>
    <customShpInfo spid="_x0000_s2082"/>
    <customShpInfo spid="_x0000_s208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29</Pages>
  <Words>303</Words>
  <Characters>380</Characters>
  <Lines>164</Lines>
  <Paragraphs>46</Paragraphs>
  <TotalTime>0</TotalTime>
  <ScaleCrop>false</ScaleCrop>
  <LinksUpToDate>false</LinksUpToDate>
  <CharactersWithSpaces>439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2017-06-19T09:06:00Z</dcterms:created>
  <dc:creator>何蓉强</dc:creator>
  <cp:lastModifiedBy>o</cp:lastModifiedBy>
  <cp:lastPrinted>2015-12-09T13:43:00Z</cp:lastPrinted>
  <dcterms:modified xsi:type="dcterms:W3CDTF">2025-07-27T09:52:18Z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E83B85DEA49F49FA867D23537C5F5E80</vt:lpwstr>
  </property>
  <property fmtid="{D5CDD505-2E9C-101B-9397-08002B2CF9AE}" pid="4" name="KSOTemplateDocerSaveRecord">
    <vt:lpwstr>eyJoZGlkIjoiNGE0ZjRhYWNlNTM5ZTRkNWU5MTEzOWQyZjFiZjUxNDkiLCJ1c2VySWQiOiIzNDg3OTkyMzAifQ==</vt:lpwstr>
  </property>
</Properties>
</file>