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0"/>
      <w:bookmarkStart w:id="1" w:name="OLE_LINK31"/>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中国重汽集团济南轻卡制造公司皮卡右舵车型生产工装改造技改项目</w:t>
      </w:r>
      <w:bookmarkStart w:id="168" w:name="_GoBack"/>
      <w:bookmarkEnd w:id="168"/>
    </w:p>
    <w:p w14:paraId="0C9C2445">
      <w:pPr>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14:paraId="5D281A32">
      <w:pPr>
        <w:pStyle w:val="17"/>
        <w:rPr>
          <w:highlight w:val="none"/>
        </w:rPr>
      </w:pPr>
    </w:p>
    <w:p w14:paraId="6681D3AB">
      <w:pPr>
        <w:pStyle w:val="17"/>
        <w:rPr>
          <w:highlight w:val="none"/>
        </w:rPr>
      </w:pPr>
    </w:p>
    <w:p w14:paraId="1DA2295B">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FB2098B">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4C24FCC7">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42022B9F">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850379E">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6872A5D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11509268">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3"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项目名称：济南轻卡制造公司皮卡右舵车型生产工装改造技改项目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CGZX2025070205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对仪表台分装工装两侧夹持机构及车架</w:t>
            </w:r>
            <w:r>
              <w:rPr>
                <w:rFonts w:hint="eastAsia" w:ascii="宋体" w:hAnsi="宋体" w:eastAsia="宋体" w:cs="宋体"/>
                <w:sz w:val="24"/>
                <w:szCs w:val="24"/>
                <w:highlight w:val="none"/>
                <w:u w:val="single"/>
              </w:rPr>
              <w:t>VIN打刻机定位机构及磁吸结构进行改造</w:t>
            </w:r>
            <w:r>
              <w:rPr>
                <w:rFonts w:hint="eastAsia" w:ascii="宋体" w:hAnsi="宋体" w:eastAsia="宋体" w:cs="宋体"/>
                <w:sz w:val="24"/>
                <w:szCs w:val="24"/>
                <w:highlight w:val="none"/>
                <w:u w:val="single"/>
                <w:lang w:eastAsia="zh-CN"/>
              </w:rPr>
              <w:t>。</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济南市历城区华奥路777号 </w:t>
            </w:r>
          </w:p>
          <w:p w14:paraId="08B81BF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rPr>
              <w:t>许世金</w:t>
            </w:r>
          </w:p>
          <w:p w14:paraId="1A15F4CE">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17860604079</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xushijin@sinotruk.com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rPr>
              <w:t>董阳</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16653177520</w:t>
            </w:r>
          </w:p>
          <w:p w14:paraId="553DC32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dongyang@sinotruk.com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none"/>
                <w:lang w:val="en-US" w:eastAsia="zh-CN"/>
              </w:rPr>
              <w:t>7.5</w:t>
            </w:r>
            <w:r>
              <w:rPr>
                <w:rFonts w:hint="eastAsia" w:hAnsi="宋体" w:eastAsia="宋体" w:cs="Times New Roman"/>
                <w:color w:val="000000"/>
                <w:sz w:val="24"/>
                <w:szCs w:val="24"/>
                <w:highlight w:val="none"/>
              </w:rPr>
              <w:t>万元（含税，税率13%），超过投标限价无法投标。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30BC036E">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37DC526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2.拟投标人应提供营业执照副本原件和扫描件（需盖章）；</w:t>
            </w:r>
          </w:p>
          <w:p w14:paraId="1A52F3A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B5AB95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4.拟投标人在“国家企业信用信息公示系统”、“中国执行信息公开网”、“信用中国”、“天眼查”“裁判文书网”等信息平台中，无行政处罚及失信记录等信息；</w:t>
            </w:r>
          </w:p>
          <w:p w14:paraId="62843C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6077B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80D3BB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2022年1月1日至今，</w:t>
            </w:r>
            <w:r>
              <w:rPr>
                <w:rFonts w:hint="eastAsia" w:hAnsi="宋体" w:eastAsia="宋体" w:cs="宋体"/>
                <w:color w:val="000000"/>
                <w:sz w:val="24"/>
                <w:szCs w:val="24"/>
                <w:highlight w:val="none"/>
              </w:rPr>
              <w:t>有与本次招标内容相同或类似项目业绩，且近三年内无因服务不当而造成重大事故；</w:t>
            </w:r>
          </w:p>
          <w:p w14:paraId="5EB901E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7A8A984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3201308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2AF058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11.拟投标人信用证明材料（征信报告）未显示异常；</w:t>
            </w:r>
          </w:p>
          <w:p w14:paraId="3F72FFA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39C58E5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13.如为代理商投标，需获得生产厂家正式授权，提供授权书原件（代理品牌针对项目的唯一授权书），保证提供原厂售后服务并提供原厂售后服务承诺书原件；</w:t>
            </w:r>
          </w:p>
          <w:p w14:paraId="242CFD5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51437CB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0BF4C76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26896CC">
            <w:pPr>
              <w:pStyle w:val="17"/>
              <w:ind w:firstLine="480" w:firstLineChars="200"/>
              <w:rPr>
                <w:rFonts w:hint="eastAsia" w:hAnsi="宋体" w:eastAsia="宋体" w:cs="宋体"/>
                <w:color w:val="000000"/>
                <w:sz w:val="24"/>
                <w:szCs w:val="24"/>
                <w:highlight w:val="none"/>
                <w:lang w:val="en-US" w:eastAsia="zh-CN"/>
              </w:rPr>
            </w:pP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日12:00前；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日17:00前；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2025年</w:t>
            </w:r>
            <w:r>
              <w:rPr>
                <w:rFonts w:hint="eastAsia" w:eastAsia="宋体" w:cs="宋体"/>
                <w:highlight w:val="none"/>
                <w:lang w:val="en-US" w:eastAsia="zh-CN"/>
              </w:rPr>
              <w:t>8</w:t>
            </w:r>
            <w:r>
              <w:rPr>
                <w:rFonts w:hint="eastAsia" w:eastAsia="宋体" w:cs="宋体"/>
                <w:highlight w:val="none"/>
              </w:rPr>
              <w:t>月</w:t>
            </w:r>
            <w:r>
              <w:rPr>
                <w:rFonts w:hint="eastAsia" w:eastAsia="宋体" w:cs="宋体"/>
                <w:highlight w:val="none"/>
                <w:lang w:val="en-US" w:eastAsia="zh-CN"/>
              </w:rPr>
              <w:t>20</w:t>
            </w:r>
            <w:r>
              <w:rPr>
                <w:rFonts w:hint="eastAsia" w:eastAsia="宋体" w:cs="宋体"/>
                <w:highlight w:val="none"/>
              </w:rPr>
              <w:t>日17时00分00秒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E86812">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43ED7127">
            <w:pPr>
              <w:ind w:firstLine="480" w:firstLineChars="200"/>
              <w:rPr>
                <w:rFonts w:eastAsia="宋体" w:cs="宋体"/>
                <w:bCs/>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正本一份，副本二份</w:t>
            </w:r>
            <w:r>
              <w:rPr>
                <w:rFonts w:hint="eastAsia" w:ascii="宋体" w:hAnsi="宋体" w:eastAsia="宋体" w:cs="宋体"/>
                <w:b/>
                <w:sz w:val="24"/>
                <w:szCs w:val="24"/>
                <w:highlight w:val="none"/>
                <w:lang w:eastAsia="zh-CN"/>
              </w:rPr>
              <w:t>，</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071AAD41">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2575400D">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1E26F75C">
            <w:pPr>
              <w:pStyle w:val="17"/>
              <w:rPr>
                <w:rFonts w:hAnsi="宋体" w:eastAsia="宋体" w:cs="Times New Roman"/>
                <w:color w:val="000000"/>
                <w:sz w:val="24"/>
                <w:szCs w:val="24"/>
                <w:highlight w:val="none"/>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none"/>
              </w:rPr>
              <w:t>山东省济南市历城区华奥路</w:t>
            </w:r>
            <w:r>
              <w:rPr>
                <w:rFonts w:hAnsi="宋体" w:eastAsia="宋体" w:cs="Times New Roman"/>
                <w:color w:val="000000"/>
                <w:sz w:val="24"/>
                <w:szCs w:val="24"/>
                <w:highlight w:val="none"/>
              </w:rPr>
              <w:t>777</w:t>
            </w:r>
            <w:r>
              <w:rPr>
                <w:rFonts w:hint="eastAsia" w:hAnsi="宋体" w:eastAsia="宋体" w:cs="Times New Roman"/>
                <w:color w:val="000000"/>
                <w:sz w:val="24"/>
                <w:szCs w:val="24"/>
                <w:highlight w:val="none"/>
              </w:rPr>
              <w:t>号</w:t>
            </w:r>
          </w:p>
          <w:p w14:paraId="57EC4695">
            <w:pPr>
              <w:pStyle w:val="17"/>
              <w:rPr>
                <w:rFonts w:hAnsi="宋体" w:eastAsia="宋体" w:cs="Times New Roman"/>
                <w:color w:val="000000"/>
                <w:sz w:val="24"/>
                <w:szCs w:val="24"/>
                <w:highlight w:val="none"/>
              </w:rPr>
            </w:pPr>
            <w:r>
              <w:rPr>
                <w:rFonts w:hint="eastAsia" w:hAnsi="宋体" w:eastAsia="宋体" w:cs="Times New Roman"/>
                <w:b/>
                <w:bCs/>
                <w:color w:val="000000"/>
                <w:sz w:val="24"/>
                <w:szCs w:val="24"/>
                <w:highlight w:val="none"/>
              </w:rPr>
              <w:t>联系人及联系方式：</w:t>
            </w:r>
            <w:r>
              <w:rPr>
                <w:rFonts w:hint="eastAsia" w:ascii="Times New Roman" w:hAnsi="Times New Roman" w:eastAsia="宋体" w:cs="Times New Roman"/>
                <w:color w:val="000000"/>
                <w:sz w:val="24"/>
                <w:szCs w:val="24"/>
                <w:highlight w:val="none"/>
              </w:rPr>
              <w:t>许世金/17860604079</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3"/>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8</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21</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人民币5000.00元</w:t>
            </w:r>
          </w:p>
          <w:p w14:paraId="3A1C8B1E">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中国建设银行济南市天桥区支行</w:t>
            </w:r>
          </w:p>
          <w:p w14:paraId="6A3DF9ED">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66A9E06C">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21</w:t>
            </w:r>
            <w:r>
              <w:rPr>
                <w:rFonts w:hint="eastAsia" w:ascii="宋体" w:hAnsi="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21</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华奥路777号重汽未来科技大厦</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评标方法：资质标审核→唱标→技术标评审→商务标评审。综合评标法，技术标30%，商务标70%。</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6F1805D">
            <w:pPr>
              <w:pStyle w:val="17"/>
              <w:ind w:firstLine="480" w:firstLineChars="200"/>
              <w:rPr>
                <w:rFonts w:hint="eastAsia" w:hAnsi="宋体" w:eastAsia="宋体" w:cs="宋体"/>
                <w:color w:val="000000"/>
                <w:sz w:val="24"/>
                <w:szCs w:val="24"/>
                <w:highlight w:val="none"/>
              </w:rPr>
            </w:pPr>
            <w:r>
              <w:rPr>
                <w:rFonts w:hint="eastAsia" w:ascii="宋体" w:hAnsi="宋体" w:eastAsia="宋体"/>
                <w:sz w:val="24"/>
                <w:highlight w:val="none"/>
              </w:rPr>
              <w:t>投标方收到中标通知书后</w:t>
            </w:r>
            <w:r>
              <w:rPr>
                <w:rFonts w:hint="eastAsia" w:hAnsi="宋体" w:eastAsia="宋体" w:cs="宋体"/>
                <w:color w:val="000000"/>
                <w:sz w:val="24"/>
                <w:szCs w:val="24"/>
                <w:highlight w:val="none"/>
              </w:rPr>
              <w:t>，</w:t>
            </w:r>
            <w:r>
              <w:rPr>
                <w:rFonts w:hint="eastAsia" w:hAnsi="宋体" w:eastAsia="宋体" w:cs="宋体"/>
                <w:color w:val="000000"/>
                <w:sz w:val="24"/>
                <w:szCs w:val="24"/>
                <w:highlight w:val="none"/>
                <w:u w:val="single"/>
                <w:lang w:val="en-US" w:eastAsia="zh-CN"/>
              </w:rPr>
              <w:t>30</w:t>
            </w:r>
            <w:r>
              <w:rPr>
                <w:rFonts w:hint="eastAsia" w:hAnsi="宋体" w:eastAsia="宋体" w:cs="宋体"/>
                <w:color w:val="000000"/>
                <w:sz w:val="24"/>
                <w:szCs w:val="24"/>
                <w:highlight w:val="none"/>
              </w:rPr>
              <w:t>个日历日之内交货至供货地点。</w:t>
            </w:r>
          </w:p>
          <w:p w14:paraId="1E285457">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u w:val="single"/>
              </w:rPr>
              <w:t xml:space="preserve">15 </w:t>
            </w:r>
            <w:r>
              <w:rPr>
                <w:rFonts w:hint="eastAsia" w:hAnsi="宋体" w:eastAsia="宋体" w:cs="宋体"/>
                <w:color w:val="000000"/>
                <w:sz w:val="24"/>
                <w:szCs w:val="24"/>
                <w:highlight w:val="none"/>
              </w:rPr>
              <w:t>个日历日之内安装调试完毕</w:t>
            </w:r>
          </w:p>
          <w:p w14:paraId="52985AF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Times New Roman" w:hAnsi="Times New Roman" w:eastAsia="宋体" w:cs="Times New Roman"/>
                <w:bCs/>
                <w:sz w:val="24"/>
                <w:highlight w:val="none"/>
              </w:rPr>
              <w:t>山东省济南市章丘区圣井街道潘王路西，</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lang w:eastAsia="zh-CN"/>
              </w:rPr>
              <w:t>。</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11BF4B7A">
            <w:pPr>
              <w:pStyle w:val="35"/>
              <w:adjustRightInd w:val="0"/>
              <w:spacing w:after="0" w:line="240" w:lineRule="auto"/>
              <w:ind w:firstLine="0" w:firstLineChars="0"/>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A.设备全部到货经检验无问题后，中标人提交金额为合同价款30%的收据并提供合同价款30%的增值税专用发票（含复印件二份），经招标人依照财务制度审核通过后30日支付；</w:t>
            </w:r>
          </w:p>
          <w:p w14:paraId="523BFD6D">
            <w:pPr>
              <w:pStyle w:val="35"/>
              <w:adjustRightInd w:val="0"/>
              <w:spacing w:after="0" w:line="240" w:lineRule="auto"/>
              <w:ind w:firstLine="0" w:firstLineChars="0"/>
              <w:rPr>
                <w:rFonts w:hint="eastAsia" w:ascii="宋体" w:hAnsi="宋体" w:cs="宋体"/>
                <w:sz w:val="24"/>
                <w:szCs w:val="24"/>
                <w:highlight w:val="none"/>
              </w:rPr>
            </w:pPr>
            <w:r>
              <w:rPr>
                <w:rFonts w:hint="eastAsia" w:ascii="宋体" w:hAnsi="宋体" w:cs="宋体"/>
                <w:sz w:val="24"/>
                <w:szCs w:val="24"/>
                <w:highlight w:val="none"/>
              </w:rPr>
              <w:t xml:space="preserve">    B.设备终验收合格后，中标人提交金额为合同价款60%的收据并提供合同价款70%的增值税专用发票（含复印件二份），经招标人依照财务制度审核通过后30日支付；</w:t>
            </w:r>
          </w:p>
          <w:p w14:paraId="16158032">
            <w:pPr>
              <w:pStyle w:val="35"/>
              <w:adjustRightInd w:val="0"/>
              <w:spacing w:after="0" w:line="240" w:lineRule="auto"/>
              <w:ind w:firstLine="0" w:firstLineChars="0"/>
              <w:rPr>
                <w:rFonts w:ascii="宋体" w:hAnsi="宋体" w:cs="宋体"/>
                <w:sz w:val="24"/>
                <w:szCs w:val="24"/>
                <w:highlight w:val="none"/>
              </w:rPr>
            </w:pPr>
            <w:r>
              <w:rPr>
                <w:rFonts w:hint="eastAsia" w:ascii="宋体" w:hAnsi="宋体" w:cs="宋体"/>
                <w:sz w:val="24"/>
                <w:szCs w:val="24"/>
                <w:highlight w:val="none"/>
              </w:rPr>
              <w:t xml:space="preserve">    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买方将质量保证金返还给卖方，并不代表对卖方的质量保证期内责任的免除，卖方应在质量保证期内履行其应尽的义务。</w:t>
            </w: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*注：付款方式及付款比例原则上不允许偏离。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tc>
      </w:tr>
      <w:bookmarkEnd w:id="3"/>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D9834B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5C6043">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4.7设备设施颜色严格执行我公司企业标准《设备设施颜色标识》（Q/ZZ30070-2021）。</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019DF8">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693346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sz w:val="24"/>
          <w:szCs w:val="24"/>
          <w:highlight w:val="none"/>
        </w:rPr>
        <w:t>中国重汽官网</w:t>
      </w:r>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6" w:name="_Toc33266914"/>
      <w:bookmarkStart w:id="7" w:name="_Toc33267001"/>
      <w:bookmarkStart w:id="8" w:name="_Toc33265653"/>
      <w:bookmarkStart w:id="9" w:name="_Toc33266950"/>
      <w:bookmarkStart w:id="10" w:name="_Toc33265752"/>
      <w:bookmarkStart w:id="11" w:name="_Toc33266627"/>
      <w:bookmarkStart w:id="12" w:name="_Toc33285487"/>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65654"/>
      <w:bookmarkStart w:id="15" w:name="_Toc33266915"/>
      <w:bookmarkStart w:id="16" w:name="_Toc33285489"/>
      <w:bookmarkStart w:id="17" w:name="_Toc33266951"/>
      <w:bookmarkStart w:id="18" w:name="_Toc33267002"/>
      <w:bookmarkStart w:id="19" w:name="_Toc395116634"/>
      <w:bookmarkStart w:id="20" w:name="_Toc33266628"/>
      <w:bookmarkStart w:id="21" w:name="_Toc33265753"/>
      <w:r>
        <w:rPr>
          <w:rFonts w:hint="eastAsia" w:ascii="宋体" w:hAnsi="宋体" w:eastAsia="宋体" w:cs="宋体"/>
          <w:sz w:val="24"/>
          <w:szCs w:val="24"/>
          <w:highlight w:val="none"/>
        </w:rPr>
        <w:t>采用综合评标法，技术标30%，商务标70%。</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7"/>
      <w:bookmarkStart w:id="23" w:name="OLE_LINK25"/>
      <w:bookmarkStart w:id="24" w:name="OLE_LINK26"/>
      <w:bookmarkStart w:id="25" w:name="OLE_LINK29"/>
      <w:bookmarkStart w:id="26" w:name="OLE_LINK28"/>
      <w:r>
        <w:rPr>
          <w:rFonts w:hint="eastAsia" w:ascii="宋体" w:hAnsi="宋体" w:eastAsia="宋体" w:cs="宋体"/>
          <w:bCs/>
          <w:sz w:val="24"/>
          <w:szCs w:val="24"/>
          <w:highlight w:val="none"/>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ED780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6F80012D">
      <w:pPr>
        <w:pStyle w:val="17"/>
        <w:rPr>
          <w:highlight w:val="none"/>
        </w:rPr>
      </w:pPr>
    </w:p>
    <w:p w14:paraId="254A3DBD">
      <w:pPr>
        <w:spacing w:line="480" w:lineRule="exact"/>
        <w:jc w:val="center"/>
        <w:rPr>
          <w:rFonts w:hint="default" w:ascii="黑体" w:hAnsi="宋体" w:eastAsia="黑体"/>
          <w:color w:val="auto"/>
          <w:sz w:val="44"/>
          <w:szCs w:val="44"/>
          <w:highlight w:val="none"/>
          <w:lang w:val="en-US" w:eastAsia="zh-CN"/>
        </w:rPr>
      </w:pPr>
      <w:bookmarkStart w:id="33" w:name="_Toc169605884"/>
      <w:bookmarkStart w:id="34" w:name="_Toc465187648"/>
      <w:bookmarkStart w:id="35" w:name="_Toc169605877"/>
      <w:r>
        <w:rPr>
          <w:rFonts w:hint="eastAsia" w:ascii="黑体" w:hAnsi="宋体" w:eastAsia="黑体"/>
          <w:color w:val="auto"/>
          <w:sz w:val="44"/>
          <w:szCs w:val="44"/>
          <w:highlight w:val="none"/>
          <w:lang w:val="en-US" w:eastAsia="zh-CN"/>
        </w:rPr>
        <w:t>济南轻卡制造公司</w:t>
      </w:r>
    </w:p>
    <w:p w14:paraId="3C4EF027">
      <w:pPr>
        <w:spacing w:line="480" w:lineRule="exact"/>
        <w:rPr>
          <w:rFonts w:hint="eastAsia" w:ascii="黑体" w:hAnsi="宋体" w:eastAsia="黑体"/>
          <w:color w:val="auto"/>
          <w:sz w:val="44"/>
          <w:szCs w:val="44"/>
          <w:highlight w:val="none"/>
        </w:rPr>
      </w:pPr>
    </w:p>
    <w:p w14:paraId="181512EA">
      <w:pPr>
        <w:spacing w:line="276" w:lineRule="auto"/>
        <w:jc w:val="center"/>
        <w:rPr>
          <w:rFonts w:ascii="Calibri" w:hAnsi="Calibri" w:eastAsia="宋体" w:cs="Times New Roman"/>
          <w:b/>
          <w:bCs/>
          <w:color w:val="000000"/>
          <w:spacing w:val="-8"/>
          <w:sz w:val="48"/>
          <w:szCs w:val="44"/>
          <w:highlight w:val="none"/>
        </w:rPr>
      </w:pPr>
      <w:r>
        <w:rPr>
          <w:rFonts w:hint="eastAsia" w:ascii="黑体" w:hAnsi="宋体" w:eastAsia="黑体"/>
          <w:color w:val="auto"/>
          <w:sz w:val="44"/>
          <w:szCs w:val="44"/>
          <w:highlight w:val="none"/>
          <w:u w:val="single"/>
        </w:rPr>
        <w:t xml:space="preserve"> 皮卡右舵车型生产工装改造项目</w:t>
      </w:r>
    </w:p>
    <w:p w14:paraId="0586E4FB">
      <w:pPr>
        <w:jc w:val="right"/>
        <w:rPr>
          <w:rFonts w:ascii="Calibri" w:hAnsi="Calibri" w:eastAsia="宋体" w:cs="Times New Roman"/>
          <w:color w:val="000000"/>
          <w:sz w:val="28"/>
          <w:szCs w:val="28"/>
          <w:highlight w:val="none"/>
        </w:rPr>
      </w:pPr>
    </w:p>
    <w:p w14:paraId="2AD2F675">
      <w:pPr>
        <w:pStyle w:val="17"/>
        <w:rPr>
          <w:highlight w:val="none"/>
        </w:rPr>
      </w:pPr>
    </w:p>
    <w:p w14:paraId="68F0B5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77CB95DD">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178846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60E9C0C">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6572E60D">
      <w:pPr>
        <w:pStyle w:val="17"/>
        <w:rPr>
          <w:highlight w:val="none"/>
        </w:rPr>
      </w:pPr>
    </w:p>
    <w:p w14:paraId="7A487CF2">
      <w:pPr>
        <w:pStyle w:val="17"/>
        <w:rPr>
          <w:rFonts w:ascii="黑体" w:hAnsi="宋体" w:eastAsia="黑体" w:cs="Times New Roman"/>
          <w:color w:val="000000"/>
          <w:sz w:val="72"/>
          <w:szCs w:val="72"/>
          <w:highlight w:val="none"/>
        </w:rPr>
      </w:pPr>
    </w:p>
    <w:p w14:paraId="697F9C5C">
      <w:pPr>
        <w:pStyle w:val="17"/>
        <w:rPr>
          <w:rFonts w:ascii="黑体" w:hAnsi="宋体" w:eastAsia="黑体" w:cs="Times New Roman"/>
          <w:color w:val="000000"/>
          <w:sz w:val="72"/>
          <w:szCs w:val="72"/>
          <w:highlight w:val="none"/>
        </w:rPr>
      </w:pPr>
    </w:p>
    <w:p w14:paraId="4D231187">
      <w:pPr>
        <w:spacing w:line="860" w:lineRule="exact"/>
        <w:rPr>
          <w:rFonts w:ascii="华文仿宋" w:hAnsi="华文仿宋" w:eastAsia="华文仿宋"/>
          <w:sz w:val="32"/>
          <w:szCs w:val="28"/>
          <w:highlight w:val="none"/>
        </w:rPr>
      </w:pPr>
    </w:p>
    <w:p w14:paraId="3A782835">
      <w:pPr>
        <w:spacing w:line="860" w:lineRule="exact"/>
        <w:rPr>
          <w:rFonts w:ascii="华文仿宋" w:hAnsi="华文仿宋" w:eastAsia="华文仿宋"/>
          <w:sz w:val="32"/>
          <w:szCs w:val="28"/>
          <w:highlight w:val="none"/>
        </w:rPr>
      </w:pPr>
    </w:p>
    <w:p w14:paraId="3E87C2A9">
      <w:pPr>
        <w:spacing w:line="860" w:lineRule="exact"/>
        <w:rPr>
          <w:rFonts w:ascii="华文仿宋" w:hAnsi="华文仿宋" w:eastAsia="华文仿宋"/>
          <w:sz w:val="32"/>
          <w:szCs w:val="28"/>
          <w:highlight w:val="none"/>
        </w:rPr>
      </w:pPr>
    </w:p>
    <w:p w14:paraId="6CBB6578">
      <w:pPr>
        <w:spacing w:line="860" w:lineRule="exact"/>
        <w:rPr>
          <w:rFonts w:ascii="华文仿宋" w:hAnsi="华文仿宋" w:eastAsia="华文仿宋"/>
          <w:b/>
          <w:bCs/>
          <w:sz w:val="32"/>
          <w:szCs w:val="28"/>
          <w:highlight w:val="none"/>
        </w:rPr>
      </w:pPr>
    </w:p>
    <w:p w14:paraId="3645AEF0">
      <w:pPr>
        <w:pStyle w:val="17"/>
        <w:rPr>
          <w:b/>
          <w:bCs/>
          <w:highlight w:val="none"/>
        </w:rPr>
      </w:pPr>
    </w:p>
    <w:p w14:paraId="68828B1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招标人：中国重汽集团济南动力有限公司</w:t>
      </w:r>
    </w:p>
    <w:p w14:paraId="6AC6B9CA">
      <w:pPr>
        <w:jc w:val="center"/>
        <w:rPr>
          <w:rFonts w:ascii="Calibri" w:hAnsi="Calibri" w:eastAsia="宋体" w:cs="Times New Roman"/>
          <w:color w:val="000000"/>
          <w:sz w:val="28"/>
          <w:szCs w:val="28"/>
          <w:highlight w:val="none"/>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7</w:t>
      </w:r>
      <w:r>
        <w:rPr>
          <w:rFonts w:hint="eastAsia" w:ascii="Calibri" w:hAnsi="Calibri" w:eastAsia="宋体" w:cs="Times New Roman"/>
          <w:color w:val="000000"/>
          <w:sz w:val="28"/>
          <w:szCs w:val="28"/>
          <w:highlight w:val="none"/>
        </w:rPr>
        <w:t>月</w:t>
      </w:r>
    </w:p>
    <w:p w14:paraId="4C9DA170">
      <w:pPr>
        <w:spacing w:line="360" w:lineRule="auto"/>
        <w:rPr>
          <w:rFonts w:ascii="宋体" w:hAnsi="宋体" w:eastAsia="宋体" w:cs="Times New Roman"/>
          <w:b/>
          <w:sz w:val="36"/>
          <w:szCs w:val="36"/>
          <w:highlight w:val="none"/>
        </w:rPr>
        <w:sectPr>
          <w:footerReference r:id="rId10" w:type="default"/>
          <w:pgSz w:w="11907" w:h="16840"/>
          <w:pgMar w:top="1304" w:right="1418" w:bottom="1304" w:left="1418" w:header="724" w:footer="851" w:gutter="0"/>
          <w:pgNumType w:fmt="decimal"/>
          <w:cols w:space="720" w:num="1"/>
          <w:docGrid w:linePitch="290" w:charSpace="-3931"/>
        </w:sectPr>
      </w:pPr>
    </w:p>
    <w:bookmarkEnd w:id="33"/>
    <w:p w14:paraId="4E9DE682">
      <w:pPr>
        <w:spacing w:line="480" w:lineRule="exact"/>
        <w:jc w:val="center"/>
        <w:rPr>
          <w:rFonts w:hint="eastAsia" w:ascii="宋体" w:hAnsi="宋体"/>
          <w:color w:val="auto"/>
          <w:highlight w:val="none"/>
        </w:rPr>
      </w:pPr>
      <w:r>
        <w:rPr>
          <w:rFonts w:hint="eastAsia" w:ascii="黑体" w:hAnsi="宋体" w:eastAsia="黑体"/>
          <w:color w:val="auto"/>
          <w:highlight w:val="none"/>
        </w:rPr>
        <w:t>目        录</w:t>
      </w:r>
    </w:p>
    <w:p w14:paraId="12EA9180">
      <w:pPr>
        <w:pStyle w:val="24"/>
        <w:tabs>
          <w:tab w:val="right" w:leader="dot" w:pos="8787"/>
        </w:tabs>
        <w:spacing w:line="480" w:lineRule="auto"/>
        <w:rPr>
          <w:color w:val="auto"/>
          <w:highlight w:val="none"/>
        </w:rPr>
      </w:pPr>
      <w:r>
        <w:rPr>
          <w:rFonts w:hint="eastAsia" w:ascii="宋体" w:hAnsi="宋体"/>
          <w:color w:val="auto"/>
          <w:sz w:val="24"/>
          <w:szCs w:val="24"/>
          <w:highlight w:val="none"/>
        </w:rPr>
        <w:fldChar w:fldCharType="begin"/>
      </w:r>
      <w:r>
        <w:rPr>
          <w:rFonts w:hint="eastAsia" w:ascii="宋体" w:hAnsi="宋体"/>
          <w:color w:val="auto"/>
          <w:sz w:val="24"/>
          <w:szCs w:val="24"/>
          <w:highlight w:val="none"/>
        </w:rPr>
        <w:instrText xml:space="preserve"> TOC \o "1-2" \h \z \u </w:instrText>
      </w:r>
      <w:r>
        <w:rPr>
          <w:rFonts w:hint="eastAsia" w:ascii="宋体" w:hAnsi="宋体"/>
          <w:color w:val="auto"/>
          <w:sz w:val="24"/>
          <w:szCs w:val="24"/>
          <w:highlight w:val="none"/>
        </w:rPr>
        <w:fldChar w:fldCharType="separate"/>
      </w:r>
      <w:r>
        <w:rPr>
          <w:rFonts w:hint="eastAsia" w:ascii="宋体" w:hAnsi="宋体"/>
          <w:color w:val="auto"/>
          <w:highlight w:val="none"/>
        </w:rPr>
        <w:fldChar w:fldCharType="begin"/>
      </w:r>
      <w:r>
        <w:rPr>
          <w:rFonts w:hint="eastAsia" w:ascii="宋体" w:hAnsi="宋体"/>
          <w:color w:val="auto"/>
          <w:highlight w:val="none"/>
        </w:rPr>
        <w:instrText xml:space="preserve"> HYPERLINK \l _Toc2567 </w:instrText>
      </w:r>
      <w:r>
        <w:rPr>
          <w:rFonts w:hint="eastAsia" w:ascii="宋体" w:hAnsi="宋体"/>
          <w:color w:val="auto"/>
          <w:highlight w:val="none"/>
        </w:rPr>
        <w:fldChar w:fldCharType="separate"/>
      </w:r>
      <w:r>
        <w:rPr>
          <w:rFonts w:hint="eastAsia" w:ascii="黑体" w:eastAsia="黑体"/>
          <w:color w:val="auto"/>
          <w:szCs w:val="24"/>
          <w:highlight w:val="none"/>
        </w:rPr>
        <w:t>第一章  采购货物概况</w:t>
      </w:r>
      <w:r>
        <w:rPr>
          <w:color w:val="auto"/>
          <w:highlight w:val="none"/>
        </w:rPr>
        <w:tab/>
      </w:r>
      <w:r>
        <w:rPr>
          <w:color w:val="auto"/>
          <w:highlight w:val="none"/>
        </w:rPr>
        <w:fldChar w:fldCharType="begin"/>
      </w:r>
      <w:r>
        <w:rPr>
          <w:color w:val="auto"/>
          <w:highlight w:val="none"/>
        </w:rPr>
        <w:instrText xml:space="preserve"> PAGEREF _Toc2567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color w:val="auto"/>
          <w:highlight w:val="none"/>
        </w:rPr>
        <w:fldChar w:fldCharType="end"/>
      </w:r>
    </w:p>
    <w:p w14:paraId="62024687">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_Toc32262 </w:instrText>
      </w:r>
      <w:r>
        <w:rPr>
          <w:rFonts w:hint="eastAsia" w:ascii="宋体" w:hAnsi="宋体"/>
          <w:color w:val="auto"/>
          <w:highlight w:val="none"/>
        </w:rPr>
        <w:fldChar w:fldCharType="separate"/>
      </w:r>
      <w:r>
        <w:rPr>
          <w:rFonts w:hint="eastAsia" w:ascii="黑体" w:eastAsia="黑体"/>
          <w:color w:val="auto"/>
          <w:szCs w:val="24"/>
          <w:highlight w:val="none"/>
        </w:rPr>
        <w:t>第二章  技术要求</w:t>
      </w:r>
      <w:r>
        <w:rPr>
          <w:color w:val="auto"/>
          <w:highlight w:val="none"/>
        </w:rPr>
        <w:tab/>
      </w:r>
      <w:r>
        <w:rPr>
          <w:color w:val="auto"/>
          <w:highlight w:val="none"/>
        </w:rPr>
        <w:fldChar w:fldCharType="begin"/>
      </w:r>
      <w:r>
        <w:rPr>
          <w:color w:val="auto"/>
          <w:highlight w:val="none"/>
        </w:rPr>
        <w:instrText xml:space="preserve"> PAGEREF _Toc32262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color w:val="auto"/>
          <w:highlight w:val="none"/>
        </w:rPr>
        <w:fldChar w:fldCharType="end"/>
      </w:r>
    </w:p>
    <w:p w14:paraId="2320FFCF">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_Toc10963 </w:instrText>
      </w:r>
      <w:r>
        <w:rPr>
          <w:rFonts w:hint="eastAsia" w:ascii="宋体" w:hAnsi="宋体"/>
          <w:color w:val="auto"/>
          <w:highlight w:val="none"/>
        </w:rPr>
        <w:fldChar w:fldCharType="separate"/>
      </w:r>
      <w:r>
        <w:rPr>
          <w:rFonts w:hint="eastAsia" w:ascii="黑体" w:eastAsia="黑体"/>
          <w:color w:val="auto"/>
          <w:szCs w:val="24"/>
          <w:highlight w:val="none"/>
        </w:rPr>
        <w:t>第三章  供货范围及供货方式</w:t>
      </w:r>
      <w:r>
        <w:rPr>
          <w:color w:val="auto"/>
          <w:highlight w:val="none"/>
        </w:rPr>
        <w:tab/>
      </w:r>
      <w:r>
        <w:rPr>
          <w:color w:val="auto"/>
          <w:highlight w:val="none"/>
        </w:rPr>
        <w:fldChar w:fldCharType="begin"/>
      </w:r>
      <w:r>
        <w:rPr>
          <w:color w:val="auto"/>
          <w:highlight w:val="none"/>
        </w:rPr>
        <w:instrText xml:space="preserve"> PAGEREF _Toc10963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olor w:val="auto"/>
          <w:highlight w:val="none"/>
        </w:rPr>
        <w:fldChar w:fldCharType="end"/>
      </w:r>
    </w:p>
    <w:p w14:paraId="4C0389E1">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_Toc30960 </w:instrText>
      </w:r>
      <w:r>
        <w:rPr>
          <w:rFonts w:hint="eastAsia" w:ascii="宋体" w:hAnsi="宋体"/>
          <w:color w:val="auto"/>
          <w:highlight w:val="none"/>
        </w:rPr>
        <w:fldChar w:fldCharType="separate"/>
      </w:r>
      <w:r>
        <w:rPr>
          <w:rFonts w:hint="eastAsia" w:ascii="黑体" w:eastAsia="黑体"/>
          <w:color w:val="auto"/>
          <w:szCs w:val="24"/>
          <w:highlight w:val="none"/>
        </w:rPr>
        <w:t>第四章  售中售后服务</w:t>
      </w:r>
      <w:r>
        <w:rPr>
          <w:color w:val="auto"/>
          <w:highlight w:val="none"/>
        </w:rPr>
        <w:tab/>
      </w:r>
      <w:r>
        <w:rPr>
          <w:color w:val="auto"/>
          <w:highlight w:val="none"/>
        </w:rPr>
        <w:fldChar w:fldCharType="begin"/>
      </w:r>
      <w:r>
        <w:rPr>
          <w:color w:val="auto"/>
          <w:highlight w:val="none"/>
        </w:rPr>
        <w:instrText xml:space="preserve"> PAGEREF _Toc30960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highlight w:val="none"/>
        </w:rPr>
        <w:fldChar w:fldCharType="end"/>
      </w:r>
    </w:p>
    <w:p w14:paraId="0F2505F4">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_Toc21539 </w:instrText>
      </w:r>
      <w:r>
        <w:rPr>
          <w:rFonts w:hint="eastAsia" w:ascii="宋体" w:hAnsi="宋体"/>
          <w:color w:val="auto"/>
          <w:highlight w:val="none"/>
        </w:rPr>
        <w:fldChar w:fldCharType="separate"/>
      </w:r>
      <w:r>
        <w:rPr>
          <w:rFonts w:hint="eastAsia" w:ascii="黑体" w:eastAsia="黑体"/>
          <w:color w:val="auto"/>
          <w:szCs w:val="24"/>
          <w:highlight w:val="none"/>
        </w:rPr>
        <w:t>第五章  预验收和终验收</w:t>
      </w:r>
      <w:r>
        <w:rPr>
          <w:color w:val="auto"/>
          <w:highlight w:val="none"/>
        </w:rPr>
        <w:tab/>
      </w:r>
      <w:r>
        <w:rPr>
          <w:color w:val="auto"/>
          <w:highlight w:val="none"/>
        </w:rPr>
        <w:fldChar w:fldCharType="begin"/>
      </w:r>
      <w:r>
        <w:rPr>
          <w:color w:val="auto"/>
          <w:highlight w:val="none"/>
        </w:rPr>
        <w:instrText xml:space="preserve"> PAGEREF _Toc21539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color w:val="auto"/>
          <w:highlight w:val="none"/>
        </w:rPr>
        <w:fldChar w:fldCharType="end"/>
      </w:r>
    </w:p>
    <w:p w14:paraId="3D8BC41E">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_Toc12996 </w:instrText>
      </w:r>
      <w:r>
        <w:rPr>
          <w:rFonts w:hint="eastAsia" w:ascii="宋体" w:hAnsi="宋体"/>
          <w:color w:val="auto"/>
          <w:highlight w:val="none"/>
        </w:rPr>
        <w:fldChar w:fldCharType="separate"/>
      </w:r>
      <w:r>
        <w:rPr>
          <w:rFonts w:hint="eastAsia" w:ascii="黑体" w:eastAsia="黑体"/>
          <w:color w:val="auto"/>
          <w:szCs w:val="24"/>
          <w:highlight w:val="none"/>
        </w:rPr>
        <w:t>第六章  投标技术文件一般要求</w:t>
      </w:r>
      <w:r>
        <w:rPr>
          <w:color w:val="auto"/>
          <w:highlight w:val="none"/>
        </w:rPr>
        <w:tab/>
      </w:r>
      <w:r>
        <w:rPr>
          <w:color w:val="auto"/>
          <w:highlight w:val="none"/>
        </w:rPr>
        <w:fldChar w:fldCharType="begin"/>
      </w:r>
      <w:r>
        <w:rPr>
          <w:color w:val="auto"/>
          <w:highlight w:val="none"/>
        </w:rPr>
        <w:instrText xml:space="preserve"> PAGEREF _Toc12996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olor w:val="auto"/>
          <w:highlight w:val="none"/>
        </w:rPr>
        <w:fldChar w:fldCharType="end"/>
      </w:r>
    </w:p>
    <w:p w14:paraId="5DF96DC2">
      <w:pPr>
        <w:pStyle w:val="24"/>
        <w:tabs>
          <w:tab w:val="right" w:leader="dot" w:pos="8787"/>
        </w:tabs>
        <w:spacing w:line="480" w:lineRule="auto"/>
        <w:rPr>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HYPERLINK \l _Toc31849 </w:instrText>
      </w:r>
      <w:r>
        <w:rPr>
          <w:rFonts w:hint="eastAsia" w:ascii="宋体" w:hAnsi="宋体"/>
          <w:color w:val="auto"/>
          <w:highlight w:val="none"/>
        </w:rPr>
        <w:fldChar w:fldCharType="separate"/>
      </w:r>
      <w:r>
        <w:rPr>
          <w:rFonts w:hint="eastAsia" w:ascii="黑体" w:eastAsia="黑体"/>
          <w:color w:val="auto"/>
          <w:szCs w:val="24"/>
          <w:highlight w:val="none"/>
        </w:rPr>
        <w:t>第七章  其它要求及说明</w:t>
      </w:r>
      <w:r>
        <w:rPr>
          <w:color w:val="auto"/>
          <w:highlight w:val="none"/>
        </w:rPr>
        <w:tab/>
      </w:r>
      <w:r>
        <w:rPr>
          <w:color w:val="auto"/>
          <w:highlight w:val="none"/>
        </w:rPr>
        <w:fldChar w:fldCharType="begin"/>
      </w:r>
      <w:r>
        <w:rPr>
          <w:color w:val="auto"/>
          <w:highlight w:val="none"/>
        </w:rPr>
        <w:instrText xml:space="preserve"> PAGEREF _Toc31849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highlight w:val="none"/>
        </w:rPr>
        <w:fldChar w:fldCharType="end"/>
      </w:r>
    </w:p>
    <w:p w14:paraId="5883956C">
      <w:pPr>
        <w:spacing w:line="480" w:lineRule="auto"/>
        <w:rPr>
          <w:rFonts w:hint="eastAsia" w:ascii="宋体" w:hAnsi="宋体"/>
          <w:color w:val="auto"/>
          <w:highlight w:val="none"/>
        </w:rPr>
      </w:pPr>
      <w:r>
        <w:rPr>
          <w:rFonts w:hint="eastAsia" w:ascii="宋体" w:hAnsi="宋体"/>
          <w:color w:val="auto"/>
          <w:highlight w:val="none"/>
        </w:rPr>
        <w:fldChar w:fldCharType="end"/>
      </w:r>
    </w:p>
    <w:p w14:paraId="279FCAF8">
      <w:pPr>
        <w:spacing w:line="480" w:lineRule="exact"/>
        <w:ind w:firstLine="840" w:firstLineChars="400"/>
        <w:rPr>
          <w:rFonts w:hint="eastAsia" w:ascii="黑体" w:hAnsi="宋体" w:eastAsia="黑体"/>
          <w:color w:val="auto"/>
          <w:highlight w:val="none"/>
        </w:rPr>
      </w:pPr>
    </w:p>
    <w:p w14:paraId="694B6566">
      <w:pPr>
        <w:spacing w:line="480" w:lineRule="exact"/>
        <w:ind w:firstLine="840" w:firstLineChars="400"/>
        <w:rPr>
          <w:rFonts w:hint="eastAsia" w:ascii="黑体" w:hAnsi="宋体" w:eastAsia="黑体"/>
          <w:color w:val="auto"/>
          <w:highlight w:val="none"/>
        </w:rPr>
      </w:pPr>
    </w:p>
    <w:p w14:paraId="3951F5B5">
      <w:pPr>
        <w:spacing w:line="480" w:lineRule="exact"/>
        <w:ind w:firstLine="840" w:firstLineChars="400"/>
        <w:rPr>
          <w:rFonts w:ascii="黑体" w:hAnsi="宋体" w:eastAsia="黑体"/>
          <w:color w:val="auto"/>
          <w:highlight w:val="none"/>
        </w:rPr>
        <w:sectPr>
          <w:headerReference r:id="rId11" w:type="default"/>
          <w:footerReference r:id="rId12" w:type="default"/>
          <w:pgSz w:w="11906" w:h="16838"/>
          <w:pgMar w:top="1701" w:right="1418" w:bottom="1134" w:left="1701" w:header="1021" w:footer="680" w:gutter="0"/>
          <w:pgBorders>
            <w:top w:val="none" w:sz="0" w:space="0"/>
            <w:left w:val="none" w:sz="0" w:space="0"/>
            <w:bottom w:val="none" w:sz="0" w:space="0"/>
            <w:right w:val="none" w:sz="0" w:space="0"/>
          </w:pgBorders>
          <w:pgNumType w:fmt="decimal"/>
          <w:cols w:space="720" w:num="1"/>
          <w:docGrid w:type="lines" w:linePitch="312" w:charSpace="0"/>
        </w:sectPr>
      </w:pPr>
    </w:p>
    <w:p w14:paraId="1C7330BC">
      <w:pPr>
        <w:pStyle w:val="2"/>
        <w:spacing w:before="120" w:after="120" w:line="480" w:lineRule="exact"/>
        <w:jc w:val="center"/>
        <w:rPr>
          <w:rFonts w:hint="eastAsia" w:ascii="黑体" w:hAnsi="宋体" w:eastAsia="黑体"/>
          <w:color w:val="auto"/>
          <w:highlight w:val="none"/>
        </w:rPr>
      </w:pPr>
      <w:bookmarkStart w:id="36" w:name="_Toc1271"/>
      <w:bookmarkStart w:id="37" w:name="_Toc2567"/>
      <w:bookmarkStart w:id="38" w:name="_Toc137705865"/>
      <w:bookmarkStart w:id="39" w:name="_Toc28854"/>
      <w:bookmarkStart w:id="40" w:name="_Toc2894"/>
      <w:r>
        <w:rPr>
          <w:rFonts w:hint="eastAsia" w:ascii="黑体" w:eastAsia="黑体"/>
          <w:b w:val="0"/>
          <w:color w:val="auto"/>
          <w:sz w:val="24"/>
          <w:szCs w:val="24"/>
          <w:highlight w:val="none"/>
        </w:rPr>
        <w:t>第一章  采购货物概况</w:t>
      </w:r>
      <w:bookmarkEnd w:id="36"/>
      <w:bookmarkEnd w:id="37"/>
      <w:bookmarkEnd w:id="38"/>
      <w:bookmarkEnd w:id="39"/>
      <w:bookmarkEnd w:id="40"/>
    </w:p>
    <w:p w14:paraId="4859AE3B">
      <w:pPr>
        <w:pStyle w:val="4"/>
        <w:spacing w:before="120" w:after="120" w:line="480" w:lineRule="exact"/>
        <w:jc w:val="center"/>
        <w:rPr>
          <w:rFonts w:hint="eastAsia"/>
          <w:b w:val="0"/>
          <w:color w:val="auto"/>
          <w:sz w:val="24"/>
          <w:szCs w:val="24"/>
          <w:highlight w:val="none"/>
        </w:rPr>
      </w:pPr>
      <w:bookmarkStart w:id="41" w:name="_Toc13530"/>
      <w:bookmarkStart w:id="42" w:name="_Toc13953"/>
      <w:bookmarkStart w:id="43" w:name="_Toc137705866"/>
      <w:bookmarkStart w:id="44" w:name="_Toc24900"/>
      <w:bookmarkStart w:id="45" w:name="_Toc9247"/>
      <w:r>
        <w:rPr>
          <w:rFonts w:hint="eastAsia"/>
          <w:b w:val="0"/>
          <w:color w:val="auto"/>
          <w:sz w:val="24"/>
          <w:szCs w:val="24"/>
          <w:highlight w:val="none"/>
        </w:rPr>
        <w:t>第一节  使用环境</w:t>
      </w:r>
      <w:bookmarkEnd w:id="41"/>
      <w:bookmarkEnd w:id="42"/>
      <w:bookmarkEnd w:id="43"/>
      <w:bookmarkEnd w:id="44"/>
      <w:bookmarkEnd w:id="45"/>
    </w:p>
    <w:p w14:paraId="18024896">
      <w:pPr>
        <w:spacing w:line="480" w:lineRule="exact"/>
        <w:ind w:firstLine="480" w:firstLineChars="200"/>
        <w:rPr>
          <w:rFonts w:hint="eastAsia" w:ascii="黑体" w:hAnsi="宋体" w:eastAsia="黑体"/>
          <w:color w:val="auto"/>
          <w:sz w:val="24"/>
          <w:szCs w:val="24"/>
          <w:highlight w:val="none"/>
          <w:u w:val="single"/>
          <w:shd w:val="pct10" w:color="auto" w:fill="FFFFFF"/>
        </w:rPr>
      </w:pPr>
      <w:r>
        <w:rPr>
          <w:rFonts w:hint="eastAsia" w:ascii="黑体" w:hAnsi="宋体" w:eastAsia="黑体"/>
          <w:color w:val="auto"/>
          <w:sz w:val="24"/>
          <w:szCs w:val="24"/>
          <w:highlight w:val="none"/>
        </w:rPr>
        <w:t>一、项目名称：</w:t>
      </w:r>
      <w:r>
        <w:rPr>
          <w:rFonts w:hint="eastAsia" w:ascii="黑体" w:hAnsi="宋体" w:eastAsia="黑体"/>
          <w:color w:val="auto"/>
          <w:sz w:val="24"/>
          <w:szCs w:val="24"/>
          <w:highlight w:val="none"/>
          <w:u w:val="single"/>
          <w:shd w:val="pct10" w:color="auto" w:fill="FFFFFF"/>
        </w:rPr>
        <w:t xml:space="preserve"> 皮卡右舵车型生产工装改造项目   </w:t>
      </w:r>
    </w:p>
    <w:p w14:paraId="7CEF2372">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二、建设地点：</w:t>
      </w:r>
      <w:r>
        <w:rPr>
          <w:rFonts w:hint="eastAsia" w:ascii="宋体" w:hAnsi="宋体"/>
          <w:color w:val="auto"/>
          <w:sz w:val="24"/>
          <w:szCs w:val="24"/>
          <w:highlight w:val="none"/>
          <w:u w:val="single"/>
          <w:shd w:val="pct10" w:color="auto" w:fill="FFFFFF"/>
        </w:rPr>
        <w:t xml:space="preserve"> 中国重汽集团权属公司     </w:t>
      </w:r>
    </w:p>
    <w:p w14:paraId="3E918327">
      <w:pPr>
        <w:spacing w:line="480" w:lineRule="exact"/>
        <w:ind w:firstLine="480" w:firstLineChars="200"/>
        <w:rPr>
          <w:rFonts w:hint="eastAsia" w:ascii="宋体" w:hAnsi="宋体"/>
          <w:color w:val="auto"/>
          <w:sz w:val="24"/>
          <w:szCs w:val="24"/>
          <w:highlight w:val="none"/>
          <w:u w:val="single"/>
          <w:shd w:val="pct10" w:color="auto" w:fill="FFFFFF"/>
        </w:rPr>
      </w:pPr>
      <w:r>
        <w:rPr>
          <w:rFonts w:hint="eastAsia" w:ascii="黑体" w:hAnsi="宋体" w:eastAsia="黑体"/>
          <w:color w:val="auto"/>
          <w:sz w:val="24"/>
          <w:szCs w:val="24"/>
          <w:highlight w:val="none"/>
        </w:rPr>
        <w:t>三、使用地点：</w:t>
      </w:r>
      <w:r>
        <w:rPr>
          <w:rFonts w:hint="eastAsia" w:ascii="宋体" w:hAnsi="宋体"/>
          <w:color w:val="auto"/>
          <w:sz w:val="24"/>
          <w:szCs w:val="24"/>
          <w:highlight w:val="none"/>
          <w:u w:val="single"/>
          <w:shd w:val="pct10" w:color="auto" w:fill="FFFFFF"/>
        </w:rPr>
        <w:t xml:space="preserve"> </w:t>
      </w:r>
      <w:r>
        <w:rPr>
          <w:rFonts w:hint="eastAsia" w:ascii="宋体" w:hAnsi="宋体"/>
          <w:color w:val="auto"/>
          <w:sz w:val="24"/>
          <w:szCs w:val="24"/>
          <w:highlight w:val="none"/>
          <w:u w:val="single"/>
          <w:shd w:val="pct10" w:color="auto" w:fill="FFFFFF"/>
          <w:lang w:val="en-US" w:eastAsia="zh-CN"/>
        </w:rPr>
        <w:t>济南轻卡制造公司皮卡总装车间</w:t>
      </w:r>
      <w:r>
        <w:rPr>
          <w:rFonts w:hint="eastAsia" w:ascii="宋体" w:hAnsi="宋体"/>
          <w:color w:val="auto"/>
          <w:sz w:val="24"/>
          <w:szCs w:val="24"/>
          <w:highlight w:val="none"/>
          <w:u w:val="single"/>
          <w:shd w:val="pct10" w:color="auto" w:fill="FFFFFF"/>
        </w:rPr>
        <w:t xml:space="preserve">   </w:t>
      </w:r>
    </w:p>
    <w:p w14:paraId="3D2CEFE8">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四、工作制度：</w:t>
      </w:r>
      <w:r>
        <w:rPr>
          <w:rFonts w:hint="eastAsia" w:ascii="宋体" w:hAnsi="宋体"/>
          <w:color w:val="auto"/>
          <w:sz w:val="24"/>
          <w:szCs w:val="24"/>
          <w:highlight w:val="none"/>
        </w:rPr>
        <w:t>全年工作</w:t>
      </w:r>
      <w:r>
        <w:rPr>
          <w:rFonts w:hint="eastAsia" w:ascii="宋体" w:hAnsi="宋体"/>
          <w:color w:val="auto"/>
          <w:sz w:val="24"/>
          <w:szCs w:val="24"/>
          <w:highlight w:val="none"/>
          <w:u w:val="single"/>
          <w:shd w:val="pct10" w:color="auto" w:fill="FFFFFF"/>
        </w:rPr>
        <w:t xml:space="preserve">  300  </w:t>
      </w:r>
      <w:r>
        <w:rPr>
          <w:rFonts w:hint="eastAsia" w:ascii="宋体" w:hAnsi="宋体"/>
          <w:color w:val="auto"/>
          <w:sz w:val="24"/>
          <w:szCs w:val="24"/>
          <w:highlight w:val="none"/>
        </w:rPr>
        <w:t>天、</w:t>
      </w:r>
      <w:r>
        <w:rPr>
          <w:rFonts w:hint="eastAsia" w:ascii="宋体" w:hAnsi="宋体"/>
          <w:color w:val="auto"/>
          <w:sz w:val="24"/>
          <w:szCs w:val="24"/>
          <w:highlight w:val="none"/>
          <w:u w:val="single"/>
          <w:shd w:val="pct10" w:color="auto" w:fill="FFFFFF"/>
        </w:rPr>
        <w:t xml:space="preserve">  3  </w:t>
      </w:r>
      <w:r>
        <w:rPr>
          <w:rFonts w:hint="eastAsia" w:ascii="宋体" w:hAnsi="宋体"/>
          <w:color w:val="auto"/>
          <w:sz w:val="24"/>
          <w:szCs w:val="24"/>
          <w:highlight w:val="none"/>
        </w:rPr>
        <w:t>班制、设备年时基数</w:t>
      </w:r>
      <w:r>
        <w:rPr>
          <w:rFonts w:hint="eastAsia" w:ascii="宋体" w:hAnsi="宋体"/>
          <w:color w:val="auto"/>
          <w:sz w:val="24"/>
          <w:szCs w:val="24"/>
          <w:highlight w:val="none"/>
          <w:u w:val="single"/>
          <w:shd w:val="pct10" w:color="auto" w:fill="FFFFFF"/>
        </w:rPr>
        <w:t xml:space="preserve"> 7500 </w:t>
      </w:r>
      <w:r>
        <w:rPr>
          <w:rFonts w:hint="eastAsia" w:ascii="宋体" w:hAnsi="宋体"/>
          <w:color w:val="auto"/>
          <w:sz w:val="24"/>
          <w:szCs w:val="24"/>
          <w:highlight w:val="none"/>
        </w:rPr>
        <w:t>小时</w:t>
      </w:r>
    </w:p>
    <w:p w14:paraId="1A650422">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五、使用地点区域自然环境：</w:t>
      </w:r>
    </w:p>
    <w:p w14:paraId="1C068334">
      <w:pPr>
        <w:spacing w:line="480" w:lineRule="exact"/>
        <w:ind w:firstLine="480" w:firstLineChars="200"/>
        <w:rPr>
          <w:rFonts w:hint="eastAsia" w:ascii="宋体" w:hAnsi="宋体"/>
          <w:color w:val="auto"/>
          <w:sz w:val="24"/>
          <w:szCs w:val="24"/>
          <w:highlight w:val="none"/>
        </w:rPr>
      </w:pPr>
      <w:r>
        <w:rPr>
          <w:rFonts w:hint="eastAsia" w:ascii="宋体" w:hAnsi="宋体"/>
          <w:bCs/>
          <w:color w:val="auto"/>
          <w:sz w:val="24"/>
          <w:szCs w:val="24"/>
          <w:highlight w:val="none"/>
        </w:rPr>
        <w:t>1、海拨高度：1500</w:t>
      </w:r>
      <w:r>
        <w:rPr>
          <w:rFonts w:ascii="宋体" w:hAnsi="宋体"/>
          <w:bCs/>
          <w:color w:val="auto"/>
          <w:sz w:val="24"/>
          <w:szCs w:val="24"/>
          <w:highlight w:val="none"/>
        </w:rPr>
        <w:t>m</w:t>
      </w:r>
      <w:r>
        <w:rPr>
          <w:rFonts w:hint="eastAsia" w:ascii="宋体" w:hAnsi="宋体"/>
          <w:bCs/>
          <w:color w:val="auto"/>
          <w:sz w:val="24"/>
          <w:szCs w:val="24"/>
          <w:highlight w:val="none"/>
        </w:rPr>
        <w:t>以下</w:t>
      </w:r>
    </w:p>
    <w:p w14:paraId="505FE138">
      <w:pPr>
        <w:spacing w:line="480" w:lineRule="exact"/>
        <w:ind w:left="2280" w:leftChars="200" w:hanging="1860" w:hangingChars="775"/>
        <w:rPr>
          <w:rFonts w:hint="eastAsia" w:ascii="宋体" w:hAnsi="宋体"/>
          <w:color w:val="auto"/>
          <w:sz w:val="24"/>
          <w:szCs w:val="24"/>
          <w:highlight w:val="none"/>
        </w:rPr>
      </w:pPr>
      <w:r>
        <w:rPr>
          <w:rFonts w:hint="eastAsia" w:ascii="宋体" w:hAnsi="宋体"/>
          <w:color w:val="auto"/>
          <w:sz w:val="24"/>
          <w:szCs w:val="24"/>
          <w:highlight w:val="none"/>
        </w:rPr>
        <w:t>2、环境温度：室外极端最低温度-35℃、极端最高温度 42℃，昼夜最大温差25℃；厂房内温度 5～40℃</w:t>
      </w:r>
      <w:r>
        <w:rPr>
          <w:rFonts w:hint="eastAsia" w:ascii="宋体" w:hAnsi="宋体"/>
          <w:bCs/>
          <w:color w:val="auto"/>
          <w:sz w:val="24"/>
          <w:szCs w:val="24"/>
          <w:highlight w:val="none"/>
        </w:rPr>
        <w:t>。</w:t>
      </w:r>
    </w:p>
    <w:p w14:paraId="088CE5D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3、相对湿度：年平均59%，</w:t>
      </w:r>
      <w:r>
        <w:rPr>
          <w:rFonts w:hint="eastAsia" w:ascii="宋体" w:hAnsi="宋体"/>
          <w:bCs/>
          <w:color w:val="auto"/>
          <w:sz w:val="24"/>
          <w:szCs w:val="24"/>
          <w:highlight w:val="none"/>
        </w:rPr>
        <w:t>最大95%、最小15%。</w:t>
      </w:r>
    </w:p>
    <w:p w14:paraId="421A771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4、降雨量：日最大降雨量300mm、时最大降雨量100mm。</w:t>
      </w:r>
    </w:p>
    <w:p w14:paraId="64567FE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5、最大风速：33.3m/s。</w:t>
      </w:r>
    </w:p>
    <w:p w14:paraId="4369E3A0">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6、最大积雪厚度：200mm。</w:t>
      </w:r>
    </w:p>
    <w:p w14:paraId="35E54DC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7、最大冻土深度：450mm。</w:t>
      </w:r>
    </w:p>
    <w:p w14:paraId="6147D9C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8、地震设防裂度：七度。</w:t>
      </w:r>
    </w:p>
    <w:p w14:paraId="2C0F9CEE">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六、能源环境：</w:t>
      </w:r>
    </w:p>
    <w:p w14:paraId="4045767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1、电力：中国制式，供电电压</w:t>
      </w:r>
      <w:r>
        <w:rPr>
          <w:rFonts w:ascii="宋体" w:hAnsi="宋体"/>
          <w:color w:val="auto"/>
          <w:sz w:val="24"/>
          <w:szCs w:val="24"/>
          <w:highlight w:val="none"/>
        </w:rPr>
        <w:t>380V</w:t>
      </w: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/220V±</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rPr>
        <w:t>，供电频率</w:t>
      </w:r>
      <w:r>
        <w:rPr>
          <w:rFonts w:ascii="宋体" w:hAnsi="宋体"/>
          <w:color w:val="auto"/>
          <w:sz w:val="24"/>
          <w:szCs w:val="24"/>
          <w:highlight w:val="none"/>
        </w:rPr>
        <w:t>50Hz</w:t>
      </w: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p>
    <w:p w14:paraId="7205B41F">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2、压缩空气：自备空压机自产压缩空气，</w:t>
      </w:r>
      <w:r>
        <w:rPr>
          <w:rFonts w:ascii="宋体" w:hAnsi="宋体"/>
          <w:color w:val="auto"/>
          <w:sz w:val="24"/>
          <w:szCs w:val="24"/>
          <w:highlight w:val="none"/>
        </w:rPr>
        <w:t>0.</w:t>
      </w:r>
      <w:r>
        <w:rPr>
          <w:rFonts w:hint="eastAsia" w:ascii="宋体" w:hAnsi="宋体"/>
          <w:color w:val="auto"/>
          <w:sz w:val="24"/>
          <w:szCs w:val="24"/>
          <w:highlight w:val="none"/>
        </w:rPr>
        <w:t>4～0.6</w:t>
      </w:r>
      <w:r>
        <w:rPr>
          <w:rFonts w:ascii="宋体" w:hAnsi="宋体"/>
          <w:color w:val="auto"/>
          <w:sz w:val="24"/>
          <w:szCs w:val="24"/>
          <w:highlight w:val="none"/>
        </w:rPr>
        <w:t>M</w:t>
      </w:r>
      <w:r>
        <w:rPr>
          <w:rFonts w:hint="eastAsia" w:ascii="宋体" w:hAnsi="宋体"/>
          <w:color w:val="auto"/>
          <w:sz w:val="24"/>
          <w:szCs w:val="24"/>
          <w:highlight w:val="none"/>
        </w:rPr>
        <w:t>P</w:t>
      </w:r>
      <w:r>
        <w:rPr>
          <w:rFonts w:ascii="宋体" w:hAnsi="宋体"/>
          <w:color w:val="auto"/>
          <w:sz w:val="24"/>
          <w:szCs w:val="24"/>
          <w:highlight w:val="none"/>
        </w:rPr>
        <w:t>a</w:t>
      </w:r>
      <w:r>
        <w:rPr>
          <w:rFonts w:hint="eastAsia" w:ascii="宋体" w:hAnsi="宋体"/>
          <w:color w:val="auto"/>
          <w:sz w:val="24"/>
          <w:szCs w:val="24"/>
          <w:highlight w:val="none"/>
        </w:rPr>
        <w:t>。</w:t>
      </w:r>
    </w:p>
    <w:p w14:paraId="75A3FA1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3、给水：市政自来水或软化水，0.2-0.4MPa</w:t>
      </w:r>
    </w:p>
    <w:p w14:paraId="06F86168">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4、工位照度：不低于500Lx。</w:t>
      </w:r>
    </w:p>
    <w:p w14:paraId="1E957B24">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七、供货范围：</w:t>
      </w:r>
    </w:p>
    <w:p w14:paraId="6873C08F">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1.1  招标方只提供所需厂房、货物（或生产线）的砼基础（基础含预埋螺栓、螺母及垫片）。</w:t>
      </w:r>
    </w:p>
    <w:p w14:paraId="4D09DC3F">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1.2  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14:paraId="299F45F4">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1.3  投标方应提供包括货物（或生产线）正常运行所必需的全套连线设备、材料等；如：联接螺栓之内的、电气系统接口压线板（插座等）之内的设备、材料等，不能满足要求的，投标方应单独列出；</w:t>
      </w:r>
    </w:p>
    <w:p w14:paraId="6A4704D7">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1.4  投标方应提供包括货物（或生产线）正常运行、使用所必需的</w:t>
      </w:r>
      <w:r>
        <w:rPr>
          <w:rFonts w:hint="eastAsia" w:ascii="宋体" w:hAnsi="宋体"/>
          <w:color w:val="auto"/>
          <w:sz w:val="24"/>
          <w:szCs w:val="24"/>
          <w:highlight w:val="none"/>
          <w:lang w:val="en-US" w:eastAsia="zh-CN"/>
        </w:rPr>
        <w:t>桥架</w:t>
      </w:r>
      <w:r>
        <w:rPr>
          <w:rFonts w:hint="eastAsia" w:ascii="宋体" w:hAnsi="宋体"/>
          <w:color w:val="auto"/>
          <w:sz w:val="24"/>
          <w:szCs w:val="24"/>
          <w:highlight w:val="none"/>
        </w:rPr>
        <w:t>、护栏、防护网、盖板等辅助设施。标书中有要求的，按标书要求提供；标书中无具体要求而投标方认为必须具备的，在投标文件报价明细中，单独报价（但不计入税费等其它费用的计算基数）。</w:t>
      </w:r>
    </w:p>
    <w:p w14:paraId="19C8794A">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1.5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29FBA8D4">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1.6  投标方应提供包括为保证货物（或生产线）自身正常运行所必需的、适应使用地点条件的通风、冷却、降温系统等。</w:t>
      </w:r>
    </w:p>
    <w:p w14:paraId="721D2CD2">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1.7  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4B90D6F2">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1.8  投标方应提供货物（或生产线）维修所必需的专用工具，并在投标报价部分说明数量。</w:t>
      </w:r>
    </w:p>
    <w:p w14:paraId="7E581A2B">
      <w:pPr>
        <w:spacing w:line="47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  备品备件、易损件和专用耗材供货范围</w:t>
      </w:r>
    </w:p>
    <w:p w14:paraId="7EC805FA">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2.1  投标方按照招标文件要求提供、或投标方认为招标方应当储备的备品备件、易损件和专用耗材，投标方应当在投标报价部分分别说明所列备品备件、易损件和专用耗材的使用时间。</w:t>
      </w:r>
    </w:p>
    <w:p w14:paraId="60BDA3C8">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2.2  投标方应提供易损件和专用耗材的制造图纸及其技术要求等资料。</w:t>
      </w:r>
    </w:p>
    <w:p w14:paraId="0CCD5482">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2.3  投标文件中，应当有备品备件、易损件和专用耗材的详细清单（内容包括名称、型号、规格、单位、数量、生产厂家、单价、总价等）。</w:t>
      </w:r>
    </w:p>
    <w:p w14:paraId="6F443CD4">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  技术资料供货范围</w:t>
      </w:r>
    </w:p>
    <w:p w14:paraId="0EE89B85">
      <w:pPr>
        <w:spacing w:line="470" w:lineRule="exact"/>
        <w:ind w:firstLine="480"/>
        <w:rPr>
          <w:rFonts w:ascii="宋体" w:hAnsi="宋体"/>
          <w:bCs/>
          <w:color w:val="auto"/>
          <w:sz w:val="24"/>
          <w:szCs w:val="24"/>
          <w:highlight w:val="none"/>
        </w:rPr>
      </w:pPr>
      <w:r>
        <w:rPr>
          <w:rFonts w:hint="eastAsia" w:ascii="宋体" w:hAnsi="宋体"/>
          <w:color w:val="auto"/>
          <w:sz w:val="24"/>
          <w:szCs w:val="24"/>
          <w:highlight w:val="none"/>
        </w:rPr>
        <w:t>3.1  投标方须负责在</w:t>
      </w:r>
      <w:r>
        <w:rPr>
          <w:rFonts w:hint="eastAsia" w:ascii="宋体" w:hAnsi="宋体"/>
          <w:bCs/>
          <w:color w:val="auto"/>
          <w:sz w:val="24"/>
          <w:szCs w:val="24"/>
          <w:highlight w:val="none"/>
        </w:rPr>
        <w:t>合同签订后</w:t>
      </w:r>
      <w:r>
        <w:rPr>
          <w:rFonts w:hint="eastAsia" w:ascii="宋体" w:hAnsi="宋体"/>
          <w:bCs/>
          <w:color w:val="auto"/>
          <w:sz w:val="24"/>
          <w:szCs w:val="24"/>
          <w:highlight w:val="none"/>
          <w:u w:val="single"/>
          <w:shd w:val="pct10" w:color="auto" w:fill="FFFFFF"/>
        </w:rPr>
        <w:t>5</w:t>
      </w:r>
      <w:r>
        <w:rPr>
          <w:rFonts w:hint="eastAsia" w:ascii="宋体" w:hAnsi="宋体"/>
          <w:bCs/>
          <w:color w:val="auto"/>
          <w:sz w:val="24"/>
          <w:szCs w:val="24"/>
          <w:highlight w:val="none"/>
        </w:rPr>
        <w:t>个日历日内，提供货物（或生产线）基础及相关的设计、制作所需的纸质及电子版资料；电子版文件应当能够使用常用版本软件可以阅读甚至使用，进口货物、设备应有中外文对照。</w:t>
      </w:r>
    </w:p>
    <w:p w14:paraId="2693A19A">
      <w:pPr>
        <w:spacing w:line="470" w:lineRule="exact"/>
        <w:ind w:firstLine="480"/>
        <w:rPr>
          <w:rFonts w:ascii="宋体" w:hAnsi="宋体"/>
          <w:color w:val="auto"/>
          <w:sz w:val="24"/>
          <w:szCs w:val="24"/>
          <w:highlight w:val="none"/>
        </w:rPr>
      </w:pPr>
      <w:r>
        <w:rPr>
          <w:rFonts w:hint="eastAsia" w:ascii="宋体" w:hAnsi="宋体"/>
          <w:bCs/>
          <w:color w:val="auto"/>
          <w:sz w:val="24"/>
          <w:szCs w:val="24"/>
          <w:highlight w:val="none"/>
        </w:rPr>
        <w:t>3.2  投标方应同时提出</w:t>
      </w:r>
      <w:r>
        <w:rPr>
          <w:rFonts w:hint="eastAsia" w:ascii="宋体" w:hAnsi="宋体"/>
          <w:color w:val="auto"/>
          <w:sz w:val="24"/>
          <w:szCs w:val="24"/>
          <w:highlight w:val="none"/>
        </w:rPr>
        <w:t>对厂房、基础、公用设施、消防、环保等超出招标文件、投标文件、答疑文件、技术交流文件、技术协议书和合同等规定的、有特殊需要的解释、说明和要求。</w:t>
      </w:r>
    </w:p>
    <w:p w14:paraId="3AC40413">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3.3  投标方须负责在预验收前，</w:t>
      </w:r>
      <w:r>
        <w:rPr>
          <w:rFonts w:hint="eastAsia" w:ascii="宋体" w:hAnsi="宋体"/>
          <w:bCs/>
          <w:color w:val="auto"/>
          <w:sz w:val="24"/>
          <w:szCs w:val="24"/>
          <w:highlight w:val="none"/>
        </w:rPr>
        <w:t>提供货物（或生产线）各部分的功能描述文件、图片、影像等资料（进口设备应有中外文对照）。</w:t>
      </w:r>
    </w:p>
    <w:p w14:paraId="224BEF42">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3.4  投标方须负责在终验收前，提供招标方为保证货物（或生产线）正常运行所需后续自制的工装、吊（挂）具明细及其图纸、具体技术要求等资料（如果供货范围包含该部分实物）。</w:t>
      </w:r>
    </w:p>
    <w:p w14:paraId="188A9A6E">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3.5  投标方须负责在交货之前，提供确定的而且质保期之后招标方维修所需要的、可以自行采购的外购件、外协件、电气元件及主要原材料的供货厂家明细表。</w:t>
      </w:r>
    </w:p>
    <w:p w14:paraId="4641EFAC">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3.6  投标方须负责在终验收后、终验收后的第一笔货款支付日之前，提供包括货物（或生产线）的备品备件、易损件和专用耗材规定的图纸及技术参数、技术要求等资料。</w:t>
      </w:r>
    </w:p>
    <w:p w14:paraId="12508E56">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3.7  投标方须负责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14:paraId="715DE9A1">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3.8  投标方须负责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14:paraId="202163CF">
      <w:pPr>
        <w:spacing w:line="470" w:lineRule="exact"/>
        <w:ind w:firstLine="480"/>
        <w:rPr>
          <w:rFonts w:ascii="宋体" w:hAnsi="宋体"/>
          <w:color w:val="auto"/>
          <w:sz w:val="24"/>
          <w:szCs w:val="24"/>
          <w:highlight w:val="none"/>
        </w:rPr>
      </w:pPr>
      <w:r>
        <w:rPr>
          <w:rFonts w:hint="eastAsia" w:ascii="宋体" w:hAnsi="宋体"/>
          <w:color w:val="auto"/>
          <w:sz w:val="24"/>
          <w:szCs w:val="24"/>
          <w:highlight w:val="none"/>
        </w:rPr>
        <w:t>3.9  本条款所列的技术资料、图片、影像等，投标方应各提供5套，其中1套为电子版光（软）盘；每份技术文件应装有目录清单。</w:t>
      </w:r>
    </w:p>
    <w:p w14:paraId="08669B4E">
      <w:pPr>
        <w:spacing w:line="470" w:lineRule="exact"/>
        <w:ind w:firstLine="480"/>
        <w:rPr>
          <w:rFonts w:hint="eastAsia"/>
          <w:sz w:val="24"/>
          <w:szCs w:val="24"/>
          <w:highlight w:val="none"/>
        </w:rPr>
      </w:pPr>
      <w:r>
        <w:rPr>
          <w:rFonts w:hint="eastAsia" w:ascii="宋体" w:hAnsi="宋体"/>
          <w:color w:val="auto"/>
          <w:sz w:val="24"/>
          <w:szCs w:val="24"/>
          <w:highlight w:val="none"/>
        </w:rPr>
        <w:t>3.10  本条款所列要求，如招标方认为投标方提供的资料不能满足要求时，有权要求投标方免费补充或增加。</w:t>
      </w:r>
    </w:p>
    <w:p w14:paraId="7688ED49">
      <w:pPr>
        <w:pStyle w:val="4"/>
        <w:spacing w:before="120" w:after="120" w:line="480" w:lineRule="exact"/>
        <w:jc w:val="center"/>
        <w:rPr>
          <w:rFonts w:hint="eastAsia"/>
          <w:b w:val="0"/>
          <w:color w:val="auto"/>
          <w:sz w:val="24"/>
          <w:szCs w:val="24"/>
          <w:highlight w:val="none"/>
        </w:rPr>
      </w:pPr>
      <w:bookmarkStart w:id="46" w:name="_Toc9838"/>
      <w:bookmarkStart w:id="47" w:name="_Toc137705867"/>
      <w:bookmarkStart w:id="48" w:name="_Toc13018"/>
      <w:bookmarkStart w:id="49" w:name="_Toc19068"/>
      <w:bookmarkStart w:id="50" w:name="_Toc27088"/>
      <w:r>
        <w:rPr>
          <w:rFonts w:hint="eastAsia"/>
          <w:b w:val="0"/>
          <w:color w:val="auto"/>
          <w:sz w:val="24"/>
          <w:szCs w:val="24"/>
          <w:highlight w:val="none"/>
        </w:rPr>
        <w:t>第二节  采购货物概况</w:t>
      </w:r>
      <w:bookmarkEnd w:id="46"/>
      <w:bookmarkEnd w:id="47"/>
      <w:bookmarkEnd w:id="48"/>
      <w:bookmarkEnd w:id="49"/>
      <w:bookmarkEnd w:id="50"/>
    </w:p>
    <w:p w14:paraId="60294454">
      <w:pPr>
        <w:spacing w:line="480" w:lineRule="exact"/>
        <w:ind w:firstLine="480" w:firstLineChars="200"/>
        <w:jc w:val="left"/>
        <w:rPr>
          <w:rFonts w:hint="eastAsia" w:ascii="宋体" w:hAnsi="宋体"/>
          <w:color w:val="auto"/>
          <w:sz w:val="24"/>
          <w:szCs w:val="24"/>
          <w:highlight w:val="none"/>
        </w:rPr>
      </w:pPr>
      <w:r>
        <w:rPr>
          <w:rFonts w:hint="eastAsia" w:ascii="黑体" w:hAnsi="宋体" w:eastAsia="黑体"/>
          <w:color w:val="auto"/>
          <w:sz w:val="24"/>
          <w:szCs w:val="24"/>
          <w:highlight w:val="none"/>
        </w:rPr>
        <w:t>一、设备名称：皮卡右舵车型生产工装改造</w:t>
      </w:r>
      <w:r>
        <w:rPr>
          <w:rFonts w:hint="eastAsia" w:ascii="宋体" w:hAnsi="宋体"/>
          <w:color w:val="auto"/>
          <w:sz w:val="24"/>
          <w:szCs w:val="24"/>
          <w:highlight w:val="none"/>
        </w:rPr>
        <w:t>（详见下表）</w:t>
      </w:r>
    </w:p>
    <w:p w14:paraId="1047BF9B">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二、设备数量：</w:t>
      </w:r>
      <w:r>
        <w:rPr>
          <w:rFonts w:hint="eastAsia" w:ascii="宋体" w:hAnsi="宋体" w:eastAsia="黑体"/>
          <w:color w:val="auto"/>
          <w:sz w:val="24"/>
          <w:szCs w:val="24"/>
          <w:highlight w:val="none"/>
          <w:u w:val="single"/>
          <w:shd w:val="pct10" w:color="auto" w:fill="FFFFFF"/>
          <w:lang w:val="en-US" w:eastAsia="zh-CN"/>
        </w:rPr>
        <w:t>10套仪表分装台、1套车架VIN打刻机</w:t>
      </w:r>
      <w:r>
        <w:rPr>
          <w:rFonts w:hint="eastAsia" w:ascii="宋体" w:hAnsi="宋体"/>
          <w:color w:val="auto"/>
          <w:sz w:val="24"/>
          <w:szCs w:val="24"/>
          <w:highlight w:val="none"/>
        </w:rPr>
        <w:t>（详见下表）</w:t>
      </w:r>
    </w:p>
    <w:p w14:paraId="29E69741">
      <w:pPr>
        <w:spacing w:line="560" w:lineRule="exact"/>
        <w:ind w:firstLine="480" w:firstLineChars="200"/>
        <w:rPr>
          <w:rFonts w:hint="eastAsia"/>
          <w:color w:val="auto"/>
          <w:sz w:val="24"/>
          <w:szCs w:val="24"/>
          <w:highlight w:val="none"/>
        </w:rPr>
      </w:pPr>
      <w:r>
        <w:rPr>
          <w:rFonts w:hint="eastAsia" w:ascii="黑体" w:hAnsi="宋体" w:eastAsia="黑体"/>
          <w:color w:val="auto"/>
          <w:sz w:val="24"/>
          <w:szCs w:val="24"/>
          <w:highlight w:val="none"/>
        </w:rPr>
        <w:t>三、分投分中：</w:t>
      </w:r>
      <w:r>
        <w:rPr>
          <w:rFonts w:hint="eastAsia" w:ascii="宋体" w:hAnsi="宋体"/>
          <w:color w:val="auto"/>
          <w:sz w:val="24"/>
          <w:szCs w:val="24"/>
          <w:highlight w:val="none"/>
        </w:rPr>
        <w:t>不允许。</w:t>
      </w:r>
    </w:p>
    <w:p w14:paraId="4D40A73E">
      <w:pPr>
        <w:widowControl/>
        <w:jc w:val="center"/>
        <w:rPr>
          <w:rFonts w:hint="eastAsia" w:ascii="宋体" w:hAnsi="宋体"/>
          <w:color w:val="auto"/>
          <w:sz w:val="24"/>
          <w:szCs w:val="24"/>
          <w:highlight w:val="none"/>
        </w:rPr>
      </w:pPr>
      <w:r>
        <w:rPr>
          <w:rFonts w:hint="eastAsia" w:ascii="宋体" w:hAnsi="宋体"/>
          <w:color w:val="auto"/>
          <w:sz w:val="24"/>
          <w:szCs w:val="24"/>
          <w:highlight w:val="none"/>
        </w:rPr>
        <w:t>采购货物主要构成一览表</w:t>
      </w:r>
    </w:p>
    <w:tbl>
      <w:tblPr>
        <w:tblStyle w:val="36"/>
        <w:tblW w:w="8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1490"/>
        <w:gridCol w:w="2317"/>
        <w:gridCol w:w="1842"/>
        <w:gridCol w:w="902"/>
        <w:gridCol w:w="1031"/>
      </w:tblGrid>
      <w:tr w14:paraId="0D346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45" w:type="dxa"/>
            <w:tcBorders>
              <w:tl2br w:val="nil"/>
              <w:tr2bl w:val="nil"/>
            </w:tcBorders>
            <w:noWrap w:val="0"/>
            <w:vAlign w:val="center"/>
          </w:tcPr>
          <w:p w14:paraId="2A5A678F">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490" w:type="dxa"/>
            <w:tcBorders>
              <w:tl2br w:val="nil"/>
              <w:tr2bl w:val="nil"/>
            </w:tcBorders>
            <w:noWrap w:val="0"/>
            <w:vAlign w:val="center"/>
          </w:tcPr>
          <w:p w14:paraId="1C6BB422">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单位名称</w:t>
            </w:r>
          </w:p>
        </w:tc>
        <w:tc>
          <w:tcPr>
            <w:tcW w:w="2317" w:type="dxa"/>
            <w:tcBorders>
              <w:tl2br w:val="nil"/>
              <w:tr2bl w:val="nil"/>
            </w:tcBorders>
            <w:noWrap w:val="0"/>
            <w:vAlign w:val="center"/>
          </w:tcPr>
          <w:p w14:paraId="3CA91368">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安装地点/服务对象</w:t>
            </w:r>
          </w:p>
        </w:tc>
        <w:tc>
          <w:tcPr>
            <w:tcW w:w="1842" w:type="dxa"/>
            <w:tcBorders>
              <w:tl2br w:val="nil"/>
              <w:tr2bl w:val="nil"/>
            </w:tcBorders>
            <w:noWrap w:val="0"/>
            <w:vAlign w:val="center"/>
          </w:tcPr>
          <w:p w14:paraId="617BC045">
            <w:pPr>
              <w:widowControl/>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设备名称</w:t>
            </w:r>
          </w:p>
        </w:tc>
        <w:tc>
          <w:tcPr>
            <w:tcW w:w="902" w:type="dxa"/>
            <w:tcBorders>
              <w:tl2br w:val="nil"/>
              <w:tr2bl w:val="nil"/>
            </w:tcBorders>
            <w:noWrap w:val="0"/>
            <w:vAlign w:val="center"/>
          </w:tcPr>
          <w:p w14:paraId="59148683">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数量/套</w:t>
            </w:r>
          </w:p>
        </w:tc>
        <w:tc>
          <w:tcPr>
            <w:tcW w:w="1031" w:type="dxa"/>
            <w:tcBorders>
              <w:tl2br w:val="nil"/>
              <w:tr2bl w:val="nil"/>
            </w:tcBorders>
            <w:noWrap w:val="0"/>
            <w:vAlign w:val="center"/>
          </w:tcPr>
          <w:p w14:paraId="5CE227CA">
            <w:pPr>
              <w:widowControl/>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供货方式</w:t>
            </w:r>
          </w:p>
        </w:tc>
      </w:tr>
      <w:tr w14:paraId="1FC24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745" w:type="dxa"/>
            <w:vMerge w:val="restart"/>
            <w:tcBorders>
              <w:tl2br w:val="nil"/>
              <w:tr2bl w:val="nil"/>
            </w:tcBorders>
            <w:noWrap w:val="0"/>
            <w:vAlign w:val="center"/>
          </w:tcPr>
          <w:p w14:paraId="36F96F00">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0" w:type="dxa"/>
            <w:vMerge w:val="restart"/>
            <w:tcBorders>
              <w:tl2br w:val="nil"/>
              <w:tr2bl w:val="nil"/>
            </w:tcBorders>
            <w:noWrap/>
            <w:vAlign w:val="center"/>
          </w:tcPr>
          <w:p w14:paraId="2A1F1D8F">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济南轻卡制造公司</w:t>
            </w:r>
          </w:p>
        </w:tc>
        <w:tc>
          <w:tcPr>
            <w:tcW w:w="2317" w:type="dxa"/>
            <w:tcBorders>
              <w:tl2br w:val="nil"/>
              <w:tr2bl w:val="nil"/>
            </w:tcBorders>
            <w:noWrap/>
            <w:vAlign w:val="center"/>
          </w:tcPr>
          <w:p w14:paraId="5C47E5D4">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皮卡总装车间仪表分装区域</w:t>
            </w:r>
          </w:p>
        </w:tc>
        <w:tc>
          <w:tcPr>
            <w:tcW w:w="1842" w:type="dxa"/>
            <w:tcBorders>
              <w:tl2br w:val="nil"/>
              <w:tr2bl w:val="nil"/>
            </w:tcBorders>
            <w:noWrap/>
            <w:vAlign w:val="center"/>
          </w:tcPr>
          <w:p w14:paraId="1CFAD47E">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仪表分装台改造</w:t>
            </w:r>
          </w:p>
        </w:tc>
        <w:tc>
          <w:tcPr>
            <w:tcW w:w="902" w:type="dxa"/>
            <w:tcBorders>
              <w:tl2br w:val="nil"/>
              <w:tr2bl w:val="nil"/>
            </w:tcBorders>
            <w:noWrap/>
            <w:vAlign w:val="center"/>
          </w:tcPr>
          <w:p w14:paraId="2F9B3472">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031" w:type="dxa"/>
            <w:vMerge w:val="restart"/>
            <w:tcBorders>
              <w:tl2br w:val="nil"/>
              <w:tr2bl w:val="nil"/>
            </w:tcBorders>
            <w:noWrap/>
            <w:vAlign w:val="center"/>
          </w:tcPr>
          <w:p w14:paraId="4D03CF6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交钥匙</w:t>
            </w:r>
          </w:p>
        </w:tc>
      </w:tr>
      <w:tr w14:paraId="319C7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745" w:type="dxa"/>
            <w:vMerge w:val="continue"/>
            <w:tcBorders>
              <w:tl2br w:val="nil"/>
              <w:tr2bl w:val="nil"/>
            </w:tcBorders>
            <w:noWrap w:val="0"/>
            <w:vAlign w:val="center"/>
          </w:tcPr>
          <w:p w14:paraId="56EE98AC">
            <w:pPr>
              <w:widowControl/>
              <w:jc w:val="center"/>
              <w:textAlignment w:val="center"/>
              <w:rPr>
                <w:rFonts w:hint="eastAsia" w:ascii="宋体" w:hAnsi="宋体" w:eastAsia="宋体" w:cs="宋体"/>
                <w:color w:val="auto"/>
                <w:sz w:val="24"/>
                <w:szCs w:val="24"/>
                <w:highlight w:val="none"/>
              </w:rPr>
            </w:pPr>
          </w:p>
        </w:tc>
        <w:tc>
          <w:tcPr>
            <w:tcW w:w="1490" w:type="dxa"/>
            <w:vMerge w:val="continue"/>
            <w:tcBorders>
              <w:tl2br w:val="nil"/>
              <w:tr2bl w:val="nil"/>
            </w:tcBorders>
            <w:noWrap/>
            <w:vAlign w:val="center"/>
          </w:tcPr>
          <w:p w14:paraId="7585D1DF">
            <w:pPr>
              <w:widowControl/>
              <w:jc w:val="center"/>
              <w:textAlignment w:val="center"/>
              <w:rPr>
                <w:rFonts w:hint="eastAsia" w:ascii="宋体" w:hAnsi="宋体" w:eastAsia="宋体" w:cs="宋体"/>
                <w:color w:val="auto"/>
                <w:sz w:val="24"/>
                <w:szCs w:val="24"/>
                <w:highlight w:val="none"/>
              </w:rPr>
            </w:pPr>
          </w:p>
        </w:tc>
        <w:tc>
          <w:tcPr>
            <w:tcW w:w="2317" w:type="dxa"/>
            <w:tcBorders>
              <w:tl2br w:val="nil"/>
              <w:tr2bl w:val="nil"/>
            </w:tcBorders>
            <w:noWrap/>
            <w:vAlign w:val="center"/>
          </w:tcPr>
          <w:p w14:paraId="1B945C1D">
            <w:pPr>
              <w:widowControl/>
              <w:jc w:val="center"/>
              <w:textAlignment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总装线1工位北侧车架上线区域</w:t>
            </w:r>
          </w:p>
        </w:tc>
        <w:tc>
          <w:tcPr>
            <w:tcW w:w="1842" w:type="dxa"/>
            <w:tcBorders>
              <w:tl2br w:val="nil"/>
              <w:tr2bl w:val="nil"/>
            </w:tcBorders>
            <w:noWrap/>
            <w:vAlign w:val="center"/>
          </w:tcPr>
          <w:p w14:paraId="19364B2F">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车架VIN打刻改造</w:t>
            </w:r>
          </w:p>
        </w:tc>
        <w:tc>
          <w:tcPr>
            <w:tcW w:w="902" w:type="dxa"/>
            <w:tcBorders>
              <w:tl2br w:val="nil"/>
              <w:tr2bl w:val="nil"/>
            </w:tcBorders>
            <w:noWrap w:val="0"/>
            <w:vAlign w:val="center"/>
          </w:tcPr>
          <w:p w14:paraId="29A41046">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31" w:type="dxa"/>
            <w:vMerge w:val="continue"/>
            <w:tcBorders>
              <w:tl2br w:val="nil"/>
              <w:tr2bl w:val="nil"/>
            </w:tcBorders>
            <w:noWrap w:val="0"/>
            <w:vAlign w:val="center"/>
          </w:tcPr>
          <w:p w14:paraId="1C29AEF5">
            <w:pPr>
              <w:widowControl/>
              <w:jc w:val="center"/>
              <w:textAlignment w:val="center"/>
              <w:rPr>
                <w:rFonts w:hint="eastAsia" w:ascii="宋体" w:hAnsi="宋体" w:eastAsia="宋体" w:cs="宋体"/>
                <w:color w:val="auto"/>
                <w:sz w:val="24"/>
                <w:szCs w:val="24"/>
                <w:highlight w:val="none"/>
              </w:rPr>
            </w:pPr>
          </w:p>
        </w:tc>
      </w:tr>
    </w:tbl>
    <w:p w14:paraId="464FEBCC">
      <w:pPr>
        <w:spacing w:line="480" w:lineRule="exact"/>
        <w:ind w:firstLine="480" w:firstLineChars="200"/>
        <w:rPr>
          <w:color w:val="auto"/>
          <w:sz w:val="24"/>
          <w:szCs w:val="24"/>
          <w:highlight w:val="none"/>
        </w:rPr>
      </w:pPr>
      <w:r>
        <w:rPr>
          <w:color w:val="auto"/>
          <w:sz w:val="24"/>
          <w:szCs w:val="24"/>
          <w:highlight w:val="none"/>
        </w:rPr>
        <w:t>备注：</w:t>
      </w:r>
      <w:bookmarkStart w:id="51" w:name="_Toc137705868"/>
    </w:p>
    <w:p w14:paraId="66694243">
      <w:pPr>
        <w:spacing w:line="480" w:lineRule="exact"/>
        <w:ind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E77C3BD">
      <w:pPr>
        <w:spacing w:line="480" w:lineRule="exact"/>
        <w:ind w:firstLine="480" w:firstLineChars="200"/>
        <w:rPr>
          <w:color w:val="auto"/>
          <w:sz w:val="24"/>
          <w:szCs w:val="24"/>
          <w:highlight w:val="none"/>
        </w:rPr>
      </w:pPr>
      <w:r>
        <w:rPr>
          <w:rFonts w:hint="eastAsia"/>
          <w:color w:val="auto"/>
          <w:sz w:val="24"/>
          <w:szCs w:val="24"/>
          <w:highlight w:val="none"/>
        </w:rPr>
        <w:t>2</w:t>
      </w:r>
      <w:r>
        <w:rPr>
          <w:color w:val="auto"/>
          <w:sz w:val="24"/>
          <w:szCs w:val="24"/>
          <w:highlight w:val="none"/>
        </w:rPr>
        <w:t>.本表“供货方式”指：交钥匙方式——包括设计、制造、运输、安装、调试和验收直到交付使用以及培训等。</w:t>
      </w:r>
    </w:p>
    <w:p w14:paraId="47F95237">
      <w:pPr>
        <w:spacing w:line="480" w:lineRule="exact"/>
        <w:ind w:firstLine="480" w:firstLineChars="200"/>
        <w:rPr>
          <w:rFonts w:hint="eastAsia"/>
          <w:color w:val="auto"/>
          <w:sz w:val="24"/>
          <w:szCs w:val="24"/>
          <w:highlight w:val="none"/>
        </w:rPr>
      </w:pPr>
      <w:r>
        <w:rPr>
          <w:rFonts w:hint="eastAsia"/>
          <w:color w:val="auto"/>
          <w:sz w:val="24"/>
          <w:szCs w:val="24"/>
          <w:highlight w:val="none"/>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0B157A3B">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4.投标厂家除项目总报价外，另需对各制造单位的拧紧工具进行分别报价。</w:t>
      </w:r>
    </w:p>
    <w:p w14:paraId="73CC35B3">
      <w:pPr>
        <w:overflowPunct w:val="0"/>
        <w:spacing w:line="360" w:lineRule="auto"/>
        <w:ind w:firstLine="480" w:firstLineChars="200"/>
        <w:rPr>
          <w:rFonts w:ascii="宋体" w:hAnsi="宋体" w:cs="宋体"/>
          <w:b/>
          <w:color w:val="auto"/>
          <w:sz w:val="24"/>
          <w:szCs w:val="24"/>
          <w:highlight w:val="none"/>
        </w:rPr>
      </w:pPr>
      <w:r>
        <w:rPr>
          <w:rFonts w:hint="eastAsia" w:ascii="宋体" w:hAnsi="宋体" w:cs="宋体"/>
          <w:b/>
          <w:color w:val="auto"/>
          <w:sz w:val="24"/>
          <w:szCs w:val="24"/>
          <w:highlight w:val="none"/>
        </w:rPr>
        <w:t>四、采购货物特别说明</w:t>
      </w:r>
    </w:p>
    <w:p w14:paraId="4C7727F6">
      <w:pPr>
        <w:overflowPunct w:val="0"/>
        <w:spacing w:line="360" w:lineRule="auto"/>
        <w:ind w:firstLine="480" w:firstLineChars="200"/>
        <w:rPr>
          <w:rFonts w:ascii="宋体" w:hAnsi="宋体"/>
          <w:color w:val="auto"/>
          <w:szCs w:val="20"/>
          <w:highlight w:val="none"/>
        </w:rPr>
      </w:pPr>
      <w:r>
        <w:rPr>
          <w:rFonts w:hint="eastAsia" w:ascii="宋体" w:hAnsi="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color w:val="auto"/>
          <w:sz w:val="24"/>
          <w:szCs w:val="24"/>
          <w:highlight w:val="none"/>
        </w:rPr>
        <w:t>。</w:t>
      </w:r>
    </w:p>
    <w:p w14:paraId="110B13C0">
      <w:pPr>
        <w:rPr>
          <w:rFonts w:hint="eastAsia" w:ascii="黑体" w:eastAsia="黑体"/>
          <w:color w:val="auto"/>
          <w:sz w:val="24"/>
          <w:szCs w:val="24"/>
          <w:highlight w:val="none"/>
        </w:rPr>
      </w:pPr>
      <w:bookmarkStart w:id="52" w:name="_Toc17328"/>
      <w:bookmarkStart w:id="53" w:name="_Toc32262"/>
      <w:r>
        <w:rPr>
          <w:rFonts w:hint="eastAsia" w:ascii="黑体" w:eastAsia="黑体"/>
          <w:color w:val="auto"/>
          <w:sz w:val="24"/>
          <w:szCs w:val="24"/>
          <w:highlight w:val="none"/>
        </w:rPr>
        <w:br w:type="page"/>
      </w:r>
    </w:p>
    <w:p w14:paraId="1A39BF3C">
      <w:pPr>
        <w:pStyle w:val="2"/>
        <w:spacing w:before="120" w:after="120"/>
        <w:jc w:val="center"/>
        <w:rPr>
          <w:rFonts w:hint="eastAsia" w:ascii="黑体" w:eastAsia="黑体"/>
          <w:color w:val="auto"/>
          <w:sz w:val="24"/>
          <w:szCs w:val="24"/>
          <w:highlight w:val="none"/>
        </w:rPr>
      </w:pPr>
      <w:r>
        <w:rPr>
          <w:rFonts w:hint="eastAsia" w:ascii="黑体" w:eastAsia="黑体"/>
          <w:color w:val="auto"/>
          <w:sz w:val="24"/>
          <w:szCs w:val="24"/>
          <w:highlight w:val="none"/>
        </w:rPr>
        <w:t>第二章  技术要求</w:t>
      </w:r>
      <w:bookmarkEnd w:id="51"/>
      <w:bookmarkEnd w:id="52"/>
      <w:bookmarkEnd w:id="53"/>
    </w:p>
    <w:p w14:paraId="0B47DC88">
      <w:pPr>
        <w:spacing w:line="480" w:lineRule="exact"/>
        <w:ind w:firstLine="420" w:firstLineChars="200"/>
        <w:rPr>
          <w:rFonts w:hint="eastAsia" w:ascii="黑体" w:hAnsi="宋体" w:eastAsia="黑体"/>
          <w:color w:val="auto"/>
          <w:highlight w:val="none"/>
        </w:rPr>
      </w:pPr>
      <w:r>
        <w:rPr>
          <w:rFonts w:hint="eastAsia" w:ascii="黑体" w:hAnsi="宋体" w:eastAsia="黑体"/>
          <w:color w:val="auto"/>
          <w:highlight w:val="none"/>
        </w:rPr>
        <w:t>一、基本要求</w:t>
      </w:r>
    </w:p>
    <w:p w14:paraId="27DAA898">
      <w:pPr>
        <w:spacing w:line="480" w:lineRule="exact"/>
        <w:ind w:firstLine="420" w:firstLineChars="200"/>
        <w:rPr>
          <w:rFonts w:hint="eastAsia" w:ascii="宋体" w:hAnsi="宋体"/>
          <w:color w:val="auto"/>
          <w:highlight w:val="none"/>
        </w:rPr>
      </w:pPr>
      <w:r>
        <w:rPr>
          <w:rFonts w:hint="eastAsia" w:ascii="宋体" w:hAnsi="宋体"/>
          <w:color w:val="auto"/>
          <w:highlight w:val="none"/>
        </w:rPr>
        <w:t>1、投标方所供的设备，必须符合中国最新版的法律、法规和相关标准、规范的要求，符合项目所在地政府有关特殊要求。</w:t>
      </w:r>
    </w:p>
    <w:p w14:paraId="00392D23">
      <w:pPr>
        <w:spacing w:line="480" w:lineRule="exact"/>
        <w:ind w:firstLine="420" w:firstLineChars="200"/>
        <w:rPr>
          <w:rFonts w:hint="eastAsia" w:ascii="宋体" w:hAnsi="宋体"/>
          <w:color w:val="auto"/>
          <w:highlight w:val="none"/>
        </w:rPr>
      </w:pPr>
      <w:r>
        <w:rPr>
          <w:rFonts w:hint="eastAsia" w:ascii="宋体" w:hAnsi="宋体"/>
          <w:color w:val="auto"/>
          <w:highlight w:val="none"/>
        </w:rPr>
        <w:t>2、投标方所供设备涉及的专利权技术以及知识产权保护的其它技术等，应保证招标方不因此受到任何侵权指控以及实际损失。</w:t>
      </w:r>
    </w:p>
    <w:p w14:paraId="42F58DAE">
      <w:pPr>
        <w:spacing w:line="480" w:lineRule="exact"/>
        <w:ind w:firstLine="420" w:firstLineChars="200"/>
        <w:rPr>
          <w:rFonts w:hint="eastAsia" w:ascii="宋体" w:hAnsi="宋体"/>
          <w:color w:val="auto"/>
          <w:highlight w:val="none"/>
        </w:rPr>
      </w:pPr>
      <w:r>
        <w:rPr>
          <w:rFonts w:hint="eastAsia" w:ascii="宋体" w:hAnsi="宋体"/>
          <w:color w:val="auto"/>
          <w:highlight w:val="none"/>
        </w:rPr>
        <w:t>3、投标方应保证所供设备的先进性、可靠性、经济性和实用性，并为全新设备。</w:t>
      </w:r>
    </w:p>
    <w:p w14:paraId="49345F36">
      <w:pPr>
        <w:spacing w:line="480" w:lineRule="exact"/>
        <w:ind w:firstLine="420" w:firstLineChars="200"/>
        <w:rPr>
          <w:rFonts w:hint="eastAsia" w:ascii="宋体" w:hAnsi="宋体"/>
          <w:color w:val="auto"/>
          <w:highlight w:val="none"/>
        </w:rPr>
      </w:pPr>
      <w:r>
        <w:rPr>
          <w:rFonts w:hint="eastAsia" w:ascii="宋体" w:hAnsi="宋体"/>
          <w:color w:val="auto"/>
          <w:highlight w:val="none"/>
        </w:rPr>
        <w:t>4、投标方应满足招标方提出的各项技术要求，必要时应当免费提供技术承诺或担保。</w:t>
      </w:r>
    </w:p>
    <w:p w14:paraId="0BA78B1E">
      <w:pPr>
        <w:spacing w:line="480" w:lineRule="exact"/>
        <w:ind w:firstLine="420" w:firstLineChars="200"/>
        <w:rPr>
          <w:rFonts w:hint="eastAsia" w:ascii="宋体" w:hAnsi="宋体"/>
          <w:color w:val="auto"/>
          <w:highlight w:val="none"/>
        </w:rPr>
      </w:pPr>
      <w:r>
        <w:rPr>
          <w:rFonts w:hint="eastAsia" w:ascii="宋体" w:hAnsi="宋体"/>
          <w:color w:val="auto"/>
          <w:highlight w:val="none"/>
        </w:rPr>
        <w:t>5、投标方应保证所供设备为中国公布的非淘汰设备，并为中国指定或规定的主管部门认可的环保型和节能型设备。</w:t>
      </w:r>
    </w:p>
    <w:p w14:paraId="2E9CF757">
      <w:pPr>
        <w:spacing w:line="480" w:lineRule="exact"/>
        <w:ind w:firstLine="420" w:firstLineChars="200"/>
        <w:rPr>
          <w:rFonts w:hint="eastAsia" w:ascii="宋体" w:hAnsi="宋体"/>
          <w:color w:val="auto"/>
          <w:highlight w:val="none"/>
        </w:rPr>
      </w:pPr>
      <w:r>
        <w:rPr>
          <w:rFonts w:hint="eastAsia" w:ascii="宋体" w:hAnsi="宋体"/>
          <w:color w:val="auto"/>
          <w:highlight w:val="none"/>
        </w:rPr>
        <w:t>6、投标方应保证所供设备的完整性和成套性，能保证设备的正常运行、使用。</w:t>
      </w:r>
    </w:p>
    <w:p w14:paraId="76629EC0">
      <w:pPr>
        <w:spacing w:line="480" w:lineRule="exact"/>
        <w:ind w:firstLine="420" w:firstLineChars="200"/>
        <w:rPr>
          <w:rFonts w:hint="eastAsia" w:ascii="宋体" w:hAnsi="宋体"/>
          <w:color w:val="auto"/>
          <w:highlight w:val="none"/>
        </w:rPr>
      </w:pPr>
      <w:r>
        <w:rPr>
          <w:rFonts w:hint="eastAsia" w:ascii="宋体" w:hAnsi="宋体"/>
          <w:color w:val="auto"/>
          <w:highlight w:val="none"/>
        </w:rPr>
        <w:t>7、投标方应对招标方采购的设备所涉及的技术、产能等信息负有保密义务，招标方拥有追究投标方泄密责任的权利；招标方如有需要，投标方应无条件签署保密协议。</w:t>
      </w:r>
    </w:p>
    <w:p w14:paraId="5222D081">
      <w:pPr>
        <w:spacing w:line="480" w:lineRule="exact"/>
        <w:ind w:firstLine="420" w:firstLineChars="200"/>
        <w:rPr>
          <w:rFonts w:hint="eastAsia" w:ascii="宋体" w:hAnsi="宋体"/>
          <w:color w:val="auto"/>
          <w:highlight w:val="none"/>
        </w:rPr>
      </w:pPr>
      <w:r>
        <w:rPr>
          <w:rFonts w:hint="eastAsia" w:ascii="宋体" w:hAnsi="宋体"/>
          <w:color w:val="auto"/>
          <w:highlight w:val="none"/>
        </w:rPr>
        <w:t>8、投标方需提供近三年内项目业绩证明。</w:t>
      </w:r>
    </w:p>
    <w:p w14:paraId="26D7E86C">
      <w:pPr>
        <w:spacing w:line="480" w:lineRule="exact"/>
        <w:ind w:firstLine="420" w:firstLineChars="200"/>
        <w:rPr>
          <w:rFonts w:hint="eastAsia" w:ascii="宋体" w:hAnsi="宋体"/>
          <w:color w:val="auto"/>
          <w:highlight w:val="none"/>
        </w:rPr>
      </w:pPr>
      <w:r>
        <w:rPr>
          <w:rFonts w:hint="eastAsia" w:ascii="宋体" w:hAnsi="宋体"/>
          <w:color w:val="auto"/>
          <w:highlight w:val="none"/>
        </w:rPr>
        <w:t>9、★号为否决项。</w:t>
      </w:r>
    </w:p>
    <w:p w14:paraId="331074B7">
      <w:pPr>
        <w:spacing w:line="480" w:lineRule="exact"/>
        <w:ind w:firstLine="420" w:firstLineChars="200"/>
        <w:rPr>
          <w:rFonts w:hint="eastAsia" w:ascii="黑体" w:hAnsi="宋体" w:eastAsia="黑体"/>
          <w:color w:val="auto"/>
          <w:highlight w:val="none"/>
        </w:rPr>
      </w:pPr>
      <w:r>
        <w:rPr>
          <w:rFonts w:hint="eastAsia" w:ascii="黑体" w:hAnsi="宋体" w:eastAsia="黑体"/>
          <w:color w:val="auto"/>
          <w:highlight w:val="none"/>
        </w:rPr>
        <w:t>二、执行标准</w:t>
      </w:r>
    </w:p>
    <w:p w14:paraId="1C479BFF">
      <w:pPr>
        <w:spacing w:line="480" w:lineRule="exact"/>
        <w:ind w:firstLine="420" w:firstLineChars="200"/>
        <w:rPr>
          <w:rFonts w:hint="eastAsia" w:ascii="宋体" w:hAnsi="宋体"/>
          <w:color w:val="auto"/>
          <w:highlight w:val="none"/>
        </w:rPr>
      </w:pPr>
      <w:r>
        <w:rPr>
          <w:rFonts w:hint="eastAsia" w:ascii="宋体" w:hAnsi="宋体"/>
          <w:color w:val="auto"/>
          <w:highlight w:val="none"/>
        </w:rPr>
        <w:t>1、招标方此处所列标准仅为涉及的主要标准，而且不保证其为最新版执行标准；投标方应当在投标文件以中认真予以填写、补充和修改完善。</w:t>
      </w:r>
    </w:p>
    <w:p w14:paraId="1CBB20A8">
      <w:pPr>
        <w:spacing w:line="480" w:lineRule="exact"/>
        <w:ind w:firstLine="420" w:firstLineChars="200"/>
        <w:rPr>
          <w:rFonts w:hint="eastAsia" w:ascii="宋体" w:hAnsi="宋体"/>
          <w:color w:val="auto"/>
          <w:highlight w:val="none"/>
        </w:rPr>
      </w:pPr>
      <w:r>
        <w:rPr>
          <w:rFonts w:hint="eastAsia" w:ascii="宋体" w:hAnsi="宋体"/>
          <w:color w:val="auto"/>
          <w:highlight w:val="none"/>
        </w:rPr>
        <w:t>2、投标方需要执行的标准，应当所供设备通过招标方将来组织的最终验收之日开始执行的最新标准。</w:t>
      </w:r>
    </w:p>
    <w:p w14:paraId="05434171">
      <w:pPr>
        <w:spacing w:line="480" w:lineRule="exact"/>
        <w:ind w:firstLine="420" w:firstLineChars="200"/>
        <w:rPr>
          <w:rFonts w:hint="eastAsia" w:ascii="宋体" w:hAnsi="宋体"/>
          <w:color w:val="auto"/>
          <w:highlight w:val="none"/>
        </w:rPr>
      </w:pPr>
      <w:r>
        <w:rPr>
          <w:rFonts w:hint="eastAsia" w:ascii="宋体" w:hAnsi="宋体"/>
          <w:color w:val="auto"/>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51306CA9">
      <w:pPr>
        <w:overflowPunct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4、投标人所供货物涉及的专利权技术以及知识产权保护的其他技术等，应保证招标人不因此受到任何侵权指控以及实际损失。</w:t>
      </w:r>
    </w:p>
    <w:p w14:paraId="4EAA6D95">
      <w:pPr>
        <w:overflowPunct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5、投标人应满足招标人提出的各项技术要求，必要时应当免费提供技术承诺或担保。</w:t>
      </w:r>
    </w:p>
    <w:p w14:paraId="7C5FA462">
      <w:pPr>
        <w:overflowPunct w:val="0"/>
        <w:spacing w:line="360" w:lineRule="auto"/>
        <w:ind w:firstLine="420" w:firstLineChars="200"/>
        <w:rPr>
          <w:rFonts w:hint="eastAsia"/>
          <w:color w:val="auto"/>
          <w:highlight w:val="none"/>
        </w:rPr>
      </w:pPr>
      <w:r>
        <w:rPr>
          <w:rFonts w:hint="eastAsia" w:ascii="宋体" w:hAnsi="宋体" w:cs="宋体"/>
          <w:color w:val="auto"/>
          <w:highlight w:val="none"/>
        </w:rPr>
        <w:t>6、投标人应对招标人采购的货物所涉及的技术、产能等信息负有保密义务，招标人拥有追究投标人泄密责任的权利；招标人如有需要，投标人应无条件签署保密协议。</w:t>
      </w:r>
    </w:p>
    <w:p w14:paraId="63A57FB9">
      <w:pPr>
        <w:spacing w:line="360" w:lineRule="exact"/>
        <w:ind w:firstLine="420" w:firstLineChars="200"/>
        <w:rPr>
          <w:rFonts w:hint="eastAsia" w:ascii="宋体" w:hAnsi="宋体"/>
          <w:color w:val="auto"/>
          <w:highlight w:val="none"/>
        </w:rPr>
      </w:pPr>
      <w:r>
        <w:rPr>
          <w:rFonts w:hint="eastAsia" w:ascii="宋体" w:hAnsi="宋体"/>
          <w:color w:val="auto"/>
          <w:highlight w:val="none"/>
        </w:rPr>
        <w:t>7、如果有采用国际标准的货物，其执行标准由投标方提供、招标方确认。</w:t>
      </w:r>
    </w:p>
    <w:p w14:paraId="28868950">
      <w:pPr>
        <w:spacing w:line="360" w:lineRule="auto"/>
        <w:ind w:firstLine="420" w:firstLineChars="200"/>
        <w:rPr>
          <w:rFonts w:hint="eastAsia" w:ascii="宋体"/>
          <w:color w:val="auto"/>
          <w:highlight w:val="none"/>
        </w:rPr>
      </w:pPr>
      <w:r>
        <w:rPr>
          <w:rFonts w:hint="eastAsia" w:ascii="宋体"/>
          <w:color w:val="auto"/>
          <w:highlight w:val="none"/>
        </w:rPr>
        <w:t>8、涉及的主要标准：</w:t>
      </w:r>
    </w:p>
    <w:tbl>
      <w:tblPr>
        <w:tblStyle w:val="36"/>
        <w:tblW w:w="46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77"/>
        <w:gridCol w:w="5375"/>
        <w:gridCol w:w="2281"/>
      </w:tblGrid>
      <w:tr w14:paraId="3462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13" w:type="pct"/>
            <w:noWrap w:val="0"/>
            <w:vAlign w:val="center"/>
          </w:tcPr>
          <w:p w14:paraId="637794BC">
            <w:pPr>
              <w:overflowPunct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序号</w:t>
            </w:r>
          </w:p>
        </w:tc>
        <w:tc>
          <w:tcPr>
            <w:tcW w:w="3149" w:type="pct"/>
            <w:noWrap w:val="0"/>
            <w:vAlign w:val="center"/>
          </w:tcPr>
          <w:p w14:paraId="1B17B0EF">
            <w:pPr>
              <w:overflowPunct w:val="0"/>
              <w:autoSpaceDE w:val="0"/>
              <w:autoSpaceDN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标准名称</w:t>
            </w:r>
          </w:p>
        </w:tc>
        <w:tc>
          <w:tcPr>
            <w:tcW w:w="1336" w:type="pct"/>
            <w:noWrap w:val="0"/>
            <w:vAlign w:val="center"/>
          </w:tcPr>
          <w:p w14:paraId="77F21955">
            <w:pPr>
              <w:overflowPunct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标准编号</w:t>
            </w:r>
          </w:p>
        </w:tc>
      </w:tr>
      <w:tr w14:paraId="5FF1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2" w:hRule="atLeast"/>
          <w:jc w:val="center"/>
        </w:trPr>
        <w:tc>
          <w:tcPr>
            <w:tcW w:w="513" w:type="pct"/>
            <w:noWrap w:val="0"/>
            <w:vAlign w:val="center"/>
          </w:tcPr>
          <w:p w14:paraId="18A4DBD2">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3149" w:type="pct"/>
            <w:noWrap w:val="0"/>
            <w:vAlign w:val="center"/>
          </w:tcPr>
          <w:p w14:paraId="3BE6586C">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电气装置安装工程电缆线路施工及验收规范</w:t>
            </w:r>
          </w:p>
        </w:tc>
        <w:tc>
          <w:tcPr>
            <w:tcW w:w="1336" w:type="pct"/>
            <w:noWrap w:val="0"/>
            <w:vAlign w:val="center"/>
          </w:tcPr>
          <w:p w14:paraId="008B3FEA">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GB50168-2018</w:t>
            </w:r>
          </w:p>
        </w:tc>
      </w:tr>
      <w:tr w14:paraId="0E2F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1F763C15">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3149" w:type="pct"/>
            <w:noWrap w:val="0"/>
            <w:vAlign w:val="center"/>
          </w:tcPr>
          <w:p w14:paraId="1840DA31">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中国重型汽车有限公司企业标准《设备设施颜色标识》</w:t>
            </w:r>
          </w:p>
        </w:tc>
        <w:tc>
          <w:tcPr>
            <w:tcW w:w="1336" w:type="pct"/>
            <w:noWrap w:val="0"/>
            <w:vAlign w:val="center"/>
          </w:tcPr>
          <w:p w14:paraId="7EE1F7E9">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Q/ZZ30070-2021</w:t>
            </w:r>
          </w:p>
        </w:tc>
      </w:tr>
      <w:tr w14:paraId="020D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4CA480D2">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3149" w:type="pct"/>
            <w:noWrap w:val="0"/>
            <w:vAlign w:val="center"/>
          </w:tcPr>
          <w:p w14:paraId="71E46CBD">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机械安全 防止上下肢触及危险区的安全距离</w:t>
            </w:r>
          </w:p>
        </w:tc>
        <w:tc>
          <w:tcPr>
            <w:tcW w:w="1336" w:type="pct"/>
            <w:noWrap w:val="0"/>
            <w:vAlign w:val="center"/>
          </w:tcPr>
          <w:p w14:paraId="45BD9A1F">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GB23821-2009</w:t>
            </w:r>
          </w:p>
        </w:tc>
      </w:tr>
      <w:tr w14:paraId="70DD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7DDAB9E3">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3149" w:type="pct"/>
            <w:noWrap w:val="0"/>
            <w:vAlign w:val="center"/>
          </w:tcPr>
          <w:p w14:paraId="64747B68">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工业企业噪声控制设计规范</w:t>
            </w:r>
          </w:p>
        </w:tc>
        <w:tc>
          <w:tcPr>
            <w:tcW w:w="1336" w:type="pct"/>
            <w:noWrap w:val="0"/>
            <w:vAlign w:val="center"/>
          </w:tcPr>
          <w:p w14:paraId="3E7519A5">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GB/T 50087-2013</w:t>
            </w:r>
          </w:p>
        </w:tc>
      </w:tr>
      <w:tr w14:paraId="26E7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1472E9E5">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3149" w:type="pct"/>
            <w:noWrap w:val="0"/>
            <w:vAlign w:val="center"/>
          </w:tcPr>
          <w:p w14:paraId="4D8613D2">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工作场所物理因素测量</w:t>
            </w:r>
          </w:p>
        </w:tc>
        <w:tc>
          <w:tcPr>
            <w:tcW w:w="1336" w:type="pct"/>
            <w:noWrap w:val="0"/>
            <w:vAlign w:val="center"/>
          </w:tcPr>
          <w:p w14:paraId="47CCFF12">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GBZ/T 189.1-2019</w:t>
            </w:r>
          </w:p>
        </w:tc>
      </w:tr>
      <w:tr w14:paraId="6C84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3DF10D13">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3149" w:type="pct"/>
            <w:noWrap w:val="0"/>
            <w:vAlign w:val="center"/>
          </w:tcPr>
          <w:p w14:paraId="6308F07D">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通信电源设备安装工程设计规范</w:t>
            </w:r>
          </w:p>
        </w:tc>
        <w:tc>
          <w:tcPr>
            <w:tcW w:w="1336" w:type="pct"/>
            <w:noWrap w:val="0"/>
            <w:vAlign w:val="center"/>
          </w:tcPr>
          <w:p w14:paraId="7F5D8BC1">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YD/T 5040-2020</w:t>
            </w:r>
          </w:p>
        </w:tc>
      </w:tr>
      <w:tr w14:paraId="7F40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4875C2D2">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3149" w:type="pct"/>
            <w:noWrap w:val="0"/>
            <w:vAlign w:val="center"/>
          </w:tcPr>
          <w:p w14:paraId="69D2C753">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电气装置安装工程电力变压器、互感器施工及验收规范</w:t>
            </w:r>
          </w:p>
        </w:tc>
        <w:tc>
          <w:tcPr>
            <w:tcW w:w="1336" w:type="pct"/>
            <w:noWrap w:val="0"/>
            <w:vAlign w:val="center"/>
          </w:tcPr>
          <w:p w14:paraId="380ACABF">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 50148-2010</w:t>
            </w:r>
          </w:p>
        </w:tc>
      </w:tr>
      <w:tr w14:paraId="0E89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00A98DC2">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w:t>
            </w:r>
          </w:p>
        </w:tc>
        <w:tc>
          <w:tcPr>
            <w:tcW w:w="3149" w:type="pct"/>
            <w:noWrap w:val="0"/>
            <w:vAlign w:val="center"/>
          </w:tcPr>
          <w:p w14:paraId="47BDA44E">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可编程序控制器国际标准</w:t>
            </w:r>
          </w:p>
        </w:tc>
        <w:tc>
          <w:tcPr>
            <w:tcW w:w="1336" w:type="pct"/>
            <w:noWrap w:val="0"/>
            <w:vAlign w:val="center"/>
          </w:tcPr>
          <w:p w14:paraId="3488048B">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IEC 61131-3:2020</w:t>
            </w:r>
          </w:p>
        </w:tc>
      </w:tr>
      <w:tr w14:paraId="5100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280D569F">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w:t>
            </w:r>
          </w:p>
        </w:tc>
        <w:tc>
          <w:tcPr>
            <w:tcW w:w="3149" w:type="pct"/>
            <w:noWrap w:val="0"/>
            <w:vAlign w:val="center"/>
          </w:tcPr>
          <w:p w14:paraId="6C9261BD">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机械设备安装工程施工及验收规范</w:t>
            </w:r>
          </w:p>
        </w:tc>
        <w:tc>
          <w:tcPr>
            <w:tcW w:w="1336" w:type="pct"/>
            <w:noWrap w:val="0"/>
            <w:vAlign w:val="center"/>
          </w:tcPr>
          <w:p w14:paraId="374A877A">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 50231-2017</w:t>
            </w:r>
          </w:p>
        </w:tc>
      </w:tr>
      <w:tr w14:paraId="1BA9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4092AE6B">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w:t>
            </w:r>
          </w:p>
        </w:tc>
        <w:tc>
          <w:tcPr>
            <w:tcW w:w="3149" w:type="pct"/>
            <w:noWrap w:val="0"/>
            <w:vAlign w:val="center"/>
          </w:tcPr>
          <w:p w14:paraId="1252D5E0">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电工成套装置中的导线颜色</w:t>
            </w:r>
          </w:p>
        </w:tc>
        <w:tc>
          <w:tcPr>
            <w:tcW w:w="1336" w:type="pct"/>
            <w:noWrap w:val="0"/>
            <w:vAlign w:val="center"/>
          </w:tcPr>
          <w:p w14:paraId="21DF5C46">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GB/T 2681-2013</w:t>
            </w:r>
          </w:p>
        </w:tc>
      </w:tr>
      <w:tr w14:paraId="6517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6D8E7115">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w:t>
            </w:r>
          </w:p>
        </w:tc>
        <w:tc>
          <w:tcPr>
            <w:tcW w:w="3149" w:type="pct"/>
            <w:noWrap w:val="0"/>
            <w:vAlign w:val="center"/>
          </w:tcPr>
          <w:p w14:paraId="0372E817">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电工成套装置中的指示灯和按钮的颜色</w:t>
            </w:r>
          </w:p>
        </w:tc>
        <w:tc>
          <w:tcPr>
            <w:tcW w:w="1336" w:type="pct"/>
            <w:noWrap w:val="0"/>
            <w:vAlign w:val="center"/>
          </w:tcPr>
          <w:p w14:paraId="79ADC0A6">
            <w:pPr>
              <w:overflowPunct w:val="0"/>
              <w:autoSpaceDE w:val="0"/>
              <w:autoSpaceDN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GB/T 2682-2013</w:t>
            </w:r>
          </w:p>
        </w:tc>
      </w:tr>
      <w:tr w14:paraId="14E1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13" w:type="pct"/>
            <w:noWrap w:val="0"/>
            <w:vAlign w:val="center"/>
          </w:tcPr>
          <w:p w14:paraId="2FAB0343">
            <w:pPr>
              <w:overflowPunct w:val="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w:t>
            </w:r>
          </w:p>
        </w:tc>
        <w:tc>
          <w:tcPr>
            <w:tcW w:w="3149" w:type="pct"/>
            <w:noWrap w:val="0"/>
            <w:vAlign w:val="center"/>
          </w:tcPr>
          <w:p w14:paraId="122EFD6B">
            <w:pPr>
              <w:widowControl/>
              <w:autoSpaceDE w:val="0"/>
              <w:autoSpaceDN w:val="0"/>
              <w:adjustRightInd w:val="0"/>
              <w:spacing w:before="27" w:line="240" w:lineRule="auto"/>
              <w:ind w:right="36" w:rightChars="17"/>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机械设备防护罩安全标准</w:t>
            </w:r>
          </w:p>
        </w:tc>
        <w:tc>
          <w:tcPr>
            <w:tcW w:w="1336" w:type="pct"/>
            <w:noWrap w:val="0"/>
            <w:vAlign w:val="center"/>
          </w:tcPr>
          <w:p w14:paraId="3D2921EA">
            <w:pPr>
              <w:overflowPunct w:val="0"/>
              <w:spacing w:line="24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GB8196-2003</w:t>
            </w:r>
          </w:p>
        </w:tc>
      </w:tr>
    </w:tbl>
    <w:p w14:paraId="054E2DA0">
      <w:pPr>
        <w:numPr>
          <w:ilvl w:val="0"/>
          <w:numId w:val="10"/>
        </w:numPr>
        <w:spacing w:line="480" w:lineRule="exact"/>
        <w:rPr>
          <w:rFonts w:hint="eastAsia" w:ascii="黑体" w:hAnsi="宋体" w:eastAsia="黑体"/>
          <w:color w:val="auto"/>
          <w:highlight w:val="none"/>
        </w:rPr>
      </w:pPr>
      <w:r>
        <w:rPr>
          <w:rFonts w:hint="eastAsia" w:ascii="黑体" w:hAnsi="宋体" w:eastAsia="黑体"/>
          <w:color w:val="auto"/>
          <w:highlight w:val="none"/>
        </w:rPr>
        <w:t>技术规范和技术要求</w:t>
      </w:r>
    </w:p>
    <w:p w14:paraId="0FF3631E">
      <w:pPr>
        <w:pStyle w:val="7"/>
        <w:keepNext w:val="0"/>
        <w:keepLines w:val="0"/>
        <w:numPr>
          <w:ilvl w:val="0"/>
          <w:numId w:val="11"/>
        </w:numPr>
        <w:spacing w:line="360" w:lineRule="auto"/>
        <w:jc w:val="left"/>
        <w:rPr>
          <w:rFonts w:hint="eastAsia" w:ascii="宋体"/>
          <w:bCs w:val="0"/>
          <w:color w:val="auto"/>
          <w:sz w:val="24"/>
          <w:szCs w:val="24"/>
          <w:highlight w:val="none"/>
        </w:rPr>
      </w:pPr>
      <w:r>
        <w:rPr>
          <w:rFonts w:ascii="宋体"/>
          <w:bCs w:val="0"/>
          <w:color w:val="auto"/>
          <w:sz w:val="24"/>
          <w:szCs w:val="24"/>
          <w:highlight w:val="none"/>
        </w:rPr>
        <w:t>项目</w:t>
      </w:r>
      <w:r>
        <w:rPr>
          <w:rFonts w:hint="eastAsia" w:ascii="宋体"/>
          <w:bCs w:val="0"/>
          <w:color w:val="auto"/>
          <w:sz w:val="24"/>
          <w:szCs w:val="24"/>
          <w:highlight w:val="none"/>
        </w:rPr>
        <w:t>工艺要求</w:t>
      </w:r>
    </w:p>
    <w:p w14:paraId="21A900FC">
      <w:pPr>
        <w:numPr>
          <w:ilvl w:val="0"/>
          <w:numId w:val="0"/>
        </w:numPr>
        <w:rPr>
          <w:rFonts w:hint="eastAsia"/>
          <w:sz w:val="24"/>
          <w:szCs w:val="24"/>
          <w:highlight w:val="none"/>
          <w:lang w:val="en-US" w:eastAsia="zh-CN"/>
        </w:rPr>
      </w:pPr>
      <w:r>
        <w:rPr>
          <w:rFonts w:hint="eastAsia"/>
          <w:sz w:val="24"/>
          <w:szCs w:val="24"/>
          <w:highlight w:val="none"/>
          <w:lang w:val="en-US" w:eastAsia="zh-CN"/>
        </w:rPr>
        <w:t>1.1仪表分装台改造</w:t>
      </w:r>
    </w:p>
    <w:p w14:paraId="1C0140C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由于新产</w:t>
      </w:r>
      <w:r>
        <w:rPr>
          <w:rFonts w:hint="eastAsia" w:ascii="宋体" w:hAnsi="宋体" w:eastAsia="宋体" w:cs="宋体"/>
          <w:sz w:val="24"/>
          <w:szCs w:val="24"/>
          <w:highlight w:val="none"/>
          <w:lang w:val="en-US" w:eastAsia="zh-CN"/>
        </w:rPr>
        <w:t>品为右舵车型，原分装台为左舵车型，工件支撑方向</w:t>
      </w:r>
      <w:r>
        <w:rPr>
          <w:rFonts w:hint="eastAsia" w:ascii="宋体" w:hAnsi="宋体" w:eastAsia="宋体" w:cs="宋体"/>
          <w:sz w:val="24"/>
          <w:szCs w:val="24"/>
          <w:highlight w:val="none"/>
          <w:lang w:eastAsia="zh-CN"/>
        </w:rPr>
        <w:t>发生变更，现有的工艺</w:t>
      </w:r>
      <w:r>
        <w:rPr>
          <w:rFonts w:hint="eastAsia" w:ascii="宋体" w:hAnsi="宋体" w:eastAsia="宋体" w:cs="宋体"/>
          <w:sz w:val="24"/>
          <w:szCs w:val="24"/>
          <w:highlight w:val="none"/>
          <w:lang w:val="en-US" w:eastAsia="zh-CN"/>
        </w:rPr>
        <w:t>分装台</w:t>
      </w:r>
      <w:r>
        <w:rPr>
          <w:rFonts w:hint="eastAsia" w:ascii="宋体" w:hAnsi="宋体" w:eastAsia="宋体" w:cs="宋体"/>
          <w:sz w:val="24"/>
          <w:szCs w:val="24"/>
          <w:highlight w:val="none"/>
          <w:lang w:eastAsia="zh-CN"/>
        </w:rPr>
        <w:t>无法适配，需要</w:t>
      </w:r>
      <w:r>
        <w:rPr>
          <w:rFonts w:hint="eastAsia" w:ascii="宋体" w:hAnsi="宋体" w:eastAsia="宋体" w:cs="宋体"/>
          <w:sz w:val="24"/>
          <w:szCs w:val="24"/>
          <w:highlight w:val="none"/>
          <w:lang w:val="en-US" w:eastAsia="zh-CN"/>
        </w:rPr>
        <w:t>在原分装台基础上改制，从而达到两种产品兼容使用</w:t>
      </w:r>
      <w:r>
        <w:rPr>
          <w:rFonts w:hint="eastAsia" w:ascii="宋体" w:hAnsi="宋体" w:eastAsia="宋体" w:cs="宋体"/>
          <w:sz w:val="24"/>
          <w:szCs w:val="24"/>
          <w:highlight w:val="none"/>
          <w:lang w:eastAsia="zh-CN"/>
        </w:rPr>
        <w:t>。</w:t>
      </w:r>
    </w:p>
    <w:p w14:paraId="35D93A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1.1.2支撑立柱</w:t>
      </w:r>
      <w:r>
        <w:rPr>
          <w:rFonts w:hint="eastAsia" w:ascii="宋体" w:hAnsi="宋体" w:eastAsia="宋体" w:cs="宋体"/>
          <w:sz w:val="24"/>
          <w:szCs w:val="24"/>
          <w:highlight w:val="none"/>
        </w:rPr>
        <w:t>配完后各个活动关节不得有晃动、异响或</w:t>
      </w:r>
      <w:r>
        <w:rPr>
          <w:rFonts w:hint="eastAsia" w:ascii="宋体" w:hAnsi="宋体" w:eastAsia="宋体" w:cs="宋体"/>
          <w:sz w:val="24"/>
          <w:szCs w:val="24"/>
          <w:highlight w:val="none"/>
          <w:lang w:val="en-US" w:eastAsia="zh-CN"/>
        </w:rPr>
        <w:t>卡滞</w:t>
      </w:r>
      <w:r>
        <w:rPr>
          <w:rFonts w:hint="eastAsia" w:ascii="宋体" w:hAnsi="宋体" w:eastAsia="宋体" w:cs="宋体"/>
          <w:sz w:val="24"/>
          <w:szCs w:val="24"/>
          <w:highlight w:val="none"/>
        </w:rPr>
        <w:t>现象。</w:t>
      </w:r>
    </w:p>
    <w:p w14:paraId="36D04E1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3支撑立柱</w:t>
      </w:r>
      <w:r>
        <w:rPr>
          <w:rFonts w:hint="eastAsia" w:ascii="宋体" w:hAnsi="宋体" w:eastAsia="宋体" w:cs="宋体"/>
          <w:sz w:val="24"/>
          <w:szCs w:val="24"/>
          <w:highlight w:val="none"/>
        </w:rPr>
        <w:t>上所做的防护或定位装夹应科学合理，安全可靠，不得有对工件划伤、干涉或定位装夹不足的现象；</w:t>
      </w:r>
    </w:p>
    <w:p w14:paraId="0EAF872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螺纹连接件采用防松措施，相对滑动部位具有良好的润滑和防护措施。所有紧固螺栓在调试后紧固并做好标记。</w:t>
      </w:r>
    </w:p>
    <w:p w14:paraId="44174083">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1.1.5两支撑立柱位置度公差保证0.2mm</w:t>
      </w:r>
      <w:r>
        <w:rPr>
          <w:rFonts w:hint="eastAsia" w:ascii="宋体" w:hAnsi="宋体" w:eastAsia="宋体" w:cs="宋体"/>
          <w:sz w:val="24"/>
          <w:szCs w:val="24"/>
          <w:highlight w:val="none"/>
          <w:lang w:eastAsia="zh-CN"/>
        </w:rPr>
        <w:t>。</w:t>
      </w:r>
    </w:p>
    <w:p w14:paraId="6B292C5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1.1.6支撑轴采用45#钢制作，工差为±0.02mm，表面淬火处理，两侧轴同心度工差为0.1mm。</w:t>
      </w:r>
    </w:p>
    <w:p w14:paraId="0CBE7B18">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1.1.7滑动机构采用直线导轨，两侧安装防脱块,并配备锁紧销</w:t>
      </w:r>
      <w:r>
        <w:rPr>
          <w:rFonts w:hint="eastAsia" w:ascii="宋体" w:hAnsi="宋体" w:eastAsia="宋体" w:cs="宋体"/>
          <w:sz w:val="24"/>
          <w:szCs w:val="24"/>
          <w:highlight w:val="none"/>
          <w:lang w:eastAsia="zh-CN"/>
        </w:rPr>
        <w:t>。</w:t>
      </w:r>
    </w:p>
    <w:p w14:paraId="375F117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1.1.8防转机构定位销工差为±0.01mm，保证定位销滑动到位置无间隙，托举机构采用连杆形式制作，保证工件托举后无晃动。</w:t>
      </w:r>
    </w:p>
    <w:p w14:paraId="18792A54">
      <w:pPr>
        <w:numPr>
          <w:ilvl w:val="0"/>
          <w:numId w:val="0"/>
        </w:num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1.1.9型材采用Q235方管焊接，外表打磨光滑，整体框架静电喷涂处理，颜色为RAL7035.</w:t>
      </w:r>
    </w:p>
    <w:p w14:paraId="7B22CC6C">
      <w:pPr>
        <w:pStyle w:val="13"/>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1.1.10仪表台分装工装两端需重新制作旋转机构。</w:t>
      </w:r>
    </w:p>
    <w:p w14:paraId="56C34A7D">
      <w:pPr>
        <w:pStyle w:val="13"/>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左侧旋转机构长度280mm，直径分别为φ50、φ60、φ80,、φ30，对应长度分别为40mm、10mm、190mm、40mm；</w:t>
      </w:r>
    </w:p>
    <w:p w14:paraId="527664FE">
      <w:pPr>
        <w:pStyle w:val="13"/>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右侧旋转机构长度170mm，直径分别为φ40、φ60、φ40、φ30，对应长度分别为40mm、80mm、10mm、40mm。</w:t>
      </w:r>
    </w:p>
    <w:p w14:paraId="1E45D932">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1.2车架VIN打刻机改造</w:t>
      </w:r>
    </w:p>
    <w:p w14:paraId="1B4B71AD">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lang w:val="en-US" w:eastAsia="zh-CN"/>
        </w:rPr>
        <w:t xml:space="preserve">    1.2.1</w:t>
      </w:r>
      <w:r>
        <w:rPr>
          <w:rFonts w:hint="eastAsia" w:ascii="宋体" w:hAnsi="宋体" w:eastAsia="宋体" w:cs="宋体"/>
          <w:bCs/>
          <w:sz w:val="24"/>
          <w:szCs w:val="24"/>
          <w:highlight w:val="none"/>
          <w:lang w:val="en-US" w:eastAsia="zh-CN"/>
        </w:rPr>
        <w:t>主体</w:t>
      </w:r>
      <w:r>
        <w:rPr>
          <w:rFonts w:hint="eastAsia" w:ascii="宋体" w:hAnsi="宋体" w:eastAsia="宋体" w:cs="宋体"/>
          <w:bCs/>
          <w:sz w:val="24"/>
          <w:szCs w:val="24"/>
          <w:highlight w:val="none"/>
        </w:rPr>
        <w:t>框架材质优选铝材，其中焊接框架采用6系铝型材，整体框架采用7系航空铝型材。</w:t>
      </w:r>
    </w:p>
    <w:p w14:paraId="7152252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1.2.2</w:t>
      </w:r>
      <w:r>
        <w:rPr>
          <w:rFonts w:hint="eastAsia" w:ascii="宋体" w:hAnsi="宋体" w:eastAsia="宋体" w:cs="宋体"/>
          <w:bCs/>
          <w:sz w:val="24"/>
          <w:szCs w:val="24"/>
          <w:highlight w:val="none"/>
        </w:rPr>
        <w:t xml:space="preserve">对于焊接铝型材，规格尺寸不低于 </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0*</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0mm，框架交叉部位需采用贴板加固。</w:t>
      </w:r>
    </w:p>
    <w:p w14:paraId="01F2FA7E">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1.2.3</w:t>
      </w:r>
      <w:r>
        <w:rPr>
          <w:rFonts w:hint="eastAsia" w:ascii="宋体" w:hAnsi="宋体" w:eastAsia="宋体" w:cs="宋体"/>
          <w:bCs/>
          <w:sz w:val="24"/>
          <w:szCs w:val="24"/>
          <w:highlight w:val="none"/>
        </w:rPr>
        <w:t>对于整体框架铝型材，型材厚度不低于</w:t>
      </w:r>
      <w:r>
        <w:rPr>
          <w:rFonts w:hint="eastAsia" w:ascii="宋体" w:hAnsi="宋体" w:eastAsia="宋体" w:cs="宋体"/>
          <w:bCs/>
          <w:sz w:val="24"/>
          <w:szCs w:val="24"/>
          <w:highlight w:val="none"/>
          <w:lang w:val="en-US" w:eastAsia="zh-CN"/>
        </w:rPr>
        <w:t>30</w:t>
      </w:r>
      <w:r>
        <w:rPr>
          <w:rFonts w:hint="eastAsia" w:ascii="宋体" w:hAnsi="宋体" w:eastAsia="宋体" w:cs="宋体"/>
          <w:bCs/>
          <w:sz w:val="24"/>
          <w:szCs w:val="24"/>
          <w:highlight w:val="none"/>
        </w:rPr>
        <w:t>mm。</w:t>
      </w:r>
    </w:p>
    <w:p w14:paraId="72C1DE7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1.2.4</w:t>
      </w:r>
      <w:r>
        <w:rPr>
          <w:rFonts w:hint="eastAsia" w:ascii="宋体" w:hAnsi="宋体" w:eastAsia="宋体" w:cs="宋体"/>
          <w:bCs/>
          <w:sz w:val="24"/>
          <w:szCs w:val="24"/>
          <w:highlight w:val="none"/>
        </w:rPr>
        <w:t>框架也可采用直径 80mm 的八角管铝型材螺接，支管采用碳纤维圆管或者发黑钢管螺接装配。</w:t>
      </w:r>
    </w:p>
    <w:p w14:paraId="0B1C56A3">
      <w:pPr>
        <w:widowControl w:val="0"/>
        <w:numPr>
          <w:ilvl w:val="0"/>
          <w:numId w:val="0"/>
        </w:numPr>
        <w:spacing w:line="360" w:lineRule="auto"/>
        <w:ind w:firstLine="480" w:firstLineChars="200"/>
        <w:jc w:val="both"/>
        <w:outlineLvl w:val="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1.2.5</w:t>
      </w:r>
      <w:r>
        <w:rPr>
          <w:rFonts w:hint="eastAsia" w:ascii="宋体" w:hAnsi="宋体" w:eastAsia="宋体" w:cs="宋体"/>
          <w:bCs/>
          <w:sz w:val="24"/>
          <w:szCs w:val="24"/>
          <w:highlight w:val="none"/>
        </w:rPr>
        <w:t>定位单元通过导轨滑移，采用双导杆结构，手动到位，</w:t>
      </w:r>
      <w:r>
        <w:rPr>
          <w:rFonts w:hint="eastAsia" w:ascii="宋体" w:hAnsi="宋体" w:eastAsia="宋体" w:cs="宋体"/>
          <w:bCs/>
          <w:sz w:val="24"/>
          <w:szCs w:val="24"/>
          <w:highlight w:val="none"/>
          <w:lang w:val="en-US" w:eastAsia="zh-CN"/>
        </w:rPr>
        <w:t>磁吸锁定</w:t>
      </w:r>
      <w:r>
        <w:rPr>
          <w:rFonts w:hint="eastAsia" w:ascii="宋体" w:hAnsi="宋体" w:eastAsia="宋体" w:cs="宋体"/>
          <w:bCs/>
          <w:sz w:val="24"/>
          <w:szCs w:val="24"/>
          <w:highlight w:val="none"/>
        </w:rPr>
        <w:t>夹紧</w:t>
      </w:r>
    </w:p>
    <w:p w14:paraId="34A09B8D">
      <w:pPr>
        <w:pStyle w:val="13"/>
        <w:spacing w:after="0" w:line="360" w:lineRule="auto"/>
        <w:ind w:firstLine="482" w:firstLineChars="200"/>
        <w:rPr>
          <w:rFonts w:hint="eastAsia" w:ascii="宋体" w:hAnsi="宋体" w:eastAsia="宋体" w:cs="宋体"/>
          <w:bCs/>
          <w:sz w:val="24"/>
          <w:szCs w:val="24"/>
          <w:highlight w:val="none"/>
        </w:rPr>
      </w:pPr>
      <w:r>
        <w:rPr>
          <w:rFonts w:hint="eastAsia" w:ascii="宋体" w:hAnsi="宋体" w:eastAsia="宋体" w:cs="宋体"/>
          <w:b/>
          <w:bCs w:val="0"/>
          <w:sz w:val="24"/>
          <w:szCs w:val="24"/>
          <w:highlight w:val="none"/>
          <w:lang w:val="en-US" w:eastAsia="zh-CN"/>
        </w:rPr>
        <w:t>1.2.6</w:t>
      </w:r>
      <w:r>
        <w:rPr>
          <w:rFonts w:hint="eastAsia" w:ascii="宋体" w:hAnsi="宋体" w:eastAsia="宋体" w:cs="宋体"/>
          <w:bCs/>
          <w:sz w:val="24"/>
          <w:szCs w:val="24"/>
          <w:highlight w:val="none"/>
        </w:rPr>
        <w:t>表面及外观部位的定位块采用蓝色MC尼龙材料，棱边倒R0.5以上角,防止将表面件划伤、碰伤。</w:t>
      </w:r>
    </w:p>
    <w:p w14:paraId="796789A6">
      <w:pPr>
        <w:pStyle w:val="13"/>
        <w:spacing w:after="0" w:line="360" w:lineRule="auto"/>
        <w:ind w:firstLine="480" w:firstLineChars="200"/>
        <w:rPr>
          <w:rFonts w:hint="eastAsia" w:ascii="宋体" w:hAnsi="宋体" w:eastAsia="宋体" w:cs="宋体"/>
          <w:sz w:val="24"/>
          <w:szCs w:val="24"/>
          <w:highlight w:val="none"/>
        </w:rPr>
      </w:pPr>
      <w:r>
        <w:rPr>
          <w:rFonts w:hint="eastAsia" w:ascii="宋体" w:hAnsi="宋体" w:eastAsia="宋体" w:cs="宋体"/>
          <w:bCs/>
          <w:sz w:val="24"/>
          <w:szCs w:val="24"/>
          <w:highlight w:val="none"/>
          <w:lang w:val="en-US" w:eastAsia="zh-CN"/>
        </w:rPr>
        <w:t>1.2.7</w:t>
      </w:r>
      <w:r>
        <w:rPr>
          <w:rFonts w:hint="eastAsia" w:ascii="宋体" w:hAnsi="宋体" w:eastAsia="宋体" w:cs="宋体"/>
          <w:sz w:val="24"/>
          <w:szCs w:val="24"/>
          <w:highlight w:val="none"/>
        </w:rPr>
        <w:t>对现有钢构及配套设施进行改造，</w:t>
      </w:r>
      <w:r>
        <w:rPr>
          <w:rFonts w:hint="eastAsia" w:ascii="宋体" w:hAnsi="宋体" w:eastAsia="宋体" w:cs="宋体"/>
          <w:sz w:val="24"/>
          <w:szCs w:val="24"/>
          <w:highlight w:val="none"/>
          <w:lang w:val="en-US" w:eastAsia="zh-CN"/>
        </w:rPr>
        <w:t>干涉位置</w:t>
      </w:r>
      <w:r>
        <w:rPr>
          <w:rFonts w:hint="eastAsia" w:ascii="宋体" w:hAnsi="宋体" w:eastAsia="宋体" w:cs="宋体"/>
          <w:sz w:val="24"/>
          <w:szCs w:val="24"/>
          <w:highlight w:val="none"/>
        </w:rPr>
        <w:t>进行避让，可到现场确认，具体以设计方案为准。</w:t>
      </w:r>
    </w:p>
    <w:p w14:paraId="5793CE6A">
      <w:pPr>
        <w:pStyle w:val="13"/>
        <w:spacing w:after="0"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1.2.8</w:t>
      </w:r>
      <w:r>
        <w:rPr>
          <w:rFonts w:hint="eastAsia" w:ascii="宋体" w:hAnsi="宋体" w:eastAsia="宋体" w:cs="宋体"/>
          <w:bCs/>
          <w:sz w:val="24"/>
          <w:szCs w:val="24"/>
          <w:highlight w:val="none"/>
        </w:rPr>
        <w:t>标准件、外购件及金属材料必须是厂家成熟产品，优先选用国优、部优产品，并严格按图纸中的型号、材质定货。</w:t>
      </w:r>
      <w:r>
        <w:rPr>
          <w:rFonts w:hint="eastAsia" w:ascii="宋体" w:hAnsi="宋体" w:eastAsia="宋体" w:cs="宋体"/>
          <w:bCs/>
          <w:sz w:val="24"/>
          <w:szCs w:val="24"/>
          <w:highlight w:val="none"/>
          <w:lang w:val="en-US" w:eastAsia="zh-CN"/>
        </w:rPr>
        <w:t>气缸</w:t>
      </w:r>
      <w:r>
        <w:rPr>
          <w:rFonts w:hint="eastAsia" w:ascii="宋体" w:hAnsi="宋体" w:eastAsia="宋体" w:cs="宋体"/>
          <w:bCs/>
          <w:sz w:val="24"/>
          <w:szCs w:val="24"/>
          <w:highlight w:val="none"/>
        </w:rPr>
        <w:t>选用知名品牌产</w:t>
      </w:r>
      <w:r>
        <w:rPr>
          <w:rFonts w:hint="eastAsia" w:ascii="宋体" w:hAnsi="宋体" w:eastAsia="宋体" w:cs="宋体"/>
          <w:bCs/>
          <w:sz w:val="24"/>
          <w:szCs w:val="24"/>
          <w:highlight w:val="none"/>
          <w:lang w:val="en-US" w:eastAsia="zh-CN"/>
        </w:rPr>
        <w:t>品。</w:t>
      </w:r>
    </w:p>
    <w:p w14:paraId="56E595A8">
      <w:pPr>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1.2.9</w:t>
      </w:r>
      <w:r>
        <w:rPr>
          <w:rFonts w:hint="eastAsia" w:ascii="宋体" w:hAnsi="宋体" w:eastAsia="宋体" w:cs="宋体"/>
          <w:bCs/>
          <w:sz w:val="24"/>
          <w:szCs w:val="24"/>
          <w:highlight w:val="none"/>
        </w:rPr>
        <w:t>定位块位置公差：±0.2mm，空压头的位置精度±0.2mm。定位块表面粗糙度：定位面 Ra1.6，其它面Ra3.2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重复定位精度要求在：0.</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mm以内</w:t>
      </w:r>
      <w:r>
        <w:rPr>
          <w:rFonts w:hint="eastAsia" w:ascii="宋体" w:hAnsi="宋体" w:eastAsia="宋体" w:cs="宋体"/>
          <w:bCs/>
          <w:sz w:val="24"/>
          <w:szCs w:val="24"/>
          <w:highlight w:val="none"/>
          <w:lang w:val="en-US" w:eastAsia="zh-CN"/>
        </w:rPr>
        <w:t>,装配时需三坐标进行标定.</w:t>
      </w:r>
    </w:p>
    <w:p w14:paraId="39764AEE">
      <w:pPr>
        <w:pStyle w:val="13"/>
        <w:spacing w:line="360" w:lineRule="auto"/>
        <w:rPr>
          <w:rFonts w:hint="default"/>
          <w:highlight w:val="none"/>
          <w:lang w:val="en-US" w:eastAsia="zh-CN"/>
        </w:rPr>
      </w:pPr>
      <w:r>
        <w:rPr>
          <w:rFonts w:hint="eastAsia" w:ascii="宋体" w:hAnsi="宋体" w:eastAsia="宋体" w:cs="宋体"/>
          <w:bCs/>
          <w:sz w:val="24"/>
          <w:szCs w:val="24"/>
          <w:highlight w:val="none"/>
          <w:lang w:val="en-US" w:eastAsia="zh-CN"/>
        </w:rPr>
        <w:t xml:space="preserve">    1.2.10车架VIN打刻工装需重新制作定位销、传感器、电磁铁安装支架，左右两个尺寸分别为600×150×6mm及600×180×6mm。定位销需重新设计并制作，尺寸分别为φ30×100mm及φ20×100mm</w:t>
      </w:r>
    </w:p>
    <w:p w14:paraId="6A021341">
      <w:pPr>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1.2.11性能参数：（</w:t>
      </w:r>
      <w:r>
        <w:rPr>
          <w:rFonts w:hint="eastAsia" w:ascii="宋体" w:hAnsi="宋体" w:eastAsia="宋体" w:cs="宋体"/>
          <w:bCs/>
          <w:color w:val="C00000"/>
          <w:sz w:val="24"/>
          <w:szCs w:val="24"/>
          <w:highlight w:val="none"/>
          <w:lang w:val="en-US" w:eastAsia="zh-CN"/>
        </w:rPr>
        <w:t>备注：VIN打刻机设备由甲方自备，该项目仅作为机械方面改造右舵车型通用。以下参数仅作为项目实施参考用</w:t>
      </w:r>
      <w:r>
        <w:rPr>
          <w:rFonts w:hint="eastAsia" w:ascii="宋体" w:hAnsi="宋体" w:eastAsia="宋体" w:cs="宋体"/>
          <w:bCs/>
          <w:sz w:val="24"/>
          <w:szCs w:val="24"/>
          <w:highlight w:val="none"/>
          <w:lang w:val="en-US" w:eastAsia="zh-CN"/>
        </w:rPr>
        <w:t>。）</w:t>
      </w:r>
    </w:p>
    <w:p w14:paraId="2D83D1E5">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打印速度：3-5字符/秒(5X7)</w:t>
      </w:r>
    </w:p>
    <w:p w14:paraId="0155E2A3">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打印深度：0.01-1.2mm可调(视材质而定)</w:t>
      </w:r>
    </w:p>
    <w:p w14:paraId="2591710C">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精度保证：误差≤0.01</w:t>
      </w:r>
    </w:p>
    <w:p w14:paraId="09D96F5E">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高度调节范围：1-330mm </w:t>
      </w:r>
    </w:p>
    <w:p w14:paraId="69EC7908">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自动存储：可自动存储文件及打印内容 </w:t>
      </w:r>
    </w:p>
    <w:p w14:paraId="50BE5801">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工作气源：0.5-0.7Mpa,3L/S </w:t>
      </w:r>
    </w:p>
    <w:p w14:paraId="50C93509">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模拟显示：可直接在屏幕上观察打标效果 </w:t>
      </w:r>
    </w:p>
    <w:p w14:paraId="4A268CBB">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打印针冲击频率：300次/秒 </w:t>
      </w:r>
    </w:p>
    <w:p w14:paraId="30D3F30A">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打印内容：中英文字符、数字、图形(通过打标软件编辑)</w:t>
      </w:r>
    </w:p>
    <w:p w14:paraId="4161F42A">
      <w:pPr>
        <w:spacing w:line="360" w:lineRule="auto"/>
        <w:ind w:firstLine="1200" w:firstLineChars="5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图文编辑：序号(流水号)自动打印、存储，可追溯； </w:t>
      </w:r>
    </w:p>
    <w:p w14:paraId="7294520B">
      <w:pPr>
        <w:pStyle w:val="13"/>
        <w:ind w:firstLine="1200" w:firstLineChars="500"/>
        <w:rPr>
          <w:rFonts w:hint="default"/>
          <w:sz w:val="24"/>
          <w:szCs w:val="24"/>
          <w:highlight w:val="none"/>
          <w:lang w:val="en-US" w:eastAsia="zh-CN"/>
        </w:rPr>
      </w:pPr>
      <w:r>
        <w:rPr>
          <w:rFonts w:hint="eastAsia" w:ascii="宋体" w:hAnsi="宋体" w:eastAsia="宋体" w:cs="宋体"/>
          <w:bCs/>
          <w:sz w:val="24"/>
          <w:szCs w:val="24"/>
          <w:highlight w:val="none"/>
          <w:lang w:val="en-US" w:eastAsia="zh-CN"/>
        </w:rPr>
        <w:t>打印材质：各种金属(HRC65以下硬度);</w:t>
      </w:r>
    </w:p>
    <w:p w14:paraId="67A405EA">
      <w:pPr>
        <w:pStyle w:val="17"/>
        <w:spacing w:line="360" w:lineRule="auto"/>
        <w:ind w:firstLine="562" w:firstLineChars="200"/>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四</w:t>
      </w:r>
      <w:r>
        <w:rPr>
          <w:rFonts w:ascii="黑体" w:hAnsi="黑体" w:eastAsia="黑体"/>
          <w:b/>
          <w:bCs/>
          <w:color w:val="auto"/>
          <w:sz w:val="28"/>
          <w:szCs w:val="28"/>
          <w:highlight w:val="none"/>
        </w:rPr>
        <w:t>、</w:t>
      </w:r>
      <w:r>
        <w:rPr>
          <w:rFonts w:hint="eastAsia" w:ascii="黑体" w:hAnsi="黑体" w:eastAsia="黑体"/>
          <w:b/>
          <w:bCs/>
          <w:color w:val="auto"/>
          <w:sz w:val="28"/>
          <w:szCs w:val="28"/>
          <w:highlight w:val="none"/>
        </w:rPr>
        <w:t>安全要求</w:t>
      </w:r>
    </w:p>
    <w:p w14:paraId="55D51784">
      <w:pPr>
        <w:pStyle w:val="1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 安全可靠：合理配备安全防护措施；</w:t>
      </w:r>
    </w:p>
    <w:p w14:paraId="0C9CEC9A">
      <w:pPr>
        <w:pStyle w:val="130"/>
        <w:spacing w:line="360" w:lineRule="auto"/>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2. 安全防护、环境保护、节能要求应满足ISO及国家相关标准；</w:t>
      </w:r>
    </w:p>
    <w:p w14:paraId="00A7305C">
      <w:pPr>
        <w:pStyle w:val="17"/>
        <w:spacing w:line="360" w:lineRule="auto"/>
        <w:ind w:firstLine="562" w:firstLineChars="200"/>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五、供货要求</w:t>
      </w:r>
    </w:p>
    <w:p w14:paraId="53ACEE3C">
      <w:pPr>
        <w:pStyle w:val="1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65DE246D">
      <w:pPr>
        <w:pStyle w:val="1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 供货范围包括货物正常运行所必需的全套连线设备、材料等。如货物端连接法兰外端面之内的、电气系统接口压线板（插座等）之内的设备、材料、连接螺栓、垫片等；</w:t>
      </w:r>
    </w:p>
    <w:p w14:paraId="129480BF">
      <w:pPr>
        <w:pStyle w:val="1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 供货范围包括货物正常运行、使用所需要的过桥、护栏、防护网、盖板等辅助设施；</w:t>
      </w:r>
    </w:p>
    <w:p w14:paraId="049602D6">
      <w:pPr>
        <w:pStyle w:val="1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4. 质保期终止之日起一年内重复出现的质保期之内出现的故障，仍属于质保范围而且应当免费；</w:t>
      </w:r>
    </w:p>
    <w:p w14:paraId="52DE6BEC">
      <w:pPr>
        <w:pStyle w:val="17"/>
        <w:spacing w:line="360" w:lineRule="auto"/>
        <w:ind w:firstLine="562" w:firstLineChars="200"/>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六、售中售后服务</w:t>
      </w:r>
    </w:p>
    <w:p w14:paraId="7B911E98">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1. 应负责在买方设备使用现场，进行5工作日免费的技术指导和培训。</w:t>
      </w:r>
    </w:p>
    <w:p w14:paraId="63FD7988">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2. 应免费提供培训资料2份。</w:t>
      </w:r>
    </w:p>
    <w:p w14:paraId="0409209C">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3. 若卖方提供的设备涉及到外购外协货物、而且该货物的技术质量等较为关键时，卖方应能保证得到配套厂家的技术支持，并免费为买方提供技术服务。</w:t>
      </w:r>
    </w:p>
    <w:p w14:paraId="6235C7BD">
      <w:pPr>
        <w:adjustRightInd w:val="0"/>
        <w:snapToGrid w:val="0"/>
        <w:spacing w:line="460" w:lineRule="exact"/>
        <w:ind w:firstLine="480" w:firstLineChars="200"/>
        <w:rPr>
          <w:rFonts w:hint="eastAsia" w:ascii="Cambria Math" w:hAnsi="Cambria Math"/>
          <w:color w:val="auto"/>
          <w:sz w:val="24"/>
          <w:szCs w:val="24"/>
          <w:highlight w:val="none"/>
        </w:rPr>
      </w:pPr>
      <w:r>
        <w:rPr>
          <w:rFonts w:hint="eastAsia" w:ascii="Cambria Math" w:hAnsi="Cambria Math"/>
          <w:color w:val="auto"/>
          <w:sz w:val="24"/>
          <w:szCs w:val="24"/>
          <w:highlight w:val="none"/>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46758BE9">
      <w:pPr>
        <w:pStyle w:val="17"/>
        <w:spacing w:line="360" w:lineRule="auto"/>
        <w:ind w:firstLine="562" w:firstLineChars="200"/>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七、备件</w:t>
      </w:r>
    </w:p>
    <w:p w14:paraId="02261810">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1</w:t>
      </w:r>
      <w:r>
        <w:rPr>
          <w:rFonts w:ascii="Cambria Math" w:hAnsi="Cambria Math"/>
          <w:color w:val="auto"/>
          <w:sz w:val="24"/>
          <w:szCs w:val="24"/>
          <w:highlight w:val="none"/>
        </w:rPr>
        <w:t>.</w:t>
      </w:r>
      <w:r>
        <w:rPr>
          <w:rFonts w:hint="eastAsia" w:ascii="Cambria Math" w:hAnsi="Cambria Math"/>
          <w:color w:val="auto"/>
          <w:sz w:val="24"/>
          <w:szCs w:val="24"/>
          <w:highlight w:val="none"/>
        </w:rPr>
        <w:t>备件内容包括但不限于：</w:t>
      </w:r>
    </w:p>
    <w:p w14:paraId="65909E84">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套筒、电器元件、气路附件及其它易损件。</w:t>
      </w:r>
    </w:p>
    <w:p w14:paraId="351A5AA4">
      <w:pPr>
        <w:adjustRightInd w:val="0"/>
        <w:snapToGrid w:val="0"/>
        <w:spacing w:line="460" w:lineRule="exact"/>
        <w:ind w:firstLine="480" w:firstLineChars="200"/>
        <w:rPr>
          <w:rFonts w:ascii="Cambria Math" w:hAnsi="Cambria Math"/>
          <w:color w:val="auto"/>
          <w:sz w:val="24"/>
          <w:szCs w:val="24"/>
          <w:highlight w:val="none"/>
        </w:rPr>
      </w:pPr>
      <w:r>
        <w:rPr>
          <w:rFonts w:hint="eastAsia" w:ascii="Cambria Math" w:hAnsi="Cambria Math"/>
          <w:color w:val="auto"/>
          <w:sz w:val="24"/>
          <w:szCs w:val="24"/>
          <w:highlight w:val="none"/>
        </w:rPr>
        <w:t>2</w:t>
      </w:r>
      <w:r>
        <w:rPr>
          <w:rFonts w:ascii="Cambria Math" w:hAnsi="Cambria Math"/>
          <w:color w:val="auto"/>
          <w:sz w:val="24"/>
          <w:szCs w:val="24"/>
          <w:highlight w:val="none"/>
        </w:rPr>
        <w:t>.</w:t>
      </w:r>
      <w:r>
        <w:rPr>
          <w:rFonts w:hint="eastAsia" w:ascii="Cambria Math" w:hAnsi="Cambria Math"/>
          <w:color w:val="auto"/>
          <w:sz w:val="24"/>
          <w:szCs w:val="24"/>
          <w:highlight w:val="none"/>
        </w:rPr>
        <w:t>在完成设备技术会签后，由买方确定具体备件清单及要求到货时间、卖方按清单提供。</w:t>
      </w:r>
    </w:p>
    <w:p w14:paraId="1636FD06">
      <w:pPr>
        <w:adjustRightInd w:val="0"/>
        <w:snapToGrid w:val="0"/>
        <w:spacing w:line="460" w:lineRule="exact"/>
        <w:ind w:firstLine="480" w:firstLineChars="200"/>
        <w:rPr>
          <w:rFonts w:hint="eastAsia" w:ascii="Cambria Math" w:hAnsi="Cambria Math"/>
          <w:color w:val="auto"/>
          <w:sz w:val="24"/>
          <w:szCs w:val="24"/>
          <w:highlight w:val="none"/>
        </w:rPr>
      </w:pPr>
      <w:r>
        <w:rPr>
          <w:rFonts w:hint="eastAsia" w:ascii="Cambria Math" w:hAnsi="Cambria Math"/>
          <w:color w:val="auto"/>
          <w:sz w:val="24"/>
          <w:szCs w:val="24"/>
          <w:highlight w:val="none"/>
        </w:rPr>
        <w:t>3</w:t>
      </w:r>
      <w:r>
        <w:rPr>
          <w:rFonts w:ascii="Cambria Math" w:hAnsi="Cambria Math"/>
          <w:color w:val="auto"/>
          <w:sz w:val="24"/>
          <w:szCs w:val="24"/>
          <w:highlight w:val="none"/>
        </w:rPr>
        <w:t>.</w:t>
      </w:r>
      <w:r>
        <w:rPr>
          <w:rFonts w:hint="eastAsia" w:ascii="Cambria Math" w:hAnsi="Cambria Math"/>
          <w:color w:val="auto"/>
          <w:sz w:val="24"/>
          <w:szCs w:val="24"/>
          <w:highlight w:val="none"/>
        </w:rPr>
        <w:t>卖方对备件价格核算时，应按照市场价格8</w:t>
      </w:r>
      <w:r>
        <w:rPr>
          <w:rFonts w:ascii="Cambria Math" w:hAnsi="Cambria Math"/>
          <w:color w:val="auto"/>
          <w:sz w:val="24"/>
          <w:szCs w:val="24"/>
          <w:highlight w:val="none"/>
        </w:rPr>
        <w:t>5%</w:t>
      </w:r>
      <w:r>
        <w:rPr>
          <w:rFonts w:hint="eastAsia" w:ascii="Cambria Math" w:hAnsi="Cambria Math"/>
          <w:color w:val="auto"/>
          <w:sz w:val="24"/>
          <w:szCs w:val="24"/>
          <w:highlight w:val="none"/>
        </w:rPr>
        <w:t>以下（含8</w:t>
      </w:r>
      <w:r>
        <w:rPr>
          <w:rFonts w:ascii="Cambria Math" w:hAnsi="Cambria Math"/>
          <w:color w:val="auto"/>
          <w:sz w:val="24"/>
          <w:szCs w:val="24"/>
          <w:highlight w:val="none"/>
        </w:rPr>
        <w:t>5%</w:t>
      </w:r>
      <w:r>
        <w:rPr>
          <w:rFonts w:hint="eastAsia" w:ascii="Cambria Math" w:hAnsi="Cambria Math"/>
          <w:color w:val="auto"/>
          <w:sz w:val="24"/>
          <w:szCs w:val="24"/>
          <w:highlight w:val="none"/>
        </w:rPr>
        <w:t>）对买方进行核算。</w:t>
      </w:r>
    </w:p>
    <w:p w14:paraId="6DD10F2C">
      <w:pPr>
        <w:adjustRightInd w:val="0"/>
        <w:snapToGrid w:val="0"/>
        <w:spacing w:line="460" w:lineRule="exact"/>
        <w:ind w:firstLine="480" w:firstLineChars="200"/>
        <w:rPr>
          <w:rFonts w:hint="eastAsia" w:ascii="Cambria Math" w:hAnsi="Cambria Math"/>
          <w:color w:val="auto"/>
          <w:highlight w:val="none"/>
          <w:lang w:val="en-US" w:eastAsia="zh-CN"/>
        </w:rPr>
      </w:pPr>
      <w:r>
        <w:rPr>
          <w:rFonts w:hint="eastAsia" w:ascii="Cambria Math" w:hAnsi="Cambria Math"/>
          <w:color w:val="auto"/>
          <w:sz w:val="24"/>
          <w:szCs w:val="24"/>
          <w:highlight w:val="none"/>
          <w:lang w:val="en-US" w:eastAsia="zh-CN"/>
        </w:rPr>
        <w:t>4.备件价值为</w:t>
      </w:r>
      <w:r>
        <w:rPr>
          <w:rFonts w:hint="eastAsia" w:ascii="Cambria Math" w:hAnsi="Cambria Math"/>
          <w:color w:val="auto"/>
          <w:sz w:val="24"/>
          <w:szCs w:val="24"/>
          <w:highlight w:val="none"/>
        </w:rPr>
        <w:t>货</w:t>
      </w:r>
      <w:r>
        <w:rPr>
          <w:rFonts w:hint="eastAsia" w:ascii="Cambria Math" w:hAnsi="Cambria Math"/>
          <w:color w:val="auto"/>
          <w:sz w:val="24"/>
          <w:szCs w:val="24"/>
          <w:highlight w:val="none"/>
          <w:lang w:val="en-US" w:eastAsia="zh-CN"/>
        </w:rPr>
        <w:t>物价</w:t>
      </w:r>
      <w:r>
        <w:rPr>
          <w:rFonts w:hint="eastAsia" w:ascii="Cambria Math" w:hAnsi="Cambria Math"/>
          <w:color w:val="auto"/>
          <w:sz w:val="24"/>
          <w:szCs w:val="24"/>
          <w:highlight w:val="none"/>
        </w:rPr>
        <w:t>值的3%，投标时标注备件明细和单价，签订合同的时候明确数量</w:t>
      </w:r>
      <w:r>
        <w:rPr>
          <w:rFonts w:hint="eastAsia" w:ascii="Cambria Math" w:hAnsi="Cambria Math"/>
          <w:color w:val="auto"/>
          <w:sz w:val="24"/>
          <w:szCs w:val="24"/>
          <w:highlight w:val="none"/>
          <w:lang w:eastAsia="zh-CN"/>
        </w:rPr>
        <w:t>。</w:t>
      </w:r>
    </w:p>
    <w:p w14:paraId="4F512530">
      <w:pPr>
        <w:pStyle w:val="17"/>
        <w:spacing w:line="360" w:lineRule="auto"/>
        <w:ind w:firstLine="562" w:firstLineChars="200"/>
        <w:rPr>
          <w:rFonts w:ascii="黑体" w:hAnsi="黑体" w:eastAsia="黑体"/>
          <w:b/>
          <w:bCs/>
          <w:color w:val="auto"/>
          <w:sz w:val="28"/>
          <w:szCs w:val="28"/>
          <w:highlight w:val="none"/>
        </w:rPr>
      </w:pPr>
      <w:r>
        <w:rPr>
          <w:rFonts w:hint="eastAsia" w:ascii="黑体" w:hAnsi="黑体" w:eastAsia="黑体"/>
          <w:b/>
          <w:bCs/>
          <w:color w:val="auto"/>
          <w:sz w:val="28"/>
          <w:szCs w:val="28"/>
          <w:highlight w:val="none"/>
        </w:rPr>
        <w:t>八、其他</w:t>
      </w:r>
    </w:p>
    <w:p w14:paraId="1B69A368">
      <w:pPr>
        <w:adjustRightInd w:val="0"/>
        <w:snapToGrid w:val="0"/>
        <w:spacing w:line="460" w:lineRule="exact"/>
        <w:ind w:firstLine="480" w:firstLineChars="200"/>
        <w:rPr>
          <w:rFonts w:ascii="Cambria Math" w:hAnsi="Cambria Math"/>
          <w:color w:val="auto"/>
          <w:sz w:val="24"/>
          <w:szCs w:val="24"/>
          <w:highlight w:val="none"/>
        </w:rPr>
      </w:pPr>
      <w:r>
        <w:rPr>
          <w:rFonts w:ascii="Cambria Math" w:hAnsi="Cambria Math"/>
          <w:color w:val="auto"/>
          <w:sz w:val="24"/>
          <w:szCs w:val="24"/>
          <w:highlight w:val="none"/>
        </w:rPr>
        <w:t>1</w:t>
      </w:r>
      <w:r>
        <w:rPr>
          <w:rFonts w:hint="eastAsia" w:ascii="Cambria Math" w:hAnsi="Cambria Math"/>
          <w:color w:val="auto"/>
          <w:sz w:val="24"/>
          <w:szCs w:val="24"/>
          <w:highlight w:val="none"/>
        </w:rPr>
        <w:t>. 投标人承诺对参与该项目所获得的与招标人产品相关的所有信息都予以保密，并承担与此相关的所有法律责任；</w:t>
      </w:r>
    </w:p>
    <w:p w14:paraId="432DCD3F">
      <w:pPr>
        <w:adjustRightInd w:val="0"/>
        <w:snapToGrid w:val="0"/>
        <w:spacing w:line="460" w:lineRule="exact"/>
        <w:ind w:firstLine="480" w:firstLineChars="200"/>
        <w:rPr>
          <w:rFonts w:ascii="Cambria Math" w:hAnsi="Cambria Math"/>
          <w:color w:val="auto"/>
          <w:sz w:val="24"/>
          <w:szCs w:val="24"/>
          <w:highlight w:val="none"/>
        </w:rPr>
      </w:pPr>
      <w:r>
        <w:rPr>
          <w:rFonts w:ascii="Cambria Math" w:hAnsi="Cambria Math"/>
          <w:color w:val="auto"/>
          <w:sz w:val="24"/>
          <w:szCs w:val="24"/>
          <w:highlight w:val="none"/>
        </w:rPr>
        <w:t>2.</w:t>
      </w:r>
      <w:r>
        <w:rPr>
          <w:rFonts w:hint="eastAsia" w:ascii="Cambria Math" w:hAnsi="Cambria Math"/>
          <w:color w:val="auto"/>
          <w:sz w:val="24"/>
          <w:szCs w:val="24"/>
          <w:highlight w:val="none"/>
        </w:rPr>
        <w:t xml:space="preserve"> 终验收合格后，质保期一年。在正常运行的情况下，系统出现故障，在接到通知后</w:t>
      </w:r>
      <w:r>
        <w:rPr>
          <w:rFonts w:ascii="Cambria Math" w:hAnsi="Cambria Math"/>
          <w:color w:val="auto"/>
          <w:sz w:val="24"/>
          <w:szCs w:val="24"/>
          <w:highlight w:val="none"/>
        </w:rPr>
        <w:t>4小时以内予以答复，并在24小时以内派出服务人员，无偿维修；在质保期满后，投标方在接到通知后4小时以内予以答复，并在24小时以内派出服务人员；</w:t>
      </w:r>
    </w:p>
    <w:p w14:paraId="64946316">
      <w:pPr>
        <w:adjustRightInd w:val="0"/>
        <w:snapToGrid w:val="0"/>
        <w:spacing w:line="460" w:lineRule="exact"/>
        <w:ind w:firstLine="480" w:firstLineChars="200"/>
        <w:rPr>
          <w:rFonts w:ascii="Cambria Math" w:hAnsi="Cambria Math"/>
          <w:color w:val="auto"/>
          <w:sz w:val="24"/>
          <w:szCs w:val="24"/>
          <w:highlight w:val="none"/>
        </w:rPr>
      </w:pPr>
      <w:r>
        <w:rPr>
          <w:rFonts w:ascii="Cambria Math" w:hAnsi="Cambria Math"/>
          <w:color w:val="auto"/>
          <w:sz w:val="24"/>
          <w:szCs w:val="24"/>
          <w:highlight w:val="none"/>
        </w:rPr>
        <w:t>3.</w:t>
      </w:r>
      <w:r>
        <w:rPr>
          <w:rFonts w:hint="eastAsia" w:ascii="Cambria Math" w:hAnsi="Cambria Math"/>
          <w:color w:val="auto"/>
          <w:sz w:val="24"/>
          <w:szCs w:val="24"/>
          <w:highlight w:val="none"/>
        </w:rPr>
        <w:t xml:space="preserve"> 其余未尽事宜，投标人应与招标人指派的答疑人员充分沟通，理解认可并接受相关技术规范及服务要求；</w:t>
      </w:r>
    </w:p>
    <w:p w14:paraId="4BDEEE99">
      <w:pPr>
        <w:adjustRightInd w:val="0"/>
        <w:snapToGrid w:val="0"/>
        <w:spacing w:line="460" w:lineRule="exact"/>
        <w:ind w:firstLine="480" w:firstLineChars="200"/>
        <w:rPr>
          <w:rFonts w:ascii="Cambria Math" w:hAnsi="Cambria Math"/>
          <w:color w:val="auto"/>
          <w:sz w:val="24"/>
          <w:szCs w:val="24"/>
          <w:highlight w:val="none"/>
        </w:rPr>
      </w:pPr>
      <w:r>
        <w:rPr>
          <w:rFonts w:ascii="Cambria Math" w:hAnsi="Cambria Math"/>
          <w:color w:val="auto"/>
          <w:sz w:val="24"/>
          <w:szCs w:val="24"/>
          <w:highlight w:val="none"/>
        </w:rPr>
        <w:t>4.</w:t>
      </w:r>
      <w:r>
        <w:rPr>
          <w:rFonts w:hint="eastAsia" w:ascii="Cambria Math" w:hAnsi="Cambria Math"/>
          <w:color w:val="auto"/>
          <w:sz w:val="24"/>
          <w:szCs w:val="24"/>
          <w:highlight w:val="none"/>
        </w:rPr>
        <w:t xml:space="preserve"> 中标人需安排专人负责本招标项目的联络、检测计划布置、检测现场指导工作，该负责人对于以上问题的响应时间不得超过</w:t>
      </w:r>
      <w:r>
        <w:rPr>
          <w:rFonts w:ascii="Cambria Math" w:hAnsi="Cambria Math"/>
          <w:color w:val="auto"/>
          <w:sz w:val="24"/>
          <w:szCs w:val="24"/>
          <w:highlight w:val="none"/>
        </w:rPr>
        <w:t>2小时；</w:t>
      </w:r>
    </w:p>
    <w:p w14:paraId="64F2E86C">
      <w:pPr>
        <w:adjustRightInd w:val="0"/>
        <w:snapToGrid w:val="0"/>
        <w:spacing w:line="460" w:lineRule="exact"/>
        <w:ind w:firstLine="480" w:firstLineChars="200"/>
        <w:rPr>
          <w:rFonts w:ascii="Cambria Math" w:hAnsi="Cambria Math"/>
          <w:color w:val="auto"/>
          <w:sz w:val="24"/>
          <w:szCs w:val="24"/>
          <w:highlight w:val="none"/>
        </w:rPr>
      </w:pPr>
      <w:r>
        <w:rPr>
          <w:rFonts w:ascii="Cambria Math" w:hAnsi="Cambria Math"/>
          <w:color w:val="auto"/>
          <w:sz w:val="24"/>
          <w:szCs w:val="24"/>
          <w:highlight w:val="none"/>
        </w:rPr>
        <w:t>5.</w:t>
      </w:r>
      <w:r>
        <w:rPr>
          <w:rFonts w:hint="eastAsia" w:ascii="Cambria Math" w:hAnsi="Cambria Math"/>
          <w:color w:val="auto"/>
          <w:sz w:val="24"/>
          <w:szCs w:val="24"/>
          <w:highlight w:val="none"/>
        </w:rPr>
        <w:t xml:space="preserve"> 投标人需自备交通工具、各种设备及食宿等必需品；</w:t>
      </w:r>
    </w:p>
    <w:p w14:paraId="2C9753FD">
      <w:pPr>
        <w:adjustRightInd w:val="0"/>
        <w:snapToGrid w:val="0"/>
        <w:spacing w:line="460" w:lineRule="exact"/>
        <w:ind w:firstLine="480" w:firstLineChars="200"/>
        <w:rPr>
          <w:rFonts w:hint="eastAsia" w:ascii="Cambria Math" w:hAnsi="Cambria Math"/>
          <w:color w:val="auto"/>
          <w:sz w:val="24"/>
          <w:szCs w:val="24"/>
          <w:highlight w:val="none"/>
        </w:rPr>
      </w:pPr>
      <w:r>
        <w:rPr>
          <w:rFonts w:ascii="Cambria Math" w:hAnsi="Cambria Math"/>
          <w:color w:val="auto"/>
          <w:sz w:val="24"/>
          <w:szCs w:val="24"/>
          <w:highlight w:val="none"/>
        </w:rPr>
        <w:t>6.</w:t>
      </w:r>
      <w:r>
        <w:rPr>
          <w:rFonts w:hint="eastAsia" w:ascii="Cambria Math" w:hAnsi="Cambria Math"/>
          <w:color w:val="auto"/>
          <w:sz w:val="24"/>
          <w:szCs w:val="24"/>
          <w:highlight w:val="none"/>
        </w:rPr>
        <w:t xml:space="preserve"> 中标方需对招标人提供的数据及企业资料进行保密，并不得向第三方扩散，因泄密对招标人造成的损失由中标方承担相应全部责任；</w:t>
      </w:r>
    </w:p>
    <w:p w14:paraId="758E586C">
      <w:pPr>
        <w:rPr>
          <w:highlight w:val="none"/>
        </w:rPr>
      </w:pPr>
      <w:r>
        <w:rPr>
          <w:highlight w:val="none"/>
        </w:rPr>
        <w:br w:type="page"/>
      </w:r>
    </w:p>
    <w:p w14:paraId="5A012110">
      <w:pPr>
        <w:pStyle w:val="2"/>
        <w:spacing w:before="120" w:after="120" w:line="480" w:lineRule="exact"/>
        <w:jc w:val="center"/>
        <w:rPr>
          <w:rFonts w:hint="eastAsia" w:ascii="黑体" w:eastAsia="黑体"/>
          <w:b w:val="0"/>
          <w:color w:val="auto"/>
          <w:sz w:val="24"/>
          <w:szCs w:val="24"/>
          <w:highlight w:val="none"/>
        </w:rPr>
      </w:pPr>
      <w:bookmarkStart w:id="54" w:name="_Toc5879"/>
      <w:bookmarkStart w:id="55" w:name="_Toc10963"/>
      <w:bookmarkStart w:id="56" w:name="_Toc9668"/>
      <w:bookmarkStart w:id="57" w:name="_Toc10810"/>
      <w:bookmarkStart w:id="58" w:name="_Toc137705869"/>
      <w:r>
        <w:rPr>
          <w:rFonts w:hint="eastAsia" w:ascii="黑体" w:eastAsia="黑体"/>
          <w:b w:val="0"/>
          <w:color w:val="auto"/>
          <w:sz w:val="24"/>
          <w:szCs w:val="24"/>
          <w:highlight w:val="none"/>
        </w:rPr>
        <w:t>第三章  供货范围及供货方式</w:t>
      </w:r>
      <w:bookmarkEnd w:id="54"/>
      <w:bookmarkEnd w:id="55"/>
      <w:bookmarkEnd w:id="56"/>
      <w:bookmarkEnd w:id="57"/>
      <w:bookmarkEnd w:id="58"/>
    </w:p>
    <w:p w14:paraId="30DB2616">
      <w:pPr>
        <w:pStyle w:val="4"/>
        <w:spacing w:before="120" w:after="120" w:line="480" w:lineRule="exact"/>
        <w:jc w:val="center"/>
        <w:rPr>
          <w:rFonts w:hint="eastAsia"/>
          <w:b w:val="0"/>
          <w:color w:val="auto"/>
          <w:sz w:val="24"/>
          <w:szCs w:val="24"/>
          <w:highlight w:val="none"/>
        </w:rPr>
      </w:pPr>
      <w:bookmarkStart w:id="59" w:name="_Toc15892"/>
      <w:bookmarkStart w:id="60" w:name="_Toc137705870"/>
      <w:bookmarkStart w:id="61" w:name="_Toc19615"/>
      <w:bookmarkStart w:id="62" w:name="_Toc22761"/>
      <w:bookmarkStart w:id="63" w:name="_Toc10065"/>
      <w:r>
        <w:rPr>
          <w:rFonts w:hint="eastAsia"/>
          <w:b w:val="0"/>
          <w:color w:val="auto"/>
          <w:sz w:val="24"/>
          <w:szCs w:val="24"/>
          <w:highlight w:val="none"/>
        </w:rPr>
        <w:t>第一节  供货范围</w:t>
      </w:r>
      <w:bookmarkEnd w:id="59"/>
      <w:bookmarkEnd w:id="60"/>
      <w:bookmarkEnd w:id="61"/>
      <w:bookmarkEnd w:id="62"/>
      <w:bookmarkEnd w:id="63"/>
    </w:p>
    <w:p w14:paraId="5178829E">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一、主要货物一般供货范围界定</w:t>
      </w:r>
    </w:p>
    <w:p w14:paraId="3419B14E">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1、供货范围包括本技术标书“采购货物概况” 所列及所要求的设备。</w:t>
      </w:r>
    </w:p>
    <w:p w14:paraId="44B311C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2、供货范围包括为保证设备正常安装、调试和验收完成及以前所必需的整套配件、附件及材料、油料、控制软件及程序或指令等。</w:t>
      </w:r>
    </w:p>
    <w:p w14:paraId="5EFA08E0">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如果终验收完成后，投标方有需要收回的配件、附件、材料、油料等，应当在投标文件的技术偏离条款中，予以详细说明；否则视同包括在供货范围之内。</w:t>
      </w:r>
    </w:p>
    <w:p w14:paraId="4443559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3、供货范围包括货物维护维修所必需的专用工具。</w:t>
      </w:r>
    </w:p>
    <w:p w14:paraId="705BE89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64E040E">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如投标方难以提供或无优势提供以及属于选用配置的，则应当在投标文件的技术偏离条款中，予以详细说明并注明投标报价未包含该部分的货值。</w:t>
      </w:r>
    </w:p>
    <w:p w14:paraId="244E922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5、供货范围包括为保证设备自身正常运行所必需的、满足使用地点环境条件的通风、冷却、降温等必需设施。</w:t>
      </w:r>
    </w:p>
    <w:p w14:paraId="18E4B12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6、以“交钥匙”方式采购的设备，在满足技术标书本节上述要求之外，供货范围还包括如下界定（货物）：</w:t>
      </w:r>
    </w:p>
    <w:p w14:paraId="139DB08D">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0E693AA5">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6.2  供货范围包括设备正常运行所必需的全套连线设备、材料等。如货物端联接法兰外端面之内的、电气系统接口压线板（插座等）之内的设备、材料、联接螺栓、垫片等。</w:t>
      </w:r>
    </w:p>
    <w:p w14:paraId="33E8B528">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6.3  供货范围包括设备正常运行、使用所需要的过桥、护栏、防护网、盖板等辅助设施。</w:t>
      </w:r>
    </w:p>
    <w:p w14:paraId="214BC48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40805E24">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二、备品备件、易损件和专用耗材供货范围</w:t>
      </w:r>
    </w:p>
    <w:p w14:paraId="1E2E0C99">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color w:val="auto"/>
          <w:sz w:val="24"/>
          <w:szCs w:val="24"/>
          <w:highlight w:val="none"/>
        </w:rPr>
        <w:t>（应有明细）</w:t>
      </w:r>
      <w:r>
        <w:rPr>
          <w:rFonts w:hint="eastAsia" w:ascii="宋体" w:hAnsi="宋体"/>
          <w:color w:val="auto"/>
          <w:sz w:val="24"/>
          <w:szCs w:val="24"/>
          <w:highlight w:val="none"/>
        </w:rPr>
        <w:t>。</w:t>
      </w:r>
    </w:p>
    <w:p w14:paraId="33F39F5D">
      <w:pPr>
        <w:spacing w:line="48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2、供货范围包括易损件和专用耗材的制造图纸及其技术要求等资料。</w:t>
      </w:r>
    </w:p>
    <w:p w14:paraId="12B74008">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三、技术资料供货范围</w:t>
      </w:r>
    </w:p>
    <w:p w14:paraId="23D0E1D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技术资料供货范围包括：</w:t>
      </w:r>
    </w:p>
    <w:p w14:paraId="29B8333A">
      <w:pPr>
        <w:spacing w:line="480" w:lineRule="exact"/>
        <w:ind w:firstLine="480" w:firstLineChars="200"/>
        <w:rPr>
          <w:rFonts w:hint="eastAsia" w:ascii="宋体" w:hAnsi="宋体"/>
          <w:bCs/>
          <w:color w:val="auto"/>
          <w:sz w:val="24"/>
          <w:szCs w:val="24"/>
          <w:highlight w:val="none"/>
        </w:rPr>
      </w:pPr>
      <w:r>
        <w:rPr>
          <w:rFonts w:hint="eastAsia" w:ascii="宋体" w:hAnsi="宋体"/>
          <w:color w:val="auto"/>
          <w:sz w:val="24"/>
          <w:szCs w:val="24"/>
          <w:highlight w:val="none"/>
        </w:rPr>
        <w:t>1、在</w:t>
      </w:r>
      <w:r>
        <w:rPr>
          <w:rFonts w:hint="eastAsia" w:hAnsi="宋体" w:cs="宋体"/>
          <w:color w:val="auto"/>
          <w:sz w:val="24"/>
          <w:szCs w:val="24"/>
          <w:highlight w:val="none"/>
        </w:rPr>
        <w:t>中标通知发出之</w:t>
      </w:r>
      <w:r>
        <w:rPr>
          <w:rFonts w:hint="eastAsia" w:ascii="宋体" w:hAnsi="宋体"/>
          <w:bCs/>
          <w:color w:val="auto"/>
          <w:sz w:val="24"/>
          <w:szCs w:val="24"/>
          <w:highlight w:val="none"/>
        </w:rPr>
        <w:t>后</w:t>
      </w:r>
      <w:r>
        <w:rPr>
          <w:rFonts w:hint="eastAsia" w:ascii="宋体" w:hAnsi="宋体"/>
          <w:bCs/>
          <w:color w:val="auto"/>
          <w:sz w:val="24"/>
          <w:szCs w:val="24"/>
          <w:highlight w:val="none"/>
          <w:u w:val="single"/>
          <w:shd w:val="pct10" w:color="auto" w:fill="FFFFFF"/>
        </w:rPr>
        <w:t xml:space="preserve">   15   </w:t>
      </w:r>
      <w:r>
        <w:rPr>
          <w:rFonts w:hint="eastAsia" w:ascii="宋体" w:hAnsi="宋体"/>
          <w:bCs/>
          <w:color w:val="auto"/>
          <w:sz w:val="24"/>
          <w:szCs w:val="24"/>
          <w:highlight w:val="none"/>
        </w:rPr>
        <w:t>个日历日内，提供设备基础及相关的设计、制作所需的纸质及电子版资料；电子版文件应当能够使用常用版本软件可以阅读甚至使用，进口货物、设备应有中外文对照。</w:t>
      </w:r>
    </w:p>
    <w:p w14:paraId="55666692">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2、在预验收前，</w:t>
      </w:r>
      <w:r>
        <w:rPr>
          <w:rFonts w:hint="eastAsia" w:ascii="宋体" w:hAnsi="宋体"/>
          <w:bCs/>
          <w:color w:val="auto"/>
          <w:sz w:val="24"/>
          <w:szCs w:val="24"/>
          <w:highlight w:val="none"/>
        </w:rPr>
        <w:t>提供设备各部分的功能描述文件、图片、影像等资料（进口、设备应有中外文对照）。</w:t>
      </w:r>
    </w:p>
    <w:p w14:paraId="1D892E4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3、在终验收前，提供为保证设备后续正常运行所需的工装、吊（挂）具明细及其图纸、具体技术要求等资料（如果供货范围包含该部分实物）。</w:t>
      </w:r>
    </w:p>
    <w:p w14:paraId="0C546C0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4、在终验收前，提供确定的维修所需要且招标方可以自行采购的外购件、外协件、电气元件及主要原材料的供货厂家明细表。</w:t>
      </w:r>
    </w:p>
    <w:p w14:paraId="03329067">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5、在终验收后的第一笔货款支付日之前，提供包括设备的备品备件、易损件和专用耗材的图纸及技术参数、技术要求等资料。</w:t>
      </w:r>
    </w:p>
    <w:p w14:paraId="6BABE9E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A5B8E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03DA54A0">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8、本条款所列的技术资料、图片、影像等，投标方应各提供4套，其中2套为电子版光（U）盘；每份技术文件应装有目录清单。</w:t>
      </w:r>
    </w:p>
    <w:p w14:paraId="0179898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9、本条款所列要求，如招标方认为投标方提供的资料不能满足要求时，有权要求投标方免费补充或增加。</w:t>
      </w:r>
    </w:p>
    <w:p w14:paraId="17EAB2E8">
      <w:pPr>
        <w:pStyle w:val="4"/>
        <w:spacing w:before="120" w:after="120" w:line="480" w:lineRule="exact"/>
        <w:jc w:val="center"/>
        <w:rPr>
          <w:rFonts w:hint="eastAsia"/>
          <w:b w:val="0"/>
          <w:color w:val="auto"/>
          <w:sz w:val="24"/>
          <w:szCs w:val="24"/>
          <w:highlight w:val="none"/>
        </w:rPr>
      </w:pPr>
      <w:bookmarkStart w:id="64" w:name="_Toc137705871"/>
      <w:bookmarkStart w:id="65" w:name="_Toc9858"/>
      <w:bookmarkStart w:id="66" w:name="_Toc8159"/>
      <w:bookmarkStart w:id="67" w:name="_Toc13936"/>
      <w:bookmarkStart w:id="68" w:name="_Toc26064"/>
      <w:r>
        <w:rPr>
          <w:rFonts w:hint="eastAsia"/>
          <w:b w:val="0"/>
          <w:color w:val="auto"/>
          <w:sz w:val="24"/>
          <w:szCs w:val="24"/>
          <w:highlight w:val="none"/>
        </w:rPr>
        <w:t>第二节  供货方式</w:t>
      </w:r>
      <w:bookmarkEnd w:id="64"/>
      <w:bookmarkEnd w:id="65"/>
      <w:bookmarkEnd w:id="66"/>
      <w:bookmarkEnd w:id="67"/>
      <w:bookmarkEnd w:id="68"/>
    </w:p>
    <w:p w14:paraId="13A03621">
      <w:pPr>
        <w:spacing w:line="480" w:lineRule="exact"/>
        <w:ind w:firstLine="480" w:firstLineChars="200"/>
        <w:rPr>
          <w:rFonts w:hint="eastAsia" w:ascii="宋体" w:hAnsi="宋体"/>
          <w:color w:val="auto"/>
          <w:sz w:val="24"/>
          <w:szCs w:val="24"/>
          <w:highlight w:val="none"/>
        </w:rPr>
      </w:pPr>
      <w:r>
        <w:rPr>
          <w:rFonts w:hint="eastAsia" w:ascii="黑体" w:hAnsi="宋体" w:eastAsia="黑体"/>
          <w:color w:val="auto"/>
          <w:sz w:val="24"/>
          <w:szCs w:val="24"/>
          <w:highlight w:val="none"/>
        </w:rPr>
        <w:t>一、供货地点：</w:t>
      </w:r>
      <w:r>
        <w:rPr>
          <w:rFonts w:hint="eastAsia" w:ascii="宋体" w:hAnsi="宋体"/>
          <w:color w:val="auto"/>
          <w:sz w:val="24"/>
          <w:szCs w:val="24"/>
          <w:highlight w:val="none"/>
        </w:rPr>
        <w:t>本项目建设工地。</w:t>
      </w:r>
    </w:p>
    <w:p w14:paraId="424A7363">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二、供货时间</w:t>
      </w:r>
    </w:p>
    <w:p w14:paraId="21C7E6C9">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1、以交钥匙方式供货的，按照以下时间要求（安装调试工期超过10个日历日的，投标方应当随标书提供详细的工期计划）：</w:t>
      </w:r>
    </w:p>
    <w:p w14:paraId="1A42C455">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1.1  自</w:t>
      </w:r>
      <w:r>
        <w:rPr>
          <w:rFonts w:hint="eastAsia" w:hAnsi="宋体" w:cs="宋体"/>
          <w:color w:val="auto"/>
          <w:sz w:val="24"/>
          <w:szCs w:val="24"/>
          <w:highlight w:val="none"/>
        </w:rPr>
        <w:t>中标通知发出之日</w:t>
      </w:r>
      <w:r>
        <w:rPr>
          <w:rFonts w:hint="eastAsia" w:ascii="宋体" w:hAnsi="宋体"/>
          <w:color w:val="auto"/>
          <w:sz w:val="24"/>
          <w:szCs w:val="24"/>
          <w:highlight w:val="none"/>
        </w:rPr>
        <w:t>起，</w:t>
      </w:r>
      <w:r>
        <w:rPr>
          <w:rFonts w:hint="eastAsia" w:ascii="宋体" w:hAnsi="宋体"/>
          <w:color w:val="auto"/>
          <w:sz w:val="24"/>
          <w:szCs w:val="24"/>
          <w:highlight w:val="none"/>
          <w:u w:val="single"/>
          <w:shd w:val="pct10" w:color="auto" w:fill="FFFFFF"/>
          <w:lang w:val="en-US" w:eastAsia="zh-CN"/>
        </w:rPr>
        <w:t>30</w:t>
      </w:r>
      <w:r>
        <w:rPr>
          <w:rFonts w:hint="eastAsia" w:ascii="宋体" w:hAnsi="宋体"/>
          <w:color w:val="auto"/>
          <w:sz w:val="24"/>
          <w:szCs w:val="24"/>
          <w:highlight w:val="none"/>
        </w:rPr>
        <w:t>个日历日之内交货至供货地点。</w:t>
      </w:r>
    </w:p>
    <w:p w14:paraId="2C2720F2">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1.2  接续</w:t>
      </w:r>
      <w:r>
        <w:rPr>
          <w:rFonts w:hint="eastAsia" w:ascii="宋体" w:hAnsi="宋体"/>
          <w:color w:val="auto"/>
          <w:sz w:val="24"/>
          <w:szCs w:val="24"/>
          <w:highlight w:val="none"/>
          <w:u w:val="single"/>
          <w:shd w:val="pct10" w:color="auto" w:fill="FFFFFF"/>
          <w:lang w:val="en-US" w:eastAsia="zh-CN"/>
        </w:rPr>
        <w:t>15</w:t>
      </w:r>
      <w:r>
        <w:rPr>
          <w:rFonts w:hint="eastAsia" w:ascii="宋体" w:hAnsi="宋体"/>
          <w:color w:val="auto"/>
          <w:sz w:val="24"/>
          <w:szCs w:val="24"/>
          <w:highlight w:val="none"/>
          <w:u w:val="single"/>
          <w:shd w:val="pct10" w:color="auto" w:fill="FFFFFF"/>
        </w:rPr>
        <w:t xml:space="preserve"> </w:t>
      </w:r>
      <w:r>
        <w:rPr>
          <w:rFonts w:hint="eastAsia" w:ascii="宋体" w:hAnsi="宋体"/>
          <w:color w:val="auto"/>
          <w:sz w:val="24"/>
          <w:szCs w:val="24"/>
          <w:highlight w:val="none"/>
        </w:rPr>
        <w:t>个日历日之内安装调试完毕。</w:t>
      </w:r>
    </w:p>
    <w:p w14:paraId="108A291B">
      <w:pPr>
        <w:spacing w:line="480" w:lineRule="exact"/>
        <w:ind w:firstLine="480" w:firstLineChars="200"/>
        <w:jc w:val="left"/>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三、质保期及质保要求</w:t>
      </w:r>
    </w:p>
    <w:p w14:paraId="129FE548">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1、全部供货范围内的设备、材料、零配件和工器具等，除合同特别约定外，其质保期均自终验收签字生效之日起</w:t>
      </w:r>
      <w:r>
        <w:rPr>
          <w:rFonts w:hint="eastAsia" w:ascii="宋体" w:hAnsi="宋体"/>
          <w:color w:val="auto"/>
          <w:sz w:val="24"/>
          <w:szCs w:val="24"/>
          <w:highlight w:val="none"/>
          <w:u w:val="single"/>
          <w:shd w:val="pct10" w:color="auto" w:fill="FFFFFF"/>
        </w:rPr>
        <w:t xml:space="preserve">  12  </w:t>
      </w:r>
      <w:r>
        <w:rPr>
          <w:rFonts w:hint="eastAsia" w:ascii="宋体" w:hAnsi="宋体"/>
          <w:color w:val="auto"/>
          <w:sz w:val="24"/>
          <w:szCs w:val="24"/>
          <w:highlight w:val="none"/>
        </w:rPr>
        <w:t>个月。</w:t>
      </w:r>
    </w:p>
    <w:p w14:paraId="7B338C1A">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投标货物或涉及的关键总成和零件，如果有更长时间质保期，允许更改并说明，此将有利于投标方。</w:t>
      </w:r>
    </w:p>
    <w:p w14:paraId="35703B77">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设计使用寿命短于质保期的易损件除外，但属于易损件的，应当有明确说明。</w:t>
      </w:r>
    </w:p>
    <w:p w14:paraId="3CF0D8F1">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2、质保期之内，如果设备出现设备、总成、关键零部件或者多处一般零部件的更换或维修行为，则质保期自更换或维修行为结束、设备重新正常运行使用之日起重新计算。</w:t>
      </w:r>
    </w:p>
    <w:p w14:paraId="5E99EB0A">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3、质保期内免费提供零部件和及时有效的服务。质保期内因货物本身缺陷造成的各种故障，投标方应负责免费维修和服务。</w:t>
      </w:r>
    </w:p>
    <w:p w14:paraId="1A42DE37">
      <w:pPr>
        <w:spacing w:line="48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4、质保期终止之日起18个月内重复出现的质保期之内出现的故障，仍属质保范围而且应当免费。</w:t>
      </w:r>
    </w:p>
    <w:p w14:paraId="18DBA2CA">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四、包装</w:t>
      </w:r>
    </w:p>
    <w:p w14:paraId="5815CFA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1、所提供设备的包装，应遵照国家标准和有关包装、包皮的技术条件，或按照最好的商业惯例进行包装。</w:t>
      </w:r>
    </w:p>
    <w:p w14:paraId="67BA6E9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064F4D3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3、所提供设备的包装，应能防止其一般性被窃或受外力破坏；一般不得采用有大缝隙的板条包装。</w:t>
      </w:r>
    </w:p>
    <w:p w14:paraId="6036DDD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4、应对包装件做必要的加固和固定，以防止运输可能造成的损坏。</w:t>
      </w:r>
    </w:p>
    <w:p w14:paraId="03FA858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5、每个包装件应有装箱单，并至少标明名称、型号规格、数量、净重和毛重、投标方（或供货商）名称和制造日期等相关内容。</w:t>
      </w:r>
    </w:p>
    <w:p w14:paraId="7F7DC40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6、每个包装箱应有明显标志，并具有中文书写的合同号、装运标志、发货和到货地点名称、发货人和收货人名称、设备名称和项目号、箱号和外型尺寸等内容。</w:t>
      </w:r>
    </w:p>
    <w:p w14:paraId="47D0315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7、应按照不同的装运要求在包装箱上标明“小心轻放”、“箭头向上”、“防潮”、“防磁”、“不准平放”等标志，以及其它适用的国标通用标志。</w:t>
      </w:r>
    </w:p>
    <w:p w14:paraId="2F5A253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8、包装箱应连续编号，不应出现重复编号。</w:t>
      </w:r>
    </w:p>
    <w:p w14:paraId="7456D99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9、在不受到外界破坏情况下，包装应保证自交货日起一年内货物（或设备）完好无损。</w:t>
      </w:r>
    </w:p>
    <w:p w14:paraId="39CC7546">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五、运输</w:t>
      </w:r>
    </w:p>
    <w:p w14:paraId="6CB8838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1、应负责将设备运到目的地，并必须做到设备在任何运输过程中不受损坏和遗失。</w:t>
      </w:r>
    </w:p>
    <w:p w14:paraId="131F97E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2、同批设备应统一包装、编号运输。</w:t>
      </w:r>
    </w:p>
    <w:p w14:paraId="75803A3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3、一般情况下，经由铁路、公路运输的包装件尺寸和重量不应超过国家所规定的尺寸限制。特殊情况应予以说明。</w:t>
      </w:r>
    </w:p>
    <w:p w14:paraId="47B94F6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4、在每批设备发出后，应立即通知招标方；通知中应指明：合同号、货运单号、件数、重量和设备发出日期等相关内容。</w:t>
      </w:r>
    </w:p>
    <w:p w14:paraId="593B852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5、设备运抵交货地点后，应负责货物（或设备）的卸货、搬运、保管等事宜；或按照合同约定。</w:t>
      </w:r>
    </w:p>
    <w:p w14:paraId="164B462B">
      <w:pPr>
        <w:pStyle w:val="2"/>
        <w:spacing w:before="120" w:after="120" w:line="480" w:lineRule="exact"/>
        <w:jc w:val="center"/>
        <w:rPr>
          <w:rFonts w:hint="eastAsia" w:ascii="黑体" w:eastAsia="黑体"/>
          <w:b w:val="0"/>
          <w:color w:val="auto"/>
          <w:sz w:val="24"/>
          <w:szCs w:val="24"/>
          <w:highlight w:val="none"/>
        </w:rPr>
      </w:pPr>
      <w:r>
        <w:rPr>
          <w:rFonts w:ascii="宋体" w:hAnsi="宋体"/>
          <w:color w:val="auto"/>
          <w:highlight w:val="none"/>
        </w:rPr>
        <w:br w:type="page"/>
      </w:r>
      <w:bookmarkStart w:id="69" w:name="_Toc30960"/>
      <w:bookmarkStart w:id="70" w:name="_Toc2931"/>
      <w:bookmarkStart w:id="71" w:name="_Toc9796"/>
      <w:bookmarkStart w:id="72" w:name="_Toc28593"/>
      <w:bookmarkStart w:id="73" w:name="_Toc137705872"/>
      <w:r>
        <w:rPr>
          <w:rFonts w:hint="eastAsia" w:ascii="黑体" w:eastAsia="黑体"/>
          <w:b w:val="0"/>
          <w:bCs w:val="0"/>
          <w:color w:val="auto"/>
          <w:sz w:val="24"/>
          <w:szCs w:val="24"/>
          <w:highlight w:val="none"/>
        </w:rPr>
        <w:t>第四章  售中售后服务</w:t>
      </w:r>
      <w:bookmarkEnd w:id="69"/>
      <w:bookmarkEnd w:id="70"/>
      <w:bookmarkEnd w:id="71"/>
      <w:bookmarkEnd w:id="72"/>
      <w:bookmarkEnd w:id="73"/>
    </w:p>
    <w:p w14:paraId="1C5C4F9A">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一、技术及培训服务</w:t>
      </w:r>
    </w:p>
    <w:p w14:paraId="347F3BDF">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1、应负责对招标方</w:t>
      </w:r>
      <w:r>
        <w:rPr>
          <w:rFonts w:hint="eastAsia" w:ascii="宋体" w:hAnsi="宋体"/>
          <w:color w:val="auto"/>
          <w:sz w:val="24"/>
          <w:szCs w:val="24"/>
          <w:highlight w:val="none"/>
          <w:u w:val="single"/>
          <w:shd w:val="pct10" w:color="auto" w:fill="FFFFFF"/>
          <w:lang w:val="en-US" w:eastAsia="zh-CN"/>
        </w:rPr>
        <w:t>2</w:t>
      </w:r>
      <w:r>
        <w:rPr>
          <w:rFonts w:hint="eastAsia" w:ascii="宋体" w:hAnsi="宋体"/>
          <w:color w:val="auto"/>
          <w:sz w:val="24"/>
          <w:szCs w:val="24"/>
          <w:highlight w:val="none"/>
        </w:rPr>
        <w:t>名及以上技术、维修和操作人员提供不少于</w:t>
      </w:r>
      <w:r>
        <w:rPr>
          <w:rFonts w:hint="eastAsia" w:ascii="宋体" w:hAnsi="宋体"/>
          <w:color w:val="auto"/>
          <w:sz w:val="24"/>
          <w:szCs w:val="24"/>
          <w:highlight w:val="none"/>
          <w:u w:val="single"/>
          <w:shd w:val="pct10" w:color="auto" w:fill="FFFFFF"/>
        </w:rPr>
        <w:t xml:space="preserve">   2  </w:t>
      </w:r>
      <w:r>
        <w:rPr>
          <w:rFonts w:hint="eastAsia" w:ascii="宋体" w:hAnsi="宋体"/>
          <w:color w:val="auto"/>
          <w:sz w:val="24"/>
          <w:szCs w:val="24"/>
          <w:highlight w:val="none"/>
        </w:rPr>
        <w:t>个日历日的免费的、招标方生产制造现场的理论、技术和操作、维修等方面的技术指导和培训,提供免费的2人在机器人工厂的标准培训，培训内容包括</w:t>
      </w:r>
      <w:r>
        <w:rPr>
          <w:rFonts w:hint="eastAsia"/>
          <w:color w:val="auto"/>
          <w:sz w:val="24"/>
          <w:szCs w:val="24"/>
          <w:highlight w:val="none"/>
          <w:lang w:val="zh-CN"/>
        </w:rPr>
        <w:t>机器人编程及简单维护培训、电气培训。</w:t>
      </w:r>
    </w:p>
    <w:p w14:paraId="4E0ED65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2、应负责在招标方设备使用现场，进行1～2次免费的技术指导和培训，并接受招标方有关人员的技术咨询。</w:t>
      </w:r>
    </w:p>
    <w:p w14:paraId="2D31A1E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3、应免费提供一定数量的培训资料。</w:t>
      </w:r>
    </w:p>
    <w:p w14:paraId="2292618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4、应按要求免费积极协助和提供招标方以及招标方所委托的工程设计单位有关人员所需要的、与设备有关的工程设计资料、技术咨询等。</w:t>
      </w:r>
    </w:p>
    <w:p w14:paraId="4B4B677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5、若投标方提供的设备涉及到外购外协货物、而且该货物的技术质量等较为关键时，投标方应能保证得到配套厂家的技术支持，并免费为招标方提供技术服务。</w:t>
      </w:r>
    </w:p>
    <w:p w14:paraId="39DC1A3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B6F1ED2">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二、安装调试及验收服务</w:t>
      </w:r>
    </w:p>
    <w:p w14:paraId="5B2611F9">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69B526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2、若投标方提供的设备涉及到外购外协货物、而且该货物的技术质量等较为关键时，应保证能得到供应商的技术支持，并免费为招标方提供安装使用现场的指导与培训。</w:t>
      </w:r>
    </w:p>
    <w:p w14:paraId="04028DC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4A5DBC1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8E044B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5、投标方应当向招标方提供货物试验、验收的有关标准、规范和方法，同时提供货物涉及并使用的软件合法性证明。</w:t>
      </w:r>
    </w:p>
    <w:p w14:paraId="6398972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6、服务缺陷视同货物缺陷和履约延期。</w:t>
      </w:r>
    </w:p>
    <w:p w14:paraId="78948EF5">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三、售后服务</w:t>
      </w:r>
    </w:p>
    <w:p w14:paraId="415F5CE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1、投标方提供的设备涉及的所有售后服务均由投标方负责。如果发生问题并且收到通知，投标方应当在2小时内予以答复。</w:t>
      </w:r>
    </w:p>
    <w:p w14:paraId="07A80B08">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2、如发现所提供的设备存在问题，需要投标方解决或配合解决时：在质保期之内，应在接到通知后</w:t>
      </w:r>
      <w:r>
        <w:rPr>
          <w:rFonts w:hint="eastAsia" w:ascii="宋体" w:hAnsi="宋体"/>
          <w:color w:val="auto"/>
          <w:sz w:val="24"/>
          <w:szCs w:val="24"/>
          <w:highlight w:val="none"/>
          <w:u w:val="single"/>
          <w:shd w:val="pct10" w:color="auto" w:fill="FFFFFF"/>
        </w:rPr>
        <w:t xml:space="preserve">  24    </w:t>
      </w:r>
      <w:r>
        <w:rPr>
          <w:rFonts w:hint="eastAsia" w:ascii="宋体" w:hAnsi="宋体"/>
          <w:color w:val="auto"/>
          <w:sz w:val="24"/>
          <w:szCs w:val="24"/>
          <w:highlight w:val="none"/>
        </w:rPr>
        <w:t>小时内派有关人员到达现场；在质保期之外，应在接到通知后</w:t>
      </w:r>
      <w:r>
        <w:rPr>
          <w:rFonts w:hint="eastAsia" w:ascii="宋体" w:hAnsi="宋体"/>
          <w:color w:val="auto"/>
          <w:sz w:val="24"/>
          <w:szCs w:val="24"/>
          <w:highlight w:val="none"/>
          <w:u w:val="single"/>
          <w:shd w:val="pct10" w:color="auto" w:fill="FFFFFF"/>
        </w:rPr>
        <w:t xml:space="preserve">  24   </w:t>
      </w:r>
      <w:r>
        <w:rPr>
          <w:rFonts w:hint="eastAsia" w:ascii="宋体" w:hAnsi="宋体"/>
          <w:color w:val="auto"/>
          <w:sz w:val="24"/>
          <w:szCs w:val="24"/>
          <w:highlight w:val="none"/>
        </w:rPr>
        <w:t>小时内派有关人员到达现场。</w:t>
      </w:r>
    </w:p>
    <w:p w14:paraId="0CF656ED">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3、投标方派往招标方使用现场的人员，应具有较高的业务素质；现场解决问题时，不得无故拖延或推迟，应为招标方提供最佳的服务。</w:t>
      </w:r>
    </w:p>
    <w:p w14:paraId="45AA6E92">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四、其它服务</w:t>
      </w:r>
    </w:p>
    <w:p w14:paraId="04A57BA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1、若投标方所提供设备有需要进口的，投标方一般应自行、自费办理；必要时，买卖双方共同办理。</w:t>
      </w:r>
    </w:p>
    <w:p w14:paraId="57D9579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2、除招标文件、投标文件、答疑文件、技术协议、合同等约定之外，投标方应免费负责必要的或强制性的设备的检验、试验、化验等直接费用。</w:t>
      </w:r>
    </w:p>
    <w:p w14:paraId="64B46B43">
      <w:pPr>
        <w:spacing w:line="520" w:lineRule="exact"/>
        <w:ind w:firstLine="480" w:firstLineChars="200"/>
        <w:rPr>
          <w:rFonts w:hint="eastAsia"/>
          <w:color w:val="auto"/>
          <w:sz w:val="24"/>
          <w:szCs w:val="24"/>
          <w:highlight w:val="none"/>
        </w:rPr>
      </w:pPr>
      <w:r>
        <w:rPr>
          <w:rFonts w:hint="eastAsia" w:ascii="宋体" w:hAnsi="宋体"/>
          <w:color w:val="auto"/>
          <w:sz w:val="24"/>
          <w:szCs w:val="24"/>
          <w:highlight w:val="none"/>
        </w:rPr>
        <w:t>3、本章节条款所列“免费”，并非指定不可收费，而是指招标文件、投标文件、</w:t>
      </w:r>
      <w:r>
        <w:rPr>
          <w:rFonts w:hint="eastAsia"/>
          <w:color w:val="auto"/>
          <w:sz w:val="24"/>
          <w:szCs w:val="24"/>
          <w:highlight w:val="none"/>
        </w:rPr>
        <w:t>答疑文件、技术交流文件、技术协议书和合同等范围之外，投标方不可另行收取的费用。</w:t>
      </w:r>
    </w:p>
    <w:p w14:paraId="581394BC">
      <w:pPr>
        <w:spacing w:line="480" w:lineRule="exact"/>
        <w:ind w:firstLine="420" w:firstLineChars="200"/>
        <w:rPr>
          <w:rFonts w:hint="eastAsia" w:ascii="宋体" w:hAnsi="宋体"/>
          <w:color w:val="auto"/>
          <w:highlight w:val="none"/>
        </w:rPr>
      </w:pPr>
    </w:p>
    <w:p w14:paraId="684A33F6">
      <w:pPr>
        <w:pStyle w:val="2"/>
        <w:spacing w:before="120" w:after="120" w:line="480" w:lineRule="exact"/>
        <w:jc w:val="center"/>
        <w:rPr>
          <w:rFonts w:hint="eastAsia" w:ascii="黑体" w:eastAsia="黑体"/>
          <w:b w:val="0"/>
          <w:color w:val="auto"/>
          <w:sz w:val="24"/>
          <w:szCs w:val="24"/>
          <w:highlight w:val="none"/>
        </w:rPr>
      </w:pPr>
      <w:r>
        <w:rPr>
          <w:rFonts w:ascii="宋体" w:hAnsi="宋体"/>
          <w:color w:val="auto"/>
          <w:highlight w:val="none"/>
        </w:rPr>
        <w:br w:type="page"/>
      </w:r>
      <w:bookmarkStart w:id="74" w:name="_Toc21539"/>
      <w:bookmarkStart w:id="75" w:name="_Toc137705873"/>
      <w:bookmarkStart w:id="76" w:name="_Toc19419"/>
      <w:bookmarkStart w:id="77" w:name="_Toc9060"/>
      <w:bookmarkStart w:id="78" w:name="_Toc23200"/>
      <w:r>
        <w:rPr>
          <w:rFonts w:hint="eastAsia" w:ascii="黑体" w:eastAsia="黑体"/>
          <w:b w:val="0"/>
          <w:color w:val="auto"/>
          <w:sz w:val="24"/>
          <w:szCs w:val="24"/>
          <w:highlight w:val="none"/>
        </w:rPr>
        <w:t>第五章  预验收和终验收</w:t>
      </w:r>
      <w:bookmarkEnd w:id="74"/>
      <w:bookmarkEnd w:id="75"/>
      <w:bookmarkEnd w:id="76"/>
      <w:bookmarkEnd w:id="77"/>
      <w:bookmarkEnd w:id="78"/>
    </w:p>
    <w:p w14:paraId="1921D42F">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一、验收的一般约定</w:t>
      </w:r>
    </w:p>
    <w:p w14:paraId="576AA95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1、验收标准一般以技术协议书和合同规定验收。</w:t>
      </w:r>
    </w:p>
    <w:p w14:paraId="10EFDE31">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2、如果验收过程中，发现招标文件、投标文件、答疑文件、技术交流文件等与技术协议书、合同存在差异，原则上以涉及条款中对招标方最有利条款为验收依据。</w:t>
      </w:r>
    </w:p>
    <w:p w14:paraId="75D7C580">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二、检验</w:t>
      </w:r>
    </w:p>
    <w:p w14:paraId="6F94124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1、国产货物的检验由买卖双方按照合同要求或在制造现场进行。</w:t>
      </w:r>
    </w:p>
    <w:p w14:paraId="1283699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2、进口货物的检验，投标方需要按照下述要求进行：</w:t>
      </w:r>
    </w:p>
    <w:p w14:paraId="0470712D">
      <w:pPr>
        <w:adjustRightInd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2.1  进口货物发货前，应对货物的质量、型号、规格、性能和数量/重量作精密、全面的检验，并出具证明书，证明所供货物符合合同规定。</w:t>
      </w:r>
    </w:p>
    <w:p w14:paraId="7C19B7A4">
      <w:pPr>
        <w:adjustRightInd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2.2  应依据合同规定的要求，提供买卖双方达成一致的货物的验收标准和装箱单，作为招标方检验的依据。</w:t>
      </w:r>
    </w:p>
    <w:p w14:paraId="3C819926">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color w:val="auto"/>
          <w:sz w:val="24"/>
          <w:szCs w:val="24"/>
          <w:highlight w:val="none"/>
        </w:rPr>
        <w:t>0</w:t>
      </w:r>
      <w:r>
        <w:rPr>
          <w:rFonts w:hint="eastAsia" w:ascii="宋体" w:hAnsi="宋体"/>
          <w:color w:val="auto"/>
          <w:sz w:val="24"/>
          <w:szCs w:val="24"/>
          <w:highlight w:val="none"/>
        </w:rPr>
        <w:t>个日历日内，根据中国商品检验检疫局出具的证明书向投标方提出索赔，因索赔所发生的一切费用</w:t>
      </w:r>
      <w:r>
        <w:rPr>
          <w:rFonts w:ascii="宋体" w:hAnsi="宋体"/>
          <w:color w:val="auto"/>
          <w:sz w:val="24"/>
          <w:szCs w:val="24"/>
          <w:highlight w:val="none"/>
        </w:rPr>
        <w:t>(</w:t>
      </w:r>
      <w:r>
        <w:rPr>
          <w:rFonts w:hint="eastAsia" w:ascii="宋体" w:hAnsi="宋体"/>
          <w:color w:val="auto"/>
          <w:sz w:val="24"/>
          <w:szCs w:val="24"/>
          <w:highlight w:val="none"/>
        </w:rPr>
        <w:t>包括检验检疫费等</w:t>
      </w:r>
      <w:r>
        <w:rPr>
          <w:rFonts w:ascii="宋体" w:hAnsi="宋体"/>
          <w:color w:val="auto"/>
          <w:sz w:val="24"/>
          <w:szCs w:val="24"/>
          <w:highlight w:val="none"/>
        </w:rPr>
        <w:t>)</w:t>
      </w:r>
      <w:r>
        <w:rPr>
          <w:rFonts w:hint="eastAsia" w:ascii="宋体" w:hAnsi="宋体"/>
          <w:color w:val="auto"/>
          <w:sz w:val="24"/>
          <w:szCs w:val="24"/>
          <w:highlight w:val="none"/>
        </w:rPr>
        <w:t>均由投标方承担。</w:t>
      </w:r>
    </w:p>
    <w:p w14:paraId="2C677EC5">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三、验收基本条件</w:t>
      </w:r>
    </w:p>
    <w:p w14:paraId="607BC4F2">
      <w:pPr>
        <w:adjustRightInd w:val="0"/>
        <w:snapToGrid w:val="0"/>
        <w:spacing w:line="460" w:lineRule="exact"/>
        <w:ind w:firstLine="480" w:firstLineChars="200"/>
        <w:rPr>
          <w:rFonts w:hint="eastAsia" w:ascii="宋体" w:hAnsi="宋体"/>
          <w:color w:val="auto"/>
          <w:sz w:val="24"/>
          <w:szCs w:val="24"/>
          <w:highlight w:val="none"/>
        </w:rPr>
      </w:pPr>
      <w:r>
        <w:rPr>
          <w:rFonts w:hint="eastAsia"/>
          <w:color w:val="auto"/>
          <w:sz w:val="24"/>
          <w:szCs w:val="24"/>
          <w:highlight w:val="none"/>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color w:val="auto"/>
          <w:sz w:val="24"/>
          <w:szCs w:val="24"/>
          <w:highlight w:val="none"/>
        </w:rPr>
        <w:t>时重新检验，最终只以终验收为准。</w:t>
      </w:r>
    </w:p>
    <w:p w14:paraId="0D3A23A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买卖双方按照合同约定执行了合同，同时设备完成了试运行并经检验合格，则具备验收条件。</w:t>
      </w:r>
    </w:p>
    <w:p w14:paraId="7F2D7DB7">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1、预验收一般条件</w:t>
      </w:r>
    </w:p>
    <w:p w14:paraId="6E90E166">
      <w:pPr>
        <w:pStyle w:val="140"/>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ascii="宋体" w:hAnsi="宋体" w:cs="宋体"/>
          <w:color w:val="auto"/>
          <w:sz w:val="24"/>
          <w:szCs w:val="24"/>
          <w:highlight w:val="none"/>
        </w:rPr>
      </w:pPr>
      <w:r>
        <w:rPr>
          <w:rFonts w:ascii="宋体" w:hAnsi="宋体" w:cs="宋体"/>
          <w:color w:val="auto"/>
          <w:sz w:val="24"/>
          <w:szCs w:val="24"/>
          <w:highlight w:val="none"/>
        </w:rPr>
        <w:t>预验收应在乙方自行检验合格后通知甲方；在预验收过程中发现的问题，乙方应进行改进；预验收合格后形成预验收报告；</w:t>
      </w:r>
      <w:r>
        <w:rPr>
          <w:rFonts w:ascii="宋体" w:hAnsi="宋体" w:cs="宋体"/>
          <w:color w:val="auto"/>
          <w:sz w:val="24"/>
          <w:szCs w:val="24"/>
          <w:highlight w:val="none"/>
        </w:rPr>
        <w:br w:type="textWrapping"/>
      </w:r>
      <w:r>
        <w:rPr>
          <w:rFonts w:ascii="宋体" w:hAnsi="宋体" w:cs="宋体"/>
          <w:color w:val="auto"/>
          <w:sz w:val="24"/>
          <w:szCs w:val="24"/>
          <w:highlight w:val="none"/>
        </w:rPr>
        <w:t>1.1 在甲方安装现场的预验收</w:t>
      </w:r>
      <w:r>
        <w:rPr>
          <w:rFonts w:ascii="宋体" w:hAnsi="宋体" w:cs="宋体"/>
          <w:color w:val="auto"/>
          <w:sz w:val="24"/>
          <w:szCs w:val="24"/>
          <w:highlight w:val="none"/>
        </w:rPr>
        <w:br w:type="textWrapping"/>
      </w:r>
      <w:r>
        <w:rPr>
          <w:rFonts w:ascii="宋体" w:hAnsi="宋体" w:cs="宋体"/>
          <w:color w:val="auto"/>
          <w:sz w:val="24"/>
          <w:szCs w:val="24"/>
          <w:highlight w:val="none"/>
        </w:rPr>
        <w:t>1.1.1在进入甲方现场安装前，由双方共同在甲方现场对设备、材料暂存地进行开箱预验收，并填写开箱验收单（工程终验收文件之一）。</w:t>
      </w:r>
      <w:r>
        <w:rPr>
          <w:rFonts w:ascii="宋体" w:hAnsi="宋体" w:cs="宋体"/>
          <w:color w:val="auto"/>
          <w:sz w:val="24"/>
          <w:szCs w:val="24"/>
          <w:highlight w:val="none"/>
        </w:rPr>
        <w:br w:type="textWrapping"/>
      </w:r>
      <w:r>
        <w:rPr>
          <w:rFonts w:ascii="宋体" w:hAnsi="宋体" w:cs="宋体"/>
          <w:color w:val="auto"/>
          <w:sz w:val="24"/>
          <w:szCs w:val="24"/>
          <w:highlight w:val="none"/>
        </w:rPr>
        <w:t>1.1.2对预验收合格的预制件及组装设备，由甲方监督进行再包装、安装等；对预验收中存在的问题，乙方必须及时整改，直至完全达到甲方的要求。</w:t>
      </w:r>
      <w:r>
        <w:rPr>
          <w:rFonts w:ascii="宋体" w:hAnsi="宋体" w:cs="宋体"/>
          <w:color w:val="auto"/>
          <w:sz w:val="24"/>
          <w:szCs w:val="24"/>
          <w:highlight w:val="none"/>
        </w:rPr>
        <w:br w:type="textWrapping"/>
      </w:r>
      <w:r>
        <w:rPr>
          <w:rFonts w:ascii="宋体" w:hAnsi="宋体" w:cs="宋体"/>
          <w:color w:val="auto"/>
          <w:sz w:val="24"/>
          <w:szCs w:val="24"/>
          <w:highlight w:val="none"/>
        </w:rPr>
        <w:t>1.1.3预验收所需的工具、量具等必要仪器由乙方提供。</w:t>
      </w:r>
      <w:r>
        <w:rPr>
          <w:rFonts w:ascii="宋体" w:hAnsi="宋体" w:cs="宋体"/>
          <w:color w:val="auto"/>
          <w:sz w:val="24"/>
          <w:szCs w:val="24"/>
          <w:highlight w:val="none"/>
        </w:rPr>
        <w:br w:type="textWrapping"/>
      </w:r>
      <w:r>
        <w:rPr>
          <w:rFonts w:ascii="宋体" w:hAnsi="宋体" w:cs="宋体"/>
          <w:color w:val="auto"/>
          <w:sz w:val="24"/>
          <w:szCs w:val="24"/>
          <w:highlight w:val="none"/>
        </w:rPr>
        <w:t>1.2 主要验收内容</w:t>
      </w:r>
      <w:r>
        <w:rPr>
          <w:rFonts w:ascii="宋体" w:hAnsi="宋体" w:cs="宋体"/>
          <w:color w:val="auto"/>
          <w:sz w:val="24"/>
          <w:szCs w:val="24"/>
          <w:highlight w:val="none"/>
        </w:rPr>
        <w:br w:type="textWrapping"/>
      </w:r>
      <w:r>
        <w:rPr>
          <w:rFonts w:ascii="宋体" w:hAnsi="宋体" w:cs="宋体"/>
          <w:color w:val="auto"/>
          <w:sz w:val="24"/>
          <w:szCs w:val="24"/>
          <w:highlight w:val="none"/>
        </w:rPr>
        <w:t>1.2.1 材料质量及其合格证；</w:t>
      </w:r>
      <w:r>
        <w:rPr>
          <w:rFonts w:ascii="宋体" w:hAnsi="宋体" w:cs="宋体"/>
          <w:color w:val="auto"/>
          <w:sz w:val="24"/>
          <w:szCs w:val="24"/>
          <w:highlight w:val="none"/>
        </w:rPr>
        <w:br w:type="textWrapping"/>
      </w:r>
      <w:r>
        <w:rPr>
          <w:rFonts w:ascii="宋体" w:hAnsi="宋体" w:cs="宋体"/>
          <w:color w:val="auto"/>
          <w:sz w:val="24"/>
          <w:szCs w:val="24"/>
          <w:highlight w:val="none"/>
        </w:rPr>
        <w:t>1.2.2 产品结构形式是否符合要求；</w:t>
      </w:r>
      <w:r>
        <w:rPr>
          <w:rFonts w:ascii="宋体" w:hAnsi="宋体" w:cs="宋体"/>
          <w:color w:val="auto"/>
          <w:sz w:val="24"/>
          <w:szCs w:val="24"/>
          <w:highlight w:val="none"/>
        </w:rPr>
        <w:br w:type="textWrapping"/>
      </w:r>
      <w:r>
        <w:rPr>
          <w:rFonts w:ascii="宋体" w:hAnsi="宋体" w:cs="宋体"/>
          <w:color w:val="auto"/>
          <w:sz w:val="24"/>
          <w:szCs w:val="24"/>
          <w:highlight w:val="none"/>
        </w:rPr>
        <w:t>1.2.3 功能要求的符合性；</w:t>
      </w:r>
      <w:r>
        <w:rPr>
          <w:rFonts w:ascii="宋体" w:hAnsi="宋体" w:cs="宋体"/>
          <w:color w:val="auto"/>
          <w:sz w:val="24"/>
          <w:szCs w:val="24"/>
          <w:highlight w:val="none"/>
        </w:rPr>
        <w:br w:type="textWrapping"/>
      </w:r>
      <w:r>
        <w:rPr>
          <w:rFonts w:ascii="宋体" w:hAnsi="宋体" w:cs="宋体"/>
          <w:color w:val="auto"/>
          <w:sz w:val="24"/>
          <w:szCs w:val="24"/>
          <w:highlight w:val="none"/>
        </w:rPr>
        <w:t>1.2.4 技术参数的符合性；</w:t>
      </w:r>
      <w:r>
        <w:rPr>
          <w:rFonts w:ascii="宋体" w:hAnsi="宋体" w:cs="宋体"/>
          <w:color w:val="auto"/>
          <w:sz w:val="24"/>
          <w:szCs w:val="24"/>
          <w:highlight w:val="none"/>
        </w:rPr>
        <w:br w:type="textWrapping"/>
      </w:r>
      <w:r>
        <w:rPr>
          <w:rFonts w:ascii="宋体" w:hAnsi="宋体" w:cs="宋体"/>
          <w:color w:val="auto"/>
          <w:sz w:val="24"/>
          <w:szCs w:val="24"/>
          <w:highlight w:val="none"/>
        </w:rPr>
        <w:t>1.2.5 特殊要求项目的符合性；</w:t>
      </w:r>
      <w:r>
        <w:rPr>
          <w:rFonts w:ascii="宋体" w:hAnsi="宋体" w:cs="宋体"/>
          <w:color w:val="auto"/>
          <w:sz w:val="24"/>
          <w:szCs w:val="24"/>
          <w:highlight w:val="none"/>
        </w:rPr>
        <w:br w:type="textWrapping"/>
      </w:r>
      <w:r>
        <w:rPr>
          <w:rFonts w:ascii="宋体" w:hAnsi="宋体" w:cs="宋体"/>
          <w:color w:val="auto"/>
          <w:sz w:val="24"/>
          <w:szCs w:val="24"/>
          <w:highlight w:val="none"/>
        </w:rPr>
        <w:t>1.2.6 甲乙双方核实备件/易损件；</w:t>
      </w:r>
      <w:r>
        <w:rPr>
          <w:rFonts w:ascii="宋体" w:hAnsi="宋体" w:cs="宋体"/>
          <w:color w:val="auto"/>
          <w:sz w:val="24"/>
          <w:szCs w:val="24"/>
          <w:highlight w:val="none"/>
        </w:rPr>
        <w:br w:type="textWrapping"/>
      </w:r>
      <w:r>
        <w:rPr>
          <w:rFonts w:ascii="宋体" w:hAnsi="宋体" w:cs="宋体"/>
          <w:color w:val="auto"/>
          <w:sz w:val="24"/>
          <w:szCs w:val="24"/>
          <w:highlight w:val="none"/>
        </w:rPr>
        <w:t>1.2.7 设备预验收合格后，甲方授权代表签字认可，出具预验收报告（但这不能减免乙方对产品的终验收责任）。</w:t>
      </w:r>
    </w:p>
    <w:p w14:paraId="404AA861">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 主要验收内容</w:t>
      </w:r>
    </w:p>
    <w:p w14:paraId="1E1B4FAF">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1.3.1 材料质量及其合格证；</w:t>
      </w:r>
    </w:p>
    <w:p w14:paraId="33007096">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1.3.2 产品结构形式是否符合要求；</w:t>
      </w:r>
    </w:p>
    <w:p w14:paraId="0E505BAD">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1.3.3 功能要求的符合性；</w:t>
      </w:r>
    </w:p>
    <w:p w14:paraId="4111D590">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1.3.4 技术参数的符合性；</w:t>
      </w:r>
    </w:p>
    <w:p w14:paraId="11FC372C">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1.3.5 特殊要求项目的符合性；</w:t>
      </w:r>
    </w:p>
    <w:p w14:paraId="4BB11667">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1.3.6 甲乙双方核实备件/易损件；</w:t>
      </w:r>
    </w:p>
    <w:p w14:paraId="65F8131C">
      <w:pPr>
        <w:pStyle w:val="140"/>
        <w:jc w:val="both"/>
        <w:rPr>
          <w:rFonts w:ascii="宋体" w:hAnsi="宋体" w:cs="宋体"/>
          <w:color w:val="auto"/>
          <w:sz w:val="24"/>
          <w:szCs w:val="24"/>
          <w:highlight w:val="none"/>
        </w:rPr>
      </w:pPr>
      <w:r>
        <w:rPr>
          <w:rFonts w:hint="eastAsia" w:ascii="宋体" w:hAnsi="宋体" w:cs="宋体"/>
          <w:color w:val="auto"/>
          <w:sz w:val="24"/>
          <w:szCs w:val="24"/>
          <w:highlight w:val="none"/>
        </w:rPr>
        <w:t>1.3.7 设备预验收合格后，甲方授权代表签字认可，出具预验收报告（但这不能减免乙方对产品的终验收责任）。</w:t>
      </w:r>
    </w:p>
    <w:p w14:paraId="269B4407">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2、终验收一般条件</w:t>
      </w:r>
    </w:p>
    <w:p w14:paraId="09F49FA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  经过预验收而且没有出现新的质量问题，或者满足预验收条款。</w:t>
      </w:r>
    </w:p>
    <w:p w14:paraId="3369F32B">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  设备安装调试完毕，并至少经过了验收要求的负荷试运行。</w:t>
      </w:r>
    </w:p>
    <w:p w14:paraId="35A200E7">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2.3  设备正常运行时，噪声等环境影响因素满足国家和当地环保主管部门规定，安全措施落实、有效。</w:t>
      </w:r>
    </w:p>
    <w:p w14:paraId="561BBBD2">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2.4  计量仪器、仪表配套合理，采用中国的法定计量单位，计量准确、灵敏可靠。保证设计指标和仪器说明书的参数的实现。</w:t>
      </w:r>
    </w:p>
    <w:p w14:paraId="3069A6D9">
      <w:pPr>
        <w:adjustRightInd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2.5  试运行期间或之后无维修、调整等行为（特殊情况除外）。</w:t>
      </w:r>
    </w:p>
    <w:p w14:paraId="64FCE79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2.6 设备质量、技术性能等，达到签定的技术协议书和合同规定的终验收标准。</w:t>
      </w:r>
    </w:p>
    <w:p w14:paraId="6633F4AF">
      <w:pPr>
        <w:spacing w:line="48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3、终验收基本要求</w:t>
      </w:r>
    </w:p>
    <w:p w14:paraId="40DA0238">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3.1资料齐全性、完整性和有效性。按照 “技术资料范围”等的规定验收；</w:t>
      </w:r>
    </w:p>
    <w:p w14:paraId="3EE41F26">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3.2设备应运行灵活、稳定、可靠、安全，无异常声音和非正常振动。设备不允许出现漏水、漏液、漏气（汽）。运动的零部件（如链条、联轴器、离合器等）应动作平稳、没有异常声音，不松动或易于调整；</w:t>
      </w:r>
    </w:p>
    <w:p w14:paraId="52E65E33">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3.3设备外观应无损伤，应该涂满同种明亮清晰的油漆（特殊标志除外）。设备应该完整且所有的零部件应该安装牢固，所有的焊缝饱满、无残渣等缺陷；</w:t>
      </w:r>
    </w:p>
    <w:p w14:paraId="6E3E1DF0">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3.4所有的管道和电缆线等，应排列有序（正确、牢固、整齐）无皱褶、收缩和裂缝，电缆线在整个长度范围内，所有的接头应完全正确地连接；</w:t>
      </w:r>
    </w:p>
    <w:p w14:paraId="03BC9920">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3.5设备应有完整的标牌，且清晰易见；</w:t>
      </w:r>
    </w:p>
    <w:p w14:paraId="44BBF80D">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3.6设备的润滑系统工作可靠，润滑点易于到达；</w:t>
      </w:r>
    </w:p>
    <w:p w14:paraId="591CD646">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3.7设备的安全要求符合中国最新的相关法律、法规、标准和规范以及合同要求；</w:t>
      </w:r>
    </w:p>
    <w:p w14:paraId="54B95A3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3.8地线连接和地极符合国际（ISO/IEC）标准规范；</w:t>
      </w:r>
    </w:p>
    <w:p w14:paraId="39CE8B80">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3.9设备正常运行时，噪音不超过等效连续A声级75dB（A）；</w:t>
      </w:r>
    </w:p>
    <w:p w14:paraId="6618716D">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3.10计量仪器、仪表配套合理，采用中国的法定计量单位，计量准确、灵敏可靠，计量仪器仪表由乙方提供合格证。</w:t>
      </w:r>
    </w:p>
    <w:p w14:paraId="7F07DE13">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3.11保证设计指标和仪器说明书的参数的实现，要求竣工验收交付一次合格，返修更换校调不超过</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小时，特殊情况除外；</w:t>
      </w:r>
    </w:p>
    <w:p w14:paraId="30BDD6D5">
      <w:pPr>
        <w:adjustRightInd w:val="0"/>
        <w:snapToGrid w:val="0"/>
        <w:spacing w:line="360" w:lineRule="auto"/>
        <w:ind w:firstLine="480" w:firstLineChars="200"/>
        <w:rPr>
          <w:rFonts w:hint="eastAsia" w:ascii="宋体" w:hAnsi="宋体" w:cs="宋体"/>
          <w:bCs/>
          <w:color w:val="auto"/>
          <w:sz w:val="24"/>
          <w:szCs w:val="24"/>
          <w:highlight w:val="none"/>
        </w:rPr>
      </w:pPr>
      <w:bookmarkStart w:id="79" w:name="_Toc5237"/>
      <w:r>
        <w:rPr>
          <w:rFonts w:hint="eastAsia" w:ascii="宋体" w:hAnsi="宋体" w:cs="宋体"/>
          <w:bCs/>
          <w:color w:val="auto"/>
          <w:sz w:val="24"/>
          <w:szCs w:val="24"/>
          <w:highlight w:val="none"/>
        </w:rPr>
        <w:t>3.12</w:t>
      </w:r>
      <w:r>
        <w:rPr>
          <w:rFonts w:hint="eastAsia" w:ascii="宋体" w:hAnsi="宋体" w:cs="宋体"/>
          <w:color w:val="auto"/>
          <w:sz w:val="24"/>
          <w:szCs w:val="24"/>
          <w:highlight w:val="none"/>
        </w:rPr>
        <w:t>设备</w:t>
      </w:r>
      <w:r>
        <w:rPr>
          <w:rFonts w:hint="eastAsia" w:ascii="宋体" w:hAnsi="宋体" w:cs="宋体"/>
          <w:bCs/>
          <w:color w:val="auto"/>
          <w:sz w:val="24"/>
          <w:szCs w:val="24"/>
          <w:highlight w:val="none"/>
        </w:rPr>
        <w:t>质量、技术性能等，按照签定的技术协议书和合同规定的终验收标准验收。</w:t>
      </w:r>
      <w:bookmarkEnd w:id="79"/>
    </w:p>
    <w:p w14:paraId="3DC0ACD4">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  终验收内容包括以下内容：</w:t>
      </w:r>
    </w:p>
    <w:p w14:paraId="5B0751A3">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4.1终验收在招标方车间进行，验收内容包括但不限于设备资料、培训、设备配置、生产节拍、工期、重复定位精度及技术要求的其它条款内容。</w:t>
      </w:r>
    </w:p>
    <w:p w14:paraId="4772961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4.2 投标方在终验收时需提交一份预验收时发现的缺陷和设备故障确认完成整改的汇总表，列入终验收报告。</w:t>
      </w:r>
    </w:p>
    <w:p w14:paraId="2454972E">
      <w:pPr>
        <w:tabs>
          <w:tab w:val="left" w:pos="1260"/>
        </w:tabs>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4.3存在影响节拍、装配质量、安全的缺陷，投标方应及时整改，整改合格后验收和移交。当由于招标方原因影响终验收进度时，则移交日期相应顺延。</w:t>
      </w:r>
    </w:p>
    <w:p w14:paraId="638178A2">
      <w:pPr>
        <w:adjustRightInd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4.4  终验收原则上要求一次完成。若一次验收不成功，最多允许两次；如果出现第三次验收失败，重新作价或退货；</w:t>
      </w:r>
    </w:p>
    <w:p w14:paraId="3F21BC2B">
      <w:pPr>
        <w:adjustRightInd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4.5  终验收通过后买卖双方共同签署终验收报告，并移交、核对全部供货范围内物品。</w:t>
      </w:r>
    </w:p>
    <w:p w14:paraId="76BE3C83">
      <w:pPr>
        <w:spacing w:line="480" w:lineRule="exact"/>
        <w:ind w:firstLine="480" w:firstLineChars="200"/>
        <w:rPr>
          <w:rFonts w:hint="eastAsia" w:ascii="宋体" w:hAnsi="宋体"/>
          <w:color w:val="auto"/>
          <w:highlight w:val="none"/>
        </w:rPr>
      </w:pPr>
      <w:r>
        <w:rPr>
          <w:rFonts w:hint="eastAsia" w:ascii="宋体" w:hAnsi="宋体"/>
          <w:color w:val="auto"/>
          <w:sz w:val="24"/>
          <w:szCs w:val="24"/>
          <w:highlight w:val="none"/>
        </w:rPr>
        <w:t>4.6终验收的动静态要求参照《Q/ZZ 30183—2024拧紧工具选型及释放规范 》。</w:t>
      </w:r>
    </w:p>
    <w:p w14:paraId="02586461">
      <w:pPr>
        <w:adjustRightInd w:val="0"/>
        <w:snapToGrid w:val="0"/>
        <w:spacing w:line="460" w:lineRule="exact"/>
        <w:ind w:firstLine="420" w:firstLineChars="200"/>
        <w:rPr>
          <w:rFonts w:hint="eastAsia" w:ascii="宋体" w:hAnsi="宋体"/>
          <w:color w:val="auto"/>
          <w:highlight w:val="none"/>
        </w:rPr>
      </w:pPr>
    </w:p>
    <w:p w14:paraId="2115CBC3">
      <w:pPr>
        <w:adjustRightInd w:val="0"/>
        <w:snapToGrid w:val="0"/>
        <w:spacing w:line="460" w:lineRule="exact"/>
        <w:ind w:firstLine="420" w:firstLineChars="200"/>
        <w:rPr>
          <w:rFonts w:hint="eastAsia" w:ascii="宋体" w:hAnsi="宋体"/>
          <w:color w:val="auto"/>
          <w:highlight w:val="none"/>
        </w:rPr>
      </w:pPr>
    </w:p>
    <w:p w14:paraId="30FB8DF7">
      <w:pPr>
        <w:adjustRightInd w:val="0"/>
        <w:snapToGrid w:val="0"/>
        <w:spacing w:line="460" w:lineRule="exact"/>
        <w:ind w:firstLine="420" w:firstLineChars="200"/>
        <w:rPr>
          <w:rFonts w:hint="eastAsia" w:ascii="宋体" w:hAnsi="宋体"/>
          <w:color w:val="auto"/>
          <w:highlight w:val="none"/>
        </w:rPr>
      </w:pPr>
    </w:p>
    <w:p w14:paraId="7A4FB50D">
      <w:pPr>
        <w:adjustRightInd w:val="0"/>
        <w:snapToGrid w:val="0"/>
        <w:spacing w:line="460" w:lineRule="exact"/>
        <w:ind w:firstLine="420" w:firstLineChars="200"/>
        <w:rPr>
          <w:rFonts w:hint="eastAsia" w:ascii="宋体" w:hAnsi="宋体"/>
          <w:color w:val="auto"/>
          <w:highlight w:val="none"/>
        </w:rPr>
      </w:pPr>
    </w:p>
    <w:p w14:paraId="4A0F2FEC">
      <w:pPr>
        <w:adjustRightInd w:val="0"/>
        <w:snapToGrid w:val="0"/>
        <w:spacing w:line="460" w:lineRule="exact"/>
        <w:ind w:firstLine="420" w:firstLineChars="200"/>
        <w:rPr>
          <w:rFonts w:hint="eastAsia" w:ascii="宋体" w:hAnsi="宋体"/>
          <w:color w:val="auto"/>
          <w:highlight w:val="none"/>
        </w:rPr>
      </w:pPr>
    </w:p>
    <w:p w14:paraId="65AFC739">
      <w:pPr>
        <w:adjustRightInd w:val="0"/>
        <w:snapToGrid w:val="0"/>
        <w:spacing w:line="460" w:lineRule="exact"/>
        <w:ind w:firstLine="420" w:firstLineChars="200"/>
        <w:rPr>
          <w:rFonts w:hint="eastAsia" w:ascii="宋体" w:hAnsi="宋体"/>
          <w:color w:val="auto"/>
          <w:highlight w:val="none"/>
        </w:rPr>
      </w:pPr>
    </w:p>
    <w:p w14:paraId="628A985D">
      <w:pPr>
        <w:adjustRightInd w:val="0"/>
        <w:snapToGrid w:val="0"/>
        <w:spacing w:line="460" w:lineRule="exact"/>
        <w:ind w:firstLine="420" w:firstLineChars="200"/>
        <w:rPr>
          <w:rFonts w:hint="eastAsia" w:ascii="宋体" w:hAnsi="宋体"/>
          <w:color w:val="auto"/>
          <w:highlight w:val="none"/>
        </w:rPr>
      </w:pPr>
    </w:p>
    <w:p w14:paraId="5A6233EA">
      <w:pPr>
        <w:adjustRightInd w:val="0"/>
        <w:snapToGrid w:val="0"/>
        <w:spacing w:line="460" w:lineRule="exact"/>
        <w:ind w:firstLine="420" w:firstLineChars="200"/>
        <w:rPr>
          <w:rFonts w:hint="eastAsia" w:ascii="宋体" w:hAnsi="宋体"/>
          <w:color w:val="auto"/>
          <w:highlight w:val="none"/>
        </w:rPr>
      </w:pPr>
    </w:p>
    <w:p w14:paraId="17CD00C0">
      <w:pPr>
        <w:adjustRightInd w:val="0"/>
        <w:snapToGrid w:val="0"/>
        <w:spacing w:line="460" w:lineRule="exact"/>
        <w:ind w:firstLine="420" w:firstLineChars="200"/>
        <w:rPr>
          <w:rFonts w:hint="eastAsia" w:ascii="宋体" w:hAnsi="宋体"/>
          <w:color w:val="auto"/>
          <w:highlight w:val="none"/>
        </w:rPr>
      </w:pPr>
    </w:p>
    <w:p w14:paraId="4240635E">
      <w:pPr>
        <w:adjustRightInd w:val="0"/>
        <w:snapToGrid w:val="0"/>
        <w:spacing w:line="460" w:lineRule="exact"/>
        <w:ind w:firstLine="420" w:firstLineChars="200"/>
        <w:rPr>
          <w:rFonts w:hint="eastAsia" w:ascii="宋体" w:hAnsi="宋体"/>
          <w:color w:val="auto"/>
          <w:highlight w:val="none"/>
        </w:rPr>
      </w:pPr>
    </w:p>
    <w:p w14:paraId="71A69031">
      <w:pPr>
        <w:adjustRightInd w:val="0"/>
        <w:snapToGrid w:val="0"/>
        <w:spacing w:line="460" w:lineRule="exact"/>
        <w:ind w:firstLine="420" w:firstLineChars="200"/>
        <w:rPr>
          <w:rFonts w:hint="eastAsia" w:ascii="宋体" w:hAnsi="宋体"/>
          <w:color w:val="auto"/>
          <w:highlight w:val="none"/>
        </w:rPr>
      </w:pPr>
    </w:p>
    <w:p w14:paraId="1B0809DA">
      <w:pPr>
        <w:adjustRightInd w:val="0"/>
        <w:snapToGrid w:val="0"/>
        <w:spacing w:line="460" w:lineRule="exact"/>
        <w:ind w:firstLine="420" w:firstLineChars="200"/>
        <w:rPr>
          <w:rFonts w:hint="eastAsia" w:ascii="宋体" w:hAnsi="宋体"/>
          <w:color w:val="auto"/>
          <w:highlight w:val="none"/>
        </w:rPr>
      </w:pPr>
    </w:p>
    <w:p w14:paraId="6112182F">
      <w:pPr>
        <w:adjustRightInd w:val="0"/>
        <w:snapToGrid w:val="0"/>
        <w:spacing w:line="460" w:lineRule="exact"/>
        <w:ind w:firstLine="420" w:firstLineChars="200"/>
        <w:rPr>
          <w:rFonts w:hint="eastAsia" w:ascii="宋体" w:hAnsi="宋体"/>
          <w:color w:val="auto"/>
          <w:highlight w:val="none"/>
        </w:rPr>
      </w:pPr>
    </w:p>
    <w:p w14:paraId="604DB05D">
      <w:pPr>
        <w:adjustRightInd w:val="0"/>
        <w:snapToGrid w:val="0"/>
        <w:spacing w:line="460" w:lineRule="exact"/>
        <w:ind w:firstLine="420" w:firstLineChars="200"/>
        <w:rPr>
          <w:rFonts w:hint="eastAsia" w:ascii="宋体" w:hAnsi="宋体"/>
          <w:color w:val="auto"/>
          <w:highlight w:val="none"/>
        </w:rPr>
      </w:pPr>
    </w:p>
    <w:p w14:paraId="4C39257C">
      <w:pPr>
        <w:adjustRightInd w:val="0"/>
        <w:snapToGrid w:val="0"/>
        <w:spacing w:line="460" w:lineRule="exact"/>
        <w:ind w:firstLine="420" w:firstLineChars="200"/>
        <w:rPr>
          <w:rFonts w:hint="eastAsia" w:ascii="宋体" w:hAnsi="宋体"/>
          <w:color w:val="auto"/>
          <w:highlight w:val="none"/>
        </w:rPr>
      </w:pPr>
    </w:p>
    <w:p w14:paraId="70806BFC">
      <w:pPr>
        <w:adjustRightInd w:val="0"/>
        <w:snapToGrid w:val="0"/>
        <w:spacing w:line="460" w:lineRule="exact"/>
        <w:ind w:firstLine="420" w:firstLineChars="200"/>
        <w:rPr>
          <w:rFonts w:hint="eastAsia" w:ascii="宋体" w:hAnsi="宋体"/>
          <w:color w:val="auto"/>
          <w:highlight w:val="none"/>
        </w:rPr>
      </w:pPr>
    </w:p>
    <w:p w14:paraId="756BA1A8">
      <w:pPr>
        <w:adjustRightInd w:val="0"/>
        <w:snapToGrid w:val="0"/>
        <w:spacing w:line="460" w:lineRule="exact"/>
        <w:ind w:firstLine="420" w:firstLineChars="200"/>
        <w:rPr>
          <w:rFonts w:hint="eastAsia" w:ascii="宋体" w:hAnsi="宋体"/>
          <w:color w:val="auto"/>
          <w:highlight w:val="none"/>
        </w:rPr>
      </w:pPr>
    </w:p>
    <w:p w14:paraId="6194D4C5">
      <w:pPr>
        <w:adjustRightInd w:val="0"/>
        <w:snapToGrid w:val="0"/>
        <w:spacing w:line="460" w:lineRule="exact"/>
        <w:ind w:firstLine="420" w:firstLineChars="200"/>
        <w:rPr>
          <w:rFonts w:hint="eastAsia" w:ascii="宋体" w:hAnsi="宋体"/>
          <w:color w:val="auto"/>
          <w:highlight w:val="none"/>
        </w:rPr>
      </w:pPr>
    </w:p>
    <w:p w14:paraId="39FDF995">
      <w:pPr>
        <w:adjustRightInd w:val="0"/>
        <w:snapToGrid w:val="0"/>
        <w:spacing w:line="460" w:lineRule="exact"/>
        <w:ind w:firstLine="420" w:firstLineChars="200"/>
        <w:rPr>
          <w:rFonts w:hint="eastAsia" w:ascii="宋体" w:hAnsi="宋体"/>
          <w:color w:val="auto"/>
          <w:highlight w:val="none"/>
        </w:rPr>
      </w:pPr>
    </w:p>
    <w:p w14:paraId="6235958D">
      <w:pPr>
        <w:adjustRightInd w:val="0"/>
        <w:snapToGrid w:val="0"/>
        <w:spacing w:line="460" w:lineRule="exact"/>
        <w:ind w:firstLine="420" w:firstLineChars="200"/>
        <w:rPr>
          <w:rFonts w:hint="eastAsia" w:ascii="宋体" w:hAnsi="宋体"/>
          <w:color w:val="auto"/>
          <w:highlight w:val="none"/>
        </w:rPr>
      </w:pPr>
    </w:p>
    <w:p w14:paraId="3B0E452A">
      <w:pPr>
        <w:adjustRightInd w:val="0"/>
        <w:snapToGrid w:val="0"/>
        <w:spacing w:line="460" w:lineRule="exact"/>
        <w:ind w:firstLine="420" w:firstLineChars="200"/>
        <w:rPr>
          <w:rFonts w:hint="eastAsia" w:ascii="宋体" w:hAnsi="宋体"/>
          <w:color w:val="auto"/>
          <w:highlight w:val="none"/>
        </w:rPr>
      </w:pPr>
    </w:p>
    <w:p w14:paraId="7D4F6EB8">
      <w:pPr>
        <w:adjustRightInd w:val="0"/>
        <w:snapToGrid w:val="0"/>
        <w:spacing w:line="460" w:lineRule="exact"/>
        <w:ind w:firstLine="420" w:firstLineChars="200"/>
        <w:rPr>
          <w:rFonts w:hint="eastAsia" w:ascii="宋体" w:hAnsi="宋体"/>
          <w:color w:val="auto"/>
          <w:highlight w:val="none"/>
        </w:rPr>
      </w:pPr>
    </w:p>
    <w:p w14:paraId="68567CE7">
      <w:pPr>
        <w:adjustRightInd w:val="0"/>
        <w:snapToGrid w:val="0"/>
        <w:spacing w:line="460" w:lineRule="exact"/>
        <w:ind w:firstLine="420" w:firstLineChars="200"/>
        <w:rPr>
          <w:rFonts w:hint="eastAsia" w:ascii="宋体" w:hAnsi="宋体"/>
          <w:color w:val="auto"/>
          <w:highlight w:val="none"/>
        </w:rPr>
      </w:pPr>
    </w:p>
    <w:p w14:paraId="7F1E8506">
      <w:pPr>
        <w:adjustRightInd w:val="0"/>
        <w:snapToGrid w:val="0"/>
        <w:spacing w:line="460" w:lineRule="exact"/>
        <w:ind w:firstLine="420" w:firstLineChars="200"/>
        <w:rPr>
          <w:rFonts w:hint="eastAsia" w:ascii="宋体" w:hAnsi="宋体"/>
          <w:color w:val="auto"/>
          <w:highlight w:val="none"/>
        </w:rPr>
      </w:pPr>
    </w:p>
    <w:p w14:paraId="4E171908">
      <w:pPr>
        <w:adjustRightInd w:val="0"/>
        <w:snapToGrid w:val="0"/>
        <w:spacing w:line="460" w:lineRule="exact"/>
        <w:ind w:firstLine="420" w:firstLineChars="200"/>
        <w:rPr>
          <w:rFonts w:hint="eastAsia" w:ascii="宋体" w:hAnsi="宋体"/>
          <w:color w:val="auto"/>
          <w:highlight w:val="none"/>
        </w:rPr>
      </w:pPr>
    </w:p>
    <w:p w14:paraId="73A2DB81">
      <w:pPr>
        <w:pStyle w:val="2"/>
        <w:spacing w:before="120" w:after="120" w:line="480" w:lineRule="exact"/>
        <w:jc w:val="center"/>
        <w:rPr>
          <w:rFonts w:hint="eastAsia" w:ascii="黑体" w:eastAsia="黑体"/>
          <w:b w:val="0"/>
          <w:color w:val="auto"/>
          <w:sz w:val="24"/>
          <w:szCs w:val="24"/>
          <w:highlight w:val="none"/>
        </w:rPr>
      </w:pPr>
      <w:bookmarkStart w:id="80" w:name="_Toc25335"/>
      <w:bookmarkStart w:id="81" w:name="_Toc137705874"/>
      <w:bookmarkStart w:id="82" w:name="_Toc28978"/>
      <w:bookmarkStart w:id="83" w:name="_Toc12996"/>
      <w:bookmarkStart w:id="84" w:name="_Toc22000"/>
      <w:r>
        <w:rPr>
          <w:rFonts w:hint="eastAsia" w:ascii="黑体" w:eastAsia="黑体"/>
          <w:b w:val="0"/>
          <w:color w:val="auto"/>
          <w:sz w:val="24"/>
          <w:szCs w:val="24"/>
          <w:highlight w:val="none"/>
        </w:rPr>
        <w:t>第六章  投标技术文件一般要求</w:t>
      </w:r>
      <w:bookmarkEnd w:id="80"/>
      <w:bookmarkEnd w:id="81"/>
      <w:bookmarkEnd w:id="82"/>
      <w:bookmarkEnd w:id="83"/>
      <w:bookmarkEnd w:id="84"/>
    </w:p>
    <w:p w14:paraId="391F8877">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一、技术文件一般内容要求</w:t>
      </w:r>
    </w:p>
    <w:p w14:paraId="21084E8A">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1、投标方应认真阅读招标文件和本技术标书，并按要求编写投标技术文件。</w:t>
      </w:r>
    </w:p>
    <w:p w14:paraId="45E2DA0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2、投标技术文件至少应对投标设备的功能用途、技术性能、质量标准、技术参数等作出详细说明。</w:t>
      </w:r>
    </w:p>
    <w:p w14:paraId="130C1665">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3、投标技术文件至少应根据投标设备的关键设备、总成、零部件或系统作出优越性说明。</w:t>
      </w:r>
    </w:p>
    <w:p w14:paraId="457825E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4、投标技术文件至少应按照招标文件要求（或投标方建议）列明备品备件、易损件和专用耗材明细。</w:t>
      </w:r>
    </w:p>
    <w:p w14:paraId="0DD824A4">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5、投标方应当而且必须分别说明所列备品备件、易损件和专用耗材的使用寿命（以有效工作小时数说明）。</w:t>
      </w:r>
    </w:p>
    <w:p w14:paraId="0C11C83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6、投标的设备，应当根据其配置和备品备件、易损件、专用耗材情况，尽可能详细且分类填入下表：</w:t>
      </w:r>
    </w:p>
    <w:p w14:paraId="44E76AAE">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6.1  投标设备配置一览表：</w:t>
      </w:r>
    </w:p>
    <w:p w14:paraId="51120114">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投标货物配置一览表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411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48D51A3">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1924" w:type="dxa"/>
            <w:noWrap w:val="0"/>
            <w:vAlign w:val="top"/>
          </w:tcPr>
          <w:p w14:paraId="6BD37BB2">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名称</w:t>
            </w:r>
          </w:p>
        </w:tc>
        <w:tc>
          <w:tcPr>
            <w:tcW w:w="1236" w:type="dxa"/>
            <w:noWrap w:val="0"/>
            <w:vAlign w:val="top"/>
          </w:tcPr>
          <w:p w14:paraId="635C91EC">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型号规格</w:t>
            </w:r>
          </w:p>
        </w:tc>
        <w:tc>
          <w:tcPr>
            <w:tcW w:w="720" w:type="dxa"/>
            <w:noWrap w:val="0"/>
            <w:vAlign w:val="top"/>
          </w:tcPr>
          <w:p w14:paraId="1145FA5C">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单位</w:t>
            </w:r>
          </w:p>
        </w:tc>
        <w:tc>
          <w:tcPr>
            <w:tcW w:w="720" w:type="dxa"/>
            <w:noWrap w:val="0"/>
            <w:vAlign w:val="top"/>
          </w:tcPr>
          <w:p w14:paraId="711B6467">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数量</w:t>
            </w:r>
          </w:p>
        </w:tc>
        <w:tc>
          <w:tcPr>
            <w:tcW w:w="720" w:type="dxa"/>
            <w:noWrap w:val="0"/>
            <w:vAlign w:val="top"/>
          </w:tcPr>
          <w:p w14:paraId="0FCE072E">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单价</w:t>
            </w:r>
          </w:p>
        </w:tc>
        <w:tc>
          <w:tcPr>
            <w:tcW w:w="720" w:type="dxa"/>
            <w:noWrap w:val="0"/>
            <w:vAlign w:val="top"/>
          </w:tcPr>
          <w:p w14:paraId="1175B999">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总价</w:t>
            </w:r>
          </w:p>
        </w:tc>
        <w:tc>
          <w:tcPr>
            <w:tcW w:w="2235" w:type="dxa"/>
            <w:noWrap w:val="0"/>
            <w:vAlign w:val="top"/>
          </w:tcPr>
          <w:p w14:paraId="38C5F90F">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制造商</w:t>
            </w:r>
          </w:p>
        </w:tc>
      </w:tr>
      <w:tr w14:paraId="6EF9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1D6F296">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020FBAC4">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0E4449D">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05DABE9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83555C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9D45FC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5783B09">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652EE54B">
            <w:pPr>
              <w:adjustRightInd w:val="0"/>
              <w:snapToGrid w:val="0"/>
              <w:spacing w:line="360" w:lineRule="exact"/>
              <w:rPr>
                <w:rFonts w:hint="eastAsia" w:ascii="宋体" w:hAnsi="宋体"/>
                <w:color w:val="auto"/>
                <w:sz w:val="24"/>
                <w:szCs w:val="24"/>
                <w:highlight w:val="none"/>
              </w:rPr>
            </w:pPr>
          </w:p>
        </w:tc>
      </w:tr>
      <w:tr w14:paraId="6475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5ED33AD">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B5110C5">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1DED331">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7A978A88">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34435CE">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DE4AA3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DBAA91F">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009235A">
            <w:pPr>
              <w:adjustRightInd w:val="0"/>
              <w:snapToGrid w:val="0"/>
              <w:spacing w:line="360" w:lineRule="exact"/>
              <w:rPr>
                <w:rFonts w:hint="eastAsia" w:ascii="宋体" w:hAnsi="宋体"/>
                <w:color w:val="auto"/>
                <w:sz w:val="24"/>
                <w:szCs w:val="24"/>
                <w:highlight w:val="none"/>
              </w:rPr>
            </w:pPr>
          </w:p>
        </w:tc>
      </w:tr>
      <w:tr w14:paraId="36BB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C79EC6">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1C51C222">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4F566122">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740291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E78579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19F3AD8">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5126BAE">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2AA371B7">
            <w:pPr>
              <w:adjustRightInd w:val="0"/>
              <w:snapToGrid w:val="0"/>
              <w:spacing w:line="360" w:lineRule="exact"/>
              <w:rPr>
                <w:rFonts w:hint="eastAsia" w:ascii="宋体" w:hAnsi="宋体"/>
                <w:color w:val="auto"/>
                <w:sz w:val="24"/>
                <w:szCs w:val="24"/>
                <w:highlight w:val="none"/>
              </w:rPr>
            </w:pPr>
          </w:p>
        </w:tc>
      </w:tr>
      <w:tr w14:paraId="0111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608271F">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5848D6F">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76E5F5A9">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79293E5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6E35761">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E0323D5">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ABDAE4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9CB29AC">
            <w:pPr>
              <w:adjustRightInd w:val="0"/>
              <w:snapToGrid w:val="0"/>
              <w:spacing w:line="360" w:lineRule="exact"/>
              <w:rPr>
                <w:rFonts w:hint="eastAsia" w:ascii="宋体" w:hAnsi="宋体"/>
                <w:color w:val="auto"/>
                <w:sz w:val="24"/>
                <w:szCs w:val="24"/>
                <w:highlight w:val="none"/>
              </w:rPr>
            </w:pPr>
          </w:p>
        </w:tc>
      </w:tr>
      <w:tr w14:paraId="5FB9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5F8DB48">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0EFCB78A">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312C27AE">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E596A7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99EA360">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C22008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1F44284">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18C14181">
            <w:pPr>
              <w:adjustRightInd w:val="0"/>
              <w:snapToGrid w:val="0"/>
              <w:spacing w:line="360" w:lineRule="exact"/>
              <w:rPr>
                <w:rFonts w:hint="eastAsia" w:ascii="宋体" w:hAnsi="宋体"/>
                <w:color w:val="auto"/>
                <w:sz w:val="24"/>
                <w:szCs w:val="24"/>
                <w:highlight w:val="none"/>
              </w:rPr>
            </w:pPr>
          </w:p>
        </w:tc>
      </w:tr>
      <w:tr w14:paraId="3008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5A4D42E">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2D685C5A">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0CC4E041">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601735B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B178801">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327C2B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71E8BD3">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05880F77">
            <w:pPr>
              <w:adjustRightInd w:val="0"/>
              <w:snapToGrid w:val="0"/>
              <w:spacing w:line="360" w:lineRule="exact"/>
              <w:rPr>
                <w:rFonts w:hint="eastAsia" w:ascii="宋体" w:hAnsi="宋体"/>
                <w:color w:val="auto"/>
                <w:sz w:val="24"/>
                <w:szCs w:val="24"/>
                <w:highlight w:val="none"/>
              </w:rPr>
            </w:pPr>
          </w:p>
        </w:tc>
      </w:tr>
    </w:tbl>
    <w:p w14:paraId="6148D40C">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6.2  备品备件、易损件和专用耗材明细表：</w:t>
      </w:r>
    </w:p>
    <w:p w14:paraId="6F54B84E">
      <w:pPr>
        <w:adjustRightInd w:val="0"/>
        <w:snapToGrid w:val="0"/>
        <w:spacing w:line="460" w:lineRule="exact"/>
        <w:ind w:firstLine="2160" w:firstLineChars="900"/>
        <w:rPr>
          <w:rFonts w:hint="eastAsia" w:ascii="宋体" w:hAnsi="宋体"/>
          <w:color w:val="auto"/>
          <w:sz w:val="24"/>
          <w:szCs w:val="24"/>
          <w:highlight w:val="none"/>
        </w:rPr>
      </w:pPr>
      <w:r>
        <w:rPr>
          <w:rFonts w:hint="eastAsia" w:ascii="宋体" w:hAnsi="宋体"/>
          <w:color w:val="auto"/>
          <w:sz w:val="24"/>
          <w:szCs w:val="24"/>
          <w:highlight w:val="none"/>
        </w:rPr>
        <w:t>备品备件、易损件和专用耗材明细表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E0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181C180">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1924" w:type="dxa"/>
            <w:noWrap w:val="0"/>
            <w:vAlign w:val="top"/>
          </w:tcPr>
          <w:p w14:paraId="733B4852">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名称</w:t>
            </w:r>
          </w:p>
        </w:tc>
        <w:tc>
          <w:tcPr>
            <w:tcW w:w="1236" w:type="dxa"/>
            <w:noWrap w:val="0"/>
            <w:vAlign w:val="top"/>
          </w:tcPr>
          <w:p w14:paraId="0DB8C94D">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型号规格</w:t>
            </w:r>
          </w:p>
        </w:tc>
        <w:tc>
          <w:tcPr>
            <w:tcW w:w="720" w:type="dxa"/>
            <w:noWrap w:val="0"/>
            <w:vAlign w:val="top"/>
          </w:tcPr>
          <w:p w14:paraId="3EFBE979">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单位</w:t>
            </w:r>
          </w:p>
        </w:tc>
        <w:tc>
          <w:tcPr>
            <w:tcW w:w="720" w:type="dxa"/>
            <w:noWrap w:val="0"/>
            <w:vAlign w:val="top"/>
          </w:tcPr>
          <w:p w14:paraId="4E883E73">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数量</w:t>
            </w:r>
          </w:p>
        </w:tc>
        <w:tc>
          <w:tcPr>
            <w:tcW w:w="720" w:type="dxa"/>
            <w:noWrap w:val="0"/>
            <w:vAlign w:val="top"/>
          </w:tcPr>
          <w:p w14:paraId="78142CCB">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单价</w:t>
            </w:r>
          </w:p>
        </w:tc>
        <w:tc>
          <w:tcPr>
            <w:tcW w:w="720" w:type="dxa"/>
            <w:noWrap w:val="0"/>
            <w:vAlign w:val="top"/>
          </w:tcPr>
          <w:p w14:paraId="005CBF7E">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总价</w:t>
            </w:r>
          </w:p>
        </w:tc>
        <w:tc>
          <w:tcPr>
            <w:tcW w:w="2235" w:type="dxa"/>
            <w:noWrap w:val="0"/>
            <w:vAlign w:val="top"/>
          </w:tcPr>
          <w:p w14:paraId="5C558686">
            <w:pPr>
              <w:adjustRightInd w:val="0"/>
              <w:snapToGrid w:val="0"/>
              <w:spacing w:line="360" w:lineRule="exact"/>
              <w:jc w:val="center"/>
              <w:rPr>
                <w:rFonts w:hint="eastAsia" w:ascii="宋体" w:hAnsi="宋体"/>
                <w:color w:val="auto"/>
                <w:sz w:val="24"/>
                <w:szCs w:val="24"/>
                <w:highlight w:val="none"/>
              </w:rPr>
            </w:pPr>
            <w:r>
              <w:rPr>
                <w:rFonts w:hint="eastAsia" w:ascii="宋体" w:hAnsi="宋体"/>
                <w:color w:val="auto"/>
                <w:sz w:val="24"/>
                <w:szCs w:val="24"/>
                <w:highlight w:val="none"/>
              </w:rPr>
              <w:t>制造商</w:t>
            </w:r>
          </w:p>
        </w:tc>
      </w:tr>
      <w:tr w14:paraId="3231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72AB92E">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6A6272E9">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2A78D5D4">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77C9582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9EC7C53">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CFF71F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FAA80F2">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6F2FA562">
            <w:pPr>
              <w:adjustRightInd w:val="0"/>
              <w:snapToGrid w:val="0"/>
              <w:spacing w:line="360" w:lineRule="exact"/>
              <w:rPr>
                <w:rFonts w:hint="eastAsia" w:ascii="宋体" w:hAnsi="宋体"/>
                <w:color w:val="auto"/>
                <w:sz w:val="24"/>
                <w:szCs w:val="24"/>
                <w:highlight w:val="none"/>
              </w:rPr>
            </w:pPr>
          </w:p>
        </w:tc>
      </w:tr>
      <w:tr w14:paraId="0800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00C1725">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B7A429A">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4EFD700D">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50742739">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D615668">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86CB228">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2EC8C1A">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3530CE34">
            <w:pPr>
              <w:adjustRightInd w:val="0"/>
              <w:snapToGrid w:val="0"/>
              <w:spacing w:line="360" w:lineRule="exact"/>
              <w:rPr>
                <w:rFonts w:hint="eastAsia" w:ascii="宋体" w:hAnsi="宋体"/>
                <w:color w:val="auto"/>
                <w:sz w:val="24"/>
                <w:szCs w:val="24"/>
                <w:highlight w:val="none"/>
              </w:rPr>
            </w:pPr>
          </w:p>
        </w:tc>
      </w:tr>
      <w:tr w14:paraId="043D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6C022C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4E456FD2">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468463F1">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0C31B754">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FAF7CE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68EB2BDF">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E1B8548">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9EC8A88">
            <w:pPr>
              <w:adjustRightInd w:val="0"/>
              <w:snapToGrid w:val="0"/>
              <w:spacing w:line="360" w:lineRule="exact"/>
              <w:rPr>
                <w:rFonts w:hint="eastAsia" w:ascii="宋体" w:hAnsi="宋体"/>
                <w:color w:val="auto"/>
                <w:sz w:val="24"/>
                <w:szCs w:val="24"/>
                <w:highlight w:val="none"/>
              </w:rPr>
            </w:pPr>
          </w:p>
        </w:tc>
      </w:tr>
      <w:tr w14:paraId="61BE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E0605F3">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627CA648">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4E9B833">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0916A242">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22AC142C">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5CD1C88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3F50447">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E3F640D">
            <w:pPr>
              <w:adjustRightInd w:val="0"/>
              <w:snapToGrid w:val="0"/>
              <w:spacing w:line="360" w:lineRule="exact"/>
              <w:rPr>
                <w:rFonts w:hint="eastAsia" w:ascii="宋体" w:hAnsi="宋体"/>
                <w:color w:val="auto"/>
                <w:sz w:val="24"/>
                <w:szCs w:val="24"/>
                <w:highlight w:val="none"/>
              </w:rPr>
            </w:pPr>
          </w:p>
        </w:tc>
      </w:tr>
      <w:tr w14:paraId="1B38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9998B8A">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560D9E8C">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51F25FA9">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4C7DF39B">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F527673">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4BE1077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0F9926CD">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4025DEEF">
            <w:pPr>
              <w:adjustRightInd w:val="0"/>
              <w:snapToGrid w:val="0"/>
              <w:spacing w:line="360" w:lineRule="exact"/>
              <w:rPr>
                <w:rFonts w:hint="eastAsia" w:ascii="宋体" w:hAnsi="宋体"/>
                <w:color w:val="auto"/>
                <w:sz w:val="24"/>
                <w:szCs w:val="24"/>
                <w:highlight w:val="none"/>
              </w:rPr>
            </w:pPr>
          </w:p>
        </w:tc>
      </w:tr>
      <w:tr w14:paraId="1B57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98F6BF6">
            <w:pPr>
              <w:adjustRightInd w:val="0"/>
              <w:snapToGrid w:val="0"/>
              <w:spacing w:line="360" w:lineRule="exact"/>
              <w:jc w:val="center"/>
              <w:rPr>
                <w:rFonts w:hint="eastAsia" w:ascii="宋体" w:hAnsi="宋体"/>
                <w:color w:val="auto"/>
                <w:sz w:val="24"/>
                <w:szCs w:val="24"/>
                <w:highlight w:val="none"/>
              </w:rPr>
            </w:pPr>
          </w:p>
        </w:tc>
        <w:tc>
          <w:tcPr>
            <w:tcW w:w="1924" w:type="dxa"/>
            <w:noWrap w:val="0"/>
            <w:vAlign w:val="top"/>
          </w:tcPr>
          <w:p w14:paraId="7FD4A800">
            <w:pPr>
              <w:adjustRightInd w:val="0"/>
              <w:snapToGrid w:val="0"/>
              <w:spacing w:line="360" w:lineRule="exact"/>
              <w:rPr>
                <w:rFonts w:hint="eastAsia" w:ascii="宋体" w:hAnsi="宋体"/>
                <w:color w:val="auto"/>
                <w:sz w:val="24"/>
                <w:szCs w:val="24"/>
                <w:highlight w:val="none"/>
              </w:rPr>
            </w:pPr>
          </w:p>
        </w:tc>
        <w:tc>
          <w:tcPr>
            <w:tcW w:w="1236" w:type="dxa"/>
            <w:noWrap w:val="0"/>
            <w:vAlign w:val="top"/>
          </w:tcPr>
          <w:p w14:paraId="1F84D33C">
            <w:pPr>
              <w:adjustRightInd w:val="0"/>
              <w:snapToGrid w:val="0"/>
              <w:spacing w:line="360" w:lineRule="exact"/>
              <w:rPr>
                <w:rFonts w:hint="eastAsia" w:ascii="宋体" w:hAnsi="宋体"/>
                <w:color w:val="auto"/>
                <w:sz w:val="24"/>
                <w:szCs w:val="24"/>
                <w:highlight w:val="none"/>
              </w:rPr>
            </w:pPr>
          </w:p>
        </w:tc>
        <w:tc>
          <w:tcPr>
            <w:tcW w:w="720" w:type="dxa"/>
            <w:noWrap w:val="0"/>
            <w:vAlign w:val="top"/>
          </w:tcPr>
          <w:p w14:paraId="3FDB3F67">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772C78CD">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17B83380">
            <w:pPr>
              <w:adjustRightInd w:val="0"/>
              <w:snapToGrid w:val="0"/>
              <w:spacing w:line="360" w:lineRule="exact"/>
              <w:jc w:val="center"/>
              <w:rPr>
                <w:rFonts w:hint="eastAsia" w:ascii="宋体" w:hAnsi="宋体"/>
                <w:color w:val="auto"/>
                <w:sz w:val="24"/>
                <w:szCs w:val="24"/>
                <w:highlight w:val="none"/>
              </w:rPr>
            </w:pPr>
          </w:p>
        </w:tc>
        <w:tc>
          <w:tcPr>
            <w:tcW w:w="720" w:type="dxa"/>
            <w:noWrap w:val="0"/>
            <w:vAlign w:val="top"/>
          </w:tcPr>
          <w:p w14:paraId="343D3F7C">
            <w:pPr>
              <w:adjustRightInd w:val="0"/>
              <w:snapToGrid w:val="0"/>
              <w:spacing w:line="360" w:lineRule="exact"/>
              <w:jc w:val="center"/>
              <w:rPr>
                <w:rFonts w:hint="eastAsia" w:ascii="宋体" w:hAnsi="宋体"/>
                <w:color w:val="auto"/>
                <w:sz w:val="24"/>
                <w:szCs w:val="24"/>
                <w:highlight w:val="none"/>
              </w:rPr>
            </w:pPr>
          </w:p>
        </w:tc>
        <w:tc>
          <w:tcPr>
            <w:tcW w:w="2235" w:type="dxa"/>
            <w:noWrap w:val="0"/>
            <w:vAlign w:val="top"/>
          </w:tcPr>
          <w:p w14:paraId="5688EEA7">
            <w:pPr>
              <w:adjustRightInd w:val="0"/>
              <w:snapToGrid w:val="0"/>
              <w:spacing w:line="360" w:lineRule="exact"/>
              <w:rPr>
                <w:rFonts w:hint="eastAsia" w:ascii="宋体" w:hAnsi="宋体"/>
                <w:color w:val="auto"/>
                <w:sz w:val="24"/>
                <w:szCs w:val="24"/>
                <w:highlight w:val="none"/>
              </w:rPr>
            </w:pPr>
          </w:p>
        </w:tc>
      </w:tr>
    </w:tbl>
    <w:p w14:paraId="07869D6A">
      <w:pPr>
        <w:adjustRightInd w:val="0"/>
        <w:snapToGrid w:val="0"/>
        <w:spacing w:line="360" w:lineRule="exact"/>
        <w:ind w:firstLine="480" w:firstLineChars="200"/>
        <w:rPr>
          <w:rFonts w:hint="eastAsia" w:ascii="宋体" w:hAnsi="宋体"/>
          <w:color w:val="auto"/>
          <w:sz w:val="24"/>
          <w:szCs w:val="24"/>
          <w:highlight w:val="none"/>
        </w:rPr>
      </w:pPr>
    </w:p>
    <w:p w14:paraId="5DE7E508">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6.3  “一览表”和“明细表”仅作为投标方编制投标技术文件的一般格式。其中序号编写应当便于招标方了解分类或分项货物之间的所属关系，如1、1.1、1.2。</w:t>
      </w:r>
    </w:p>
    <w:p w14:paraId="354396C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6.4  应当尽可能将设备的配置列全、列细，这将有助于投标方胜出。</w:t>
      </w:r>
    </w:p>
    <w:p w14:paraId="70037995">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6.5  单价与总价之间、总价与分类小计价之间、分类小计价与合计价之间数据应当齐全而且准确。</w:t>
      </w:r>
    </w:p>
    <w:p w14:paraId="2F6B3CE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6.6  本条款表格中的制造商，应当为全称或公认的简称。</w:t>
      </w:r>
    </w:p>
    <w:p w14:paraId="3913A8C2">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二、技术文件中设备报价格式要求</w:t>
      </w:r>
    </w:p>
    <w:p w14:paraId="1F651B8E">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04602EEA">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34D5656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3、如果投标总报价与其它价格出现错误或不一致，将有可能导致废标。</w:t>
      </w:r>
    </w:p>
    <w:p w14:paraId="63566EF5">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4、投标总报价为自合同签定生效至合同无异议执行完毕涉及的招标方需要支付的全部费用。如投标方认为本招标及投标设备涉及专门的设计，应当列明设计费。</w:t>
      </w:r>
    </w:p>
    <w:p w14:paraId="5A3958A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5、备品备件、易损件和专用耗材，招标方将可能与投标方按照投标价格另行签署供货合同。</w:t>
      </w:r>
    </w:p>
    <w:p w14:paraId="724B658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6、要求投标总报价、分项报价、明细报价之间应当具有相互间对应关系以及填报分项和明细报价，仅为便于评标而不妨碍投标人以最合适的形式签署合同。</w:t>
      </w:r>
    </w:p>
    <w:p w14:paraId="325F1023">
      <w:pPr>
        <w:adjustRightInd w:val="0"/>
        <w:snapToGrid w:val="0"/>
        <w:spacing w:line="46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三、验收标准及内容要求</w:t>
      </w:r>
    </w:p>
    <w:p w14:paraId="722C2330">
      <w:pPr>
        <w:adjustRightInd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338B5E65">
      <w:pPr>
        <w:pStyle w:val="2"/>
        <w:spacing w:before="120" w:after="120" w:line="480" w:lineRule="exact"/>
        <w:jc w:val="center"/>
        <w:rPr>
          <w:rFonts w:hint="eastAsia" w:ascii="黑体" w:eastAsia="黑体"/>
          <w:b w:val="0"/>
          <w:color w:val="auto"/>
          <w:sz w:val="24"/>
          <w:szCs w:val="24"/>
          <w:highlight w:val="none"/>
        </w:rPr>
      </w:pPr>
      <w:r>
        <w:rPr>
          <w:rFonts w:ascii="宋体" w:hAnsi="宋体"/>
          <w:color w:val="auto"/>
          <w:sz w:val="24"/>
          <w:szCs w:val="24"/>
          <w:highlight w:val="none"/>
        </w:rPr>
        <w:br w:type="page"/>
      </w:r>
      <w:bookmarkStart w:id="85" w:name="_Toc5388"/>
      <w:bookmarkStart w:id="86" w:name="_Toc137705875"/>
      <w:bookmarkStart w:id="87" w:name="_Toc31849"/>
      <w:bookmarkStart w:id="88" w:name="_Toc15099"/>
      <w:bookmarkStart w:id="89" w:name="_Toc6037"/>
      <w:r>
        <w:rPr>
          <w:rFonts w:hint="eastAsia" w:ascii="黑体" w:eastAsia="黑体"/>
          <w:b w:val="0"/>
          <w:color w:val="auto"/>
          <w:sz w:val="24"/>
          <w:szCs w:val="24"/>
          <w:highlight w:val="none"/>
        </w:rPr>
        <w:t>第七章  其它要求及说明</w:t>
      </w:r>
      <w:bookmarkEnd w:id="85"/>
      <w:bookmarkEnd w:id="86"/>
      <w:bookmarkEnd w:id="87"/>
      <w:bookmarkEnd w:id="88"/>
      <w:bookmarkEnd w:id="89"/>
    </w:p>
    <w:p w14:paraId="32E33D61">
      <w:pPr>
        <w:spacing w:line="480" w:lineRule="exact"/>
        <w:ind w:firstLine="480" w:firstLineChars="200"/>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一、要求</w:t>
      </w:r>
    </w:p>
    <w:p w14:paraId="1A5AD7A7">
      <w:pPr>
        <w:pStyle w:val="20"/>
        <w:rPr>
          <w:rFonts w:hint="eastAsia"/>
          <w:color w:val="auto"/>
          <w:sz w:val="24"/>
          <w:szCs w:val="24"/>
          <w:highlight w:val="none"/>
        </w:rPr>
      </w:pPr>
      <w:r>
        <w:rPr>
          <w:rFonts w:hint="eastAsia"/>
          <w:color w:val="auto"/>
          <w:sz w:val="24"/>
          <w:szCs w:val="24"/>
          <w:highlight w:val="none"/>
        </w:rPr>
        <w:t>为保证本技术标书所列采购设备的质量以及先进性、可靠性、经济性和实用性，要求投标方在投标文件中，至少应具备以下资格证明文件或资料：</w:t>
      </w:r>
    </w:p>
    <w:p w14:paraId="0F54713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72FA3B37">
      <w:pPr>
        <w:spacing w:line="520" w:lineRule="exact"/>
        <w:ind w:firstLine="477" w:firstLineChars="199"/>
        <w:rPr>
          <w:rFonts w:hint="eastAsia"/>
          <w:color w:val="auto"/>
          <w:sz w:val="24"/>
          <w:szCs w:val="24"/>
          <w:highlight w:val="none"/>
        </w:rPr>
      </w:pPr>
      <w:r>
        <w:rPr>
          <w:rFonts w:hint="eastAsia" w:ascii="宋体" w:hAnsi="宋体"/>
          <w:color w:val="auto"/>
          <w:sz w:val="24"/>
          <w:szCs w:val="24"/>
          <w:highlight w:val="none"/>
        </w:rPr>
        <w:t>2、投标方应当是通过有关资格认证的法人。应当在投标文件中提供有效期内的资格认证证</w:t>
      </w:r>
      <w:r>
        <w:rPr>
          <w:rFonts w:hint="eastAsia"/>
          <w:color w:val="auto"/>
          <w:sz w:val="24"/>
          <w:szCs w:val="24"/>
          <w:highlight w:val="none"/>
        </w:rPr>
        <w:t>书，如：ISO9001、VDA6.1、QS9000等。</w:t>
      </w:r>
    </w:p>
    <w:p w14:paraId="21B94022">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3、国产设备应附有采购设备涉及的由“中国质量认证中心”颁发的《中国国家强制性产品认证证书》（CCC证书）。</w:t>
      </w:r>
    </w:p>
    <w:p w14:paraId="0D126842">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4、应附有其它与投标单位、采购货物有关的荣誉证书或资料。</w:t>
      </w:r>
    </w:p>
    <w:p w14:paraId="261B252E">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5、必须附有投标货物涉及产品要求的、国家或行业管理规定要求的、或者投标方认为能够体现其投标货物合法性及先进性的最高级别的证明材料（投标货物不涉及的除外）：</w:t>
      </w:r>
    </w:p>
    <w:p w14:paraId="0545D987">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5.1  国家相关机构颁发的有效期之内所必需的《生产许可证》。</w:t>
      </w:r>
    </w:p>
    <w:p w14:paraId="00827879">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5.2  产品（或技术）鉴定报告/证书、专利证书或专利许可证书、新技术成果证书等。</w:t>
      </w:r>
    </w:p>
    <w:p w14:paraId="0A6A3FBC">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5.3  产品相关检验、试验报告，如：型式试验检验报告、安全试验检验报告、电弧效应试验报告、噪声检测报告等</w:t>
      </w:r>
    </w:p>
    <w:p w14:paraId="296BD9EE">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5.4  其它能够证明所供设备的质量水平、技术水平、安全性水平、节能性水平、环保性水平等相关的其它证明文件或资料、报告等。</w:t>
      </w:r>
    </w:p>
    <w:p w14:paraId="16B55F88">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5.5  该类报告或证明材料对于投标方胜出乃至中标极为重要！</w:t>
      </w:r>
    </w:p>
    <w:p w14:paraId="1AE30EDA">
      <w:pPr>
        <w:spacing w:line="520" w:lineRule="exact"/>
        <w:ind w:firstLine="477" w:firstLineChars="199"/>
        <w:rPr>
          <w:rFonts w:hint="eastAsia" w:ascii="宋体" w:hAnsi="宋体"/>
          <w:color w:val="auto"/>
          <w:sz w:val="24"/>
          <w:szCs w:val="24"/>
          <w:highlight w:val="none"/>
        </w:rPr>
      </w:pPr>
      <w:r>
        <w:rPr>
          <w:rFonts w:hint="eastAsia" w:ascii="宋体" w:hAnsi="宋体"/>
          <w:color w:val="auto"/>
          <w:sz w:val="24"/>
          <w:szCs w:val="24"/>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7166F69A">
      <w:pPr>
        <w:spacing w:line="520" w:lineRule="exact"/>
        <w:ind w:firstLine="477" w:firstLineChars="199"/>
        <w:rPr>
          <w:rFonts w:hint="eastAsia" w:ascii="黑体" w:hAnsi="宋体" w:eastAsia="黑体"/>
          <w:color w:val="auto"/>
          <w:sz w:val="24"/>
          <w:szCs w:val="24"/>
          <w:highlight w:val="none"/>
        </w:rPr>
      </w:pPr>
      <w:r>
        <w:rPr>
          <w:rFonts w:hint="eastAsia" w:ascii="黑体" w:hAnsi="宋体" w:eastAsia="黑体"/>
          <w:color w:val="auto"/>
          <w:sz w:val="24"/>
          <w:szCs w:val="24"/>
          <w:highlight w:val="none"/>
        </w:rPr>
        <w:t>二、说明</w:t>
      </w:r>
    </w:p>
    <w:p w14:paraId="7F12D0F3">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06A88AF1">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2、即使有建议意见或建议方案，仍应依据招标文件和本技术标书要求，编写符合要求的投标文件。建议方案或建议意见，应以单独篇章或文件，予以说明。</w:t>
      </w:r>
    </w:p>
    <w:p w14:paraId="439D446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180AC376">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4、招标文件、投标文件、答疑文件、技术交流文件、技术协议书等，在采购过程全部为有效文件，如有差异，以对招标方最有利的条款为准。</w:t>
      </w:r>
    </w:p>
    <w:p w14:paraId="73CC8DBB">
      <w:pPr>
        <w:spacing w:line="4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5、为避免歧异，本技术标书涉及招投标环节的条款，均将潜在的卖方称为投标方、将买方称为招标方；定标后合同签署环节以及后续的合同执行环节条款，招标方称为买方、投标方中的中标方称为卖方。</w:t>
      </w:r>
    </w:p>
    <w:p w14:paraId="1D2AF15B">
      <w:pPr>
        <w:adjustRightInd w:val="0"/>
        <w:snapToGrid w:val="0"/>
        <w:spacing w:line="360" w:lineRule="auto"/>
        <w:rPr>
          <w:rFonts w:ascii="宋体" w:hAnsi="宋体" w:eastAsia="宋体" w:cs="宋体"/>
          <w:sz w:val="24"/>
          <w:szCs w:val="24"/>
          <w:highlight w:val="none"/>
        </w:rPr>
      </w:pPr>
    </w:p>
    <w:p w14:paraId="361D7EF3">
      <w:pPr>
        <w:adjustRightInd w:val="0"/>
        <w:snapToGrid w:val="0"/>
        <w:spacing w:line="360" w:lineRule="auto"/>
        <w:ind w:firstLine="480" w:firstLineChars="200"/>
        <w:rPr>
          <w:rFonts w:ascii="宋体" w:hAnsi="宋体" w:eastAsia="宋体" w:cs="宋体"/>
          <w:sz w:val="24"/>
          <w:szCs w:val="24"/>
          <w:highlight w:val="none"/>
        </w:rPr>
      </w:pPr>
    </w:p>
    <w:p w14:paraId="249BF836">
      <w:pPr>
        <w:adjustRightInd w:val="0"/>
        <w:snapToGrid w:val="0"/>
        <w:spacing w:line="360" w:lineRule="auto"/>
        <w:ind w:firstLine="480" w:firstLineChars="200"/>
        <w:rPr>
          <w:rFonts w:ascii="宋体" w:hAnsi="宋体" w:eastAsia="宋体" w:cs="宋体"/>
          <w:sz w:val="24"/>
          <w:szCs w:val="24"/>
          <w:highlight w:val="none"/>
        </w:rPr>
      </w:pPr>
    </w:p>
    <w:p w14:paraId="0E8DF17C">
      <w:pPr>
        <w:adjustRightInd w:val="0"/>
        <w:snapToGrid w:val="0"/>
        <w:spacing w:line="360" w:lineRule="auto"/>
        <w:ind w:firstLine="480" w:firstLineChars="200"/>
        <w:rPr>
          <w:rFonts w:ascii="宋体" w:hAnsi="宋体" w:eastAsia="宋体" w:cs="宋体"/>
          <w:sz w:val="24"/>
          <w:szCs w:val="24"/>
          <w:highlight w:val="none"/>
        </w:rPr>
      </w:pPr>
    </w:p>
    <w:p w14:paraId="7675C88F">
      <w:pPr>
        <w:adjustRightInd w:val="0"/>
        <w:snapToGrid w:val="0"/>
        <w:spacing w:line="360" w:lineRule="auto"/>
        <w:ind w:firstLine="480" w:firstLineChars="200"/>
        <w:rPr>
          <w:rFonts w:ascii="宋体" w:hAnsi="宋体" w:eastAsia="宋体" w:cs="宋体"/>
          <w:sz w:val="24"/>
          <w:szCs w:val="24"/>
          <w:highlight w:val="none"/>
        </w:rPr>
      </w:pPr>
    </w:p>
    <w:p w14:paraId="1F9BFDBA">
      <w:pPr>
        <w:adjustRightInd w:val="0"/>
        <w:snapToGrid w:val="0"/>
        <w:spacing w:line="360" w:lineRule="auto"/>
        <w:ind w:firstLine="480" w:firstLineChars="200"/>
        <w:rPr>
          <w:rFonts w:ascii="宋体" w:hAnsi="宋体" w:eastAsia="宋体" w:cs="宋体"/>
          <w:sz w:val="24"/>
          <w:szCs w:val="24"/>
          <w:highlight w:val="none"/>
        </w:rPr>
      </w:pPr>
    </w:p>
    <w:p w14:paraId="3E619213">
      <w:pPr>
        <w:adjustRightInd w:val="0"/>
        <w:snapToGrid w:val="0"/>
        <w:spacing w:line="360" w:lineRule="auto"/>
        <w:ind w:firstLine="480" w:firstLineChars="200"/>
        <w:rPr>
          <w:rFonts w:ascii="宋体" w:hAnsi="宋体" w:eastAsia="宋体" w:cs="宋体"/>
          <w:sz w:val="24"/>
          <w:szCs w:val="24"/>
          <w:highlight w:val="none"/>
        </w:rPr>
      </w:pPr>
    </w:p>
    <w:p w14:paraId="402DC402">
      <w:pPr>
        <w:adjustRightInd w:val="0"/>
        <w:snapToGrid w:val="0"/>
        <w:spacing w:line="360" w:lineRule="auto"/>
        <w:ind w:firstLine="480" w:firstLineChars="200"/>
        <w:rPr>
          <w:rFonts w:ascii="宋体" w:hAnsi="宋体" w:eastAsia="宋体" w:cs="宋体"/>
          <w:sz w:val="24"/>
          <w:szCs w:val="24"/>
          <w:highlight w:val="none"/>
        </w:rPr>
      </w:pPr>
    </w:p>
    <w:p w14:paraId="36C56A27">
      <w:pPr>
        <w:adjustRightInd w:val="0"/>
        <w:snapToGrid w:val="0"/>
        <w:spacing w:line="360" w:lineRule="auto"/>
        <w:ind w:firstLine="480" w:firstLineChars="200"/>
        <w:rPr>
          <w:rFonts w:ascii="宋体" w:hAnsi="宋体" w:eastAsia="宋体" w:cs="宋体"/>
          <w:sz w:val="24"/>
          <w:szCs w:val="24"/>
          <w:highlight w:val="none"/>
        </w:rPr>
      </w:pPr>
    </w:p>
    <w:p w14:paraId="4E862373">
      <w:pPr>
        <w:adjustRightInd w:val="0"/>
        <w:snapToGrid w:val="0"/>
        <w:spacing w:line="360" w:lineRule="auto"/>
        <w:ind w:firstLine="480" w:firstLineChars="200"/>
        <w:rPr>
          <w:rFonts w:ascii="宋体" w:hAnsi="宋体" w:eastAsia="宋体" w:cs="宋体"/>
          <w:sz w:val="24"/>
          <w:szCs w:val="24"/>
          <w:highlight w:val="none"/>
        </w:rPr>
      </w:pPr>
    </w:p>
    <w:p w14:paraId="0B0ABEFC">
      <w:pPr>
        <w:adjustRightInd w:val="0"/>
        <w:snapToGrid w:val="0"/>
        <w:spacing w:line="360" w:lineRule="auto"/>
        <w:ind w:firstLine="480" w:firstLineChars="200"/>
        <w:rPr>
          <w:rFonts w:ascii="宋体" w:hAnsi="宋体" w:eastAsia="宋体" w:cs="宋体"/>
          <w:sz w:val="24"/>
          <w:szCs w:val="24"/>
          <w:highlight w:val="none"/>
        </w:rPr>
      </w:pPr>
    </w:p>
    <w:p w14:paraId="364D729C">
      <w:pPr>
        <w:adjustRightInd w:val="0"/>
        <w:snapToGrid w:val="0"/>
        <w:spacing w:line="360" w:lineRule="auto"/>
        <w:ind w:firstLine="480" w:firstLineChars="200"/>
        <w:rPr>
          <w:rFonts w:ascii="宋体" w:hAnsi="宋体" w:eastAsia="宋体" w:cs="宋体"/>
          <w:sz w:val="24"/>
          <w:szCs w:val="24"/>
          <w:highlight w:val="none"/>
        </w:rPr>
      </w:pPr>
    </w:p>
    <w:p w14:paraId="543292D4">
      <w:pPr>
        <w:adjustRightInd w:val="0"/>
        <w:snapToGrid w:val="0"/>
        <w:spacing w:line="360" w:lineRule="auto"/>
        <w:ind w:firstLine="480" w:firstLineChars="200"/>
        <w:rPr>
          <w:rFonts w:ascii="宋体" w:hAnsi="宋体" w:eastAsia="宋体" w:cs="宋体"/>
          <w:sz w:val="24"/>
          <w:szCs w:val="24"/>
          <w:highlight w:val="none"/>
        </w:rPr>
      </w:pPr>
    </w:p>
    <w:bookmarkEnd w:id="34"/>
    <w:bookmarkEnd w:id="35"/>
    <w:p w14:paraId="74A66443">
      <w:pPr>
        <w:spacing w:line="360" w:lineRule="auto"/>
        <w:jc w:val="center"/>
        <w:outlineLvl w:val="0"/>
        <w:rPr>
          <w:rFonts w:ascii="宋体" w:hAnsi="Calibri" w:eastAsia="宋体" w:cs="Times New Roman"/>
          <w:b/>
          <w:sz w:val="36"/>
          <w:szCs w:val="36"/>
          <w:highlight w:val="none"/>
        </w:rPr>
      </w:pPr>
      <w:bookmarkStart w:id="90" w:name="_Toc28859"/>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90"/>
    </w:p>
    <w:p w14:paraId="2E615867">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67892DC6">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4ADF447">
      <w:pPr>
        <w:adjustRightInd w:val="0"/>
        <w:snapToGrid w:val="0"/>
        <w:spacing w:line="360" w:lineRule="auto"/>
        <w:jc w:val="left"/>
        <w:rPr>
          <w:rFonts w:ascii="宋体" w:hAnsi="宋体"/>
          <w:sz w:val="20"/>
          <w:szCs w:val="20"/>
          <w:highlight w:val="none"/>
        </w:rPr>
      </w:pPr>
    </w:p>
    <w:p w14:paraId="7080F81E">
      <w:pPr>
        <w:adjustRightInd w:val="0"/>
        <w:snapToGrid w:val="0"/>
        <w:spacing w:line="360" w:lineRule="auto"/>
        <w:jc w:val="left"/>
        <w:rPr>
          <w:rFonts w:ascii="宋体" w:hAnsi="宋体"/>
          <w:sz w:val="20"/>
          <w:szCs w:val="20"/>
          <w:highlight w:val="none"/>
        </w:rPr>
      </w:pPr>
    </w:p>
    <w:p w14:paraId="1EBB9D2C">
      <w:pPr>
        <w:adjustRightInd w:val="0"/>
        <w:snapToGrid w:val="0"/>
        <w:spacing w:line="360" w:lineRule="auto"/>
        <w:jc w:val="left"/>
        <w:rPr>
          <w:rFonts w:ascii="宋体" w:hAnsi="宋体"/>
          <w:sz w:val="20"/>
          <w:szCs w:val="20"/>
          <w:highlight w:val="none"/>
        </w:rPr>
      </w:pPr>
    </w:p>
    <w:p w14:paraId="1E8967A5">
      <w:pPr>
        <w:adjustRightInd w:val="0"/>
        <w:snapToGrid w:val="0"/>
        <w:spacing w:line="360" w:lineRule="auto"/>
        <w:jc w:val="left"/>
        <w:rPr>
          <w:rFonts w:ascii="宋体" w:hAnsi="宋体"/>
          <w:sz w:val="20"/>
          <w:szCs w:val="20"/>
          <w:highlight w:val="none"/>
        </w:rPr>
      </w:pPr>
    </w:p>
    <w:p w14:paraId="40FCB64C">
      <w:pPr>
        <w:adjustRightInd w:val="0"/>
        <w:snapToGrid w:val="0"/>
        <w:spacing w:line="360" w:lineRule="auto"/>
        <w:jc w:val="left"/>
        <w:rPr>
          <w:rFonts w:ascii="宋体" w:hAnsi="宋体"/>
          <w:b/>
          <w:sz w:val="36"/>
          <w:szCs w:val="36"/>
          <w:highlight w:val="none"/>
        </w:rPr>
      </w:pPr>
    </w:p>
    <w:p w14:paraId="3D6EBEBF">
      <w:pPr>
        <w:adjustRightInd w:val="0"/>
        <w:snapToGrid w:val="0"/>
        <w:spacing w:line="360" w:lineRule="auto"/>
        <w:jc w:val="center"/>
        <w:rPr>
          <w:rFonts w:ascii="方正小标宋简体" w:hAnsi="宋体" w:eastAsia="方正小标宋简体"/>
          <w:bCs/>
          <w:sz w:val="52"/>
          <w:szCs w:val="36"/>
          <w:highlight w:val="none"/>
        </w:rPr>
      </w:pPr>
      <w:bookmarkStart w:id="91" w:name="_Toc29691"/>
      <w:r>
        <w:rPr>
          <w:rFonts w:hint="eastAsia" w:ascii="方正小标宋简体" w:hAnsi="方正小标宋简体" w:eastAsia="方正小标宋简体" w:cs="方正小标宋简体"/>
          <w:w w:val="90"/>
          <w:sz w:val="56"/>
          <w:szCs w:val="56"/>
          <w:highlight w:val="none"/>
        </w:rPr>
        <w:t>设备采购合同</w:t>
      </w:r>
      <w:r>
        <w:rPr>
          <w:rFonts w:hint="eastAsia" w:ascii="方正小标宋简体" w:hAnsi="宋体" w:eastAsia="方正小标宋简体"/>
          <w:bCs/>
          <w:sz w:val="52"/>
          <w:szCs w:val="36"/>
          <w:highlight w:val="none"/>
        </w:rPr>
        <w:t>（模板）</w:t>
      </w:r>
    </w:p>
    <w:p w14:paraId="264A85DE">
      <w:pPr>
        <w:pStyle w:val="17"/>
        <w:jc w:val="center"/>
        <w:rPr>
          <w:highlight w:val="none"/>
        </w:rPr>
      </w:pPr>
      <w:r>
        <w:rPr>
          <w:rFonts w:hint="eastAsia" w:hAnsi="宋体" w:eastAsia="宋体" w:cs="宋体"/>
          <w:b/>
          <w:sz w:val="24"/>
          <w:szCs w:val="24"/>
          <w:highlight w:val="none"/>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highlight w:val="none"/>
          <w:lang w:eastAsia="zh-CN"/>
        </w:rPr>
      </w:pPr>
    </w:p>
    <w:p w14:paraId="2AD48C05">
      <w:pPr>
        <w:spacing w:line="360" w:lineRule="auto"/>
        <w:jc w:val="center"/>
        <w:rPr>
          <w:rFonts w:hint="eastAsia" w:ascii="仿宋_GB2312" w:hAnsi="仿宋_GB2312" w:eastAsia="仿宋_GB2312" w:cs="仿宋_GB2312"/>
          <w:bCs/>
          <w:sz w:val="24"/>
          <w:szCs w:val="24"/>
          <w:highlight w:val="none"/>
        </w:rPr>
      </w:pPr>
    </w:p>
    <w:p w14:paraId="58C5BF10">
      <w:pPr>
        <w:spacing w:line="360" w:lineRule="auto"/>
        <w:jc w:val="center"/>
        <w:rPr>
          <w:rFonts w:hint="eastAsia" w:ascii="仿宋_GB2312" w:hAnsi="仿宋_GB2312" w:eastAsia="仿宋_GB2312" w:cs="仿宋_GB2312"/>
          <w:bCs/>
          <w:sz w:val="24"/>
          <w:szCs w:val="24"/>
          <w:highlight w:val="none"/>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lang w:val="en-US" w:eastAsia="zh-CN"/>
        </w:rPr>
        <w:t>合同项目名称：</w:t>
      </w:r>
      <w:r>
        <w:rPr>
          <w:rFonts w:hint="eastAsia" w:ascii="仿宋_GB2312" w:hAnsi="仿宋_GB2312" w:eastAsia="仿宋_GB2312" w:cs="仿宋_GB2312"/>
          <w:b/>
          <w:bCs w:val="0"/>
          <w:sz w:val="24"/>
          <w:szCs w:val="24"/>
          <w:highlight w:val="none"/>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highlight w:val="none"/>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highlight w:val="none"/>
          <w:u w:val="single"/>
        </w:rPr>
      </w:pPr>
      <w:r>
        <w:rPr>
          <w:rFonts w:hint="eastAsia" w:ascii="仿宋_GB2312" w:hAnsi="仿宋_GB2312" w:eastAsia="仿宋_GB2312" w:cs="仿宋_GB2312"/>
          <w:bCs/>
          <w:sz w:val="24"/>
          <w:szCs w:val="24"/>
          <w:highlight w:val="none"/>
        </w:rPr>
        <w:t>甲方（买方）：</w:t>
      </w:r>
      <w:r>
        <w:rPr>
          <w:rFonts w:hint="eastAsia" w:ascii="仿宋_GB2312" w:hAnsi="仿宋_GB2312" w:eastAsia="仿宋_GB2312" w:cs="仿宋_GB2312"/>
          <w:b/>
          <w:sz w:val="24"/>
          <w:szCs w:val="24"/>
          <w:highlight w:val="none"/>
          <w:u w:val="single"/>
          <w:lang w:val="en-US" w:eastAsia="zh-CN"/>
        </w:rPr>
        <w:t>甲方</w:t>
      </w:r>
      <w:r>
        <w:rPr>
          <w:rFonts w:hint="eastAsia" w:ascii="仿宋_GB2312" w:hAnsi="仿宋_GB2312" w:eastAsia="仿宋_GB2312" w:cs="仿宋_GB2312"/>
          <w:b/>
          <w:sz w:val="24"/>
          <w:szCs w:val="24"/>
          <w:highlight w:val="none"/>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highlight w:val="none"/>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highlight w:val="none"/>
          <w:u w:val="single"/>
        </w:rPr>
      </w:pPr>
      <w:r>
        <w:rPr>
          <w:rFonts w:hint="eastAsia" w:ascii="仿宋_GB2312" w:hAnsi="仿宋_GB2312" w:eastAsia="仿宋_GB2312" w:cs="仿宋_GB2312"/>
          <w:bCs/>
          <w:sz w:val="24"/>
          <w:szCs w:val="24"/>
          <w:highlight w:val="none"/>
        </w:rPr>
        <w:t>乙方（卖方）：</w:t>
      </w:r>
      <w:r>
        <w:rPr>
          <w:rFonts w:hint="eastAsia" w:ascii="仿宋_GB2312" w:hAnsi="仿宋_GB2312" w:eastAsia="仿宋_GB2312" w:cs="仿宋_GB2312"/>
          <w:b/>
          <w:sz w:val="24"/>
          <w:szCs w:val="24"/>
          <w:highlight w:val="none"/>
          <w:u w:val="single"/>
          <w:lang w:eastAsia="zh-CN"/>
        </w:rPr>
        <w:t>乙方单位</w:t>
      </w:r>
      <w:r>
        <w:rPr>
          <w:rFonts w:hint="eastAsia" w:ascii="仿宋_GB2312" w:hAnsi="仿宋_GB2312" w:eastAsia="仿宋_GB2312" w:cs="仿宋_GB2312"/>
          <w:b/>
          <w:sz w:val="24"/>
          <w:szCs w:val="24"/>
          <w:highlight w:val="none"/>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highlight w:val="none"/>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highlight w:val="none"/>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highlight w:val="none"/>
          <w:u w:val="single"/>
        </w:rPr>
      </w:pPr>
      <w:r>
        <w:rPr>
          <w:rFonts w:hint="eastAsia" w:ascii="仿宋_GB2312" w:hAnsi="仿宋_GB2312" w:eastAsia="仿宋_GB2312" w:cs="仿宋_GB2312"/>
          <w:bCs/>
          <w:sz w:val="24"/>
          <w:szCs w:val="24"/>
          <w:highlight w:val="none"/>
          <w:lang w:val="en-US" w:eastAsia="zh-CN"/>
        </w:rPr>
        <w:t>合同签订地点：</w:t>
      </w:r>
      <w:r>
        <w:rPr>
          <w:rFonts w:hint="eastAsia" w:ascii="仿宋_GB2312" w:hAnsi="仿宋_GB2312" w:eastAsia="仿宋_GB2312" w:cs="仿宋_GB2312"/>
          <w:b/>
          <w:bCs w:val="0"/>
          <w:sz w:val="24"/>
          <w:szCs w:val="24"/>
          <w:highlight w:val="none"/>
          <w:u w:val="single"/>
        </w:rPr>
        <w:t>填写甲方所在</w:t>
      </w:r>
      <w:r>
        <w:rPr>
          <w:rFonts w:hint="eastAsia" w:ascii="仿宋_GB2312" w:hAnsi="仿宋_GB2312" w:eastAsia="仿宋_GB2312" w:cs="仿宋_GB2312"/>
          <w:b/>
          <w:bCs w:val="0"/>
          <w:sz w:val="24"/>
          <w:szCs w:val="24"/>
          <w:highlight w:val="none"/>
          <w:u w:val="single"/>
          <w:lang w:val="en-US" w:eastAsia="zh-CN"/>
        </w:rPr>
        <w:t>县级行政区划</w:t>
      </w:r>
      <w:r>
        <w:rPr>
          <w:rFonts w:hint="eastAsia" w:ascii="仿宋_GB2312" w:hAnsi="仿宋_GB2312" w:eastAsia="仿宋_GB2312" w:cs="仿宋_GB2312"/>
          <w:b/>
          <w:bCs w:val="0"/>
          <w:sz w:val="24"/>
          <w:szCs w:val="24"/>
          <w:highlight w:val="none"/>
          <w:u w:val="single"/>
        </w:rPr>
        <w:t>，如</w:t>
      </w:r>
      <w:r>
        <w:rPr>
          <w:rFonts w:hint="eastAsia" w:ascii="仿宋_GB2312" w:hAnsi="仿宋_GB2312" w:eastAsia="仿宋_GB2312" w:cs="仿宋_GB2312"/>
          <w:b/>
          <w:bCs w:val="0"/>
          <w:sz w:val="24"/>
          <w:szCs w:val="24"/>
          <w:highlight w:val="none"/>
          <w:u w:val="single"/>
          <w:lang w:eastAsia="zh-CN"/>
        </w:rPr>
        <w:t>“</w:t>
      </w:r>
      <w:r>
        <w:rPr>
          <w:rFonts w:hint="eastAsia" w:ascii="仿宋_GB2312" w:hAnsi="仿宋_GB2312" w:eastAsia="仿宋_GB2312" w:cs="仿宋_GB2312"/>
          <w:b/>
          <w:bCs w:val="0"/>
          <w:sz w:val="24"/>
          <w:szCs w:val="24"/>
          <w:highlight w:val="none"/>
          <w:u w:val="single"/>
        </w:rPr>
        <w:t>山东省济南市高新区/章丘区</w:t>
      </w:r>
      <w:r>
        <w:rPr>
          <w:rFonts w:hint="eastAsia" w:ascii="仿宋_GB2312" w:hAnsi="仿宋_GB2312" w:eastAsia="仿宋_GB2312" w:cs="仿宋_GB2312"/>
          <w:b/>
          <w:bCs w:val="0"/>
          <w:sz w:val="24"/>
          <w:szCs w:val="24"/>
          <w:highlight w:val="none"/>
          <w:u w:val="single"/>
          <w:lang w:eastAsia="zh-CN"/>
        </w:rPr>
        <w:t>”</w:t>
      </w:r>
      <w:r>
        <w:rPr>
          <w:rFonts w:hint="eastAsia" w:ascii="仿宋_GB2312" w:hAnsi="仿宋_GB2312" w:eastAsia="仿宋_GB2312" w:cs="仿宋_GB2312"/>
          <w:b/>
          <w:bCs w:val="0"/>
          <w:sz w:val="24"/>
          <w:szCs w:val="24"/>
          <w:highlight w:val="none"/>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highlight w:val="none"/>
        </w:rPr>
      </w:pPr>
    </w:p>
    <w:p w14:paraId="79E7D10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highlight w:val="none"/>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仿宋_GB2312" w:eastAsia="仿宋_GB2312" w:cs="仿宋_GB2312"/>
          <w:bCs/>
          <w:sz w:val="24"/>
          <w:szCs w:val="24"/>
          <w:highlight w:val="none"/>
          <w:lang w:val="en-US" w:eastAsia="zh-CN"/>
        </w:rPr>
        <w:t>合同签订时间：</w:t>
      </w:r>
      <w:r>
        <w:rPr>
          <w:rFonts w:hint="eastAsia" w:ascii="仿宋_GB2312" w:hAnsi="仿宋_GB2312" w:eastAsia="仿宋_GB2312" w:cs="仿宋_GB2312"/>
          <w:b/>
          <w:sz w:val="24"/>
          <w:szCs w:val="24"/>
          <w:highlight w:val="none"/>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highlight w:val="none"/>
        </w:rPr>
      </w:pPr>
      <w:r>
        <w:rPr>
          <w:rFonts w:hint="eastAsia" w:ascii="方正小标宋简体" w:hAnsi="方正小标宋简体" w:eastAsia="方正小标宋简体" w:cs="方正小标宋简体"/>
          <w:w w:val="90"/>
          <w:sz w:val="44"/>
          <w:szCs w:val="44"/>
          <w:highlight w:val="none"/>
        </w:rPr>
        <w:t>设备采购合同</w:t>
      </w:r>
    </w:p>
    <w:p w14:paraId="0949A136">
      <w:pPr>
        <w:spacing w:line="360" w:lineRule="auto"/>
        <w:jc w:val="center"/>
        <w:rPr>
          <w:rFonts w:ascii="方正小标宋简体" w:hAnsi="方正小标宋简体" w:eastAsia="方正小标宋简体" w:cs="方正小标宋简体"/>
          <w:w w:val="90"/>
          <w:sz w:val="44"/>
          <w:szCs w:val="44"/>
          <w:highlight w:val="none"/>
        </w:rPr>
      </w:pPr>
      <w:r>
        <w:rPr>
          <w:rFonts w:hint="eastAsia" w:ascii="方正小标宋简体" w:hAnsi="方正小标宋简体" w:eastAsia="方正小标宋简体" w:cs="方正小标宋简体"/>
          <w:w w:val="90"/>
          <w:sz w:val="44"/>
          <w:szCs w:val="44"/>
          <w:highlight w:val="none"/>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鉴于，买方向卖方购买</w:t>
      </w:r>
      <w:r>
        <w:rPr>
          <w:rFonts w:hint="eastAsia" w:ascii="仿宋_GB2312" w:hAnsi="仿宋_GB2312" w:eastAsia="仿宋_GB2312" w:cs="仿宋_GB2312"/>
          <w:b/>
          <w:bCs/>
          <w:sz w:val="24"/>
          <w:szCs w:val="24"/>
          <w:highlight w:val="none"/>
          <w:u w:val="single"/>
        </w:rPr>
        <w:t>设备名称概括</w:t>
      </w:r>
      <w:r>
        <w:rPr>
          <w:rFonts w:hint="eastAsia" w:ascii="仿宋_GB2312" w:hAnsi="仿宋_GB2312" w:eastAsia="仿宋_GB2312" w:cs="仿宋_GB2312"/>
          <w:sz w:val="24"/>
          <w:szCs w:val="24"/>
          <w:highlight w:val="none"/>
          <w:u w:val="single"/>
        </w:rPr>
        <w:t>等</w:t>
      </w:r>
      <w:r>
        <w:rPr>
          <w:rFonts w:hint="eastAsia" w:ascii="仿宋_GB2312" w:hAnsi="仿宋_GB2312" w:eastAsia="仿宋_GB2312" w:cs="仿宋_GB2312"/>
          <w:sz w:val="24"/>
          <w:szCs w:val="24"/>
          <w:highlight w:val="none"/>
        </w:rPr>
        <w:t>，就该设备的设计、制造、运输、定点卸货、安装或指导安装、调试、验收、培训及售后服务等有关问题，在自愿协商的基础上达成本合同。</w:t>
      </w:r>
    </w:p>
    <w:p w14:paraId="6CFCEB4F">
      <w:pPr>
        <w:pStyle w:val="2"/>
        <w:tabs>
          <w:tab w:val="right" w:leader="dot" w:pos="9061"/>
        </w:tabs>
        <w:ind w:left="0" w:firstLine="480" w:firstLineChars="200"/>
        <w:jc w:val="both"/>
        <w:rPr>
          <w:rFonts w:ascii="黑体" w:hAnsi="黑体" w:eastAsia="黑体" w:cs="黑体"/>
          <w:b w:val="0"/>
          <w:sz w:val="24"/>
          <w:szCs w:val="24"/>
          <w:highlight w:val="none"/>
        </w:rPr>
      </w:pPr>
      <w:r>
        <w:rPr>
          <w:rFonts w:hint="eastAsia" w:ascii="黑体" w:hAnsi="黑体" w:eastAsia="黑体" w:cs="黑体"/>
          <w:b w:val="0"/>
          <w:sz w:val="24"/>
          <w:szCs w:val="24"/>
          <w:highlight w:val="none"/>
        </w:rPr>
        <w:t>1.合同设备标的</w:t>
      </w:r>
    </w:p>
    <w:p w14:paraId="3DEF820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1.1合同总价：</w:t>
      </w:r>
      <w:r>
        <w:rPr>
          <w:rFonts w:hint="eastAsia" w:ascii="仿宋_GB2312" w:hAnsi="仿宋_GB2312" w:eastAsia="仿宋_GB2312" w:cs="仿宋_GB2312"/>
          <w:sz w:val="24"/>
          <w:szCs w:val="24"/>
          <w:highlight w:val="none"/>
        </w:rPr>
        <w:t>为共同完成</w:t>
      </w:r>
      <w:r>
        <w:rPr>
          <w:rFonts w:hint="eastAsia" w:ascii="仿宋_GB2312" w:hAnsi="仿宋_GB2312" w:eastAsia="仿宋_GB2312" w:cs="仿宋_GB2312"/>
          <w:b/>
          <w:bCs/>
          <w:sz w:val="24"/>
          <w:szCs w:val="24"/>
          <w:highlight w:val="none"/>
          <w:u w:val="single"/>
        </w:rPr>
        <w:t>合同项目名称</w:t>
      </w:r>
      <w:r>
        <w:rPr>
          <w:rFonts w:hint="eastAsia" w:ascii="仿宋_GB2312" w:hAnsi="仿宋_GB2312" w:eastAsia="仿宋_GB2312" w:cs="仿宋_GB2312"/>
          <w:sz w:val="24"/>
          <w:szCs w:val="24"/>
          <w:highlight w:val="none"/>
        </w:rPr>
        <w:t>，买方向卖方购买设备一宗，详见附件《设备清单明细表》，本合同不含税总价为</w:t>
      </w:r>
      <w:r>
        <w:rPr>
          <w:rFonts w:hint="eastAsia" w:ascii="仿宋_GB2312" w:hAnsi="仿宋_GB2312" w:eastAsia="仿宋_GB2312" w:cs="仿宋_GB2312"/>
          <w:b/>
          <w:bCs/>
          <w:sz w:val="24"/>
          <w:szCs w:val="24"/>
          <w:highlight w:val="none"/>
          <w:u w:val="single"/>
        </w:rPr>
        <w:t>不含税总价</w:t>
      </w:r>
      <w:r>
        <w:rPr>
          <w:rFonts w:hint="eastAsia" w:ascii="仿宋_GB2312" w:hAnsi="仿宋_GB2312" w:eastAsia="仿宋_GB2312" w:cs="仿宋_GB2312"/>
          <w:b/>
          <w:bCs/>
          <w:sz w:val="24"/>
          <w:szCs w:val="24"/>
          <w:highlight w:val="none"/>
          <w:u w:val="single"/>
          <w:lang w:val="en-US" w:eastAsia="zh-CN"/>
        </w:rPr>
        <w:t>小写</w:t>
      </w:r>
      <w:r>
        <w:rPr>
          <w:rFonts w:hint="eastAsia" w:ascii="仿宋_GB2312" w:hAnsi="仿宋_GB2312" w:eastAsia="仿宋_GB2312" w:cs="仿宋_GB2312"/>
          <w:b/>
          <w:bCs/>
          <w:sz w:val="24"/>
          <w:szCs w:val="24"/>
          <w:highlight w:val="none"/>
          <w:u w:val="single"/>
          <w:lang w:eastAsia="zh-CN"/>
        </w:rPr>
        <w:t>，</w:t>
      </w:r>
      <w:r>
        <w:rPr>
          <w:rFonts w:hint="eastAsia" w:ascii="仿宋_GB2312" w:hAnsi="仿宋_GB2312" w:eastAsia="仿宋_GB2312" w:cs="仿宋_GB2312"/>
          <w:b/>
          <w:bCs/>
          <w:sz w:val="24"/>
          <w:szCs w:val="24"/>
          <w:highlight w:val="none"/>
          <w:u w:val="single"/>
          <w:lang w:val="en-US" w:eastAsia="zh-CN"/>
        </w:rPr>
        <w:t>数值，小数点后保留两位</w:t>
      </w:r>
      <w:r>
        <w:rPr>
          <w:rFonts w:hint="eastAsia" w:ascii="仿宋_GB2312" w:hAnsi="仿宋_GB2312" w:eastAsia="仿宋_GB2312" w:cs="仿宋_GB2312"/>
          <w:sz w:val="24"/>
          <w:szCs w:val="24"/>
          <w:highlight w:val="none"/>
        </w:rPr>
        <w:t>元，税额</w:t>
      </w:r>
      <w:r>
        <w:rPr>
          <w:rFonts w:hint="eastAsia" w:ascii="仿宋_GB2312" w:hAnsi="仿宋_GB2312" w:eastAsia="仿宋_GB2312" w:cs="仿宋_GB2312"/>
          <w:b/>
          <w:bCs/>
          <w:sz w:val="24"/>
          <w:szCs w:val="24"/>
          <w:highlight w:val="none"/>
          <w:u w:val="single"/>
        </w:rPr>
        <w:t>合计税额</w:t>
      </w:r>
      <w:r>
        <w:rPr>
          <w:rFonts w:hint="eastAsia" w:ascii="仿宋_GB2312" w:hAnsi="仿宋_GB2312" w:eastAsia="仿宋_GB2312" w:cs="仿宋_GB2312"/>
          <w:b/>
          <w:bCs/>
          <w:sz w:val="24"/>
          <w:szCs w:val="24"/>
          <w:highlight w:val="none"/>
          <w:u w:val="single"/>
          <w:lang w:val="en-US" w:eastAsia="zh-CN"/>
        </w:rPr>
        <w:t>小写</w:t>
      </w:r>
      <w:r>
        <w:rPr>
          <w:rFonts w:hint="eastAsia" w:ascii="仿宋_GB2312" w:hAnsi="仿宋_GB2312" w:eastAsia="仿宋_GB2312" w:cs="仿宋_GB2312"/>
          <w:b/>
          <w:bCs/>
          <w:sz w:val="24"/>
          <w:szCs w:val="24"/>
          <w:highlight w:val="none"/>
          <w:u w:val="single"/>
          <w:lang w:eastAsia="zh-CN"/>
        </w:rPr>
        <w:t>，</w:t>
      </w:r>
      <w:r>
        <w:rPr>
          <w:rFonts w:hint="eastAsia" w:ascii="仿宋_GB2312" w:hAnsi="仿宋_GB2312" w:eastAsia="仿宋_GB2312" w:cs="仿宋_GB2312"/>
          <w:b/>
          <w:bCs/>
          <w:sz w:val="24"/>
          <w:szCs w:val="24"/>
          <w:highlight w:val="none"/>
          <w:u w:val="single"/>
          <w:lang w:val="en-US" w:eastAsia="zh-CN"/>
        </w:rPr>
        <w:t>数值，小数点后保留两位</w:t>
      </w:r>
      <w:r>
        <w:rPr>
          <w:rFonts w:hint="eastAsia" w:ascii="仿宋_GB2312" w:hAnsi="仿宋_GB2312" w:eastAsia="仿宋_GB2312" w:cs="仿宋_GB2312"/>
          <w:sz w:val="24"/>
          <w:szCs w:val="24"/>
          <w:highlight w:val="none"/>
        </w:rPr>
        <w:t>元，含税总价</w:t>
      </w:r>
      <w:r>
        <w:rPr>
          <w:rFonts w:hint="eastAsia" w:ascii="仿宋_GB2312" w:hAnsi="仿宋_GB2312" w:eastAsia="仿宋_GB2312" w:cs="仿宋_GB2312"/>
          <w:b/>
          <w:bCs/>
          <w:sz w:val="24"/>
          <w:szCs w:val="24"/>
          <w:highlight w:val="none"/>
          <w:u w:val="single"/>
        </w:rPr>
        <w:t>含税总价</w:t>
      </w:r>
      <w:r>
        <w:rPr>
          <w:rFonts w:hint="eastAsia" w:ascii="仿宋_GB2312" w:hAnsi="仿宋_GB2312" w:eastAsia="仿宋_GB2312" w:cs="仿宋_GB2312"/>
          <w:b/>
          <w:bCs/>
          <w:sz w:val="24"/>
          <w:szCs w:val="24"/>
          <w:highlight w:val="none"/>
          <w:u w:val="single"/>
          <w:lang w:val="en-US" w:eastAsia="zh-CN"/>
        </w:rPr>
        <w:t>小写</w:t>
      </w:r>
      <w:r>
        <w:rPr>
          <w:rFonts w:hint="eastAsia" w:ascii="仿宋_GB2312" w:hAnsi="仿宋_GB2312" w:eastAsia="仿宋_GB2312" w:cs="仿宋_GB2312"/>
          <w:b/>
          <w:bCs/>
          <w:sz w:val="24"/>
          <w:szCs w:val="24"/>
          <w:highlight w:val="none"/>
          <w:u w:val="single"/>
          <w:lang w:eastAsia="zh-CN"/>
        </w:rPr>
        <w:t>，</w:t>
      </w:r>
      <w:r>
        <w:rPr>
          <w:rFonts w:hint="eastAsia" w:ascii="仿宋_GB2312" w:hAnsi="仿宋_GB2312" w:eastAsia="仿宋_GB2312" w:cs="仿宋_GB2312"/>
          <w:b/>
          <w:bCs/>
          <w:sz w:val="24"/>
          <w:szCs w:val="24"/>
          <w:highlight w:val="none"/>
          <w:u w:val="single"/>
          <w:lang w:val="en-US" w:eastAsia="zh-CN"/>
        </w:rPr>
        <w:t>数值，小数点后保留两位</w:t>
      </w:r>
      <w:r>
        <w:rPr>
          <w:rFonts w:hint="eastAsia" w:ascii="仿宋_GB2312" w:hAnsi="仿宋_GB2312" w:eastAsia="仿宋_GB2312" w:cs="仿宋_GB2312"/>
          <w:sz w:val="24"/>
          <w:szCs w:val="24"/>
          <w:highlight w:val="none"/>
        </w:rPr>
        <w:t>元（大写：</w:t>
      </w:r>
      <w:r>
        <w:rPr>
          <w:rFonts w:hint="eastAsia" w:ascii="仿宋_GB2312" w:hAnsi="仿宋_GB2312" w:eastAsia="仿宋_GB2312" w:cs="仿宋_GB2312"/>
          <w:b/>
          <w:bCs/>
          <w:sz w:val="24"/>
          <w:szCs w:val="24"/>
          <w:highlight w:val="none"/>
          <w:u w:val="single"/>
        </w:rPr>
        <w:t>含税总价大写</w:t>
      </w:r>
      <w:r>
        <w:rPr>
          <w:rFonts w:hint="eastAsia" w:ascii="仿宋_GB2312" w:hAnsi="仿宋_GB2312" w:eastAsia="仿宋_GB2312" w:cs="仿宋_GB2312"/>
          <w:sz w:val="24"/>
          <w:szCs w:val="24"/>
          <w:highlight w:val="none"/>
        </w:rPr>
        <w:t>）。</w:t>
      </w:r>
    </w:p>
    <w:p w14:paraId="7B5EC958">
      <w:pPr>
        <w:spacing w:line="360" w:lineRule="auto"/>
        <w:ind w:firstLine="480" w:firstLineChars="200"/>
        <w:rPr>
          <w:rFonts w:hint="eastAsia" w:ascii="方正小标宋简体" w:hAnsi="宋体" w:eastAsia="仿宋_GB2312"/>
          <w:sz w:val="24"/>
          <w:szCs w:val="24"/>
          <w:highlight w:val="none"/>
          <w:u w:val="thick"/>
          <w:lang w:eastAsia="zh-CN"/>
        </w:rPr>
      </w:pPr>
      <w:r>
        <w:rPr>
          <w:rFonts w:hint="eastAsia" w:ascii="仿宋_GB2312" w:eastAsia="仿宋_GB2312" w:hAnsiTheme="minorEastAsia" w:cstheme="minorEastAsia"/>
          <w:sz w:val="24"/>
          <w:szCs w:val="24"/>
          <w:highlight w:val="none"/>
          <w:lang w:val="en-US" w:eastAsia="zh-CN"/>
        </w:rPr>
        <w:t>1.2</w:t>
      </w:r>
      <w:r>
        <w:rPr>
          <w:rFonts w:hint="eastAsia" w:ascii="仿宋_GB2312" w:eastAsia="仿宋_GB2312" w:hAnsiTheme="minorEastAsia" w:cstheme="minorEastAsia"/>
          <w:sz w:val="24"/>
          <w:szCs w:val="24"/>
          <w:highlight w:val="none"/>
        </w:rPr>
        <w:t>交货方式</w:t>
      </w:r>
      <w:r>
        <w:rPr>
          <w:rFonts w:hint="eastAsia" w:ascii="仿宋_GB2312" w:eastAsia="仿宋_GB2312" w:hAnsiTheme="minorEastAsia" w:cstheme="minorEastAsia"/>
          <w:bCs/>
          <w:sz w:val="24"/>
          <w:szCs w:val="24"/>
          <w:highlight w:val="none"/>
        </w:rPr>
        <w:t>：</w:t>
      </w:r>
      <w:r>
        <w:rPr>
          <w:rFonts w:hint="eastAsia" w:ascii="仿宋_GB2312" w:hAnsi="宋体" w:eastAsia="仿宋_GB2312"/>
          <w:b/>
          <w:bCs/>
          <w:sz w:val="24"/>
          <w:szCs w:val="24"/>
          <w:highlight w:val="none"/>
          <w:u w:val="single"/>
        </w:rPr>
        <w:t>据实选择，可填写</w:t>
      </w:r>
      <w:r>
        <w:rPr>
          <w:rFonts w:hint="eastAsia" w:ascii="仿宋_GB2312" w:hAnsi="宋体" w:eastAsia="仿宋_GB2312"/>
          <w:b/>
          <w:bCs/>
          <w:sz w:val="24"/>
          <w:szCs w:val="24"/>
          <w:highlight w:val="none"/>
          <w:u w:val="single"/>
          <w:lang w:eastAsia="zh-CN"/>
        </w:rPr>
        <w:t>“</w:t>
      </w:r>
      <w:r>
        <w:rPr>
          <w:rFonts w:hint="eastAsia" w:ascii="仿宋_GB2312" w:hAnsi="宋体" w:eastAsia="仿宋_GB2312"/>
          <w:b/>
          <w:bCs/>
          <w:sz w:val="24"/>
          <w:szCs w:val="24"/>
          <w:highlight w:val="none"/>
          <w:u w:val="single"/>
        </w:rPr>
        <w:t>交钥匙方式</w:t>
      </w:r>
      <w:r>
        <w:rPr>
          <w:rFonts w:hint="eastAsia" w:ascii="仿宋_GB2312" w:hAnsi="宋体" w:eastAsia="仿宋_GB2312"/>
          <w:b/>
          <w:bCs/>
          <w:sz w:val="24"/>
          <w:szCs w:val="24"/>
          <w:highlight w:val="none"/>
          <w:u w:val="single"/>
          <w:lang w:eastAsia="zh-CN"/>
        </w:rPr>
        <w:t>”“</w:t>
      </w:r>
      <w:r>
        <w:rPr>
          <w:rFonts w:hint="eastAsia" w:ascii="仿宋_GB2312" w:hAnsi="宋体" w:eastAsia="仿宋_GB2312"/>
          <w:b/>
          <w:bCs/>
          <w:sz w:val="24"/>
          <w:szCs w:val="24"/>
          <w:highlight w:val="none"/>
          <w:u w:val="single"/>
        </w:rPr>
        <w:t>指定地点交货</w:t>
      </w:r>
      <w:r>
        <w:rPr>
          <w:rFonts w:hint="eastAsia" w:ascii="仿宋_GB2312" w:hAnsi="宋体" w:eastAsia="仿宋_GB2312"/>
          <w:b/>
          <w:bCs/>
          <w:sz w:val="24"/>
          <w:szCs w:val="24"/>
          <w:highlight w:val="none"/>
          <w:u w:val="single"/>
          <w:lang w:eastAsia="zh-CN"/>
        </w:rPr>
        <w:t>”“</w:t>
      </w:r>
      <w:r>
        <w:rPr>
          <w:rFonts w:hint="eastAsia" w:ascii="仿宋_GB2312" w:hAnsi="宋体" w:eastAsia="仿宋_GB2312"/>
          <w:b/>
          <w:bCs/>
          <w:sz w:val="24"/>
          <w:szCs w:val="24"/>
          <w:highlight w:val="none"/>
          <w:u w:val="single"/>
        </w:rPr>
        <w:t>自提</w:t>
      </w:r>
      <w:r>
        <w:rPr>
          <w:rFonts w:hint="eastAsia" w:ascii="仿宋_GB2312" w:hAnsi="宋体" w:eastAsia="仿宋_GB2312"/>
          <w:b/>
          <w:bCs/>
          <w:sz w:val="24"/>
          <w:szCs w:val="24"/>
          <w:highlight w:val="none"/>
          <w:u w:val="single"/>
          <w:lang w:eastAsia="zh-CN"/>
        </w:rPr>
        <w:t>”</w:t>
      </w:r>
      <w:r>
        <w:rPr>
          <w:rFonts w:hint="eastAsia" w:ascii="仿宋_GB2312" w:hAnsi="宋体" w:eastAsia="仿宋_GB2312"/>
          <w:b/>
          <w:bCs/>
          <w:sz w:val="24"/>
          <w:szCs w:val="24"/>
          <w:highlight w:val="none"/>
          <w:u w:val="single"/>
          <w:lang w:val="en-US" w:eastAsia="zh-CN"/>
        </w:rPr>
        <w:t>任一方式</w:t>
      </w:r>
      <w:r>
        <w:rPr>
          <w:rFonts w:hint="eastAsia" w:ascii="仿宋_GB2312" w:hAnsi="宋体" w:eastAsia="仿宋_GB2312"/>
          <w:b/>
          <w:bCs/>
          <w:sz w:val="24"/>
          <w:szCs w:val="24"/>
          <w:highlight w:val="none"/>
          <w:u w:val="single"/>
        </w:rPr>
        <w:t>，其他情况请据实填写</w:t>
      </w:r>
      <w:r>
        <w:rPr>
          <w:rFonts w:hint="eastAsia" w:ascii="仿宋_GB2312" w:hAnsi="宋体" w:eastAsia="仿宋_GB2312"/>
          <w:b/>
          <w:bCs/>
          <w:sz w:val="24"/>
          <w:szCs w:val="24"/>
          <w:highlight w:val="none"/>
          <w:u w:val="single"/>
          <w:lang w:eastAsia="zh-CN"/>
        </w:rPr>
        <w:t>。</w:t>
      </w:r>
    </w:p>
    <w:p w14:paraId="18CC3F4C">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lang w:val="en-US" w:eastAsia="zh-CN"/>
        </w:rPr>
        <w:t>1.3</w:t>
      </w:r>
      <w:r>
        <w:rPr>
          <w:rFonts w:hint="eastAsia" w:ascii="仿宋_GB2312" w:eastAsia="仿宋_GB2312" w:hAnsiTheme="minorEastAsia" w:cstheme="minorEastAsia"/>
          <w:sz w:val="24"/>
          <w:szCs w:val="24"/>
          <w:highlight w:val="none"/>
        </w:rPr>
        <w:t>交货地点：</w:t>
      </w:r>
      <w:r>
        <w:rPr>
          <w:rFonts w:hint="eastAsia" w:ascii="仿宋_GB2312" w:eastAsia="仿宋_GB2312" w:hAnsiTheme="minorEastAsia" w:cstheme="minorEastAsia"/>
          <w:b/>
          <w:bCs/>
          <w:sz w:val="24"/>
          <w:szCs w:val="24"/>
          <w:highlight w:val="none"/>
          <w:u w:val="single"/>
        </w:rPr>
        <w:t>交货详细地址信息，</w:t>
      </w:r>
      <w:r>
        <w:rPr>
          <w:rFonts w:hint="eastAsia" w:ascii="仿宋_GB2312" w:eastAsia="仿宋_GB2312" w:hAnsiTheme="minorEastAsia" w:cstheme="minorEastAsia"/>
          <w:sz w:val="24"/>
          <w:szCs w:val="24"/>
          <w:highlight w:val="none"/>
        </w:rPr>
        <w:t xml:space="preserve">  </w:t>
      </w:r>
    </w:p>
    <w:p w14:paraId="613DCDD7">
      <w:pPr>
        <w:spacing w:line="360" w:lineRule="auto"/>
        <w:ind w:firstLine="480" w:firstLineChars="200"/>
        <w:rPr>
          <w:rFonts w:ascii="方正小标宋简体" w:hAnsi="宋体" w:eastAsia="仿宋_GB2312"/>
          <w:sz w:val="24"/>
          <w:szCs w:val="24"/>
          <w:highlight w:val="none"/>
          <w:u w:val="thick"/>
        </w:rPr>
      </w:pPr>
      <w:r>
        <w:rPr>
          <w:rFonts w:hint="eastAsia" w:ascii="仿宋_GB2312" w:eastAsia="仿宋_GB2312" w:hAnsiTheme="minorEastAsia" w:cstheme="minorEastAsia"/>
          <w:sz w:val="24"/>
          <w:szCs w:val="24"/>
          <w:highlight w:val="none"/>
          <w:lang w:val="en-US" w:eastAsia="zh-CN"/>
        </w:rPr>
        <w:t>1.4</w:t>
      </w:r>
      <w:r>
        <w:rPr>
          <w:rFonts w:hint="eastAsia" w:ascii="仿宋_GB2312" w:eastAsia="仿宋_GB2312" w:hAnsiTheme="minorEastAsia" w:cstheme="minorEastAsia"/>
          <w:sz w:val="24"/>
          <w:szCs w:val="24"/>
          <w:highlight w:val="none"/>
        </w:rPr>
        <w:t>到货时间：</w:t>
      </w:r>
      <w:r>
        <w:rPr>
          <w:rFonts w:hint="eastAsia" w:ascii="仿宋_GB2312" w:eastAsia="仿宋_GB2312" w:hAnsiTheme="minorEastAsia" w:cstheme="minorEastAsia"/>
          <w:b/>
          <w:bCs/>
          <w:sz w:val="24"/>
          <w:szCs w:val="24"/>
          <w:highlight w:val="none"/>
          <w:u w:val="single"/>
        </w:rPr>
        <w:t>填写具体年月日。</w:t>
      </w:r>
    </w:p>
    <w:p w14:paraId="39172C6D">
      <w:pPr>
        <w:pStyle w:val="12"/>
        <w:spacing w:after="0" w:line="360" w:lineRule="auto"/>
        <w:ind w:firstLine="480" w:firstLineChars="200"/>
        <w:rPr>
          <w:rFonts w:ascii="仿宋_GB2312" w:eastAsia="仿宋_GB2312" w:hAnsiTheme="minorEastAsia" w:cstheme="minorEastAsia"/>
          <w:kern w:val="2"/>
          <w:sz w:val="24"/>
          <w:szCs w:val="24"/>
          <w:highlight w:val="none"/>
        </w:rPr>
      </w:pPr>
      <w:r>
        <w:rPr>
          <w:rFonts w:hint="eastAsia" w:ascii="仿宋_GB2312" w:eastAsia="仿宋_GB2312" w:hAnsiTheme="minorEastAsia" w:cstheme="minorEastAsia"/>
          <w:kern w:val="2"/>
          <w:sz w:val="24"/>
          <w:szCs w:val="24"/>
          <w:highlight w:val="none"/>
          <w:lang w:val="en-US" w:eastAsia="zh-CN"/>
        </w:rPr>
        <w:t>1.5</w:t>
      </w:r>
      <w:r>
        <w:rPr>
          <w:rFonts w:ascii="仿宋_GB2312" w:eastAsia="仿宋_GB2312" w:hAnsiTheme="minorEastAsia" w:cstheme="minorEastAsia"/>
          <w:kern w:val="2"/>
          <w:sz w:val="24"/>
          <w:szCs w:val="24"/>
          <w:highlight w:val="none"/>
        </w:rPr>
        <w:t xml:space="preserve"> </w:t>
      </w:r>
      <w:r>
        <w:rPr>
          <w:rFonts w:hint="eastAsia" w:ascii="仿宋_GB2312" w:eastAsia="仿宋_GB2312" w:hAnsiTheme="minorEastAsia" w:cstheme="minorEastAsia"/>
          <w:kern w:val="2"/>
          <w:sz w:val="24"/>
          <w:szCs w:val="24"/>
          <w:highlight w:val="none"/>
          <w:lang w:val="en-US" w:eastAsia="zh-CN"/>
        </w:rPr>
        <w:t>安装调试时长：</w:t>
      </w:r>
      <w:r>
        <w:rPr>
          <w:rFonts w:ascii="仿宋_GB2312" w:eastAsia="仿宋_GB2312" w:hAnsiTheme="minorEastAsia" w:cstheme="minorEastAsia"/>
          <w:kern w:val="2"/>
          <w:sz w:val="24"/>
          <w:szCs w:val="24"/>
          <w:highlight w:val="none"/>
        </w:rPr>
        <w:t>卖方须在到货后</w:t>
      </w:r>
      <w:r>
        <w:rPr>
          <w:rFonts w:hint="eastAsia" w:ascii="仿宋_GB2312" w:eastAsia="仿宋_GB2312" w:hAnsiTheme="minorEastAsia" w:cstheme="minorEastAsia"/>
          <w:b/>
          <w:bCs/>
          <w:sz w:val="24"/>
          <w:szCs w:val="24"/>
          <w:highlight w:val="none"/>
          <w:u w:val="single"/>
          <w:lang w:val="en-US" w:eastAsia="zh-CN"/>
        </w:rPr>
        <w:t xml:space="preserve">          </w:t>
      </w:r>
      <w:r>
        <w:rPr>
          <w:rFonts w:hint="eastAsia" w:ascii="仿宋_GB2312" w:eastAsia="仿宋_GB2312" w:hAnsiTheme="minorEastAsia" w:cstheme="minorEastAsia"/>
          <w:sz w:val="24"/>
          <w:szCs w:val="24"/>
          <w:highlight w:val="none"/>
        </w:rPr>
        <w:t>个日历日</w:t>
      </w:r>
      <w:r>
        <w:rPr>
          <w:rFonts w:hint="eastAsia" w:ascii="仿宋_GB2312" w:eastAsia="仿宋_GB2312" w:hAnsiTheme="minorEastAsia" w:cstheme="minorEastAsia"/>
          <w:kern w:val="2"/>
          <w:sz w:val="24"/>
          <w:szCs w:val="24"/>
          <w:highlight w:val="none"/>
        </w:rPr>
        <w:t>内安装调试完成。</w:t>
      </w:r>
    </w:p>
    <w:p w14:paraId="0DC5EA70">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lang w:val="en-US" w:eastAsia="zh-CN"/>
        </w:rPr>
        <w:t>1.6调试消耗产品数量：</w:t>
      </w:r>
      <w:r>
        <w:rPr>
          <w:rFonts w:ascii="仿宋_GB2312" w:eastAsia="仿宋_GB2312" w:hAnsiTheme="minorEastAsia" w:cstheme="minorEastAsia"/>
          <w:sz w:val="24"/>
          <w:szCs w:val="24"/>
          <w:highlight w:val="none"/>
        </w:rPr>
        <w:t>若设备安装、调试过程中需使用买方产品的，买方提供调试所用产品数量</w:t>
      </w:r>
      <w:r>
        <w:rPr>
          <w:rFonts w:hint="eastAsia" w:ascii="仿宋_GB2312" w:eastAsia="仿宋_GB2312" w:hAnsiTheme="minorEastAsia" w:cstheme="minorEastAsia"/>
          <w:b/>
          <w:bCs/>
          <w:sz w:val="24"/>
          <w:szCs w:val="24"/>
          <w:highlight w:val="none"/>
          <w:u w:val="single"/>
        </w:rPr>
        <w:t>甲方提供调试产品</w:t>
      </w:r>
      <w:r>
        <w:rPr>
          <w:rFonts w:hint="eastAsia" w:ascii="仿宋_GB2312" w:eastAsia="仿宋_GB2312" w:hAnsiTheme="minorEastAsia" w:cstheme="minorEastAsia"/>
          <w:b/>
          <w:bCs/>
          <w:sz w:val="24"/>
          <w:szCs w:val="24"/>
          <w:highlight w:val="none"/>
          <w:u w:val="single"/>
          <w:lang w:val="en-US" w:eastAsia="zh-CN"/>
        </w:rPr>
        <w:t>的</w:t>
      </w:r>
      <w:r>
        <w:rPr>
          <w:rFonts w:hint="eastAsia" w:ascii="仿宋_GB2312" w:eastAsia="仿宋_GB2312" w:hAnsiTheme="minorEastAsia" w:cstheme="minorEastAsia"/>
          <w:b/>
          <w:bCs/>
          <w:sz w:val="24"/>
          <w:szCs w:val="24"/>
          <w:highlight w:val="none"/>
          <w:u w:val="single"/>
        </w:rPr>
        <w:t>件数</w:t>
      </w:r>
      <w:r>
        <w:rPr>
          <w:rFonts w:ascii="仿宋_GB2312" w:eastAsia="仿宋_GB2312" w:hAnsiTheme="minorEastAsia" w:cstheme="minorEastAsia"/>
          <w:sz w:val="24"/>
          <w:szCs w:val="24"/>
          <w:highlight w:val="none"/>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lang w:val="en-US" w:eastAsia="zh-CN"/>
        </w:rPr>
        <w:t>1.7</w:t>
      </w:r>
      <w:r>
        <w:rPr>
          <w:rFonts w:hint="eastAsia" w:ascii="仿宋_GB2312" w:hAnsi="黑体" w:eastAsia="仿宋_GB2312" w:cstheme="minorEastAsia"/>
          <w:sz w:val="24"/>
          <w:szCs w:val="24"/>
          <w:highlight w:val="none"/>
        </w:rPr>
        <w:t>设备质量保证期：自最终验收报告签署之日（</w:t>
      </w:r>
      <w:r>
        <w:rPr>
          <w:rFonts w:hint="eastAsia" w:ascii="仿宋_GB2312" w:hAnsi="黑体" w:eastAsia="仿宋_GB2312" w:cstheme="minorEastAsia"/>
          <w:sz w:val="24"/>
          <w:szCs w:val="24"/>
          <w:highlight w:val="none"/>
          <w:lang w:val="en-US" w:eastAsia="zh-CN"/>
        </w:rPr>
        <w:t>存在分批次到货安装调试情形的，</w:t>
      </w:r>
      <w:r>
        <w:rPr>
          <w:rFonts w:hint="eastAsia" w:ascii="仿宋_GB2312" w:hAnsi="黑体" w:eastAsia="仿宋_GB2312" w:cstheme="minorEastAsia"/>
          <w:sz w:val="24"/>
          <w:szCs w:val="24"/>
          <w:highlight w:val="none"/>
        </w:rPr>
        <w:t>以</w:t>
      </w:r>
      <w:r>
        <w:rPr>
          <w:rFonts w:hint="eastAsia" w:ascii="仿宋_GB2312" w:hAnsi="黑体" w:eastAsia="仿宋_GB2312" w:cstheme="minorEastAsia"/>
          <w:sz w:val="24"/>
          <w:szCs w:val="24"/>
          <w:highlight w:val="none"/>
          <w:lang w:val="en-US" w:eastAsia="zh-CN"/>
        </w:rPr>
        <w:t>验收报告</w:t>
      </w:r>
      <w:r>
        <w:rPr>
          <w:rFonts w:hint="eastAsia" w:ascii="仿宋_GB2312" w:hAnsi="黑体" w:eastAsia="仿宋_GB2312" w:cstheme="minorEastAsia"/>
          <w:sz w:val="24"/>
          <w:szCs w:val="24"/>
          <w:highlight w:val="none"/>
        </w:rPr>
        <w:t>签署日期最晚者为准）起</w:t>
      </w:r>
      <w:r>
        <w:rPr>
          <w:rFonts w:hint="eastAsia" w:ascii="仿宋_GB2312" w:eastAsia="仿宋_GB2312" w:hAnsiTheme="minorEastAsia" w:cstheme="minorEastAsia"/>
          <w:b/>
          <w:bCs/>
          <w:sz w:val="24"/>
          <w:szCs w:val="24"/>
          <w:highlight w:val="none"/>
          <w:u w:val="single"/>
        </w:rPr>
        <w:t>卖方承诺的质保期月数</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rPr>
        <w:t>存在</w:t>
      </w:r>
      <w:r>
        <w:rPr>
          <w:rFonts w:hint="eastAsia" w:ascii="仿宋_GB2312" w:eastAsia="仿宋_GB2312" w:hAnsiTheme="minorEastAsia" w:cstheme="minorEastAsia"/>
          <w:b/>
          <w:bCs/>
          <w:sz w:val="24"/>
          <w:szCs w:val="24"/>
          <w:highlight w:val="none"/>
          <w:u w:val="single"/>
          <w:lang w:val="en-US" w:eastAsia="zh-CN"/>
        </w:rPr>
        <w:t>分批次设备质保期约定分批次到期情形的</w:t>
      </w:r>
      <w:r>
        <w:rPr>
          <w:rFonts w:hint="eastAsia" w:ascii="仿宋_GB2312" w:eastAsia="仿宋_GB2312" w:hAnsiTheme="minorEastAsia" w:cstheme="minorEastAsia"/>
          <w:b/>
          <w:bCs/>
          <w:sz w:val="24"/>
          <w:szCs w:val="24"/>
          <w:highlight w:val="none"/>
          <w:u w:val="single"/>
        </w:rPr>
        <w:t>，填写</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详见特殊条款约定</w:t>
      </w:r>
      <w:r>
        <w:rPr>
          <w:rFonts w:hint="eastAsia" w:ascii="仿宋_GB2312" w:eastAsia="仿宋_GB2312" w:hAnsiTheme="minorEastAsia" w:cstheme="minorEastAsia"/>
          <w:b/>
          <w:bCs/>
          <w:sz w:val="24"/>
          <w:szCs w:val="24"/>
          <w:highlight w:val="none"/>
          <w:u w:val="single"/>
          <w:lang w:eastAsia="zh-CN"/>
        </w:rPr>
        <w:t>”，</w:t>
      </w:r>
      <w:r>
        <w:rPr>
          <w:rFonts w:hint="eastAsia" w:ascii="仿宋_GB2312" w:eastAsia="仿宋_GB2312" w:hAnsiTheme="minorEastAsia" w:cstheme="minorEastAsia"/>
          <w:b/>
          <w:bCs/>
          <w:sz w:val="24"/>
          <w:szCs w:val="24"/>
          <w:highlight w:val="none"/>
          <w:u w:val="single"/>
          <w:lang w:val="en-US" w:eastAsia="zh-CN"/>
        </w:rPr>
        <w:t>须于专用条款第4条</w:t>
      </w:r>
      <w:r>
        <w:rPr>
          <w:rFonts w:hint="eastAsia" w:ascii="仿宋_GB2312" w:eastAsia="仿宋_GB2312" w:hAnsiTheme="minorEastAsia" w:cstheme="minorEastAsia"/>
          <w:b/>
          <w:bCs/>
          <w:sz w:val="24"/>
          <w:szCs w:val="24"/>
          <w:highlight w:val="none"/>
          <w:u w:val="single"/>
        </w:rPr>
        <w:t>特殊约定条款</w:t>
      </w:r>
      <w:r>
        <w:rPr>
          <w:rFonts w:hint="eastAsia" w:ascii="仿宋_GB2312" w:eastAsia="仿宋_GB2312" w:hAnsiTheme="minorEastAsia" w:cstheme="minorEastAsia"/>
          <w:b/>
          <w:bCs/>
          <w:sz w:val="24"/>
          <w:szCs w:val="24"/>
          <w:highlight w:val="none"/>
          <w:u w:val="single"/>
          <w:lang w:val="en-US" w:eastAsia="zh-CN"/>
        </w:rPr>
        <w:t>特别约定</w:t>
      </w:r>
      <w:r>
        <w:rPr>
          <w:rFonts w:hint="eastAsia" w:ascii="仿宋_GB2312" w:eastAsia="仿宋_GB2312" w:hAnsiTheme="minorEastAsia" w:cstheme="minorEastAsia"/>
          <w:sz w:val="24"/>
          <w:szCs w:val="24"/>
          <w:highlight w:val="none"/>
        </w:rPr>
        <w:t>个月</w:t>
      </w:r>
      <w:r>
        <w:rPr>
          <w:rFonts w:hint="eastAsia" w:ascii="仿宋_GB2312" w:hAnsi="黑体" w:eastAsia="仿宋_GB2312" w:cstheme="minorEastAsia"/>
          <w:sz w:val="24"/>
          <w:szCs w:val="24"/>
          <w:highlight w:val="none"/>
        </w:rPr>
        <w:t>。</w:t>
      </w:r>
    </w:p>
    <w:p w14:paraId="1F7A51D6">
      <w:pPr>
        <w:pStyle w:val="2"/>
        <w:tabs>
          <w:tab w:val="right" w:leader="dot" w:pos="9061"/>
        </w:tabs>
        <w:ind w:left="0" w:firstLine="480" w:firstLineChars="200"/>
        <w:jc w:val="both"/>
        <w:rPr>
          <w:rFonts w:ascii="黑体" w:hAnsi="黑体" w:eastAsia="黑体" w:cs="黑体"/>
          <w:b w:val="0"/>
          <w:sz w:val="24"/>
          <w:szCs w:val="24"/>
          <w:highlight w:val="none"/>
        </w:rPr>
      </w:pPr>
      <w:r>
        <w:rPr>
          <w:rFonts w:hint="eastAsia" w:ascii="黑体" w:hAnsi="黑体" w:eastAsia="黑体" w:cs="黑体"/>
          <w:b w:val="0"/>
          <w:sz w:val="24"/>
          <w:szCs w:val="24"/>
          <w:highlight w:val="none"/>
          <w:lang w:val="en-US" w:eastAsia="zh-CN"/>
        </w:rPr>
        <w:t>2</w:t>
      </w:r>
      <w:r>
        <w:rPr>
          <w:rFonts w:hint="eastAsia" w:ascii="黑体" w:hAnsi="黑体" w:eastAsia="黑体" w:cs="黑体"/>
          <w:b w:val="0"/>
          <w:sz w:val="24"/>
          <w:szCs w:val="24"/>
          <w:highlight w:val="none"/>
        </w:rPr>
        <w:t>.结算付款约定</w:t>
      </w:r>
    </w:p>
    <w:p w14:paraId="24BF40B0">
      <w:pPr>
        <w:spacing w:line="360" w:lineRule="auto"/>
        <w:ind w:firstLine="480" w:firstLineChars="200"/>
        <w:rPr>
          <w:rFonts w:hint="default" w:ascii="仿宋_GB2312" w:hAnsi="黑体" w:eastAsia="仿宋_GB2312" w:cstheme="minorEastAsia"/>
          <w:b/>
          <w:bCs/>
          <w:sz w:val="24"/>
          <w:szCs w:val="24"/>
          <w:highlight w:val="none"/>
          <w:u w:val="single"/>
          <w:lang w:val="en-US" w:eastAsia="zh-CN"/>
        </w:rPr>
      </w:pPr>
      <w:r>
        <w:rPr>
          <w:rFonts w:hint="eastAsia" w:ascii="仿宋_GB2312" w:hAnsi="黑体" w:eastAsia="仿宋_GB2312" w:cstheme="minorEastAsia"/>
          <w:sz w:val="24"/>
          <w:szCs w:val="24"/>
          <w:highlight w:val="none"/>
          <w:lang w:val="en-US" w:eastAsia="zh-CN"/>
        </w:rPr>
        <w:t>2</w:t>
      </w:r>
      <w:r>
        <w:rPr>
          <w:rFonts w:hint="eastAsia" w:ascii="仿宋_GB2312" w:hAnsi="黑体" w:eastAsia="仿宋_GB2312" w:cstheme="minorEastAsia"/>
          <w:sz w:val="24"/>
          <w:szCs w:val="24"/>
          <w:highlight w:val="none"/>
        </w:rPr>
        <w:t>.1结算方式</w:t>
      </w:r>
      <w:r>
        <w:rPr>
          <w:rFonts w:hint="eastAsia" w:ascii="仿宋_GB2312" w:hAnsi="黑体" w:eastAsia="仿宋_GB2312" w:cstheme="minorEastAsia"/>
          <w:sz w:val="24"/>
          <w:szCs w:val="24"/>
          <w:highlight w:val="none"/>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2.2结算币种：</w:t>
      </w:r>
      <w:r>
        <w:rPr>
          <w:rFonts w:hint="eastAsia" w:ascii="仿宋_GB2312" w:hAnsi="仿宋_GB2312" w:eastAsia="仿宋_GB2312" w:cs="仿宋_GB2312"/>
          <w:sz w:val="24"/>
          <w:szCs w:val="24"/>
          <w:highlight w:val="none"/>
        </w:rPr>
        <w:t>本合同使用</w:t>
      </w:r>
      <w:r>
        <w:rPr>
          <w:rFonts w:hint="eastAsia" w:ascii="仿宋_GB2312" w:hAnsi="仿宋_GB2312" w:eastAsia="仿宋_GB2312" w:cs="仿宋_GB2312"/>
          <w:b/>
          <w:bCs/>
          <w:sz w:val="24"/>
          <w:szCs w:val="24"/>
          <w:highlight w:val="none"/>
          <w:u w:val="single"/>
        </w:rPr>
        <w:t>币种</w:t>
      </w:r>
      <w:r>
        <w:rPr>
          <w:rFonts w:hint="eastAsia" w:ascii="仿宋_GB2312" w:hAnsi="仿宋_GB2312" w:eastAsia="仿宋_GB2312" w:cs="仿宋_GB2312"/>
          <w:sz w:val="24"/>
          <w:szCs w:val="24"/>
          <w:highlight w:val="none"/>
        </w:rPr>
        <w:t>进行结算。</w:t>
      </w:r>
    </w:p>
    <w:p w14:paraId="77651F57">
      <w:pPr>
        <w:spacing w:line="360" w:lineRule="auto"/>
        <w:ind w:firstLine="480" w:firstLineChars="200"/>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lang w:val="en-US" w:eastAsia="zh-CN"/>
        </w:rPr>
        <w:t>2</w:t>
      </w:r>
      <w:r>
        <w:rPr>
          <w:rFonts w:hint="eastAsia" w:ascii="仿宋_GB2312" w:hAnsi="黑体" w:eastAsia="仿宋_GB2312" w:cstheme="minorEastAsia"/>
          <w:sz w:val="24"/>
          <w:szCs w:val="24"/>
          <w:highlight w:val="none"/>
        </w:rPr>
        <w:t>.</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合同价款支付：</w:t>
      </w:r>
    </w:p>
    <w:p w14:paraId="28007BAC">
      <w:pPr>
        <w:spacing w:line="360" w:lineRule="auto"/>
        <w:ind w:firstLine="480" w:firstLineChars="200"/>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lang w:val="en-US" w:eastAsia="zh-CN"/>
        </w:rPr>
        <w:t>2</w:t>
      </w:r>
      <w:r>
        <w:rPr>
          <w:rFonts w:hint="eastAsia" w:ascii="仿宋_GB2312" w:hAnsi="黑体" w:eastAsia="仿宋_GB2312" w:cstheme="minorEastAsia"/>
          <w:sz w:val="24"/>
          <w:szCs w:val="24"/>
          <w:highlight w:val="none"/>
        </w:rPr>
        <w:t>.</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.1</w:t>
      </w:r>
      <w:r>
        <w:rPr>
          <w:rFonts w:hint="eastAsia" w:ascii="仿宋_GB2312" w:hAnsi="黑体" w:eastAsia="仿宋_GB2312" w:cstheme="minorEastAsia"/>
          <w:b/>
          <w:bCs/>
          <w:sz w:val="24"/>
          <w:szCs w:val="24"/>
          <w:highlight w:val="none"/>
          <w:u w:val="single"/>
        </w:rPr>
        <w:t>填写第一笔付款的满足要件，如</w:t>
      </w:r>
      <w:r>
        <w:rPr>
          <w:rFonts w:hint="eastAsia" w:ascii="仿宋_GB2312" w:hAnsi="黑体" w:eastAsia="仿宋_GB2312" w:cstheme="minorEastAsia"/>
          <w:b/>
          <w:bCs/>
          <w:sz w:val="24"/>
          <w:szCs w:val="24"/>
          <w:highlight w:val="none"/>
          <w:u w:val="single"/>
          <w:lang w:eastAsia="zh-CN"/>
        </w:rPr>
        <w:t>“</w:t>
      </w:r>
      <w:r>
        <w:rPr>
          <w:rFonts w:hint="eastAsia" w:ascii="仿宋_GB2312" w:hAnsi="黑体" w:eastAsia="仿宋_GB2312" w:cstheme="minorEastAsia"/>
          <w:b/>
          <w:bCs/>
          <w:sz w:val="24"/>
          <w:szCs w:val="24"/>
          <w:highlight w:val="none"/>
          <w:u w:val="single"/>
        </w:rPr>
        <w:t>设备全部到齐无质量问题</w:t>
      </w:r>
      <w:r>
        <w:rPr>
          <w:rFonts w:hint="eastAsia" w:ascii="仿宋_GB2312" w:hAnsi="黑体" w:eastAsia="仿宋_GB2312" w:cstheme="minorEastAsia"/>
          <w:b/>
          <w:bCs/>
          <w:sz w:val="24"/>
          <w:szCs w:val="24"/>
          <w:highlight w:val="none"/>
          <w:u w:val="single"/>
          <w:lang w:eastAsia="zh-CN"/>
        </w:rPr>
        <w:t>”。</w:t>
      </w:r>
      <w:r>
        <w:rPr>
          <w:rFonts w:hint="eastAsia" w:ascii="仿宋_GB2312" w:hAnsi="黑体" w:eastAsia="仿宋_GB2312" w:cstheme="minorEastAsia"/>
          <w:b/>
          <w:bCs/>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highlight w:val="none"/>
          <w:u w:val="single"/>
          <w:lang w:val="en-US" w:eastAsia="zh-CN"/>
        </w:rPr>
        <w:t>专用条款第4条</w:t>
      </w:r>
      <w:r>
        <w:rPr>
          <w:rFonts w:hint="eastAsia" w:ascii="仿宋_GB2312" w:hAnsi="黑体" w:eastAsia="仿宋_GB2312" w:cstheme="minorEastAsia"/>
          <w:b/>
          <w:bCs/>
          <w:sz w:val="24"/>
          <w:szCs w:val="24"/>
          <w:highlight w:val="none"/>
          <w:u w:val="single"/>
          <w:lang w:val="en-US" w:eastAsia="zh-CN"/>
        </w:rPr>
        <w:t>特殊约定条款中特别约定</w:t>
      </w:r>
      <w:r>
        <w:rPr>
          <w:rFonts w:hint="eastAsia" w:ascii="仿宋_GB2312" w:hAnsi="黑体" w:eastAsia="仿宋_GB2312" w:cstheme="minorEastAsia"/>
          <w:sz w:val="24"/>
          <w:szCs w:val="24"/>
          <w:highlight w:val="none"/>
        </w:rPr>
        <w:t>, 卖方提交金额为合同含税</w:t>
      </w:r>
      <w:r>
        <w:rPr>
          <w:rFonts w:hint="eastAsia" w:ascii="仿宋_GB2312" w:hAnsi="黑体" w:eastAsia="仿宋_GB2312" w:cstheme="minorEastAsia"/>
          <w:sz w:val="24"/>
          <w:szCs w:val="24"/>
          <w:highlight w:val="none"/>
          <w:lang w:val="en-US" w:eastAsia="zh-CN"/>
        </w:rPr>
        <w:t>总</w:t>
      </w:r>
      <w:r>
        <w:rPr>
          <w:rFonts w:hint="eastAsia" w:ascii="仿宋_GB2312" w:hAnsi="黑体" w:eastAsia="仿宋_GB2312" w:cstheme="minorEastAsia"/>
          <w:sz w:val="24"/>
          <w:szCs w:val="24"/>
          <w:highlight w:val="none"/>
        </w:rPr>
        <w:t>价款</w:t>
      </w:r>
      <w:r>
        <w:rPr>
          <w:rFonts w:hint="eastAsia" w:ascii="仿宋_GB2312" w:hAnsi="黑体" w:eastAsia="仿宋_GB2312" w:cstheme="minorEastAsia"/>
          <w:b/>
          <w:bCs/>
          <w:sz w:val="24"/>
          <w:szCs w:val="24"/>
          <w:highlight w:val="none"/>
          <w:u w:val="single"/>
        </w:rPr>
        <w:t>第一笔付款的比例，数值</w:t>
      </w:r>
      <w:r>
        <w:rPr>
          <w:rFonts w:hint="eastAsia" w:ascii="仿宋_GB2312" w:hAnsi="黑体" w:eastAsia="仿宋_GB2312" w:cstheme="minorEastAsia"/>
          <w:sz w:val="24"/>
          <w:szCs w:val="24"/>
          <w:highlight w:val="none"/>
        </w:rPr>
        <w:t>%即</w:t>
      </w:r>
      <w:r>
        <w:rPr>
          <w:rFonts w:hint="eastAsia" w:ascii="仿宋_GB2312" w:hAnsi="黑体" w:eastAsia="仿宋_GB2312" w:cstheme="minorEastAsia"/>
          <w:b/>
          <w:bCs/>
          <w:sz w:val="24"/>
          <w:szCs w:val="24"/>
          <w:highlight w:val="none"/>
          <w:u w:val="single"/>
        </w:rPr>
        <w:t>第一笔付款金额</w:t>
      </w:r>
      <w:r>
        <w:rPr>
          <w:rFonts w:hint="eastAsia" w:ascii="仿宋_GB2312" w:hAnsi="黑体" w:eastAsia="仿宋_GB2312" w:cstheme="minorEastAsia"/>
          <w:sz w:val="24"/>
          <w:szCs w:val="24"/>
          <w:highlight w:val="none"/>
        </w:rPr>
        <w:t>元的收据</w:t>
      </w:r>
      <w:r>
        <w:rPr>
          <w:rFonts w:hint="eastAsia" w:ascii="仿宋_GB2312" w:hAnsi="黑体" w:eastAsia="仿宋_GB2312" w:cstheme="minorEastAsia"/>
          <w:sz w:val="24"/>
          <w:szCs w:val="24"/>
          <w:highlight w:val="none"/>
          <w:lang w:val="en-US" w:eastAsia="zh-CN"/>
        </w:rPr>
        <w:t>及对应金额的增值税专用发票</w:t>
      </w:r>
      <w:r>
        <w:rPr>
          <w:rFonts w:hint="eastAsia" w:ascii="仿宋_GB2312" w:hAnsi="黑体" w:eastAsia="仿宋_GB2312" w:cstheme="minorEastAsia"/>
          <w:sz w:val="24"/>
          <w:szCs w:val="24"/>
          <w:highlight w:val="none"/>
        </w:rPr>
        <w:t>，经买方财务审核无误后按照</w:t>
      </w:r>
      <w:r>
        <w:rPr>
          <w:rFonts w:hint="eastAsia" w:ascii="仿宋_GB2312" w:hAnsi="黑体" w:eastAsia="仿宋_GB2312" w:cstheme="minorEastAsia"/>
          <w:b/>
          <w:bCs/>
          <w:sz w:val="24"/>
          <w:szCs w:val="24"/>
          <w:highlight w:val="none"/>
          <w:u w:val="single"/>
        </w:rPr>
        <w:t>约定的财务付款条件</w:t>
      </w:r>
      <w:r>
        <w:rPr>
          <w:rFonts w:hint="eastAsia" w:ascii="仿宋_GB2312" w:hAnsi="黑体" w:eastAsia="仿宋_GB2312" w:cstheme="minorEastAsia"/>
          <w:sz w:val="24"/>
          <w:szCs w:val="24"/>
          <w:highlight w:val="none"/>
        </w:rPr>
        <w:t>执行。</w:t>
      </w:r>
    </w:p>
    <w:p w14:paraId="647CA9E6">
      <w:pPr>
        <w:spacing w:line="360" w:lineRule="auto"/>
        <w:ind w:firstLine="480" w:firstLineChars="200"/>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lang w:val="en-US" w:eastAsia="zh-CN"/>
        </w:rPr>
        <w:t>2</w:t>
      </w:r>
      <w:r>
        <w:rPr>
          <w:rFonts w:hint="eastAsia" w:ascii="仿宋_GB2312" w:hAnsi="黑体" w:eastAsia="仿宋_GB2312" w:cstheme="minorEastAsia"/>
          <w:sz w:val="24"/>
          <w:szCs w:val="24"/>
          <w:highlight w:val="none"/>
        </w:rPr>
        <w:t>.</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.3</w:t>
      </w:r>
      <w:r>
        <w:rPr>
          <w:rFonts w:hint="eastAsia" w:ascii="仿宋_GB2312" w:hAnsi="黑体" w:eastAsia="仿宋_GB2312" w:cstheme="minorEastAsia"/>
          <w:b/>
          <w:bCs/>
          <w:sz w:val="24"/>
          <w:szCs w:val="24"/>
          <w:highlight w:val="none"/>
          <w:u w:val="single"/>
        </w:rPr>
        <w:t>填写第</w:t>
      </w:r>
      <w:r>
        <w:rPr>
          <w:rFonts w:hint="eastAsia" w:ascii="仿宋_GB2312" w:hAnsi="黑体" w:eastAsia="仿宋_GB2312" w:cstheme="minorEastAsia"/>
          <w:b/>
          <w:bCs/>
          <w:sz w:val="24"/>
          <w:szCs w:val="24"/>
          <w:highlight w:val="none"/>
          <w:u w:val="single"/>
          <w:lang w:val="en-US" w:eastAsia="zh-CN"/>
        </w:rPr>
        <w:t>二</w:t>
      </w:r>
      <w:r>
        <w:rPr>
          <w:rFonts w:hint="eastAsia" w:ascii="仿宋_GB2312" w:hAnsi="黑体" w:eastAsia="仿宋_GB2312" w:cstheme="minorEastAsia"/>
          <w:b/>
          <w:bCs/>
          <w:sz w:val="24"/>
          <w:szCs w:val="24"/>
          <w:highlight w:val="none"/>
          <w:u w:val="single"/>
        </w:rPr>
        <w:t>笔付款的满足要件，如</w:t>
      </w:r>
      <w:r>
        <w:rPr>
          <w:rFonts w:hint="eastAsia" w:ascii="仿宋_GB2312" w:hAnsi="黑体" w:eastAsia="仿宋_GB2312" w:cstheme="minorEastAsia"/>
          <w:b/>
          <w:bCs/>
          <w:sz w:val="24"/>
          <w:szCs w:val="24"/>
          <w:highlight w:val="none"/>
          <w:u w:val="single"/>
          <w:lang w:eastAsia="zh-CN"/>
        </w:rPr>
        <w:t>“</w:t>
      </w:r>
      <w:r>
        <w:rPr>
          <w:rFonts w:hint="eastAsia" w:ascii="仿宋_GB2312" w:hAnsi="黑体" w:eastAsia="仿宋_GB2312" w:cstheme="minorEastAsia"/>
          <w:b/>
          <w:bCs/>
          <w:sz w:val="24"/>
          <w:szCs w:val="24"/>
          <w:highlight w:val="none"/>
          <w:u w:val="single"/>
        </w:rPr>
        <w:t>设备全部到齐无质量问题，经安装、调试最终验收合格后</w:t>
      </w:r>
      <w:r>
        <w:rPr>
          <w:rFonts w:hint="eastAsia" w:ascii="仿宋_GB2312" w:hAnsi="黑体" w:eastAsia="仿宋_GB2312" w:cstheme="minorEastAsia"/>
          <w:b/>
          <w:bCs/>
          <w:sz w:val="24"/>
          <w:szCs w:val="24"/>
          <w:highlight w:val="none"/>
          <w:u w:val="single"/>
          <w:lang w:eastAsia="zh-CN"/>
        </w:rPr>
        <w:t>”。</w:t>
      </w:r>
      <w:r>
        <w:rPr>
          <w:rFonts w:hint="eastAsia" w:ascii="仿宋_GB2312" w:hAnsi="黑体" w:eastAsia="仿宋_GB2312" w:cstheme="minorEastAsia"/>
          <w:b/>
          <w:bCs/>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highlight w:val="none"/>
          <w:u w:val="single"/>
          <w:lang w:val="en-US" w:eastAsia="zh-CN"/>
        </w:rPr>
        <w:t>专用条款第4条</w:t>
      </w:r>
      <w:r>
        <w:rPr>
          <w:rFonts w:hint="eastAsia" w:ascii="仿宋_GB2312" w:hAnsi="黑体" w:eastAsia="仿宋_GB2312" w:cstheme="minorEastAsia"/>
          <w:b/>
          <w:bCs/>
          <w:sz w:val="24"/>
          <w:szCs w:val="24"/>
          <w:highlight w:val="none"/>
          <w:u w:val="single"/>
          <w:lang w:val="en-US" w:eastAsia="zh-CN"/>
        </w:rPr>
        <w:t>特殊约定条款中特别约定</w:t>
      </w:r>
      <w:r>
        <w:rPr>
          <w:rFonts w:hint="eastAsia" w:ascii="仿宋_GB2312" w:hAnsi="黑体" w:eastAsia="仿宋_GB2312" w:cstheme="minorEastAsia"/>
          <w:sz w:val="24"/>
          <w:szCs w:val="24"/>
          <w:highlight w:val="none"/>
        </w:rPr>
        <w:t>，卖方提交金额为合同含税</w:t>
      </w:r>
      <w:r>
        <w:rPr>
          <w:rFonts w:hint="eastAsia" w:ascii="仿宋_GB2312" w:hAnsi="黑体" w:eastAsia="仿宋_GB2312" w:cstheme="minorEastAsia"/>
          <w:sz w:val="24"/>
          <w:szCs w:val="24"/>
          <w:highlight w:val="none"/>
          <w:lang w:val="en-US" w:eastAsia="zh-CN"/>
        </w:rPr>
        <w:t>总</w:t>
      </w:r>
      <w:r>
        <w:rPr>
          <w:rFonts w:hint="eastAsia" w:ascii="仿宋_GB2312" w:hAnsi="黑体" w:eastAsia="仿宋_GB2312" w:cstheme="minorEastAsia"/>
          <w:sz w:val="24"/>
          <w:szCs w:val="24"/>
          <w:highlight w:val="none"/>
        </w:rPr>
        <w:t>价款</w:t>
      </w:r>
      <w:r>
        <w:rPr>
          <w:rFonts w:hint="eastAsia" w:ascii="仿宋_GB2312" w:hAnsi="黑体" w:eastAsia="仿宋_GB2312" w:cstheme="minorEastAsia"/>
          <w:b/>
          <w:bCs/>
          <w:sz w:val="24"/>
          <w:szCs w:val="24"/>
          <w:highlight w:val="none"/>
          <w:u w:val="single"/>
        </w:rPr>
        <w:t>第</w:t>
      </w:r>
      <w:r>
        <w:rPr>
          <w:rFonts w:hint="eastAsia" w:ascii="仿宋_GB2312" w:hAnsi="黑体" w:eastAsia="仿宋_GB2312" w:cstheme="minorEastAsia"/>
          <w:b/>
          <w:bCs/>
          <w:sz w:val="24"/>
          <w:szCs w:val="24"/>
          <w:highlight w:val="none"/>
          <w:u w:val="single"/>
          <w:lang w:val="en-US" w:eastAsia="zh-CN"/>
        </w:rPr>
        <w:t>二</w:t>
      </w:r>
      <w:r>
        <w:rPr>
          <w:rFonts w:hint="eastAsia" w:ascii="仿宋_GB2312" w:hAnsi="黑体" w:eastAsia="仿宋_GB2312" w:cstheme="minorEastAsia"/>
          <w:b/>
          <w:bCs/>
          <w:sz w:val="24"/>
          <w:szCs w:val="24"/>
          <w:highlight w:val="none"/>
          <w:u w:val="single"/>
        </w:rPr>
        <w:t>笔付款的比例，数值</w:t>
      </w:r>
      <w:r>
        <w:rPr>
          <w:rFonts w:hint="eastAsia" w:ascii="仿宋_GB2312" w:hAnsi="黑体" w:eastAsia="仿宋_GB2312" w:cstheme="minorEastAsia"/>
          <w:sz w:val="24"/>
          <w:szCs w:val="24"/>
          <w:highlight w:val="none"/>
        </w:rPr>
        <w:t>%即</w:t>
      </w:r>
      <w:r>
        <w:rPr>
          <w:rFonts w:hint="eastAsia" w:ascii="仿宋_GB2312" w:hAnsi="黑体" w:eastAsia="仿宋_GB2312" w:cstheme="minorEastAsia"/>
          <w:b/>
          <w:bCs/>
          <w:sz w:val="24"/>
          <w:szCs w:val="24"/>
          <w:highlight w:val="none"/>
          <w:u w:val="single"/>
        </w:rPr>
        <w:t>第</w:t>
      </w:r>
      <w:r>
        <w:rPr>
          <w:rFonts w:hint="eastAsia" w:ascii="仿宋_GB2312" w:hAnsi="黑体" w:eastAsia="仿宋_GB2312" w:cstheme="minorEastAsia"/>
          <w:b/>
          <w:bCs/>
          <w:sz w:val="24"/>
          <w:szCs w:val="24"/>
          <w:highlight w:val="none"/>
          <w:u w:val="single"/>
          <w:lang w:val="en-US" w:eastAsia="zh-CN"/>
        </w:rPr>
        <w:t>二</w:t>
      </w:r>
      <w:r>
        <w:rPr>
          <w:rFonts w:hint="eastAsia" w:ascii="仿宋_GB2312" w:hAnsi="黑体" w:eastAsia="仿宋_GB2312" w:cstheme="minorEastAsia"/>
          <w:b/>
          <w:bCs/>
          <w:sz w:val="24"/>
          <w:szCs w:val="24"/>
          <w:highlight w:val="none"/>
          <w:u w:val="single"/>
        </w:rPr>
        <w:t>笔付款金额</w:t>
      </w:r>
      <w:r>
        <w:rPr>
          <w:rFonts w:hint="eastAsia" w:ascii="仿宋_GB2312" w:hAnsi="黑体" w:eastAsia="仿宋_GB2312" w:cstheme="minorEastAsia"/>
          <w:sz w:val="24"/>
          <w:szCs w:val="24"/>
          <w:highlight w:val="none"/>
        </w:rPr>
        <w:t>元的收据及</w:t>
      </w:r>
      <w:r>
        <w:rPr>
          <w:rFonts w:hint="eastAsia" w:ascii="仿宋_GB2312" w:hAnsi="黑体" w:eastAsia="仿宋_GB2312" w:cstheme="minorEastAsia"/>
          <w:sz w:val="24"/>
          <w:szCs w:val="24"/>
          <w:highlight w:val="none"/>
          <w:lang w:val="en-US" w:eastAsia="zh-CN"/>
        </w:rPr>
        <w:t>合同含税总价款未付金额的</w:t>
      </w:r>
      <w:r>
        <w:rPr>
          <w:rFonts w:hint="eastAsia" w:ascii="仿宋_GB2312" w:hAnsi="黑体" w:eastAsia="仿宋_GB2312" w:cstheme="minorEastAsia"/>
          <w:sz w:val="24"/>
          <w:szCs w:val="24"/>
          <w:highlight w:val="none"/>
        </w:rPr>
        <w:t>增值税专用发票并附带合同设备最终验收报告，经买方财务审核无误后按照</w:t>
      </w:r>
      <w:r>
        <w:rPr>
          <w:rFonts w:hint="eastAsia" w:ascii="仿宋_GB2312" w:hAnsi="黑体" w:eastAsia="仿宋_GB2312" w:cstheme="minorEastAsia"/>
          <w:b/>
          <w:bCs/>
          <w:sz w:val="24"/>
          <w:szCs w:val="24"/>
          <w:highlight w:val="none"/>
          <w:u w:val="single"/>
        </w:rPr>
        <w:t>约定的财务付款条件</w:t>
      </w:r>
      <w:r>
        <w:rPr>
          <w:rFonts w:hint="eastAsia" w:ascii="仿宋_GB2312" w:hAnsi="黑体" w:eastAsia="仿宋_GB2312" w:cstheme="minorEastAsia"/>
          <w:sz w:val="24"/>
          <w:szCs w:val="24"/>
          <w:highlight w:val="none"/>
        </w:rPr>
        <w:t>执行。</w:t>
      </w:r>
    </w:p>
    <w:p w14:paraId="31505732">
      <w:pPr>
        <w:spacing w:line="360" w:lineRule="auto"/>
        <w:ind w:firstLine="480" w:firstLineChars="200"/>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lang w:val="en-US" w:eastAsia="zh-CN"/>
        </w:rPr>
        <w:t>2</w:t>
      </w:r>
      <w:r>
        <w:rPr>
          <w:rFonts w:hint="eastAsia" w:ascii="仿宋_GB2312" w:hAnsi="黑体" w:eastAsia="仿宋_GB2312" w:cstheme="minorEastAsia"/>
          <w:sz w:val="24"/>
          <w:szCs w:val="24"/>
          <w:highlight w:val="none"/>
        </w:rPr>
        <w:t>.</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.4合同含税总价款的</w:t>
      </w:r>
      <w:r>
        <w:rPr>
          <w:rFonts w:hint="eastAsia" w:ascii="仿宋_GB2312" w:hAnsi="黑体" w:eastAsia="仿宋_GB2312" w:cstheme="minorEastAsia"/>
          <w:b/>
          <w:bCs/>
          <w:sz w:val="24"/>
          <w:szCs w:val="24"/>
          <w:highlight w:val="none"/>
          <w:u w:val="single"/>
        </w:rPr>
        <w:t>第</w:t>
      </w:r>
      <w:r>
        <w:rPr>
          <w:rFonts w:hint="eastAsia" w:ascii="仿宋_GB2312" w:hAnsi="黑体" w:eastAsia="仿宋_GB2312" w:cstheme="minorEastAsia"/>
          <w:b/>
          <w:bCs/>
          <w:sz w:val="24"/>
          <w:szCs w:val="24"/>
          <w:highlight w:val="none"/>
          <w:u w:val="single"/>
          <w:lang w:val="en-US" w:eastAsia="zh-CN"/>
        </w:rPr>
        <w:t>三</w:t>
      </w:r>
      <w:r>
        <w:rPr>
          <w:rFonts w:hint="eastAsia" w:ascii="仿宋_GB2312" w:hAnsi="黑体" w:eastAsia="仿宋_GB2312" w:cstheme="minorEastAsia"/>
          <w:b/>
          <w:bCs/>
          <w:sz w:val="24"/>
          <w:szCs w:val="24"/>
          <w:highlight w:val="none"/>
          <w:u w:val="single"/>
        </w:rPr>
        <w:t>笔付款的比例，数值</w:t>
      </w:r>
      <w:r>
        <w:rPr>
          <w:rFonts w:hint="eastAsia" w:ascii="仿宋_GB2312" w:hAnsi="黑体" w:eastAsia="仿宋_GB2312" w:cstheme="minorEastAsia"/>
          <w:sz w:val="24"/>
          <w:szCs w:val="24"/>
          <w:highlight w:val="none"/>
        </w:rPr>
        <w:t>%即</w:t>
      </w:r>
      <w:r>
        <w:rPr>
          <w:rFonts w:hint="eastAsia" w:ascii="仿宋_GB2312" w:hAnsi="黑体" w:eastAsia="仿宋_GB2312" w:cstheme="minorEastAsia"/>
          <w:b/>
          <w:bCs/>
          <w:sz w:val="24"/>
          <w:szCs w:val="24"/>
          <w:highlight w:val="none"/>
          <w:u w:val="single"/>
        </w:rPr>
        <w:t>第</w:t>
      </w:r>
      <w:r>
        <w:rPr>
          <w:rFonts w:hint="eastAsia" w:ascii="仿宋_GB2312" w:hAnsi="黑体" w:eastAsia="仿宋_GB2312" w:cstheme="minorEastAsia"/>
          <w:b/>
          <w:bCs/>
          <w:sz w:val="24"/>
          <w:szCs w:val="24"/>
          <w:highlight w:val="none"/>
          <w:u w:val="single"/>
          <w:lang w:val="en-US" w:eastAsia="zh-CN"/>
        </w:rPr>
        <w:t>三</w:t>
      </w:r>
      <w:r>
        <w:rPr>
          <w:rFonts w:hint="eastAsia" w:ascii="仿宋_GB2312" w:hAnsi="黑体" w:eastAsia="仿宋_GB2312" w:cstheme="minorEastAsia"/>
          <w:b/>
          <w:bCs/>
          <w:sz w:val="24"/>
          <w:szCs w:val="24"/>
          <w:highlight w:val="none"/>
          <w:u w:val="single"/>
        </w:rPr>
        <w:t>笔付款金额</w:t>
      </w:r>
      <w:r>
        <w:rPr>
          <w:rFonts w:hint="eastAsia" w:ascii="仿宋_GB2312" w:hAnsi="黑体" w:eastAsia="仿宋_GB2312" w:cstheme="minorEastAsia"/>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highlight w:val="none"/>
          <w:lang w:val="en-US" w:eastAsia="zh-CN"/>
        </w:rPr>
        <w:t>质量保证金</w:t>
      </w:r>
      <w:r>
        <w:rPr>
          <w:rFonts w:hint="eastAsia" w:ascii="仿宋_GB2312" w:hAnsi="黑体" w:eastAsia="仿宋_GB2312" w:cstheme="minorEastAsia"/>
          <w:sz w:val="24"/>
          <w:szCs w:val="24"/>
          <w:highlight w:val="none"/>
        </w:rPr>
        <w:t>收据及设备使用单位的使用情况说明，经买方财务审核无误后按照</w:t>
      </w:r>
      <w:r>
        <w:rPr>
          <w:rFonts w:hint="eastAsia" w:ascii="仿宋_GB2312" w:hAnsi="黑体" w:eastAsia="仿宋_GB2312" w:cstheme="minorEastAsia"/>
          <w:b/>
          <w:bCs/>
          <w:sz w:val="24"/>
          <w:szCs w:val="24"/>
          <w:highlight w:val="none"/>
          <w:u w:val="single"/>
        </w:rPr>
        <w:t>约定的财务付款条件</w:t>
      </w:r>
      <w:r>
        <w:rPr>
          <w:rFonts w:hint="eastAsia" w:ascii="仿宋_GB2312" w:hAnsi="黑体" w:eastAsia="仿宋_GB2312" w:cstheme="minorEastAsia"/>
          <w:sz w:val="24"/>
          <w:szCs w:val="24"/>
          <w:highlight w:val="none"/>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highlight w:val="none"/>
        </w:rPr>
      </w:pPr>
      <w:r>
        <w:rPr>
          <w:rFonts w:hint="eastAsia" w:ascii="仿宋_GB2312" w:hAnsi="仿宋_GB2312" w:eastAsia="仿宋_GB2312" w:cs="仿宋_GB2312"/>
          <w:w w:val="90"/>
          <w:sz w:val="24"/>
          <w:szCs w:val="24"/>
          <w:highlight w:val="none"/>
          <w:lang w:val="en-US" w:eastAsia="zh-CN"/>
        </w:rPr>
        <w:t>2</w:t>
      </w:r>
      <w:r>
        <w:rPr>
          <w:rFonts w:hint="eastAsia" w:ascii="仿宋_GB2312" w:hAnsi="仿宋_GB2312" w:eastAsia="仿宋_GB2312" w:cs="仿宋_GB2312"/>
          <w:w w:val="90"/>
          <w:sz w:val="24"/>
          <w:szCs w:val="24"/>
          <w:highlight w:val="none"/>
        </w:rPr>
        <w:t>.</w:t>
      </w:r>
      <w:r>
        <w:rPr>
          <w:rFonts w:hint="eastAsia" w:ascii="仿宋_GB2312" w:hAnsi="仿宋_GB2312" w:eastAsia="仿宋_GB2312" w:cs="仿宋_GB2312"/>
          <w:w w:val="90"/>
          <w:sz w:val="24"/>
          <w:szCs w:val="24"/>
          <w:highlight w:val="none"/>
          <w:lang w:val="en-US" w:eastAsia="zh-CN"/>
        </w:rPr>
        <w:t>4甲乙双方基本</w:t>
      </w:r>
      <w:r>
        <w:rPr>
          <w:rFonts w:hint="eastAsia" w:ascii="仿宋_GB2312" w:hAnsi="仿宋_GB2312" w:eastAsia="仿宋_GB2312" w:cs="仿宋_GB2312"/>
          <w:w w:val="90"/>
          <w:sz w:val="24"/>
          <w:szCs w:val="24"/>
          <w:highlight w:val="none"/>
        </w:rPr>
        <w:t>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b/>
                <w:bCs/>
                <w:w w:val="90"/>
                <w:sz w:val="24"/>
                <w:szCs w:val="24"/>
                <w:highlight w:val="none"/>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highlight w:val="none"/>
                <w:vertAlign w:val="baseline"/>
                <w:lang w:val="en-US"/>
              </w:rPr>
            </w:pPr>
            <w:r>
              <w:rPr>
                <w:rFonts w:hint="eastAsia" w:ascii="仿宋_GB2312" w:hAnsi="仿宋_GB2312" w:eastAsia="仿宋_GB2312" w:cs="仿宋_GB2312"/>
                <w:b/>
                <w:bCs/>
                <w:w w:val="90"/>
                <w:sz w:val="24"/>
                <w:szCs w:val="24"/>
                <w:highlight w:val="none"/>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highlight w:val="none"/>
                <w:vertAlign w:val="baseline"/>
                <w:lang w:val="en-US"/>
              </w:rPr>
            </w:pPr>
            <w:r>
              <w:rPr>
                <w:rFonts w:hint="eastAsia" w:ascii="仿宋_GB2312" w:hAnsi="仿宋_GB2312" w:eastAsia="仿宋_GB2312" w:cs="仿宋_GB2312"/>
                <w:b/>
                <w:bCs/>
                <w:w w:val="90"/>
                <w:sz w:val="24"/>
                <w:szCs w:val="24"/>
                <w:highlight w:val="none"/>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b/>
                <w:bCs/>
                <w:w w:val="90"/>
                <w:sz w:val="24"/>
                <w:szCs w:val="24"/>
                <w:highlight w:val="none"/>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highlight w:val="none"/>
                <w:vertAlign w:val="baseline"/>
                <w:lang w:val="en-US"/>
              </w:rPr>
            </w:pPr>
            <w:r>
              <w:rPr>
                <w:rFonts w:hint="eastAsia" w:ascii="仿宋_GB2312" w:hAnsi="仿宋_GB2312" w:eastAsia="仿宋_GB2312" w:cs="仿宋_GB2312"/>
                <w:b/>
                <w:bCs/>
                <w:w w:val="90"/>
                <w:sz w:val="24"/>
                <w:szCs w:val="24"/>
                <w:highlight w:val="none"/>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b/>
                <w:bCs/>
                <w:w w:val="90"/>
                <w:sz w:val="24"/>
                <w:szCs w:val="24"/>
                <w:highlight w:val="none"/>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highlight w:val="none"/>
                <w:vertAlign w:val="baseline"/>
                <w:lang w:val="en-US" w:eastAsia="zh-CN" w:bidi="ar-SA"/>
              </w:rPr>
            </w:pPr>
            <w:r>
              <w:rPr>
                <w:rFonts w:hint="eastAsia" w:ascii="仿宋_GB2312" w:hAnsi="仿宋_GB2312" w:eastAsia="仿宋_GB2312" w:cs="仿宋_GB2312"/>
                <w:b/>
                <w:bCs/>
                <w:w w:val="90"/>
                <w:sz w:val="24"/>
                <w:szCs w:val="24"/>
                <w:highlight w:val="none"/>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highlight w:val="none"/>
                <w:vertAlign w:val="baseline"/>
                <w:lang w:val="en-US" w:eastAsia="zh-CN" w:bidi="ar-SA"/>
              </w:rPr>
            </w:pPr>
            <w:r>
              <w:rPr>
                <w:rFonts w:hint="eastAsia" w:ascii="仿宋_GB2312" w:hAnsi="仿宋_GB2312" w:eastAsia="仿宋_GB2312" w:cs="仿宋_GB2312"/>
                <w:w w:val="90"/>
                <w:sz w:val="24"/>
                <w:szCs w:val="24"/>
                <w:highlight w:val="none"/>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highlight w:val="none"/>
                <w:vertAlign w:val="baseline"/>
                <w:lang w:val="en-US" w:eastAsia="zh-CN" w:bidi="ar-SA"/>
              </w:rPr>
            </w:pPr>
            <w:r>
              <w:rPr>
                <w:rFonts w:hint="eastAsia" w:ascii="仿宋_GB2312" w:hAnsi="仿宋_GB2312" w:eastAsia="仿宋_GB2312" w:cs="仿宋_GB2312"/>
                <w:b/>
                <w:bCs/>
                <w:w w:val="90"/>
                <w:sz w:val="24"/>
                <w:szCs w:val="24"/>
                <w:highlight w:val="none"/>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highlight w:val="none"/>
                <w:vertAlign w:val="baseline"/>
                <w:lang w:val="en-US" w:eastAsia="zh-CN" w:bidi="ar-SA"/>
              </w:rPr>
            </w:pPr>
            <w:r>
              <w:rPr>
                <w:rFonts w:hint="eastAsia" w:ascii="仿宋_GB2312" w:hAnsi="仿宋_GB2312" w:eastAsia="仿宋_GB2312" w:cs="仿宋_GB2312"/>
                <w:w w:val="90"/>
                <w:sz w:val="24"/>
                <w:szCs w:val="24"/>
                <w:highlight w:val="none"/>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highlight w:val="none"/>
                <w:vertAlign w:val="baseline"/>
                <w:lang w:val="en-US" w:eastAsia="zh-CN" w:bidi="ar-SA"/>
              </w:rPr>
            </w:pPr>
            <w:r>
              <w:rPr>
                <w:rFonts w:hint="eastAsia" w:ascii="仿宋_GB2312" w:hAnsi="仿宋_GB2312" w:eastAsia="仿宋_GB2312" w:cs="仿宋_GB2312"/>
                <w:b/>
                <w:bCs/>
                <w:w w:val="90"/>
                <w:sz w:val="24"/>
                <w:szCs w:val="24"/>
                <w:highlight w:val="none"/>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highlight w:val="none"/>
                <w:vertAlign w:val="baseline"/>
                <w:lang w:val="en-US" w:eastAsia="zh-CN"/>
              </w:rPr>
            </w:pPr>
            <w:r>
              <w:rPr>
                <w:rFonts w:hint="eastAsia" w:ascii="仿宋_GB2312" w:hAnsi="仿宋_GB2312" w:eastAsia="仿宋_GB2312" w:cs="仿宋_GB2312"/>
                <w:w w:val="90"/>
                <w:sz w:val="24"/>
                <w:szCs w:val="24"/>
                <w:highlight w:val="none"/>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highlight w:val="none"/>
                <w:vertAlign w:val="baseline"/>
              </w:rPr>
            </w:pPr>
            <w:r>
              <w:rPr>
                <w:rFonts w:hint="eastAsia" w:ascii="仿宋_GB2312" w:hAnsi="仿宋_GB2312" w:eastAsia="仿宋_GB2312" w:cs="仿宋_GB2312"/>
                <w:b/>
                <w:bCs/>
                <w:w w:val="90"/>
                <w:sz w:val="24"/>
                <w:szCs w:val="24"/>
                <w:highlight w:val="none"/>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highlight w:val="none"/>
        </w:rPr>
      </w:pPr>
      <w:r>
        <w:rPr>
          <w:rFonts w:hint="eastAsia" w:ascii="仿宋_GB2312" w:hAnsi="仿宋_GB2312" w:eastAsia="仿宋_GB2312" w:cs="仿宋_GB2312"/>
          <w:w w:val="90"/>
          <w:sz w:val="24"/>
          <w:szCs w:val="24"/>
          <w:highlight w:val="none"/>
        </w:rPr>
        <w:t>合同履行过程中，如</w:t>
      </w:r>
      <w:r>
        <w:rPr>
          <w:rFonts w:hint="eastAsia" w:ascii="仿宋_GB2312" w:hAnsi="仿宋_GB2312" w:eastAsia="仿宋_GB2312" w:cs="仿宋_GB2312"/>
          <w:w w:val="90"/>
          <w:sz w:val="24"/>
          <w:szCs w:val="24"/>
          <w:highlight w:val="none"/>
          <w:lang w:val="en-US" w:eastAsia="zh-CN"/>
        </w:rPr>
        <w:t>甲乙双方基本</w:t>
      </w:r>
      <w:r>
        <w:rPr>
          <w:rFonts w:hint="eastAsia" w:ascii="仿宋_GB2312" w:hAnsi="仿宋_GB2312" w:eastAsia="仿宋_GB2312" w:cs="仿宋_GB2312"/>
          <w:w w:val="90"/>
          <w:sz w:val="24"/>
          <w:szCs w:val="24"/>
          <w:highlight w:val="none"/>
        </w:rPr>
        <w:t>信息发生变更，应及时以书面形式告知</w:t>
      </w:r>
      <w:r>
        <w:rPr>
          <w:rFonts w:hint="eastAsia" w:ascii="仿宋_GB2312" w:hAnsi="仿宋_GB2312" w:eastAsia="仿宋_GB2312" w:cs="仿宋_GB2312"/>
          <w:w w:val="90"/>
          <w:sz w:val="24"/>
          <w:szCs w:val="24"/>
          <w:highlight w:val="none"/>
          <w:lang w:val="en-US" w:eastAsia="zh-CN"/>
        </w:rPr>
        <w:t>对方</w:t>
      </w:r>
      <w:r>
        <w:rPr>
          <w:rFonts w:hint="eastAsia" w:ascii="仿宋_GB2312" w:hAnsi="仿宋_GB2312" w:eastAsia="仿宋_GB2312" w:cs="仿宋_GB2312"/>
          <w:w w:val="90"/>
          <w:sz w:val="24"/>
          <w:szCs w:val="24"/>
          <w:highlight w:val="none"/>
        </w:rPr>
        <w:t>并就</w:t>
      </w:r>
      <w:r>
        <w:rPr>
          <w:rFonts w:hint="eastAsia" w:ascii="仿宋_GB2312" w:hAnsi="仿宋_GB2312" w:eastAsia="仿宋_GB2312" w:cs="仿宋_GB2312"/>
          <w:w w:val="90"/>
          <w:sz w:val="24"/>
          <w:szCs w:val="24"/>
          <w:highlight w:val="none"/>
          <w:lang w:val="en-US" w:eastAsia="zh-CN"/>
        </w:rPr>
        <w:t>付款</w:t>
      </w:r>
      <w:r>
        <w:rPr>
          <w:rFonts w:hint="eastAsia" w:ascii="仿宋_GB2312" w:hAnsi="仿宋_GB2312" w:eastAsia="仿宋_GB2312" w:cs="仿宋_GB2312"/>
          <w:w w:val="90"/>
          <w:sz w:val="24"/>
          <w:szCs w:val="24"/>
          <w:highlight w:val="none"/>
        </w:rPr>
        <w:t>账户信息变更签署相关补充协议。</w:t>
      </w:r>
    </w:p>
    <w:p w14:paraId="2EF3AE1A">
      <w:pPr>
        <w:pStyle w:val="2"/>
        <w:tabs>
          <w:tab w:val="right" w:leader="dot" w:pos="9061"/>
        </w:tabs>
        <w:ind w:left="0" w:firstLine="480" w:firstLineChars="200"/>
        <w:jc w:val="both"/>
        <w:rPr>
          <w:rFonts w:ascii="黑体" w:hAnsi="黑体" w:eastAsia="黑体" w:cs="黑体"/>
          <w:b w:val="0"/>
          <w:sz w:val="24"/>
          <w:szCs w:val="24"/>
          <w:highlight w:val="none"/>
        </w:rPr>
      </w:pPr>
      <w:r>
        <w:rPr>
          <w:rFonts w:hint="eastAsia" w:ascii="黑体" w:hAnsi="黑体" w:eastAsia="黑体" w:cs="黑体"/>
          <w:b w:val="0"/>
          <w:sz w:val="24"/>
          <w:szCs w:val="24"/>
          <w:highlight w:val="none"/>
          <w:lang w:val="en-US" w:eastAsia="zh-CN"/>
        </w:rPr>
        <w:t>3</w:t>
      </w:r>
      <w:r>
        <w:rPr>
          <w:rFonts w:hint="eastAsia" w:ascii="黑体" w:hAnsi="黑体" w:eastAsia="黑体" w:cs="黑体"/>
          <w:b w:val="0"/>
          <w:sz w:val="24"/>
          <w:szCs w:val="24"/>
          <w:highlight w:val="none"/>
        </w:rPr>
        <w:t>.生效条款</w:t>
      </w:r>
    </w:p>
    <w:p w14:paraId="3743B2B6">
      <w:pPr>
        <w:spacing w:line="360" w:lineRule="auto"/>
        <w:ind w:firstLine="480" w:firstLineChars="200"/>
        <w:rPr>
          <w:rFonts w:hint="default" w:ascii="仿宋_GB2312" w:hAnsi="黑体" w:eastAsia="仿宋_GB2312" w:cstheme="minorEastAsia"/>
          <w:sz w:val="24"/>
          <w:szCs w:val="24"/>
          <w:highlight w:val="none"/>
          <w:u w:val="single"/>
          <w:lang w:val="en-US" w:eastAsia="zh-CN"/>
        </w:rPr>
      </w:pP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.1本合同经双方签署后生效。</w:t>
      </w:r>
    </w:p>
    <w:p w14:paraId="30DEA21C">
      <w:pPr>
        <w:spacing w:line="360" w:lineRule="auto"/>
        <w:ind w:firstLine="480" w:firstLineChars="200"/>
        <w:rPr>
          <w:rFonts w:hint="default" w:ascii="仿宋_GB2312" w:hAnsi="黑体" w:eastAsia="仿宋_GB2312" w:cstheme="minorEastAsia"/>
          <w:sz w:val="24"/>
          <w:szCs w:val="24"/>
          <w:highlight w:val="none"/>
          <w:lang w:val="en-US" w:eastAsia="zh-CN"/>
        </w:rPr>
      </w:pPr>
      <w:r>
        <w:rPr>
          <w:rFonts w:hint="eastAsia" w:ascii="仿宋_GB2312" w:hAnsi="黑体" w:eastAsia="仿宋_GB2312" w:cstheme="minorEastAsia"/>
          <w:sz w:val="24"/>
          <w:szCs w:val="24"/>
          <w:highlight w:val="none"/>
          <w:lang w:val="en-US" w:eastAsia="zh-CN"/>
        </w:rPr>
        <w:t>3.2本合同一式四份，甲乙双方各执两份，具有同等法律效力。</w:t>
      </w:r>
    </w:p>
    <w:p w14:paraId="4D68A851">
      <w:pPr>
        <w:pStyle w:val="2"/>
        <w:tabs>
          <w:tab w:val="right" w:leader="dot" w:pos="9061"/>
        </w:tabs>
        <w:ind w:left="0" w:firstLine="480" w:firstLineChars="200"/>
        <w:jc w:val="both"/>
        <w:rPr>
          <w:rFonts w:ascii="黑体" w:hAnsi="黑体" w:eastAsia="黑体" w:cs="黑体"/>
          <w:b w:val="0"/>
          <w:sz w:val="24"/>
          <w:szCs w:val="24"/>
          <w:highlight w:val="none"/>
        </w:rPr>
      </w:pPr>
      <w:r>
        <w:rPr>
          <w:rFonts w:hint="eastAsia" w:ascii="黑体" w:hAnsi="黑体" w:eastAsia="黑体" w:cs="黑体"/>
          <w:b w:val="0"/>
          <w:sz w:val="24"/>
          <w:szCs w:val="24"/>
          <w:highlight w:val="none"/>
        </w:rPr>
        <w:t>4.特殊约定</w:t>
      </w:r>
    </w:p>
    <w:p w14:paraId="453637EC">
      <w:pPr>
        <w:spacing w:line="360" w:lineRule="auto"/>
        <w:rPr>
          <w:rFonts w:hint="eastAsia" w:ascii="宋体" w:hAnsi="宋体"/>
          <w:snapToGrid w:val="0"/>
          <w:kern w:val="0"/>
          <w:sz w:val="20"/>
          <w:szCs w:val="20"/>
          <w:highlight w:val="none"/>
          <w:lang w:val="en-US" w:eastAsia="zh-CN"/>
        </w:rPr>
      </w:pPr>
      <w:r>
        <w:rPr>
          <w:rFonts w:hint="eastAsia" w:ascii="宋体" w:hAnsi="宋体"/>
          <w:snapToGrid w:val="0"/>
          <w:kern w:val="0"/>
          <w:sz w:val="20"/>
          <w:szCs w:val="20"/>
          <w:highlight w:val="none"/>
          <w:lang w:val="en-US" w:eastAsia="zh-CN"/>
        </w:rPr>
        <w:t xml:space="preserve"> </w:t>
      </w:r>
    </w:p>
    <w:p w14:paraId="0E825425">
      <w:pPr>
        <w:spacing w:line="360" w:lineRule="auto"/>
        <w:rPr>
          <w:rFonts w:hint="eastAsia" w:ascii="宋体" w:hAnsi="宋体"/>
          <w:snapToGrid w:val="0"/>
          <w:kern w:val="0"/>
          <w:sz w:val="20"/>
          <w:szCs w:val="20"/>
          <w:highlight w:val="none"/>
          <w:lang w:val="en-US" w:eastAsia="zh-CN"/>
        </w:rPr>
      </w:pPr>
    </w:p>
    <w:p w14:paraId="52C5AE23">
      <w:pPr>
        <w:spacing w:line="360" w:lineRule="auto"/>
        <w:rPr>
          <w:rFonts w:ascii="宋体" w:hAnsi="宋体"/>
          <w:snapToGrid w:val="0"/>
          <w:kern w:val="0"/>
          <w:sz w:val="20"/>
          <w:szCs w:val="20"/>
          <w:highlight w:val="none"/>
          <w:lang w:eastAsia="zh-Hans"/>
        </w:rPr>
      </w:pPr>
    </w:p>
    <w:p w14:paraId="61BBE68E">
      <w:pPr>
        <w:spacing w:line="360" w:lineRule="auto"/>
        <w:rPr>
          <w:rFonts w:ascii="宋体" w:hAnsi="宋体"/>
          <w:snapToGrid w:val="0"/>
          <w:kern w:val="0"/>
          <w:sz w:val="20"/>
          <w:szCs w:val="20"/>
          <w:highlight w:val="none"/>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highlight w:val="none"/>
          <w:u w:val="single"/>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r>
        <w:rPr>
          <w:rFonts w:hint="eastAsia" w:ascii="仿宋_GB2312" w:hAnsi="宋体" w:eastAsia="仿宋_GB2312"/>
          <w:b/>
          <w:bCs/>
          <w:snapToGrid w:val="0"/>
          <w:kern w:val="0"/>
          <w:sz w:val="24"/>
          <w:szCs w:val="24"/>
          <w:highlight w:val="none"/>
          <w:u w:val="single"/>
          <w:lang w:eastAsia="zh-CN"/>
        </w:rPr>
        <w:t>甲方单位</w:t>
      </w:r>
      <w:r>
        <w:rPr>
          <w:rFonts w:hint="eastAsia" w:ascii="仿宋_GB2312" w:hAnsi="宋体" w:eastAsia="仿宋_GB2312"/>
          <w:b/>
          <w:bCs/>
          <w:snapToGrid w:val="0"/>
          <w:kern w:val="0"/>
          <w:sz w:val="24"/>
          <w:szCs w:val="24"/>
          <w:highlight w:val="none"/>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highlight w:val="none"/>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val="en-US" w:eastAsia="zh-CN"/>
        </w:rPr>
        <w:t>甲方</w:t>
      </w:r>
      <w:r>
        <w:rPr>
          <w:rFonts w:hint="eastAsia" w:ascii="仿宋_GB2312" w:hAnsi="宋体" w:eastAsia="仿宋_GB2312"/>
          <w:snapToGrid w:val="0"/>
          <w:color w:val="000000"/>
          <w:kern w:val="0"/>
          <w:sz w:val="24"/>
          <w:szCs w:val="24"/>
          <w:highlight w:val="none"/>
        </w:rPr>
        <w:t>代表</w:t>
      </w:r>
      <w:r>
        <w:rPr>
          <w:rFonts w:hint="eastAsia" w:ascii="仿宋_GB2312" w:hAnsi="宋体" w:eastAsia="仿宋_GB2312"/>
          <w:snapToGrid w:val="0"/>
          <w:color w:val="000000"/>
          <w:kern w:val="0"/>
          <w:sz w:val="24"/>
          <w:szCs w:val="24"/>
          <w:highlight w:val="none"/>
          <w:lang w:eastAsia="zh-Hans"/>
        </w:rPr>
        <w:t xml:space="preserve">（签字）：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highlight w:val="none"/>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        </w:t>
      </w:r>
      <w:r>
        <w:rPr>
          <w:rFonts w:hint="eastAsia" w:ascii="仿宋_GB2312" w:hAnsi="宋体" w:eastAsia="仿宋_GB2312"/>
          <w:snapToGrid w:val="0"/>
          <w:kern w:val="0"/>
          <w:sz w:val="24"/>
          <w:szCs w:val="24"/>
          <w:highlight w:val="none"/>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highlight w:val="none"/>
          <w:u w:val="single"/>
        </w:rPr>
      </w:pPr>
      <w:r>
        <w:rPr>
          <w:rFonts w:hint="eastAsia" w:ascii="仿宋_GB2312" w:hAnsi="宋体" w:eastAsia="仿宋_GB2312"/>
          <w:snapToGrid w:val="0"/>
          <w:kern w:val="0"/>
          <w:sz w:val="24"/>
          <w:szCs w:val="24"/>
          <w:highlight w:val="none"/>
        </w:rPr>
        <w:t>乙</w:t>
      </w:r>
      <w:r>
        <w:rPr>
          <w:rFonts w:hint="eastAsia" w:ascii="仿宋_GB2312" w:hAnsi="宋体" w:eastAsia="仿宋_GB2312"/>
          <w:snapToGrid w:val="0"/>
          <w:kern w:val="0"/>
          <w:sz w:val="24"/>
          <w:szCs w:val="24"/>
          <w:highlight w:val="none"/>
          <w:lang w:eastAsia="zh-Hans"/>
        </w:rPr>
        <w:t>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r>
        <w:rPr>
          <w:rFonts w:hint="eastAsia" w:ascii="仿宋_GB2312" w:hAnsi="仿宋_GB2312" w:eastAsia="仿宋_GB2312" w:cs="仿宋_GB2312"/>
          <w:b/>
          <w:bCs/>
          <w:sz w:val="24"/>
          <w:szCs w:val="24"/>
          <w:highlight w:val="none"/>
          <w:u w:val="single"/>
          <w:lang w:eastAsia="zh-CN"/>
        </w:rPr>
        <w:t>乙方单位</w:t>
      </w:r>
      <w:r>
        <w:rPr>
          <w:rFonts w:hint="eastAsia" w:ascii="仿宋_GB2312" w:hAnsi="仿宋_GB2312" w:eastAsia="仿宋_GB2312" w:cs="仿宋_GB2312"/>
          <w:b/>
          <w:bCs/>
          <w:sz w:val="24"/>
          <w:szCs w:val="24"/>
          <w:highlight w:val="none"/>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highlight w:val="none"/>
          <w:u w:val="single"/>
        </w:rPr>
      </w:pPr>
    </w:p>
    <w:p w14:paraId="0D0976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highlight w:val="none"/>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highlight w:val="none"/>
          <w:lang w:val="en-US" w:eastAsia="zh-CN"/>
        </w:rPr>
        <w:t>乙方代表</w:t>
      </w:r>
      <w:r>
        <w:rPr>
          <w:rFonts w:hint="eastAsia" w:ascii="仿宋_GB2312" w:hAnsi="宋体" w:eastAsia="仿宋_GB2312"/>
          <w:snapToGrid w:val="0"/>
          <w:color w:val="000000"/>
          <w:kern w:val="0"/>
          <w:sz w:val="24"/>
          <w:szCs w:val="24"/>
          <w:highlight w:val="none"/>
          <w:lang w:val="en-US" w:eastAsia="zh-Hans"/>
        </w:rPr>
        <w:t>（签字）：</w:t>
      </w:r>
      <w:r>
        <w:rPr>
          <w:rFonts w:hint="eastAsia" w:ascii="仿宋_GB2312" w:hAnsi="宋体" w:eastAsia="仿宋_GB2312"/>
          <w:snapToGrid w:val="0"/>
          <w:color w:val="000000"/>
          <w:kern w:val="0"/>
          <w:sz w:val="24"/>
          <w:szCs w:val="24"/>
          <w:highlight w:val="none"/>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  </w:t>
      </w:r>
    </w:p>
    <w:p w14:paraId="6FFBAF99">
      <w:pPr>
        <w:jc w:val="center"/>
        <w:rPr>
          <w:rFonts w:ascii="方正小标宋简体" w:hAnsi="方正小标宋简体" w:eastAsia="方正小标宋简体" w:cs="方正小标宋简体"/>
          <w:w w:val="90"/>
          <w:sz w:val="44"/>
          <w:szCs w:val="44"/>
          <w:highlight w:val="none"/>
        </w:rPr>
      </w:pPr>
      <w:r>
        <w:rPr>
          <w:rFonts w:hint="eastAsia" w:ascii="方正小标宋简体" w:hAnsi="方正小标宋简体" w:eastAsia="方正小标宋简体" w:cs="方正小标宋简体"/>
          <w:w w:val="90"/>
          <w:sz w:val="44"/>
          <w:szCs w:val="44"/>
          <w:highlight w:val="none"/>
        </w:rPr>
        <w:t>设备采购合同</w:t>
      </w:r>
    </w:p>
    <w:p w14:paraId="7C66ADBB">
      <w:pPr>
        <w:spacing w:line="360" w:lineRule="auto"/>
        <w:jc w:val="center"/>
        <w:rPr>
          <w:rFonts w:ascii="方正小标宋简体" w:hAnsi="方正小标宋简体" w:eastAsia="方正小标宋简体" w:cs="方正小标宋简体"/>
          <w:w w:val="90"/>
          <w:sz w:val="44"/>
          <w:szCs w:val="44"/>
          <w:highlight w:val="none"/>
        </w:rPr>
      </w:pPr>
      <w:r>
        <w:rPr>
          <w:rFonts w:hint="eastAsia" w:ascii="方正小标宋简体" w:hAnsi="方正小标宋简体" w:eastAsia="方正小标宋简体" w:cs="方正小标宋简体"/>
          <w:w w:val="90"/>
          <w:sz w:val="44"/>
          <w:szCs w:val="44"/>
          <w:highlight w:val="none"/>
        </w:rPr>
        <w:t>通用条款</w:t>
      </w:r>
    </w:p>
    <w:p w14:paraId="1652ABCA">
      <w:pPr>
        <w:pStyle w:val="2"/>
        <w:tabs>
          <w:tab w:val="right" w:leader="dot" w:pos="9061"/>
        </w:tabs>
        <w:ind w:left="0" w:firstLine="480" w:firstLineChars="200"/>
        <w:jc w:val="both"/>
        <w:rPr>
          <w:rFonts w:ascii="黑体" w:hAnsi="黑体" w:eastAsia="黑体" w:cs="黑体"/>
          <w:b w:val="0"/>
          <w:sz w:val="24"/>
          <w:szCs w:val="24"/>
          <w:highlight w:val="none"/>
        </w:rPr>
      </w:pPr>
      <w:bookmarkStart w:id="92" w:name="_Toc17619"/>
      <w:bookmarkStart w:id="93" w:name="_Toc16330018"/>
      <w:bookmarkStart w:id="94" w:name="_Toc11930"/>
      <w:bookmarkStart w:id="95" w:name="_Toc11823"/>
      <w:r>
        <w:rPr>
          <w:rFonts w:hint="eastAsia" w:ascii="黑体" w:hAnsi="黑体" w:eastAsia="黑体" w:cs="黑体"/>
          <w:b w:val="0"/>
          <w:sz w:val="24"/>
          <w:szCs w:val="24"/>
          <w:highlight w:val="none"/>
        </w:rPr>
        <w:t>1 合同设备</w:t>
      </w:r>
      <w:bookmarkEnd w:id="92"/>
      <w:bookmarkEnd w:id="93"/>
      <w:bookmarkEnd w:id="94"/>
      <w:bookmarkEnd w:id="95"/>
    </w:p>
    <w:p w14:paraId="1DBFBE0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w:t>
      </w:r>
      <w:bookmarkStart w:id="96" w:name="_Toc32510"/>
      <w:bookmarkStart w:id="97" w:name="_Toc29026"/>
      <w:bookmarkStart w:id="98" w:name="_Toc22800"/>
      <w:r>
        <w:rPr>
          <w:rFonts w:hint="eastAsia" w:ascii="仿宋_GB2312" w:hAnsi="仿宋_GB2312" w:eastAsia="仿宋_GB2312" w:cs="仿宋_GB2312"/>
          <w:sz w:val="24"/>
          <w:szCs w:val="24"/>
          <w:highlight w:val="none"/>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1.3在设备所有权转移到买方之前，有关设备的保险由卖方负责办理并承担保险费用。</w:t>
      </w:r>
    </w:p>
    <w:p w14:paraId="0D5674B4">
      <w:pPr>
        <w:pStyle w:val="2"/>
        <w:tabs>
          <w:tab w:val="right" w:leader="dot" w:pos="9061"/>
        </w:tabs>
        <w:ind w:left="0" w:firstLine="480" w:firstLineChars="200"/>
        <w:jc w:val="both"/>
        <w:rPr>
          <w:rFonts w:ascii="黑体" w:hAnsi="黑体" w:eastAsia="黑体" w:cs="黑体"/>
          <w:b w:val="0"/>
          <w:sz w:val="24"/>
          <w:szCs w:val="24"/>
          <w:highlight w:val="none"/>
        </w:rPr>
      </w:pPr>
      <w:bookmarkStart w:id="99" w:name="_Toc16330019"/>
      <w:r>
        <w:rPr>
          <w:rFonts w:hint="eastAsia" w:ascii="黑体" w:hAnsi="黑体" w:eastAsia="黑体" w:cs="黑体"/>
          <w:b w:val="0"/>
          <w:sz w:val="24"/>
          <w:szCs w:val="24"/>
          <w:highlight w:val="none"/>
        </w:rPr>
        <w:t>2 包装</w:t>
      </w:r>
      <w:bookmarkEnd w:id="96"/>
      <w:bookmarkEnd w:id="97"/>
      <w:bookmarkEnd w:id="98"/>
      <w:bookmarkEnd w:id="99"/>
    </w:p>
    <w:p w14:paraId="58DEFFF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2.2每件包装应附有详细的装箱单和质量证书各两套，一套在包装箱里，一套在包装箱外。</w:t>
      </w:r>
    </w:p>
    <w:p w14:paraId="3EDEB774">
      <w:pPr>
        <w:pStyle w:val="2"/>
        <w:tabs>
          <w:tab w:val="right" w:leader="dot" w:pos="9061"/>
        </w:tabs>
        <w:ind w:left="0" w:firstLine="480" w:firstLineChars="200"/>
        <w:jc w:val="both"/>
        <w:rPr>
          <w:rFonts w:ascii="黑体" w:hAnsi="黑体" w:eastAsia="黑体" w:cs="黑体"/>
          <w:b w:val="0"/>
          <w:sz w:val="24"/>
          <w:szCs w:val="24"/>
          <w:highlight w:val="none"/>
        </w:rPr>
      </w:pPr>
      <w:bookmarkStart w:id="100" w:name="_Toc16330020"/>
      <w:bookmarkStart w:id="101" w:name="_Toc27144"/>
      <w:bookmarkStart w:id="102" w:name="_Toc2833"/>
      <w:bookmarkStart w:id="103" w:name="_Toc27453"/>
      <w:r>
        <w:rPr>
          <w:rFonts w:hint="eastAsia" w:ascii="黑体" w:hAnsi="黑体" w:eastAsia="黑体" w:cs="黑体"/>
          <w:b w:val="0"/>
          <w:sz w:val="24"/>
          <w:szCs w:val="24"/>
          <w:highlight w:val="none"/>
        </w:rPr>
        <w:t>3 运输标记</w:t>
      </w:r>
      <w:bookmarkEnd w:id="100"/>
      <w:bookmarkEnd w:id="101"/>
      <w:bookmarkEnd w:id="102"/>
      <w:bookmarkEnd w:id="103"/>
    </w:p>
    <w:p w14:paraId="32B6F32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3.1.1收货人</w:t>
      </w:r>
    </w:p>
    <w:p w14:paraId="73A643D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3.1.2合同号</w:t>
      </w:r>
    </w:p>
    <w:p w14:paraId="4DD15CE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3.1.3发货标记（唛头）</w:t>
      </w:r>
    </w:p>
    <w:p w14:paraId="511219D8">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3.1.4设备的名称、品目号、箱号</w:t>
      </w:r>
    </w:p>
    <w:p w14:paraId="4A3C64E1">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3.1.5毛重/净重（公斤）</w:t>
      </w:r>
    </w:p>
    <w:p w14:paraId="0DBB9C69">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3.1.6尺寸（长×宽×高，以厘米计）</w:t>
      </w:r>
    </w:p>
    <w:p w14:paraId="42A77B9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2"/>
        <w:tabs>
          <w:tab w:val="right" w:leader="dot" w:pos="9061"/>
        </w:tabs>
        <w:ind w:left="0" w:firstLine="480" w:firstLineChars="200"/>
        <w:jc w:val="both"/>
        <w:rPr>
          <w:rFonts w:ascii="黑体" w:hAnsi="黑体" w:eastAsia="黑体" w:cs="黑体"/>
          <w:b w:val="0"/>
          <w:sz w:val="24"/>
          <w:szCs w:val="24"/>
          <w:highlight w:val="none"/>
        </w:rPr>
      </w:pPr>
      <w:bookmarkStart w:id="104" w:name="_Toc7431"/>
      <w:bookmarkStart w:id="105" w:name="_Toc10630"/>
      <w:bookmarkStart w:id="106" w:name="_Toc16133"/>
      <w:bookmarkStart w:id="107" w:name="_Toc16330021"/>
      <w:r>
        <w:rPr>
          <w:rFonts w:hint="eastAsia" w:ascii="黑体" w:hAnsi="黑体" w:eastAsia="黑体" w:cs="黑体"/>
          <w:b w:val="0"/>
          <w:sz w:val="24"/>
          <w:szCs w:val="24"/>
          <w:highlight w:val="none"/>
        </w:rPr>
        <w:t>4 检验</w:t>
      </w:r>
      <w:bookmarkEnd w:id="104"/>
      <w:bookmarkEnd w:id="105"/>
      <w:bookmarkEnd w:id="106"/>
      <w:bookmarkEnd w:id="107"/>
    </w:p>
    <w:p w14:paraId="4D9B925C">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4.2国家强制检验检测的设备，需要经过国家有关部门进行检验检测，卖方保证提供的设备通过其检验并承担费用。</w:t>
      </w:r>
    </w:p>
    <w:p w14:paraId="01AA1BA6">
      <w:pPr>
        <w:pStyle w:val="2"/>
        <w:tabs>
          <w:tab w:val="right" w:leader="dot" w:pos="9061"/>
        </w:tabs>
        <w:ind w:left="0" w:firstLine="480" w:firstLineChars="200"/>
        <w:jc w:val="both"/>
        <w:rPr>
          <w:rFonts w:ascii="黑体" w:hAnsi="黑体" w:eastAsia="黑体" w:cs="黑体"/>
          <w:b w:val="0"/>
          <w:sz w:val="24"/>
          <w:szCs w:val="24"/>
          <w:highlight w:val="none"/>
        </w:rPr>
      </w:pPr>
      <w:bookmarkStart w:id="108" w:name="_Toc16330022"/>
      <w:bookmarkStart w:id="109" w:name="_Toc11217"/>
      <w:bookmarkStart w:id="110" w:name="_Toc19850"/>
      <w:bookmarkStart w:id="111" w:name="_Toc24467"/>
      <w:r>
        <w:rPr>
          <w:rFonts w:hint="eastAsia" w:ascii="黑体" w:hAnsi="黑体" w:eastAsia="黑体" w:cs="黑体"/>
          <w:b w:val="0"/>
          <w:sz w:val="24"/>
          <w:szCs w:val="24"/>
          <w:highlight w:val="none"/>
        </w:rPr>
        <w:t>5 权利担保</w:t>
      </w:r>
      <w:bookmarkEnd w:id="108"/>
      <w:bookmarkEnd w:id="109"/>
      <w:bookmarkEnd w:id="110"/>
      <w:bookmarkEnd w:id="111"/>
    </w:p>
    <w:p w14:paraId="52EAA0C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2"/>
        <w:tabs>
          <w:tab w:val="right" w:leader="dot" w:pos="9061"/>
        </w:tabs>
        <w:ind w:left="0" w:firstLine="480" w:firstLineChars="200"/>
        <w:jc w:val="both"/>
        <w:rPr>
          <w:rFonts w:ascii="黑体" w:hAnsi="黑体" w:eastAsia="黑体" w:cs="黑体"/>
          <w:b w:val="0"/>
          <w:sz w:val="24"/>
          <w:szCs w:val="24"/>
          <w:highlight w:val="none"/>
        </w:rPr>
      </w:pPr>
      <w:bookmarkStart w:id="112" w:name="_Toc11759"/>
      <w:bookmarkStart w:id="113" w:name="_Toc16330023"/>
      <w:bookmarkStart w:id="114" w:name="_Toc27500"/>
      <w:bookmarkStart w:id="115" w:name="_Toc14809"/>
      <w:r>
        <w:rPr>
          <w:rFonts w:hint="eastAsia" w:ascii="黑体" w:hAnsi="黑体" w:eastAsia="黑体" w:cs="黑体"/>
          <w:b w:val="0"/>
          <w:sz w:val="24"/>
          <w:szCs w:val="24"/>
          <w:highlight w:val="none"/>
        </w:rPr>
        <w:t>6 交货</w:t>
      </w:r>
      <w:bookmarkEnd w:id="112"/>
      <w:bookmarkEnd w:id="113"/>
      <w:bookmarkEnd w:id="114"/>
      <w:bookmarkEnd w:id="115"/>
    </w:p>
    <w:p w14:paraId="57EADDA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6.4交货方式的释义</w:t>
      </w:r>
    </w:p>
    <w:p w14:paraId="41337CA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6.6卖方在交付设备前需通知买方。</w:t>
      </w:r>
    </w:p>
    <w:p w14:paraId="3C9AED58">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6.7风险的转移：</w:t>
      </w:r>
    </w:p>
    <w:p w14:paraId="2445B56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2"/>
        <w:tabs>
          <w:tab w:val="right" w:leader="dot" w:pos="9061"/>
        </w:tabs>
        <w:ind w:left="0" w:firstLine="480" w:firstLineChars="200"/>
        <w:jc w:val="both"/>
        <w:rPr>
          <w:rFonts w:ascii="黑体" w:hAnsi="黑体" w:eastAsia="黑体" w:cs="黑体"/>
          <w:b w:val="0"/>
          <w:sz w:val="24"/>
          <w:szCs w:val="24"/>
          <w:highlight w:val="none"/>
        </w:rPr>
      </w:pPr>
      <w:bookmarkStart w:id="116" w:name="_Toc2984"/>
      <w:bookmarkStart w:id="117" w:name="_Toc25510"/>
      <w:bookmarkStart w:id="118" w:name="_Toc16330024"/>
      <w:bookmarkStart w:id="119" w:name="_Toc8024"/>
      <w:r>
        <w:rPr>
          <w:rFonts w:hint="eastAsia" w:ascii="黑体" w:hAnsi="黑体" w:eastAsia="黑体" w:cs="黑体"/>
          <w:b w:val="0"/>
          <w:sz w:val="24"/>
          <w:szCs w:val="24"/>
          <w:highlight w:val="none"/>
        </w:rPr>
        <w:t>7 安装、调试</w:t>
      </w:r>
      <w:bookmarkEnd w:id="116"/>
      <w:bookmarkEnd w:id="117"/>
      <w:bookmarkEnd w:id="118"/>
      <w:bookmarkEnd w:id="119"/>
    </w:p>
    <w:p w14:paraId="485615C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7.3</w:t>
      </w:r>
      <w:r>
        <w:rPr>
          <w:rFonts w:hint="eastAsia" w:ascii="仿宋_GB2312" w:hAnsi="仿宋_GB2312" w:eastAsia="仿宋_GB2312" w:cs="仿宋_GB2312"/>
          <w:bCs/>
          <w:sz w:val="24"/>
          <w:szCs w:val="24"/>
          <w:highlight w:val="none"/>
        </w:rPr>
        <w:t xml:space="preserve"> </w:t>
      </w:r>
      <w:r>
        <w:rPr>
          <w:rFonts w:hint="eastAsia" w:ascii="仿宋_GB2312" w:hAnsi="仿宋_GB2312" w:eastAsia="仿宋_GB2312" w:cs="仿宋_GB2312"/>
          <w:sz w:val="24"/>
          <w:szCs w:val="24"/>
          <w:highlight w:val="none"/>
        </w:rPr>
        <w:t>卖方须对安装、调试过程中造成的买方或他人人身损害或财产损失承担赔偿责任。</w:t>
      </w:r>
    </w:p>
    <w:p w14:paraId="03A5EB10">
      <w:pPr>
        <w:pStyle w:val="2"/>
        <w:tabs>
          <w:tab w:val="right" w:leader="dot" w:pos="9061"/>
        </w:tabs>
        <w:ind w:left="0" w:firstLine="480" w:firstLineChars="200"/>
        <w:jc w:val="both"/>
        <w:rPr>
          <w:rFonts w:ascii="黑体" w:hAnsi="黑体" w:eastAsia="黑体" w:cs="黑体"/>
          <w:b w:val="0"/>
          <w:sz w:val="24"/>
          <w:szCs w:val="24"/>
          <w:highlight w:val="none"/>
        </w:rPr>
      </w:pPr>
      <w:bookmarkStart w:id="120" w:name="_Toc14098"/>
      <w:bookmarkStart w:id="121" w:name="_Toc16330025"/>
      <w:bookmarkStart w:id="122" w:name="_Toc14260"/>
      <w:bookmarkStart w:id="123" w:name="_Toc6350"/>
      <w:r>
        <w:rPr>
          <w:rFonts w:hint="eastAsia" w:ascii="黑体" w:hAnsi="黑体" w:eastAsia="黑体" w:cs="黑体"/>
          <w:b w:val="0"/>
          <w:sz w:val="24"/>
          <w:szCs w:val="24"/>
          <w:highlight w:val="none"/>
        </w:rPr>
        <w:t>8 价款与支付</w:t>
      </w:r>
      <w:bookmarkEnd w:id="120"/>
      <w:bookmarkEnd w:id="121"/>
      <w:bookmarkEnd w:id="122"/>
      <w:bookmarkEnd w:id="123"/>
    </w:p>
    <w:p w14:paraId="23C1C7E0">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8.1合同价格以不含税价格为准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2"/>
        <w:tabs>
          <w:tab w:val="right" w:leader="dot" w:pos="9061"/>
        </w:tabs>
        <w:ind w:left="0" w:firstLine="480" w:firstLineChars="200"/>
        <w:jc w:val="both"/>
        <w:rPr>
          <w:rFonts w:ascii="黑体" w:hAnsi="黑体" w:eastAsia="黑体" w:cs="黑体"/>
          <w:b w:val="0"/>
          <w:sz w:val="24"/>
          <w:szCs w:val="24"/>
          <w:highlight w:val="none"/>
        </w:rPr>
      </w:pPr>
      <w:bookmarkStart w:id="124" w:name="_Toc6726"/>
      <w:bookmarkStart w:id="125" w:name="_Toc25708"/>
      <w:bookmarkStart w:id="126" w:name="_Toc16330026"/>
      <w:bookmarkStart w:id="127" w:name="_Toc24085"/>
      <w:r>
        <w:rPr>
          <w:rFonts w:hint="eastAsia" w:ascii="黑体" w:hAnsi="黑体" w:eastAsia="黑体" w:cs="黑体"/>
          <w:b w:val="0"/>
          <w:sz w:val="24"/>
          <w:szCs w:val="24"/>
          <w:highlight w:val="none"/>
        </w:rPr>
        <w:t>9 质量保证及售后服务</w:t>
      </w:r>
      <w:bookmarkEnd w:id="124"/>
      <w:bookmarkEnd w:id="125"/>
      <w:bookmarkEnd w:id="126"/>
      <w:bookmarkEnd w:id="127"/>
    </w:p>
    <w:p w14:paraId="0A1EC35C">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9.7质量保证期满后，如出现质量问题，卖方也应及时修复和更换，且只收取成本费，费用由买方承担，卖方对设备质量问题所负的责任直到设备使用寿命周期结束。</w:t>
      </w:r>
    </w:p>
    <w:p w14:paraId="6428241D">
      <w:pPr>
        <w:pStyle w:val="2"/>
        <w:tabs>
          <w:tab w:val="right" w:leader="dot" w:pos="9061"/>
        </w:tabs>
        <w:ind w:left="0" w:firstLine="480" w:firstLineChars="200"/>
        <w:jc w:val="both"/>
        <w:rPr>
          <w:rFonts w:hint="default" w:ascii="黑体" w:hAnsi="黑体" w:eastAsia="黑体" w:cs="黑体"/>
          <w:b w:val="0"/>
          <w:sz w:val="24"/>
          <w:szCs w:val="24"/>
          <w:highlight w:val="none"/>
          <w:lang w:val="en-US" w:eastAsia="zh-CN"/>
        </w:rPr>
      </w:pPr>
      <w:bookmarkStart w:id="128" w:name="_Toc12927"/>
      <w:bookmarkStart w:id="129" w:name="_Toc10359"/>
      <w:bookmarkStart w:id="130" w:name="_Toc15570"/>
      <w:bookmarkStart w:id="131" w:name="_Toc16330027"/>
      <w:r>
        <w:rPr>
          <w:rFonts w:hint="eastAsia" w:ascii="黑体" w:hAnsi="黑体" w:eastAsia="黑体" w:cs="黑体"/>
          <w:b w:val="0"/>
          <w:sz w:val="24"/>
          <w:szCs w:val="24"/>
          <w:highlight w:val="none"/>
        </w:rPr>
        <w:t>10法定责任</w:t>
      </w:r>
      <w:bookmarkEnd w:id="128"/>
      <w:bookmarkEnd w:id="129"/>
      <w:bookmarkEnd w:id="130"/>
      <w:bookmarkEnd w:id="131"/>
      <w:r>
        <w:rPr>
          <w:rFonts w:hint="eastAsia" w:ascii="黑体" w:hAnsi="黑体" w:eastAsia="黑体" w:cs="黑体"/>
          <w:b w:val="0"/>
          <w:sz w:val="24"/>
          <w:szCs w:val="24"/>
          <w:highlight w:val="none"/>
          <w:lang w:val="en-US" w:eastAsia="zh-CN"/>
        </w:rPr>
        <w:t>及合规责任</w:t>
      </w:r>
    </w:p>
    <w:p w14:paraId="5662CF1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10.5</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保证截至本合同签署之日，</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10.6</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确认不存在任何因违反所需适用国家或者地区出口管制与制裁法律或其他因</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原因导致本合同无法履行或者延迟履行的情形。如果</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未履行前述义务或其他可归责于</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的原因导致延迟履行供货或无法按照本合同约定履行供货义务，</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10.7</w:t>
      </w:r>
      <w:r>
        <w:rPr>
          <w:rFonts w:hint="eastAsia" w:ascii="仿宋_GB2312" w:hAnsi="仿宋_GB2312" w:eastAsia="仿宋_GB2312" w:cs="仿宋_GB2312"/>
          <w:sz w:val="24"/>
          <w:szCs w:val="24"/>
          <w:highlight w:val="none"/>
        </w:rPr>
        <w:t>如本合同项下</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10.8</w:t>
      </w:r>
      <w:r>
        <w:rPr>
          <w:rFonts w:hint="eastAsia" w:ascii="仿宋_GB2312" w:hAnsi="仿宋_GB2312" w:eastAsia="仿宋_GB2312" w:cs="仿宋_GB2312"/>
          <w:sz w:val="24"/>
          <w:szCs w:val="24"/>
          <w:highlight w:val="none"/>
        </w:rPr>
        <w:t>如因</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highlight w:val="none"/>
          <w:lang w:eastAsia="zh-CN"/>
        </w:rPr>
        <w:t>卖方</w:t>
      </w:r>
      <w:r>
        <w:rPr>
          <w:rFonts w:hint="eastAsia" w:ascii="仿宋_GB2312" w:hAnsi="仿宋_GB2312" w:eastAsia="仿宋_GB2312" w:cs="仿宋_GB2312"/>
          <w:sz w:val="24"/>
          <w:szCs w:val="24"/>
          <w:highlight w:val="none"/>
        </w:rPr>
        <w:t>履行合同的义务。</w:t>
      </w:r>
    </w:p>
    <w:p w14:paraId="4702E9F4">
      <w:pPr>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1）卖方</w:t>
      </w:r>
      <w:r>
        <w:rPr>
          <w:rFonts w:hint="default" w:ascii="仿宋_GB2312" w:hAnsi="仿宋_GB2312" w:eastAsia="仿宋_GB2312" w:cs="仿宋_GB2312"/>
          <w:sz w:val="24"/>
          <w:szCs w:val="24"/>
          <w:highlight w:val="none"/>
          <w:lang w:val="en-US" w:eastAsia="zh-CN"/>
        </w:rPr>
        <w:t>仅能将</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2）卖方</w:t>
      </w:r>
      <w:r>
        <w:rPr>
          <w:rFonts w:hint="default" w:ascii="仿宋_GB2312" w:hAnsi="仿宋_GB2312" w:eastAsia="仿宋_GB2312" w:cs="仿宋_GB2312"/>
          <w:sz w:val="24"/>
          <w:szCs w:val="24"/>
          <w:highlight w:val="none"/>
          <w:lang w:val="en-US" w:eastAsia="zh-CN"/>
        </w:rPr>
        <w:t>将采取有效措施使用</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default" w:ascii="仿宋_GB2312" w:hAnsi="仿宋_GB2312" w:eastAsia="仿宋_GB2312" w:cs="仿宋_GB2312"/>
          <w:sz w:val="24"/>
          <w:szCs w:val="24"/>
          <w:highlight w:val="none"/>
          <w:lang w:val="en-US" w:eastAsia="zh-CN"/>
        </w:rPr>
        <w:t>如果</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为项目需要，而不得不向该第三方披露保密信息，则</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应事先从</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得到书面同意。</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w:t>
      </w:r>
      <w:r>
        <w:rPr>
          <w:rFonts w:hint="default" w:ascii="仿宋_GB2312" w:hAnsi="仿宋_GB2312" w:eastAsia="仿宋_GB2312" w:cs="仿宋_GB2312"/>
          <w:sz w:val="24"/>
          <w:szCs w:val="24"/>
          <w:highlight w:val="none"/>
          <w:lang w:val="en-US" w:eastAsia="zh-CN"/>
        </w:rPr>
        <w:t>如</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得悉</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的任何保密信息遭侵犯或疑似侵权，</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应立即通知</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。如果</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5）卖方</w:t>
      </w:r>
      <w:r>
        <w:rPr>
          <w:rFonts w:hint="default" w:ascii="仿宋_GB2312" w:hAnsi="仿宋_GB2312" w:eastAsia="仿宋_GB2312" w:cs="仿宋_GB2312"/>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6）卖方</w:t>
      </w:r>
      <w:r>
        <w:rPr>
          <w:rFonts w:hint="default" w:ascii="仿宋_GB2312" w:hAnsi="仿宋_GB2312" w:eastAsia="仿宋_GB2312" w:cs="仿宋_GB2312"/>
          <w:sz w:val="24"/>
          <w:szCs w:val="24"/>
          <w:highlight w:val="none"/>
          <w:lang w:val="en-US" w:eastAsia="zh-CN"/>
        </w:rPr>
        <w:t>应遵从</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的要求将本协议项下保密信息的使用情况向</w:t>
      </w:r>
      <w:r>
        <w:rPr>
          <w:rFonts w:hint="eastAsia" w:ascii="仿宋_GB2312" w:hAnsi="仿宋_GB2312" w:eastAsia="仿宋_GB2312" w:cs="仿宋_GB2312"/>
          <w:sz w:val="24"/>
          <w:szCs w:val="24"/>
          <w:highlight w:val="none"/>
          <w:lang w:val="en-US" w:eastAsia="zh-CN"/>
        </w:rPr>
        <w:t>买方</w:t>
      </w:r>
      <w:r>
        <w:rPr>
          <w:rFonts w:hint="default" w:ascii="仿宋_GB2312" w:hAnsi="仿宋_GB2312" w:eastAsia="仿宋_GB2312" w:cs="仿宋_GB2312"/>
          <w:sz w:val="24"/>
          <w:szCs w:val="24"/>
          <w:highlight w:val="none"/>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7）卖方</w:t>
      </w:r>
      <w:r>
        <w:rPr>
          <w:rFonts w:hint="default" w:ascii="仿宋_GB2312" w:hAnsi="仿宋_GB2312" w:eastAsia="仿宋_GB2312" w:cs="仿宋_GB2312"/>
          <w:sz w:val="24"/>
          <w:szCs w:val="24"/>
          <w:highlight w:val="none"/>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w:t>
      </w:r>
      <w:r>
        <w:rPr>
          <w:rFonts w:hint="default" w:ascii="仿宋_GB2312" w:hAnsi="仿宋_GB2312" w:eastAsia="仿宋_GB2312" w:cs="仿宋_GB2312"/>
          <w:sz w:val="24"/>
          <w:szCs w:val="24"/>
          <w:highlight w:val="none"/>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default" w:ascii="仿宋_GB2312" w:hAnsi="仿宋_GB2312" w:eastAsia="仿宋_GB2312" w:cs="仿宋_GB2312"/>
          <w:sz w:val="24"/>
          <w:szCs w:val="24"/>
          <w:highlight w:val="none"/>
          <w:lang w:val="en-US" w:eastAsia="zh-CN"/>
        </w:rPr>
        <w:t>数据收集必须基于合法授权，</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需向数据主体明确告知数据用途，并获得明确同意</w:t>
      </w:r>
      <w:r>
        <w:rPr>
          <w:rFonts w:hint="eastAsia" w:ascii="仿宋_GB2312" w:hAnsi="仿宋_GB2312" w:eastAsia="仿宋_GB2312" w:cs="仿宋_GB2312"/>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在存储数据时需采取严格的安全措施，</w:t>
      </w:r>
      <w:r>
        <w:rPr>
          <w:rFonts w:hint="eastAsia" w:ascii="仿宋_GB2312" w:hAnsi="仿宋_GB2312" w:eastAsia="仿宋_GB2312" w:cs="仿宋_GB2312"/>
          <w:sz w:val="24"/>
          <w:szCs w:val="24"/>
          <w:highlight w:val="none"/>
          <w:lang w:val="en-US" w:eastAsia="zh-CN"/>
        </w:rPr>
        <w:t>通过</w:t>
      </w:r>
      <w:r>
        <w:rPr>
          <w:rFonts w:hint="default" w:ascii="仿宋_GB2312" w:hAnsi="仿宋_GB2312" w:eastAsia="仿宋_GB2312" w:cs="仿宋_GB2312"/>
          <w:sz w:val="24"/>
          <w:szCs w:val="24"/>
          <w:highlight w:val="none"/>
          <w:lang w:val="en-US" w:eastAsia="zh-CN"/>
        </w:rPr>
        <w:t>加密、访问控制等措施确保数据的完整性和机密性</w:t>
      </w:r>
      <w:r>
        <w:rPr>
          <w:rFonts w:hint="eastAsia" w:ascii="仿宋_GB2312" w:hAnsi="仿宋_GB2312" w:eastAsia="仿宋_GB2312" w:cs="仿宋_GB2312"/>
          <w:sz w:val="24"/>
          <w:szCs w:val="24"/>
          <w:highlight w:val="none"/>
          <w:lang w:val="en-US" w:eastAsia="zh-CN"/>
        </w:rPr>
        <w:t>；</w:t>
      </w:r>
      <w:r>
        <w:rPr>
          <w:rFonts w:hint="default" w:ascii="仿宋_GB2312" w:hAnsi="仿宋_GB2312" w:eastAsia="仿宋_GB2312" w:cs="仿宋_GB2312"/>
          <w:sz w:val="24"/>
          <w:szCs w:val="24"/>
          <w:highlight w:val="none"/>
          <w:lang w:val="en-US" w:eastAsia="zh-CN"/>
        </w:rPr>
        <w:t>在使用和传输数据时，</w:t>
      </w:r>
      <w:r>
        <w:rPr>
          <w:rFonts w:hint="eastAsia" w:ascii="仿宋_GB2312" w:hAnsi="仿宋_GB2312" w:eastAsia="仿宋_GB2312" w:cs="仿宋_GB2312"/>
          <w:sz w:val="24"/>
          <w:szCs w:val="24"/>
          <w:highlight w:val="none"/>
          <w:lang w:val="en-US" w:eastAsia="zh-CN"/>
        </w:rPr>
        <w:t>卖方</w:t>
      </w:r>
      <w:r>
        <w:rPr>
          <w:rFonts w:hint="default" w:ascii="仿宋_GB2312" w:hAnsi="仿宋_GB2312" w:eastAsia="仿宋_GB2312" w:cs="仿宋_GB2312"/>
          <w:sz w:val="24"/>
          <w:szCs w:val="24"/>
          <w:highlight w:val="none"/>
          <w:lang w:val="en-US" w:eastAsia="zh-CN"/>
        </w:rPr>
        <w:t>需确保数据使用符合收集时的声明，不得超出必要范围</w:t>
      </w:r>
      <w:r>
        <w:rPr>
          <w:rFonts w:hint="eastAsia" w:ascii="仿宋_GB2312" w:hAnsi="仿宋_GB2312" w:eastAsia="仿宋_GB2312" w:cs="仿宋_GB2312"/>
          <w:sz w:val="24"/>
          <w:szCs w:val="24"/>
          <w:highlight w:val="none"/>
          <w:lang w:val="en-US" w:eastAsia="zh-CN"/>
        </w:rPr>
        <w:t>；</w:t>
      </w:r>
      <w:r>
        <w:rPr>
          <w:rFonts w:hint="default" w:ascii="仿宋_GB2312" w:hAnsi="仿宋_GB2312" w:eastAsia="仿宋_GB2312" w:cs="仿宋_GB2312"/>
          <w:sz w:val="24"/>
          <w:szCs w:val="24"/>
          <w:highlight w:val="none"/>
          <w:lang w:val="en-US" w:eastAsia="zh-CN"/>
        </w:rPr>
        <w:t>跨境数据传输时，需符合法律规定的合规要求。</w:t>
      </w:r>
      <w:r>
        <w:rPr>
          <w:rFonts w:hint="eastAsia" w:ascii="仿宋_GB2312" w:hAnsi="仿宋_GB2312" w:eastAsia="仿宋_GB2312" w:cs="仿宋_GB2312"/>
          <w:sz w:val="24"/>
          <w:szCs w:val="24"/>
          <w:highlight w:val="none"/>
          <w:lang w:val="en-US" w:eastAsia="zh-CN"/>
        </w:rPr>
        <w:t>卖方需</w:t>
      </w:r>
      <w:r>
        <w:rPr>
          <w:rFonts w:hint="default" w:ascii="仿宋_GB2312" w:hAnsi="仿宋_GB2312" w:eastAsia="仿宋_GB2312" w:cs="仿宋_GB2312"/>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highlight w:val="none"/>
          <w:lang w:val="en-US" w:eastAsia="zh-CN"/>
        </w:rPr>
        <w:t>。</w:t>
      </w:r>
      <w:r>
        <w:rPr>
          <w:rFonts w:hint="default" w:ascii="仿宋_GB2312" w:hAnsi="仿宋_GB2312" w:eastAsia="仿宋_GB2312" w:cs="仿宋_GB2312"/>
          <w:sz w:val="24"/>
          <w:szCs w:val="24"/>
          <w:highlight w:val="none"/>
          <w:lang w:val="en-US" w:eastAsia="zh-CN"/>
        </w:rPr>
        <w:t>‌</w:t>
      </w:r>
    </w:p>
    <w:p w14:paraId="793B726F">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default"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lang w:val="en-US" w:eastAsia="zh-CN"/>
        </w:rPr>
        <w:t>如需要</w:t>
      </w:r>
      <w:r>
        <w:rPr>
          <w:rFonts w:hint="default" w:ascii="仿宋_GB2312" w:hAnsi="仿宋_GB2312" w:eastAsia="仿宋_GB2312" w:cs="仿宋_GB2312"/>
          <w:sz w:val="24"/>
          <w:szCs w:val="24"/>
          <w:highlight w:val="none"/>
          <w:lang w:val="en-US" w:eastAsia="zh-CN"/>
        </w:rPr>
        <w:t>数据共享</w:t>
      </w:r>
      <w:r>
        <w:rPr>
          <w:rFonts w:hint="eastAsia" w:ascii="仿宋_GB2312" w:hAnsi="仿宋_GB2312" w:eastAsia="仿宋_GB2312" w:cs="仿宋_GB2312"/>
          <w:sz w:val="24"/>
          <w:szCs w:val="24"/>
          <w:highlight w:val="none"/>
          <w:lang w:val="en-US" w:eastAsia="zh-CN"/>
        </w:rPr>
        <w:t>时</w:t>
      </w:r>
      <w:r>
        <w:rPr>
          <w:rFonts w:hint="default" w:ascii="仿宋_GB2312" w:hAnsi="仿宋_GB2312" w:eastAsia="仿宋_GB2312" w:cs="仿宋_GB2312"/>
          <w:sz w:val="24"/>
          <w:szCs w:val="24"/>
          <w:highlight w:val="none"/>
          <w:lang w:val="en-US" w:eastAsia="zh-CN"/>
        </w:rPr>
        <w:t>需</w:t>
      </w:r>
      <w:r>
        <w:rPr>
          <w:rFonts w:hint="eastAsia" w:ascii="仿宋_GB2312" w:hAnsi="仿宋_GB2312" w:eastAsia="仿宋_GB2312" w:cs="仿宋_GB2312"/>
          <w:sz w:val="24"/>
          <w:szCs w:val="24"/>
          <w:highlight w:val="none"/>
          <w:lang w:val="en-US" w:eastAsia="zh-CN"/>
        </w:rPr>
        <w:t>取得买方的书面同意并</w:t>
      </w:r>
      <w:r>
        <w:rPr>
          <w:rFonts w:hint="default" w:ascii="仿宋_GB2312" w:hAnsi="仿宋_GB2312" w:eastAsia="仿宋_GB2312" w:cs="仿宋_GB2312"/>
          <w:sz w:val="24"/>
          <w:szCs w:val="24"/>
          <w:highlight w:val="none"/>
          <w:lang w:val="en-US" w:eastAsia="zh-CN"/>
        </w:rPr>
        <w:t>确保各方在使用数据时符合合规要求</w:t>
      </w:r>
      <w:r>
        <w:rPr>
          <w:rFonts w:hint="eastAsia" w:ascii="仿宋_GB2312" w:hAnsi="仿宋_GB2312" w:eastAsia="仿宋_GB2312" w:cs="仿宋_GB2312"/>
          <w:sz w:val="24"/>
          <w:szCs w:val="24"/>
          <w:highlight w:val="none"/>
          <w:lang w:val="en-US" w:eastAsia="zh-CN"/>
        </w:rPr>
        <w:t>；</w:t>
      </w:r>
      <w:r>
        <w:rPr>
          <w:rFonts w:hint="default" w:ascii="仿宋_GB2312" w:hAnsi="仿宋_GB2312" w:eastAsia="仿宋_GB2312" w:cs="仿宋_GB2312"/>
          <w:sz w:val="24"/>
          <w:szCs w:val="24"/>
          <w:highlight w:val="none"/>
          <w:lang w:val="en-US" w:eastAsia="zh-CN"/>
        </w:rPr>
        <w:t>当数据不再需要时，</w:t>
      </w:r>
      <w:r>
        <w:rPr>
          <w:rFonts w:hint="eastAsia" w:ascii="仿宋_GB2312" w:hAnsi="仿宋_GB2312" w:eastAsia="仿宋_GB2312" w:cs="仿宋_GB2312"/>
          <w:sz w:val="24"/>
          <w:szCs w:val="24"/>
          <w:highlight w:val="none"/>
          <w:lang w:val="en-US" w:eastAsia="zh-CN"/>
        </w:rPr>
        <w:t>卖方需</w:t>
      </w:r>
      <w:r>
        <w:rPr>
          <w:rFonts w:hint="default" w:ascii="仿宋_GB2312" w:hAnsi="仿宋_GB2312" w:eastAsia="仿宋_GB2312" w:cs="仿宋_GB2312"/>
          <w:sz w:val="24"/>
          <w:szCs w:val="24"/>
          <w:highlight w:val="none"/>
          <w:lang w:val="en-US" w:eastAsia="zh-CN"/>
        </w:rPr>
        <w:t>采取适当的措施彻底销毁数据，防止其被恢复和滥用。</w:t>
      </w:r>
    </w:p>
    <w:p w14:paraId="1058404E">
      <w:pPr>
        <w:pStyle w:val="2"/>
        <w:tabs>
          <w:tab w:val="right" w:leader="dot" w:pos="9061"/>
        </w:tabs>
        <w:ind w:left="0" w:firstLine="480" w:firstLineChars="200"/>
        <w:jc w:val="both"/>
        <w:rPr>
          <w:rFonts w:ascii="黑体" w:hAnsi="黑体" w:eastAsia="黑体" w:cs="黑体"/>
          <w:b w:val="0"/>
          <w:sz w:val="24"/>
          <w:szCs w:val="24"/>
          <w:highlight w:val="none"/>
        </w:rPr>
      </w:pPr>
      <w:bookmarkStart w:id="132" w:name="_Toc27314"/>
      <w:bookmarkStart w:id="133" w:name="_Toc30381"/>
      <w:bookmarkStart w:id="134" w:name="_Toc16330028"/>
      <w:bookmarkStart w:id="135" w:name="_Toc9708"/>
      <w:r>
        <w:rPr>
          <w:rFonts w:hint="eastAsia" w:ascii="黑体" w:hAnsi="黑体" w:eastAsia="黑体" w:cs="黑体"/>
          <w:b w:val="0"/>
          <w:sz w:val="24"/>
          <w:szCs w:val="24"/>
          <w:highlight w:val="none"/>
        </w:rPr>
        <w:t>11 违约责任</w:t>
      </w:r>
      <w:bookmarkEnd w:id="132"/>
      <w:bookmarkEnd w:id="133"/>
      <w:bookmarkEnd w:id="134"/>
      <w:bookmarkEnd w:id="135"/>
    </w:p>
    <w:p w14:paraId="7BC2CDD4">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11.8如果卖方违反本合同其他约定（包括本合同及所有附件）应赔偿因此给买方造成的一切损失。</w:t>
      </w:r>
    </w:p>
    <w:p w14:paraId="1B46C72D">
      <w:pPr>
        <w:pStyle w:val="2"/>
        <w:tabs>
          <w:tab w:val="right" w:leader="dot" w:pos="9061"/>
        </w:tabs>
        <w:ind w:left="0" w:firstLine="480" w:firstLineChars="200"/>
        <w:jc w:val="both"/>
        <w:rPr>
          <w:rFonts w:ascii="黑体" w:hAnsi="黑体" w:eastAsia="黑体" w:cs="黑体"/>
          <w:b w:val="0"/>
          <w:sz w:val="24"/>
          <w:szCs w:val="24"/>
          <w:highlight w:val="none"/>
        </w:rPr>
      </w:pPr>
      <w:bookmarkStart w:id="136" w:name="_Toc31554"/>
      <w:bookmarkStart w:id="137" w:name="_Toc1827"/>
      <w:bookmarkStart w:id="138" w:name="_Toc9172"/>
      <w:bookmarkStart w:id="139" w:name="_Toc16330029"/>
      <w:r>
        <w:rPr>
          <w:rFonts w:hint="eastAsia" w:ascii="黑体" w:hAnsi="黑体" w:eastAsia="黑体" w:cs="黑体"/>
          <w:b w:val="0"/>
          <w:sz w:val="24"/>
          <w:szCs w:val="24"/>
          <w:highlight w:val="none"/>
        </w:rPr>
        <w:t>12 合同的终止与解除</w:t>
      </w:r>
      <w:bookmarkEnd w:id="136"/>
      <w:bookmarkEnd w:id="137"/>
      <w:bookmarkEnd w:id="138"/>
      <w:bookmarkEnd w:id="139"/>
    </w:p>
    <w:p w14:paraId="71558C19">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12.2经双方协商一致，可以解除本合同。</w:t>
      </w:r>
    </w:p>
    <w:p w14:paraId="24C69F0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12.3.4卖方有其他违约行为。</w:t>
      </w:r>
    </w:p>
    <w:p w14:paraId="06018CAB">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12.7因为卖方违约导致买方解除合同的，卖方应赔偿买方因此所遭受的一切损失。</w:t>
      </w:r>
    </w:p>
    <w:p w14:paraId="529DE7B9">
      <w:pPr>
        <w:pStyle w:val="2"/>
        <w:tabs>
          <w:tab w:val="right" w:leader="dot" w:pos="9061"/>
        </w:tabs>
        <w:ind w:left="0" w:firstLine="480" w:firstLineChars="200"/>
        <w:jc w:val="both"/>
        <w:rPr>
          <w:rFonts w:ascii="黑体" w:hAnsi="黑体" w:eastAsia="黑体" w:cs="黑体"/>
          <w:b w:val="0"/>
          <w:sz w:val="24"/>
          <w:szCs w:val="24"/>
          <w:highlight w:val="none"/>
        </w:rPr>
      </w:pPr>
      <w:bookmarkStart w:id="140" w:name="_Toc8620"/>
      <w:bookmarkStart w:id="141" w:name="_Toc31945"/>
      <w:bookmarkStart w:id="142" w:name="_Toc13671"/>
      <w:bookmarkStart w:id="143" w:name="_Toc16330030"/>
      <w:r>
        <w:rPr>
          <w:rFonts w:hint="eastAsia" w:ascii="黑体" w:hAnsi="黑体" w:eastAsia="黑体" w:cs="黑体"/>
          <w:b w:val="0"/>
          <w:sz w:val="24"/>
          <w:szCs w:val="24"/>
          <w:highlight w:val="none"/>
        </w:rPr>
        <w:t>13 不可抗力</w:t>
      </w:r>
      <w:bookmarkEnd w:id="140"/>
      <w:bookmarkEnd w:id="141"/>
      <w:bookmarkEnd w:id="142"/>
      <w:bookmarkEnd w:id="143"/>
    </w:p>
    <w:p w14:paraId="5ED87149">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13.2各方应该通过协商决定是否终止本合同，或推迟全部或部分本合同的履行或免除对方全部或部分相关履行义务。</w:t>
      </w:r>
    </w:p>
    <w:p w14:paraId="239D40B4">
      <w:pPr>
        <w:pStyle w:val="2"/>
        <w:tabs>
          <w:tab w:val="right" w:leader="dot" w:pos="9061"/>
        </w:tabs>
        <w:ind w:left="0" w:firstLine="480" w:firstLineChars="200"/>
        <w:jc w:val="both"/>
        <w:rPr>
          <w:rFonts w:ascii="黑体" w:hAnsi="黑体" w:eastAsia="黑体" w:cs="黑体"/>
          <w:b w:val="0"/>
          <w:sz w:val="24"/>
          <w:szCs w:val="24"/>
          <w:highlight w:val="none"/>
        </w:rPr>
      </w:pPr>
      <w:bookmarkStart w:id="144" w:name="_Toc637"/>
      <w:bookmarkStart w:id="145" w:name="_Toc31243"/>
      <w:bookmarkStart w:id="146" w:name="_Toc30389"/>
      <w:bookmarkStart w:id="147" w:name="_Toc16330031"/>
      <w:r>
        <w:rPr>
          <w:rFonts w:hint="eastAsia" w:ascii="黑体" w:hAnsi="黑体" w:eastAsia="黑体" w:cs="黑体"/>
          <w:b w:val="0"/>
          <w:sz w:val="24"/>
          <w:szCs w:val="24"/>
          <w:highlight w:val="none"/>
        </w:rPr>
        <w:t>14 通讯</w:t>
      </w:r>
      <w:bookmarkEnd w:id="144"/>
      <w:bookmarkEnd w:id="145"/>
      <w:bookmarkEnd w:id="146"/>
      <w:bookmarkEnd w:id="147"/>
    </w:p>
    <w:p w14:paraId="5162460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14.1通讯地址：</w:t>
      </w:r>
    </w:p>
    <w:p w14:paraId="2EB8B0C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14.2生效</w:t>
      </w:r>
    </w:p>
    <w:p w14:paraId="31A81D7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14.2.1书信。书信为送达时生效；</w:t>
      </w:r>
    </w:p>
    <w:p w14:paraId="5AD20D6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14.3书面法律证据。根据本合同以书信、传真或电子邮件方式送达任何订约方的任何通讯，将作为书面法律证据。</w:t>
      </w:r>
    </w:p>
    <w:p w14:paraId="357D1112">
      <w:pPr>
        <w:pStyle w:val="2"/>
        <w:tabs>
          <w:tab w:val="right" w:leader="dot" w:pos="9061"/>
        </w:tabs>
        <w:ind w:left="0" w:firstLine="480" w:firstLineChars="200"/>
        <w:jc w:val="both"/>
        <w:rPr>
          <w:rFonts w:ascii="黑体" w:hAnsi="黑体" w:eastAsia="黑体" w:cs="黑体"/>
          <w:b w:val="0"/>
          <w:sz w:val="24"/>
          <w:szCs w:val="24"/>
          <w:highlight w:val="none"/>
        </w:rPr>
      </w:pPr>
      <w:bookmarkStart w:id="148" w:name="_Toc16330032"/>
      <w:bookmarkStart w:id="149" w:name="_Toc12984"/>
      <w:bookmarkStart w:id="150" w:name="_Toc11290"/>
      <w:bookmarkStart w:id="151" w:name="_Toc9915"/>
      <w:r>
        <w:rPr>
          <w:rFonts w:hint="eastAsia" w:ascii="黑体" w:hAnsi="黑体" w:eastAsia="黑体" w:cs="黑体"/>
          <w:b w:val="0"/>
          <w:sz w:val="24"/>
          <w:szCs w:val="24"/>
          <w:highlight w:val="none"/>
        </w:rPr>
        <w:t>15 适用法律及争议解决</w:t>
      </w:r>
      <w:bookmarkEnd w:id="148"/>
      <w:bookmarkEnd w:id="149"/>
      <w:bookmarkEnd w:id="150"/>
      <w:bookmarkEnd w:id="151"/>
    </w:p>
    <w:p w14:paraId="4AF7162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2"/>
        <w:tabs>
          <w:tab w:val="right" w:leader="dot" w:pos="9061"/>
        </w:tabs>
        <w:ind w:left="0" w:firstLine="480" w:firstLineChars="200"/>
        <w:jc w:val="both"/>
        <w:rPr>
          <w:rFonts w:ascii="黑体" w:hAnsi="黑体" w:eastAsia="黑体" w:cs="黑体"/>
          <w:b w:val="0"/>
          <w:sz w:val="24"/>
          <w:szCs w:val="24"/>
          <w:highlight w:val="none"/>
        </w:rPr>
      </w:pPr>
      <w:bookmarkStart w:id="152" w:name="_Toc23765"/>
      <w:bookmarkStart w:id="153" w:name="_Toc18207"/>
      <w:bookmarkStart w:id="154" w:name="_Toc16330033"/>
      <w:bookmarkStart w:id="155" w:name="_Toc23906"/>
      <w:r>
        <w:rPr>
          <w:rFonts w:hint="eastAsia" w:ascii="黑体" w:hAnsi="黑体" w:eastAsia="黑体" w:cs="黑体"/>
          <w:b w:val="0"/>
          <w:sz w:val="24"/>
          <w:szCs w:val="24"/>
          <w:highlight w:val="none"/>
        </w:rPr>
        <w:t>16 附件</w:t>
      </w:r>
      <w:bookmarkEnd w:id="152"/>
      <w:bookmarkEnd w:id="153"/>
      <w:bookmarkEnd w:id="154"/>
      <w:bookmarkEnd w:id="155"/>
    </w:p>
    <w:p w14:paraId="1E7A865B">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16.1技术协议书；</w:t>
      </w:r>
    </w:p>
    <w:p w14:paraId="20C2E5A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16.2合同设备一览表；</w:t>
      </w:r>
    </w:p>
    <w:p w14:paraId="01753B84">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16.4招标文件。</w:t>
      </w:r>
    </w:p>
    <w:p w14:paraId="0EBDF16E">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上述附件内容与本合同约定有冲突的，以本合同约定为准。</w:t>
      </w:r>
    </w:p>
    <w:p w14:paraId="50E7431D">
      <w:pPr>
        <w:pStyle w:val="2"/>
        <w:tabs>
          <w:tab w:val="right" w:leader="dot" w:pos="9061"/>
        </w:tabs>
        <w:ind w:left="0" w:firstLine="480" w:firstLineChars="200"/>
        <w:jc w:val="both"/>
        <w:rPr>
          <w:rFonts w:ascii="黑体" w:hAnsi="黑体" w:eastAsia="黑体" w:cs="黑体"/>
          <w:b w:val="0"/>
          <w:sz w:val="24"/>
          <w:szCs w:val="24"/>
          <w:highlight w:val="none"/>
        </w:rPr>
      </w:pPr>
      <w:bookmarkStart w:id="156" w:name="_Toc17656"/>
      <w:bookmarkStart w:id="157" w:name="_Toc31331"/>
      <w:bookmarkStart w:id="158" w:name="_Toc16330034"/>
      <w:bookmarkStart w:id="159" w:name="_Toc27202"/>
      <w:r>
        <w:rPr>
          <w:rFonts w:hint="eastAsia" w:ascii="黑体" w:hAnsi="黑体" w:eastAsia="黑体" w:cs="黑体"/>
          <w:b w:val="0"/>
          <w:sz w:val="24"/>
          <w:szCs w:val="24"/>
          <w:highlight w:val="none"/>
        </w:rPr>
        <w:t>17 其他规定</w:t>
      </w:r>
      <w:bookmarkEnd w:id="156"/>
      <w:bookmarkEnd w:id="157"/>
      <w:bookmarkEnd w:id="158"/>
      <w:bookmarkEnd w:id="159"/>
    </w:p>
    <w:p w14:paraId="0176E055">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highlight w:val="none"/>
        </w:rPr>
      </w:pPr>
      <w:bookmarkStart w:id="160" w:name="_Toc16330035"/>
      <w:bookmarkStart w:id="161" w:name="_Toc19077"/>
      <w:bookmarkStart w:id="162" w:name="_Toc29136"/>
      <w:bookmarkStart w:id="163" w:name="_Toc17952"/>
      <w:r>
        <w:rPr>
          <w:rFonts w:hint="eastAsia" w:ascii="仿宋_GB2312" w:hAnsi="仿宋_GB2312" w:eastAsia="仿宋_GB2312" w:cs="仿宋_GB2312"/>
          <w:sz w:val="24"/>
          <w:szCs w:val="24"/>
          <w:highlight w:val="none"/>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2"/>
        <w:tabs>
          <w:tab w:val="right" w:leader="dot" w:pos="9061"/>
        </w:tabs>
        <w:ind w:left="0" w:firstLine="480" w:firstLineChars="200"/>
        <w:jc w:val="both"/>
        <w:rPr>
          <w:rFonts w:ascii="黑体" w:hAnsi="黑体" w:eastAsia="黑体" w:cs="黑体"/>
          <w:b w:val="0"/>
          <w:sz w:val="24"/>
          <w:szCs w:val="24"/>
          <w:highlight w:val="none"/>
        </w:rPr>
      </w:pPr>
      <w:r>
        <w:rPr>
          <w:rFonts w:hint="eastAsia" w:ascii="黑体" w:hAnsi="黑体" w:eastAsia="黑体" w:cs="黑体"/>
          <w:b w:val="0"/>
          <w:sz w:val="24"/>
          <w:szCs w:val="24"/>
          <w:highlight w:val="none"/>
        </w:rPr>
        <w:t>18 签署事项</w:t>
      </w:r>
      <w:bookmarkEnd w:id="160"/>
      <w:bookmarkEnd w:id="161"/>
      <w:bookmarkEnd w:id="162"/>
      <w:bookmarkEnd w:id="163"/>
    </w:p>
    <w:p w14:paraId="568661CF">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本合同</w:t>
      </w:r>
      <w:r>
        <w:rPr>
          <w:rFonts w:hint="eastAsia" w:ascii="仿宋_GB2312" w:hAnsi="仿宋_GB2312" w:eastAsia="仿宋_GB2312" w:cs="仿宋_GB2312"/>
          <w:sz w:val="24"/>
          <w:szCs w:val="24"/>
          <w:highlight w:val="none"/>
          <w:lang w:val="en-US" w:eastAsia="zh-CN"/>
        </w:rPr>
        <w:t>或协议</w:t>
      </w:r>
      <w:r>
        <w:rPr>
          <w:rFonts w:hint="eastAsia" w:ascii="仿宋_GB2312" w:hAnsi="仿宋_GB2312" w:eastAsia="仿宋_GB2312" w:cs="仿宋_GB2312"/>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highlight w:val="none"/>
        </w:rPr>
        <w:t>所有的手写涂改、一方擅自增加、删改、篡改部分无效（电子签名除外）</w:t>
      </w:r>
      <w:r>
        <w:rPr>
          <w:rFonts w:hint="eastAsia" w:ascii="仿宋_GB2312" w:hAnsi="仿宋_GB2312" w:eastAsia="仿宋_GB2312" w:cs="仿宋_GB2312"/>
          <w:sz w:val="24"/>
          <w:szCs w:val="24"/>
          <w:highlight w:val="none"/>
        </w:rPr>
        <w:t>。</w:t>
      </w:r>
    </w:p>
    <w:p w14:paraId="4085A020">
      <w:pPr>
        <w:spacing w:line="360" w:lineRule="auto"/>
        <w:ind w:firstLine="480" w:firstLineChars="200"/>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highlight w:val="none"/>
          <w:u w:val="single"/>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r>
        <w:rPr>
          <w:rFonts w:hint="eastAsia" w:ascii="仿宋_GB2312" w:hAnsi="宋体" w:eastAsia="仿宋_GB2312"/>
          <w:b/>
          <w:bCs/>
          <w:snapToGrid w:val="0"/>
          <w:kern w:val="0"/>
          <w:sz w:val="24"/>
          <w:szCs w:val="24"/>
          <w:highlight w:val="none"/>
          <w:u w:val="single"/>
          <w:lang w:eastAsia="zh-CN"/>
        </w:rPr>
        <w:t>甲方单位</w:t>
      </w:r>
      <w:r>
        <w:rPr>
          <w:rFonts w:hint="eastAsia" w:ascii="仿宋_GB2312" w:hAnsi="宋体" w:eastAsia="仿宋_GB2312"/>
          <w:b/>
          <w:bCs/>
          <w:snapToGrid w:val="0"/>
          <w:kern w:val="0"/>
          <w:sz w:val="24"/>
          <w:szCs w:val="24"/>
          <w:highlight w:val="none"/>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highlight w:val="none"/>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val="en-US" w:eastAsia="zh-CN"/>
        </w:rPr>
        <w:t>甲方</w:t>
      </w:r>
      <w:r>
        <w:rPr>
          <w:rFonts w:hint="eastAsia" w:ascii="仿宋_GB2312" w:hAnsi="宋体" w:eastAsia="仿宋_GB2312"/>
          <w:snapToGrid w:val="0"/>
          <w:color w:val="000000"/>
          <w:kern w:val="0"/>
          <w:sz w:val="24"/>
          <w:szCs w:val="24"/>
          <w:highlight w:val="none"/>
        </w:rPr>
        <w:t>代表</w:t>
      </w:r>
      <w:r>
        <w:rPr>
          <w:rFonts w:hint="eastAsia" w:ascii="仿宋_GB2312" w:hAnsi="宋体" w:eastAsia="仿宋_GB2312"/>
          <w:snapToGrid w:val="0"/>
          <w:color w:val="000000"/>
          <w:kern w:val="0"/>
          <w:sz w:val="24"/>
          <w:szCs w:val="24"/>
          <w:highlight w:val="none"/>
          <w:lang w:eastAsia="zh-Hans"/>
        </w:rPr>
        <w:t xml:space="preserve">（签字）：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                        </w:t>
      </w:r>
      <w:r>
        <w:rPr>
          <w:rFonts w:hint="eastAsia" w:ascii="仿宋_GB2312" w:hAnsi="宋体" w:eastAsia="仿宋_GB2312"/>
          <w:snapToGrid w:val="0"/>
          <w:kern w:val="0"/>
          <w:sz w:val="24"/>
          <w:szCs w:val="24"/>
          <w:highlight w:val="none"/>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highlight w:val="none"/>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highlight w:val="none"/>
          <w:u w:val="single"/>
        </w:rPr>
      </w:pPr>
      <w:r>
        <w:rPr>
          <w:rFonts w:hint="eastAsia" w:ascii="仿宋_GB2312" w:hAnsi="宋体" w:eastAsia="仿宋_GB2312"/>
          <w:snapToGrid w:val="0"/>
          <w:kern w:val="0"/>
          <w:sz w:val="24"/>
          <w:szCs w:val="24"/>
          <w:highlight w:val="none"/>
        </w:rPr>
        <w:t>乙</w:t>
      </w:r>
      <w:r>
        <w:rPr>
          <w:rFonts w:hint="eastAsia" w:ascii="仿宋_GB2312" w:hAnsi="宋体" w:eastAsia="仿宋_GB2312"/>
          <w:snapToGrid w:val="0"/>
          <w:kern w:val="0"/>
          <w:sz w:val="24"/>
          <w:szCs w:val="24"/>
          <w:highlight w:val="none"/>
          <w:lang w:eastAsia="zh-Hans"/>
        </w:rPr>
        <w:t>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r>
        <w:rPr>
          <w:rFonts w:hint="eastAsia" w:ascii="仿宋_GB2312" w:hAnsi="仿宋_GB2312" w:eastAsia="仿宋_GB2312" w:cs="仿宋_GB2312"/>
          <w:b/>
          <w:bCs/>
          <w:sz w:val="24"/>
          <w:szCs w:val="24"/>
          <w:highlight w:val="none"/>
          <w:u w:val="single"/>
          <w:lang w:eastAsia="zh-CN"/>
        </w:rPr>
        <w:t>乙方单位</w:t>
      </w:r>
      <w:r>
        <w:rPr>
          <w:rFonts w:hint="eastAsia" w:ascii="仿宋_GB2312" w:hAnsi="仿宋_GB2312" w:eastAsia="仿宋_GB2312" w:cs="仿宋_GB2312"/>
          <w:b/>
          <w:bCs/>
          <w:sz w:val="24"/>
          <w:szCs w:val="24"/>
          <w:highlight w:val="none"/>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highlight w:val="none"/>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val="en-US" w:eastAsia="zh-CN"/>
        </w:rPr>
        <w:t>乙方代表</w:t>
      </w:r>
      <w:r>
        <w:rPr>
          <w:rFonts w:hint="eastAsia" w:ascii="仿宋_GB2312" w:hAnsi="宋体" w:eastAsia="仿宋_GB2312"/>
          <w:snapToGrid w:val="0"/>
          <w:color w:val="000000"/>
          <w:kern w:val="0"/>
          <w:sz w:val="24"/>
          <w:szCs w:val="24"/>
          <w:highlight w:val="none"/>
          <w:lang w:val="en-US" w:eastAsia="zh-Hans"/>
        </w:rPr>
        <w:t>（签字）：</w:t>
      </w:r>
      <w:r>
        <w:rPr>
          <w:rFonts w:hint="eastAsia" w:ascii="仿宋_GB2312" w:hAnsi="宋体" w:eastAsia="仿宋_GB2312"/>
          <w:snapToGrid w:val="0"/>
          <w:color w:val="000000"/>
          <w:kern w:val="0"/>
          <w:sz w:val="24"/>
          <w:szCs w:val="24"/>
          <w:highlight w:val="none"/>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eastAsia="zh-Hans"/>
        </w:rPr>
      </w:pPr>
    </w:p>
    <w:p w14:paraId="51182F3D">
      <w:pPr>
        <w:rPr>
          <w:rFonts w:hint="eastAsia" w:ascii="黑体" w:hAnsi="黑体" w:eastAsia="黑体" w:cstheme="minorEastAsia"/>
          <w:sz w:val="28"/>
          <w:szCs w:val="28"/>
          <w:highlight w:val="none"/>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none"/>
        </w:rPr>
      </w:pPr>
      <w:r>
        <w:rPr>
          <w:rFonts w:hint="eastAsia" w:ascii="黑体" w:hAnsi="黑体" w:eastAsia="黑体" w:cstheme="minorEastAsia"/>
          <w:sz w:val="28"/>
          <w:szCs w:val="28"/>
          <w:highlight w:val="none"/>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序号</w:t>
            </w:r>
          </w:p>
        </w:tc>
        <w:tc>
          <w:tcPr>
            <w:tcW w:w="756" w:type="dxa"/>
            <w:vAlign w:val="center"/>
          </w:tcPr>
          <w:p w14:paraId="1D8370AC">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产品及部件名称</w:t>
            </w:r>
          </w:p>
        </w:tc>
        <w:tc>
          <w:tcPr>
            <w:tcW w:w="790" w:type="dxa"/>
            <w:vAlign w:val="center"/>
          </w:tcPr>
          <w:p w14:paraId="2C6B0DCE">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规格型号及技术参数</w:t>
            </w:r>
          </w:p>
        </w:tc>
        <w:tc>
          <w:tcPr>
            <w:tcW w:w="701" w:type="dxa"/>
            <w:vAlign w:val="center"/>
          </w:tcPr>
          <w:p w14:paraId="4886432A">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单位</w:t>
            </w:r>
          </w:p>
        </w:tc>
        <w:tc>
          <w:tcPr>
            <w:tcW w:w="1066" w:type="dxa"/>
            <w:vAlign w:val="center"/>
          </w:tcPr>
          <w:p w14:paraId="649CF3EF">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数量</w:t>
            </w:r>
          </w:p>
        </w:tc>
        <w:tc>
          <w:tcPr>
            <w:tcW w:w="1046" w:type="dxa"/>
            <w:vAlign w:val="center"/>
          </w:tcPr>
          <w:p w14:paraId="04F6F82E">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不含税</w:t>
            </w:r>
          </w:p>
          <w:p w14:paraId="7566CD76">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单价</w:t>
            </w:r>
          </w:p>
        </w:tc>
        <w:tc>
          <w:tcPr>
            <w:tcW w:w="977" w:type="dxa"/>
            <w:vAlign w:val="center"/>
          </w:tcPr>
          <w:p w14:paraId="4CE0714A">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税率</w:t>
            </w:r>
          </w:p>
        </w:tc>
        <w:tc>
          <w:tcPr>
            <w:tcW w:w="881" w:type="dxa"/>
            <w:vAlign w:val="center"/>
          </w:tcPr>
          <w:p w14:paraId="4D10774D">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税额</w:t>
            </w:r>
          </w:p>
        </w:tc>
        <w:tc>
          <w:tcPr>
            <w:tcW w:w="997" w:type="dxa"/>
            <w:vAlign w:val="center"/>
          </w:tcPr>
          <w:p w14:paraId="0406C5BF">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含税</w:t>
            </w:r>
          </w:p>
          <w:p w14:paraId="6C05EF86">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单价</w:t>
            </w:r>
          </w:p>
        </w:tc>
        <w:tc>
          <w:tcPr>
            <w:tcW w:w="677" w:type="dxa"/>
            <w:vAlign w:val="center"/>
          </w:tcPr>
          <w:p w14:paraId="318F6FC6">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品牌</w:t>
            </w:r>
          </w:p>
        </w:tc>
        <w:tc>
          <w:tcPr>
            <w:tcW w:w="677" w:type="dxa"/>
            <w:vAlign w:val="center"/>
          </w:tcPr>
          <w:p w14:paraId="492529A6">
            <w:pPr>
              <w:pStyle w:val="26"/>
              <w:spacing w:line="360" w:lineRule="auto"/>
              <w:ind w:left="0" w:firstLine="0" w:firstLineChars="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6"/>
              <w:spacing w:line="360" w:lineRule="auto"/>
              <w:ind w:left="420" w:hanging="42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1</w:t>
            </w:r>
          </w:p>
        </w:tc>
        <w:tc>
          <w:tcPr>
            <w:tcW w:w="756" w:type="dxa"/>
            <w:vAlign w:val="center"/>
          </w:tcPr>
          <w:p w14:paraId="31A9DF67">
            <w:pPr>
              <w:pStyle w:val="26"/>
              <w:spacing w:line="360" w:lineRule="auto"/>
              <w:ind w:left="0" w:firstLine="0" w:firstLineChars="0"/>
              <w:jc w:val="center"/>
              <w:rPr>
                <w:rFonts w:ascii="仿宋_GB2312" w:eastAsia="仿宋_GB2312" w:hAnsiTheme="minorEastAsia" w:cstheme="minorEastAsia"/>
                <w:highlight w:val="none"/>
              </w:rPr>
            </w:pPr>
          </w:p>
        </w:tc>
        <w:tc>
          <w:tcPr>
            <w:tcW w:w="790" w:type="dxa"/>
            <w:vAlign w:val="center"/>
          </w:tcPr>
          <w:p w14:paraId="10B4D922">
            <w:pPr>
              <w:pStyle w:val="26"/>
              <w:spacing w:line="360" w:lineRule="auto"/>
              <w:ind w:left="0" w:firstLine="0" w:firstLineChars="0"/>
              <w:jc w:val="center"/>
              <w:rPr>
                <w:rFonts w:ascii="仿宋_GB2312" w:eastAsia="仿宋_GB2312" w:hAnsiTheme="minorEastAsia" w:cstheme="minorEastAsia"/>
                <w:highlight w:val="none"/>
              </w:rPr>
            </w:pPr>
          </w:p>
        </w:tc>
        <w:tc>
          <w:tcPr>
            <w:tcW w:w="701" w:type="dxa"/>
            <w:vAlign w:val="center"/>
          </w:tcPr>
          <w:p w14:paraId="2FFF91E1">
            <w:pPr>
              <w:pStyle w:val="26"/>
              <w:spacing w:line="360" w:lineRule="auto"/>
              <w:ind w:left="0" w:firstLine="0" w:firstLineChars="0"/>
              <w:jc w:val="center"/>
              <w:rPr>
                <w:rFonts w:ascii="仿宋_GB2312" w:eastAsia="仿宋_GB2312" w:hAnsiTheme="minorEastAsia" w:cstheme="minorEastAsia"/>
                <w:highlight w:val="none"/>
              </w:rPr>
            </w:pPr>
          </w:p>
        </w:tc>
        <w:tc>
          <w:tcPr>
            <w:tcW w:w="1066" w:type="dxa"/>
            <w:vAlign w:val="center"/>
          </w:tcPr>
          <w:p w14:paraId="10BF26A2">
            <w:pPr>
              <w:pStyle w:val="26"/>
              <w:spacing w:line="360" w:lineRule="auto"/>
              <w:ind w:left="0" w:firstLine="0" w:firstLineChars="0"/>
              <w:jc w:val="center"/>
              <w:rPr>
                <w:rFonts w:ascii="仿宋_GB2312" w:eastAsia="仿宋_GB2312" w:hAnsiTheme="minorEastAsia" w:cstheme="minorEastAsia"/>
                <w:highlight w:val="none"/>
              </w:rPr>
            </w:pPr>
          </w:p>
        </w:tc>
        <w:tc>
          <w:tcPr>
            <w:tcW w:w="1046" w:type="dxa"/>
            <w:vAlign w:val="center"/>
          </w:tcPr>
          <w:p w14:paraId="2F51B508">
            <w:pPr>
              <w:pStyle w:val="26"/>
              <w:spacing w:line="360" w:lineRule="auto"/>
              <w:ind w:left="0" w:firstLine="0" w:firstLineChars="0"/>
              <w:jc w:val="center"/>
              <w:rPr>
                <w:rFonts w:ascii="仿宋_GB2312" w:eastAsia="仿宋_GB2312" w:hAnsiTheme="minorEastAsia" w:cstheme="minorEastAsia"/>
                <w:highlight w:val="none"/>
              </w:rPr>
            </w:pPr>
          </w:p>
        </w:tc>
        <w:tc>
          <w:tcPr>
            <w:tcW w:w="977" w:type="dxa"/>
            <w:vAlign w:val="center"/>
          </w:tcPr>
          <w:p w14:paraId="2940B4B3">
            <w:pPr>
              <w:pStyle w:val="26"/>
              <w:spacing w:line="360" w:lineRule="auto"/>
              <w:ind w:left="0" w:firstLine="0" w:firstLineChars="0"/>
              <w:jc w:val="center"/>
              <w:rPr>
                <w:rFonts w:ascii="仿宋_GB2312" w:eastAsia="仿宋_GB2312" w:hAnsiTheme="minorEastAsia" w:cstheme="minorEastAsia"/>
                <w:highlight w:val="none"/>
              </w:rPr>
            </w:pPr>
          </w:p>
        </w:tc>
        <w:tc>
          <w:tcPr>
            <w:tcW w:w="881" w:type="dxa"/>
            <w:vAlign w:val="center"/>
          </w:tcPr>
          <w:p w14:paraId="5C7CCB30">
            <w:pPr>
              <w:pStyle w:val="26"/>
              <w:spacing w:line="360" w:lineRule="auto"/>
              <w:ind w:left="0" w:firstLine="0" w:firstLineChars="0"/>
              <w:jc w:val="center"/>
              <w:rPr>
                <w:rFonts w:ascii="仿宋_GB2312" w:eastAsia="仿宋_GB2312" w:hAnsiTheme="minorEastAsia" w:cstheme="minorEastAsia"/>
                <w:highlight w:val="none"/>
              </w:rPr>
            </w:pPr>
          </w:p>
        </w:tc>
        <w:tc>
          <w:tcPr>
            <w:tcW w:w="997" w:type="dxa"/>
            <w:vAlign w:val="center"/>
          </w:tcPr>
          <w:p w14:paraId="23D4E21C">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19663B83">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5CC4F8B3">
            <w:pPr>
              <w:pStyle w:val="26"/>
              <w:spacing w:line="360" w:lineRule="auto"/>
              <w:ind w:left="0" w:firstLine="0" w:firstLineChars="0"/>
              <w:jc w:val="center"/>
              <w:rPr>
                <w:rFonts w:ascii="仿宋_GB2312" w:eastAsia="仿宋_GB2312" w:hAnsiTheme="minorEastAsia" w:cstheme="minorEastAsia"/>
                <w:highlight w:val="none"/>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6"/>
              <w:spacing w:line="360" w:lineRule="auto"/>
              <w:ind w:left="420" w:hanging="42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2</w:t>
            </w:r>
          </w:p>
        </w:tc>
        <w:tc>
          <w:tcPr>
            <w:tcW w:w="756" w:type="dxa"/>
            <w:vAlign w:val="center"/>
          </w:tcPr>
          <w:p w14:paraId="3DFB06FE">
            <w:pPr>
              <w:pStyle w:val="26"/>
              <w:spacing w:line="360" w:lineRule="auto"/>
              <w:ind w:left="0" w:firstLine="0" w:firstLineChars="0"/>
              <w:jc w:val="center"/>
              <w:rPr>
                <w:rFonts w:ascii="仿宋_GB2312" w:eastAsia="仿宋_GB2312" w:hAnsiTheme="minorEastAsia" w:cstheme="minorEastAsia"/>
                <w:highlight w:val="none"/>
              </w:rPr>
            </w:pPr>
          </w:p>
        </w:tc>
        <w:tc>
          <w:tcPr>
            <w:tcW w:w="790" w:type="dxa"/>
            <w:vAlign w:val="center"/>
          </w:tcPr>
          <w:p w14:paraId="5366408B">
            <w:pPr>
              <w:pStyle w:val="26"/>
              <w:spacing w:line="360" w:lineRule="auto"/>
              <w:ind w:left="0" w:firstLine="0" w:firstLineChars="0"/>
              <w:jc w:val="center"/>
              <w:rPr>
                <w:rFonts w:ascii="仿宋_GB2312" w:eastAsia="仿宋_GB2312" w:hAnsiTheme="minorEastAsia" w:cstheme="minorEastAsia"/>
                <w:highlight w:val="none"/>
              </w:rPr>
            </w:pPr>
          </w:p>
        </w:tc>
        <w:tc>
          <w:tcPr>
            <w:tcW w:w="701" w:type="dxa"/>
            <w:vAlign w:val="center"/>
          </w:tcPr>
          <w:p w14:paraId="5796E8F5">
            <w:pPr>
              <w:pStyle w:val="26"/>
              <w:spacing w:line="360" w:lineRule="auto"/>
              <w:ind w:left="0" w:firstLine="0" w:firstLineChars="0"/>
              <w:jc w:val="center"/>
              <w:rPr>
                <w:rFonts w:ascii="仿宋_GB2312" w:eastAsia="仿宋_GB2312" w:hAnsiTheme="minorEastAsia" w:cstheme="minorEastAsia"/>
                <w:highlight w:val="none"/>
              </w:rPr>
            </w:pPr>
          </w:p>
        </w:tc>
        <w:tc>
          <w:tcPr>
            <w:tcW w:w="1066" w:type="dxa"/>
            <w:vAlign w:val="center"/>
          </w:tcPr>
          <w:p w14:paraId="19F5E1A5">
            <w:pPr>
              <w:pStyle w:val="26"/>
              <w:spacing w:line="360" w:lineRule="auto"/>
              <w:ind w:left="0" w:firstLine="0" w:firstLineChars="0"/>
              <w:jc w:val="center"/>
              <w:rPr>
                <w:rFonts w:ascii="仿宋_GB2312" w:eastAsia="仿宋_GB2312" w:hAnsiTheme="minorEastAsia" w:cstheme="minorEastAsia"/>
                <w:highlight w:val="none"/>
              </w:rPr>
            </w:pPr>
          </w:p>
        </w:tc>
        <w:tc>
          <w:tcPr>
            <w:tcW w:w="1046" w:type="dxa"/>
            <w:vAlign w:val="center"/>
          </w:tcPr>
          <w:p w14:paraId="57BD0C5E">
            <w:pPr>
              <w:pStyle w:val="26"/>
              <w:spacing w:line="360" w:lineRule="auto"/>
              <w:ind w:left="0" w:firstLine="0" w:firstLineChars="0"/>
              <w:jc w:val="center"/>
              <w:rPr>
                <w:rFonts w:ascii="仿宋_GB2312" w:eastAsia="仿宋_GB2312" w:hAnsiTheme="minorEastAsia" w:cstheme="minorEastAsia"/>
                <w:highlight w:val="none"/>
              </w:rPr>
            </w:pPr>
          </w:p>
        </w:tc>
        <w:tc>
          <w:tcPr>
            <w:tcW w:w="977" w:type="dxa"/>
            <w:vAlign w:val="center"/>
          </w:tcPr>
          <w:p w14:paraId="47BE4FDA">
            <w:pPr>
              <w:pStyle w:val="26"/>
              <w:spacing w:line="360" w:lineRule="auto"/>
              <w:ind w:left="0" w:firstLine="0" w:firstLineChars="0"/>
              <w:jc w:val="center"/>
              <w:rPr>
                <w:rFonts w:ascii="仿宋_GB2312" w:eastAsia="仿宋_GB2312" w:hAnsiTheme="minorEastAsia" w:cstheme="minorEastAsia"/>
                <w:highlight w:val="none"/>
              </w:rPr>
            </w:pPr>
          </w:p>
        </w:tc>
        <w:tc>
          <w:tcPr>
            <w:tcW w:w="881" w:type="dxa"/>
            <w:vAlign w:val="center"/>
          </w:tcPr>
          <w:p w14:paraId="46422407">
            <w:pPr>
              <w:pStyle w:val="26"/>
              <w:spacing w:line="360" w:lineRule="auto"/>
              <w:ind w:left="0" w:firstLine="0" w:firstLineChars="0"/>
              <w:jc w:val="center"/>
              <w:rPr>
                <w:rFonts w:ascii="仿宋_GB2312" w:eastAsia="仿宋_GB2312" w:hAnsiTheme="minorEastAsia" w:cstheme="minorEastAsia"/>
                <w:highlight w:val="none"/>
              </w:rPr>
            </w:pPr>
          </w:p>
        </w:tc>
        <w:tc>
          <w:tcPr>
            <w:tcW w:w="997" w:type="dxa"/>
            <w:vAlign w:val="center"/>
          </w:tcPr>
          <w:p w14:paraId="15586B12">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547C7FB6">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28AA7FCD">
            <w:pPr>
              <w:pStyle w:val="26"/>
              <w:spacing w:line="360" w:lineRule="auto"/>
              <w:ind w:left="0" w:firstLine="0" w:firstLineChars="0"/>
              <w:jc w:val="center"/>
              <w:rPr>
                <w:rFonts w:ascii="仿宋_GB2312" w:eastAsia="仿宋_GB2312" w:hAnsiTheme="minorEastAsia" w:cstheme="minorEastAsia"/>
                <w:highlight w:val="none"/>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6"/>
              <w:spacing w:line="360" w:lineRule="auto"/>
              <w:ind w:left="420" w:hanging="42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w:t>
            </w:r>
          </w:p>
        </w:tc>
        <w:tc>
          <w:tcPr>
            <w:tcW w:w="756" w:type="dxa"/>
            <w:vAlign w:val="center"/>
          </w:tcPr>
          <w:p w14:paraId="0F00342B">
            <w:pPr>
              <w:pStyle w:val="26"/>
              <w:spacing w:line="360" w:lineRule="auto"/>
              <w:ind w:left="0" w:firstLine="0" w:firstLineChars="0"/>
              <w:jc w:val="center"/>
              <w:rPr>
                <w:rFonts w:ascii="仿宋_GB2312" w:eastAsia="仿宋_GB2312" w:hAnsiTheme="minorEastAsia" w:cstheme="minorEastAsia"/>
                <w:highlight w:val="none"/>
              </w:rPr>
            </w:pPr>
          </w:p>
        </w:tc>
        <w:tc>
          <w:tcPr>
            <w:tcW w:w="790" w:type="dxa"/>
            <w:vAlign w:val="center"/>
          </w:tcPr>
          <w:p w14:paraId="0242DDD1">
            <w:pPr>
              <w:pStyle w:val="26"/>
              <w:spacing w:line="360" w:lineRule="auto"/>
              <w:ind w:left="0" w:firstLine="0" w:firstLineChars="0"/>
              <w:jc w:val="center"/>
              <w:rPr>
                <w:rFonts w:ascii="仿宋_GB2312" w:eastAsia="仿宋_GB2312" w:hAnsiTheme="minorEastAsia" w:cstheme="minorEastAsia"/>
                <w:highlight w:val="none"/>
              </w:rPr>
            </w:pPr>
          </w:p>
        </w:tc>
        <w:tc>
          <w:tcPr>
            <w:tcW w:w="701" w:type="dxa"/>
            <w:vAlign w:val="center"/>
          </w:tcPr>
          <w:p w14:paraId="37D0F134">
            <w:pPr>
              <w:pStyle w:val="26"/>
              <w:spacing w:line="360" w:lineRule="auto"/>
              <w:ind w:left="0" w:firstLine="0" w:firstLineChars="0"/>
              <w:jc w:val="center"/>
              <w:rPr>
                <w:rFonts w:ascii="仿宋_GB2312" w:eastAsia="仿宋_GB2312" w:hAnsiTheme="minorEastAsia" w:cstheme="minorEastAsia"/>
                <w:highlight w:val="none"/>
              </w:rPr>
            </w:pPr>
          </w:p>
        </w:tc>
        <w:tc>
          <w:tcPr>
            <w:tcW w:w="1066" w:type="dxa"/>
            <w:vAlign w:val="center"/>
          </w:tcPr>
          <w:p w14:paraId="3D7BF187">
            <w:pPr>
              <w:pStyle w:val="26"/>
              <w:spacing w:line="360" w:lineRule="auto"/>
              <w:ind w:left="0" w:firstLine="0" w:firstLineChars="0"/>
              <w:jc w:val="center"/>
              <w:rPr>
                <w:rFonts w:ascii="仿宋_GB2312" w:eastAsia="仿宋_GB2312" w:hAnsiTheme="minorEastAsia" w:cstheme="minorEastAsia"/>
                <w:highlight w:val="none"/>
              </w:rPr>
            </w:pPr>
          </w:p>
        </w:tc>
        <w:tc>
          <w:tcPr>
            <w:tcW w:w="1046" w:type="dxa"/>
            <w:vAlign w:val="center"/>
          </w:tcPr>
          <w:p w14:paraId="09238144">
            <w:pPr>
              <w:pStyle w:val="26"/>
              <w:spacing w:line="360" w:lineRule="auto"/>
              <w:ind w:left="0" w:firstLine="0" w:firstLineChars="0"/>
              <w:jc w:val="center"/>
              <w:rPr>
                <w:rFonts w:ascii="仿宋_GB2312" w:eastAsia="仿宋_GB2312" w:hAnsiTheme="minorEastAsia" w:cstheme="minorEastAsia"/>
                <w:highlight w:val="none"/>
              </w:rPr>
            </w:pPr>
          </w:p>
        </w:tc>
        <w:tc>
          <w:tcPr>
            <w:tcW w:w="977" w:type="dxa"/>
            <w:vAlign w:val="center"/>
          </w:tcPr>
          <w:p w14:paraId="7CFF72A5">
            <w:pPr>
              <w:pStyle w:val="26"/>
              <w:spacing w:line="360" w:lineRule="auto"/>
              <w:ind w:left="0" w:firstLine="0" w:firstLineChars="0"/>
              <w:jc w:val="center"/>
              <w:rPr>
                <w:rFonts w:ascii="仿宋_GB2312" w:eastAsia="仿宋_GB2312" w:hAnsiTheme="minorEastAsia" w:cstheme="minorEastAsia"/>
                <w:highlight w:val="none"/>
              </w:rPr>
            </w:pPr>
          </w:p>
        </w:tc>
        <w:tc>
          <w:tcPr>
            <w:tcW w:w="881" w:type="dxa"/>
            <w:vAlign w:val="center"/>
          </w:tcPr>
          <w:p w14:paraId="7FE6B804">
            <w:pPr>
              <w:pStyle w:val="26"/>
              <w:spacing w:line="360" w:lineRule="auto"/>
              <w:ind w:left="0" w:firstLine="0" w:firstLineChars="0"/>
              <w:jc w:val="center"/>
              <w:rPr>
                <w:rFonts w:ascii="仿宋_GB2312" w:eastAsia="仿宋_GB2312" w:hAnsiTheme="minorEastAsia" w:cstheme="minorEastAsia"/>
                <w:highlight w:val="none"/>
              </w:rPr>
            </w:pPr>
          </w:p>
        </w:tc>
        <w:tc>
          <w:tcPr>
            <w:tcW w:w="997" w:type="dxa"/>
            <w:vAlign w:val="center"/>
          </w:tcPr>
          <w:p w14:paraId="7BB028C9">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62814173">
            <w:pPr>
              <w:pStyle w:val="26"/>
              <w:spacing w:line="360" w:lineRule="auto"/>
              <w:ind w:left="0" w:firstLine="0" w:firstLineChars="0"/>
              <w:jc w:val="center"/>
              <w:rPr>
                <w:rFonts w:ascii="仿宋_GB2312" w:eastAsia="仿宋_GB2312" w:hAnsiTheme="minorEastAsia" w:cstheme="minorEastAsia"/>
                <w:highlight w:val="none"/>
              </w:rPr>
            </w:pPr>
          </w:p>
        </w:tc>
        <w:tc>
          <w:tcPr>
            <w:tcW w:w="677" w:type="dxa"/>
            <w:vAlign w:val="center"/>
          </w:tcPr>
          <w:p w14:paraId="60ECA1A9">
            <w:pPr>
              <w:pStyle w:val="26"/>
              <w:spacing w:line="360" w:lineRule="auto"/>
              <w:ind w:left="0" w:firstLine="0" w:firstLineChars="0"/>
              <w:jc w:val="center"/>
              <w:rPr>
                <w:rFonts w:ascii="仿宋_GB2312" w:eastAsia="仿宋_GB2312" w:hAnsiTheme="minorEastAsia" w:cstheme="minorEastAsia"/>
                <w:highlight w:val="none"/>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6"/>
              <w:spacing w:line="360" w:lineRule="auto"/>
              <w:ind w:left="420" w:hanging="420"/>
              <w:jc w:val="center"/>
              <w:rPr>
                <w:rFonts w:ascii="仿宋_GB2312" w:eastAsia="仿宋_GB2312" w:hAnsiTheme="minorEastAsia" w:cstheme="minorEastAsia"/>
                <w:highlight w:val="none"/>
              </w:rPr>
            </w:pPr>
            <w:r>
              <w:rPr>
                <w:rFonts w:hint="eastAsia" w:ascii="仿宋_GB2312" w:eastAsia="仿宋_GB2312" w:hAnsiTheme="minorEastAsia" w:cstheme="minorEastAsia"/>
                <w:highlight w:val="none"/>
              </w:rPr>
              <w:t>合计</w:t>
            </w:r>
          </w:p>
        </w:tc>
        <w:tc>
          <w:tcPr>
            <w:tcW w:w="756" w:type="dxa"/>
            <w:vAlign w:val="center"/>
          </w:tcPr>
          <w:p w14:paraId="56C27B15">
            <w:pPr>
              <w:pStyle w:val="26"/>
              <w:spacing w:line="360" w:lineRule="auto"/>
              <w:ind w:left="0" w:firstLine="0" w:firstLineChars="0"/>
              <w:jc w:val="center"/>
              <w:rPr>
                <w:rFonts w:ascii="仿宋_GB2312" w:eastAsia="仿宋_GB2312" w:hAnsiTheme="minorEastAsia" w:cstheme="minorEastAsia"/>
                <w:highlight w:val="none"/>
              </w:rPr>
            </w:pPr>
          </w:p>
        </w:tc>
        <w:tc>
          <w:tcPr>
            <w:tcW w:w="790" w:type="dxa"/>
            <w:vAlign w:val="center"/>
          </w:tcPr>
          <w:p w14:paraId="6BFE3C29">
            <w:pPr>
              <w:pStyle w:val="26"/>
              <w:spacing w:line="360" w:lineRule="auto"/>
              <w:ind w:left="0" w:firstLine="0" w:firstLineChars="0"/>
              <w:jc w:val="center"/>
              <w:rPr>
                <w:rFonts w:ascii="仿宋_GB2312" w:eastAsia="仿宋_GB2312" w:hAnsiTheme="minorEastAsia" w:cstheme="minorEastAsia"/>
                <w:highlight w:val="none"/>
              </w:rPr>
            </w:pPr>
          </w:p>
        </w:tc>
        <w:tc>
          <w:tcPr>
            <w:tcW w:w="701" w:type="dxa"/>
            <w:vAlign w:val="center"/>
          </w:tcPr>
          <w:p w14:paraId="3ED4774A">
            <w:pPr>
              <w:pStyle w:val="26"/>
              <w:spacing w:line="360" w:lineRule="auto"/>
              <w:ind w:left="0" w:firstLine="0" w:firstLineChars="0"/>
              <w:jc w:val="center"/>
              <w:rPr>
                <w:rFonts w:ascii="仿宋_GB2312" w:eastAsia="仿宋_GB2312" w:hAnsiTheme="minorEastAsia" w:cstheme="minorEastAsia"/>
                <w:highlight w:val="none"/>
              </w:rPr>
            </w:pPr>
          </w:p>
        </w:tc>
        <w:tc>
          <w:tcPr>
            <w:tcW w:w="1066" w:type="dxa"/>
            <w:vAlign w:val="center"/>
          </w:tcPr>
          <w:p w14:paraId="0AA16F00">
            <w:pPr>
              <w:pStyle w:val="26"/>
              <w:spacing w:line="360" w:lineRule="auto"/>
              <w:ind w:left="0" w:firstLine="0" w:firstLineChars="0"/>
              <w:jc w:val="center"/>
              <w:rPr>
                <w:rFonts w:ascii="仿宋_GB2312" w:eastAsia="仿宋_GB2312" w:hAnsiTheme="minorEastAsia" w:cstheme="minorEastAsia"/>
                <w:highlight w:val="none"/>
              </w:rPr>
            </w:pPr>
          </w:p>
        </w:tc>
        <w:tc>
          <w:tcPr>
            <w:tcW w:w="1046" w:type="dxa"/>
            <w:vAlign w:val="center"/>
          </w:tcPr>
          <w:p w14:paraId="6E6CA8FD">
            <w:pPr>
              <w:spacing w:line="360" w:lineRule="auto"/>
              <w:jc w:val="center"/>
              <w:rPr>
                <w:rFonts w:ascii="仿宋_GB2312" w:eastAsia="仿宋_GB2312" w:hAnsiTheme="minorEastAsia" w:cstheme="minorEastAsia"/>
                <w:highlight w:val="none"/>
              </w:rPr>
            </w:pPr>
          </w:p>
        </w:tc>
        <w:tc>
          <w:tcPr>
            <w:tcW w:w="977" w:type="dxa"/>
            <w:vAlign w:val="center"/>
          </w:tcPr>
          <w:p w14:paraId="233397F7">
            <w:pPr>
              <w:spacing w:line="360" w:lineRule="auto"/>
              <w:jc w:val="center"/>
              <w:rPr>
                <w:rFonts w:ascii="仿宋_GB2312" w:eastAsia="仿宋_GB2312" w:hAnsiTheme="minorEastAsia" w:cstheme="minorEastAsia"/>
                <w:highlight w:val="none"/>
              </w:rPr>
            </w:pPr>
          </w:p>
        </w:tc>
        <w:tc>
          <w:tcPr>
            <w:tcW w:w="881" w:type="dxa"/>
            <w:vAlign w:val="center"/>
          </w:tcPr>
          <w:p w14:paraId="2D68DFC4">
            <w:pPr>
              <w:spacing w:line="360" w:lineRule="auto"/>
              <w:jc w:val="center"/>
              <w:rPr>
                <w:rFonts w:ascii="仿宋_GB2312" w:eastAsia="仿宋_GB2312" w:hAnsiTheme="minorEastAsia" w:cstheme="minorEastAsia"/>
                <w:highlight w:val="none"/>
              </w:rPr>
            </w:pPr>
          </w:p>
        </w:tc>
        <w:tc>
          <w:tcPr>
            <w:tcW w:w="997" w:type="dxa"/>
            <w:vAlign w:val="center"/>
          </w:tcPr>
          <w:p w14:paraId="7E027A72">
            <w:pPr>
              <w:spacing w:line="360" w:lineRule="auto"/>
              <w:jc w:val="center"/>
              <w:rPr>
                <w:rFonts w:ascii="仿宋_GB2312" w:eastAsia="仿宋_GB2312" w:hAnsiTheme="minorEastAsia" w:cstheme="minorEastAsia"/>
                <w:highlight w:val="none"/>
              </w:rPr>
            </w:pPr>
          </w:p>
        </w:tc>
        <w:tc>
          <w:tcPr>
            <w:tcW w:w="677" w:type="dxa"/>
            <w:vAlign w:val="center"/>
          </w:tcPr>
          <w:p w14:paraId="4AB45292">
            <w:pPr>
              <w:spacing w:line="360" w:lineRule="auto"/>
              <w:jc w:val="center"/>
              <w:rPr>
                <w:rFonts w:ascii="仿宋_GB2312" w:eastAsia="仿宋_GB2312" w:hAnsiTheme="minorEastAsia" w:cstheme="minorEastAsia"/>
                <w:highlight w:val="none"/>
              </w:rPr>
            </w:pPr>
          </w:p>
        </w:tc>
        <w:tc>
          <w:tcPr>
            <w:tcW w:w="677" w:type="dxa"/>
            <w:vAlign w:val="center"/>
          </w:tcPr>
          <w:p w14:paraId="016D2B9E">
            <w:pPr>
              <w:spacing w:line="360" w:lineRule="auto"/>
              <w:jc w:val="center"/>
              <w:rPr>
                <w:rFonts w:ascii="仿宋_GB2312" w:eastAsia="仿宋_GB2312" w:hAnsiTheme="minorEastAsia" w:cstheme="minorEastAsia"/>
                <w:highlight w:val="none"/>
              </w:rPr>
            </w:pPr>
          </w:p>
        </w:tc>
      </w:tr>
    </w:tbl>
    <w:p w14:paraId="6C836AC5">
      <w:pPr>
        <w:pStyle w:val="2"/>
        <w:tabs>
          <w:tab w:val="right" w:leader="dot" w:pos="9061"/>
        </w:tabs>
        <w:ind w:left="0"/>
        <w:jc w:val="both"/>
        <w:rPr>
          <w:rFonts w:asciiTheme="minorEastAsia" w:hAnsiTheme="minorEastAsia" w:eastAsiaTheme="minorEastAsia" w:cstheme="minorEastAsia"/>
          <w:sz w:val="20"/>
          <w:highlight w:val="none"/>
        </w:rPr>
      </w:pPr>
    </w:p>
    <w:p w14:paraId="0B43BF7A">
      <w:pPr>
        <w:rPr>
          <w:rFonts w:asciiTheme="minorEastAsia" w:hAnsiTheme="minorEastAsia" w:eastAsiaTheme="minorEastAsia" w:cstheme="minorEastAsia"/>
          <w:sz w:val="20"/>
          <w:highlight w:val="none"/>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highlight w:val="none"/>
          <w:u w:val="single"/>
        </w:rPr>
      </w:pPr>
      <w:r>
        <w:rPr>
          <w:rFonts w:hint="eastAsia" w:ascii="仿宋_GB2312" w:hAnsi="仿宋_GB2312" w:eastAsia="仿宋_GB2312" w:cs="仿宋_GB2312"/>
          <w:snapToGrid w:val="0"/>
          <w:kern w:val="0"/>
          <w:sz w:val="24"/>
          <w:szCs w:val="24"/>
          <w:highlight w:val="none"/>
          <w:lang w:eastAsia="zh-Hans"/>
        </w:rPr>
        <w:t>甲方</w:t>
      </w:r>
      <w:r>
        <w:rPr>
          <w:rFonts w:hint="eastAsia" w:ascii="仿宋_GB2312" w:hAnsi="仿宋_GB2312" w:eastAsia="仿宋_GB2312" w:cs="仿宋_GB2312"/>
          <w:snapToGrid w:val="0"/>
          <w:kern w:val="0"/>
          <w:sz w:val="24"/>
          <w:szCs w:val="24"/>
          <w:highlight w:val="none"/>
        </w:rPr>
        <w:t>（盖章）</w:t>
      </w:r>
      <w:r>
        <w:rPr>
          <w:rFonts w:hint="eastAsia" w:ascii="仿宋_GB2312" w:hAnsi="仿宋_GB2312" w:eastAsia="仿宋_GB2312" w:cs="仿宋_GB2312"/>
          <w:snapToGrid w:val="0"/>
          <w:kern w:val="0"/>
          <w:sz w:val="24"/>
          <w:szCs w:val="24"/>
          <w:highlight w:val="none"/>
          <w:lang w:eastAsia="zh-Hans"/>
        </w:rPr>
        <w:t>：</w:t>
      </w:r>
      <w:r>
        <w:rPr>
          <w:rFonts w:hint="eastAsia" w:ascii="仿宋_GB2312" w:hAnsi="仿宋_GB2312" w:eastAsia="仿宋_GB2312" w:cs="仿宋_GB2312"/>
          <w:b/>
          <w:bCs/>
          <w:snapToGrid w:val="0"/>
          <w:kern w:val="0"/>
          <w:sz w:val="24"/>
          <w:szCs w:val="24"/>
          <w:highlight w:val="none"/>
          <w:u w:val="single"/>
          <w:lang w:eastAsia="zh-CN"/>
        </w:rPr>
        <w:t>甲方单位</w:t>
      </w:r>
      <w:r>
        <w:rPr>
          <w:rFonts w:hint="eastAsia" w:ascii="仿宋_GB2312" w:hAnsi="仿宋_GB2312" w:eastAsia="仿宋_GB2312" w:cs="仿宋_GB2312"/>
          <w:b/>
          <w:bCs/>
          <w:snapToGrid w:val="0"/>
          <w:kern w:val="0"/>
          <w:sz w:val="24"/>
          <w:szCs w:val="24"/>
          <w:highlight w:val="none"/>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highlight w:val="none"/>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highlight w:val="none"/>
        </w:rPr>
      </w:pPr>
      <w:r>
        <w:rPr>
          <w:rFonts w:hint="eastAsia" w:ascii="仿宋_GB2312" w:hAnsi="仿宋_GB2312" w:eastAsia="仿宋_GB2312" w:cs="仿宋_GB2312"/>
          <w:snapToGrid w:val="0"/>
          <w:color w:val="000000"/>
          <w:kern w:val="0"/>
          <w:sz w:val="24"/>
          <w:szCs w:val="24"/>
          <w:highlight w:val="none"/>
          <w:lang w:val="en-US" w:eastAsia="zh-CN"/>
        </w:rPr>
        <w:t>甲方</w:t>
      </w:r>
      <w:r>
        <w:rPr>
          <w:rFonts w:hint="eastAsia" w:ascii="仿宋_GB2312" w:hAnsi="仿宋_GB2312" w:eastAsia="仿宋_GB2312" w:cs="仿宋_GB2312"/>
          <w:snapToGrid w:val="0"/>
          <w:color w:val="000000"/>
          <w:kern w:val="0"/>
          <w:sz w:val="24"/>
          <w:szCs w:val="24"/>
          <w:highlight w:val="none"/>
        </w:rPr>
        <w:t>代表</w:t>
      </w:r>
      <w:r>
        <w:rPr>
          <w:rFonts w:hint="eastAsia" w:ascii="仿宋_GB2312" w:hAnsi="仿宋_GB2312" w:eastAsia="仿宋_GB2312" w:cs="仿宋_GB2312"/>
          <w:snapToGrid w:val="0"/>
          <w:color w:val="000000"/>
          <w:kern w:val="0"/>
          <w:sz w:val="24"/>
          <w:szCs w:val="24"/>
          <w:highlight w:val="none"/>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highlight w:val="none"/>
          <w:u w:val="single"/>
        </w:rPr>
      </w:pPr>
      <w:r>
        <w:rPr>
          <w:rFonts w:hint="eastAsia" w:ascii="仿宋_GB2312" w:hAnsi="仿宋_GB2312" w:eastAsia="仿宋_GB2312" w:cs="仿宋_GB2312"/>
          <w:snapToGrid w:val="0"/>
          <w:kern w:val="0"/>
          <w:sz w:val="24"/>
          <w:szCs w:val="24"/>
          <w:highlight w:val="none"/>
        </w:rPr>
        <w:t>乙</w:t>
      </w:r>
      <w:r>
        <w:rPr>
          <w:rFonts w:hint="eastAsia" w:ascii="仿宋_GB2312" w:hAnsi="仿宋_GB2312" w:eastAsia="仿宋_GB2312" w:cs="仿宋_GB2312"/>
          <w:snapToGrid w:val="0"/>
          <w:kern w:val="0"/>
          <w:sz w:val="24"/>
          <w:szCs w:val="24"/>
          <w:highlight w:val="none"/>
          <w:lang w:eastAsia="zh-Hans"/>
        </w:rPr>
        <w:t>方</w:t>
      </w:r>
      <w:r>
        <w:rPr>
          <w:rFonts w:hint="eastAsia" w:ascii="仿宋_GB2312" w:hAnsi="仿宋_GB2312" w:eastAsia="仿宋_GB2312" w:cs="仿宋_GB2312"/>
          <w:snapToGrid w:val="0"/>
          <w:kern w:val="0"/>
          <w:sz w:val="24"/>
          <w:szCs w:val="24"/>
          <w:highlight w:val="none"/>
        </w:rPr>
        <w:t>（盖章）</w:t>
      </w:r>
      <w:r>
        <w:rPr>
          <w:rFonts w:hint="eastAsia" w:ascii="仿宋_GB2312" w:hAnsi="仿宋_GB2312" w:eastAsia="仿宋_GB2312" w:cs="仿宋_GB2312"/>
          <w:snapToGrid w:val="0"/>
          <w:kern w:val="0"/>
          <w:sz w:val="24"/>
          <w:szCs w:val="24"/>
          <w:highlight w:val="none"/>
          <w:lang w:eastAsia="zh-Hans"/>
        </w:rPr>
        <w:t>：</w:t>
      </w:r>
      <w:r>
        <w:rPr>
          <w:rFonts w:hint="eastAsia" w:ascii="仿宋_GB2312" w:hAnsi="仿宋_GB2312" w:eastAsia="仿宋_GB2312" w:cs="仿宋_GB2312"/>
          <w:b/>
          <w:sz w:val="24"/>
          <w:szCs w:val="24"/>
          <w:highlight w:val="none"/>
          <w:u w:val="single"/>
          <w:lang w:eastAsia="zh-CN"/>
        </w:rPr>
        <w:t>乙方单位</w:t>
      </w:r>
      <w:r>
        <w:rPr>
          <w:rFonts w:hint="eastAsia" w:ascii="仿宋_GB2312" w:hAnsi="仿宋_GB2312" w:eastAsia="仿宋_GB2312" w:cs="仿宋_GB2312"/>
          <w:b/>
          <w:sz w:val="24"/>
          <w:szCs w:val="24"/>
          <w:highlight w:val="none"/>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highlight w:val="none"/>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r>
        <w:rPr>
          <w:rFonts w:hint="eastAsia" w:ascii="仿宋_GB2312" w:hAnsi="仿宋_GB2312" w:eastAsia="仿宋_GB2312" w:cs="仿宋_GB2312"/>
          <w:snapToGrid w:val="0"/>
          <w:color w:val="000000"/>
          <w:kern w:val="0"/>
          <w:sz w:val="24"/>
          <w:szCs w:val="24"/>
          <w:highlight w:val="none"/>
          <w:lang w:val="en-US" w:eastAsia="zh-CN"/>
        </w:rPr>
        <w:t>乙方代表</w:t>
      </w:r>
      <w:r>
        <w:rPr>
          <w:rFonts w:hint="eastAsia" w:ascii="仿宋_GB2312" w:hAnsi="仿宋_GB2312" w:eastAsia="仿宋_GB2312" w:cs="仿宋_GB2312"/>
          <w:snapToGrid w:val="0"/>
          <w:color w:val="000000"/>
          <w:kern w:val="0"/>
          <w:sz w:val="24"/>
          <w:szCs w:val="24"/>
          <w:highlight w:val="none"/>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val="en-US" w:eastAsia="zh-Hans"/>
        </w:rPr>
      </w:pPr>
    </w:p>
    <w:p w14:paraId="1F089B91">
      <w:pPr>
        <w:rPr>
          <w:rFonts w:ascii="黑体" w:hAnsi="黑体" w:eastAsia="黑体" w:cstheme="minorEastAsia"/>
          <w:sz w:val="28"/>
          <w:szCs w:val="28"/>
          <w:highlight w:val="none"/>
        </w:rPr>
      </w:pPr>
      <w:r>
        <w:rPr>
          <w:rFonts w:hint="eastAsia" w:ascii="黑体" w:hAnsi="黑体" w:eastAsia="黑体" w:cstheme="minorEastAsia"/>
          <w:sz w:val="28"/>
          <w:szCs w:val="28"/>
          <w:highlight w:val="none"/>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highlight w:val="none"/>
          <w:lang w:val="en-US" w:eastAsia="zh-Hans"/>
        </w:rPr>
      </w:pPr>
      <w:r>
        <w:rPr>
          <w:rFonts w:hint="eastAsia" w:ascii="黑体" w:hAnsi="黑体" w:eastAsia="黑体" w:cstheme="minorEastAsia"/>
          <w:sz w:val="28"/>
          <w:szCs w:val="28"/>
          <w:highlight w:val="none"/>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26BCA4A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E05B911">
      <w:pPr>
        <w:pStyle w:val="13"/>
        <w:spacing w:before="8" w:after="156"/>
        <w:rPr>
          <w:rFonts w:ascii="楷体" w:hAnsi="楷体" w:eastAsia="楷体" w:cs="楷体"/>
          <w:sz w:val="44"/>
          <w:szCs w:val="28"/>
          <w:highlight w:val="none"/>
        </w:rPr>
      </w:pPr>
    </w:p>
    <w:p w14:paraId="2C999A9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BCB7AE7">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6836BBA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16CA817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1D56CBF">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3B9D645">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B5DEAB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D0213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63A73F2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22E9AC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0F4957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7215DF0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C19D46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5F64A9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497334E">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7980BA1">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F03069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220A64C">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9988A8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C080E0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C0DFA7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64F542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47AA924">
      <w:pPr>
        <w:pStyle w:val="13"/>
        <w:spacing w:before="9" w:after="156"/>
        <w:rPr>
          <w:rFonts w:ascii="楷体" w:hAnsi="楷体" w:eastAsia="楷体" w:cs="楷体"/>
          <w:sz w:val="40"/>
          <w:szCs w:val="28"/>
          <w:highlight w:val="none"/>
        </w:rPr>
      </w:pPr>
    </w:p>
    <w:p w14:paraId="20B7C723">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455F4356">
      <w:pPr>
        <w:pStyle w:val="13"/>
        <w:spacing w:after="156"/>
        <w:rPr>
          <w:rFonts w:ascii="楷体" w:hAnsi="楷体" w:eastAsia="楷体" w:cs="楷体"/>
          <w:b/>
          <w:sz w:val="24"/>
          <w:szCs w:val="28"/>
          <w:highlight w:val="none"/>
        </w:rPr>
      </w:pPr>
    </w:p>
    <w:p w14:paraId="72A707DD">
      <w:pPr>
        <w:pStyle w:val="13"/>
        <w:spacing w:before="1" w:after="156"/>
        <w:rPr>
          <w:rFonts w:ascii="楷体" w:hAnsi="楷体" w:eastAsia="楷体" w:cs="楷体"/>
          <w:b/>
          <w:sz w:val="24"/>
          <w:szCs w:val="28"/>
          <w:highlight w:val="none"/>
        </w:rPr>
      </w:pPr>
    </w:p>
    <w:p w14:paraId="0CE5B0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2AC6642">
      <w:pPr>
        <w:pStyle w:val="13"/>
        <w:spacing w:after="156"/>
        <w:rPr>
          <w:rFonts w:ascii="楷体" w:hAnsi="楷体" w:eastAsia="楷体" w:cs="楷体"/>
          <w:b/>
          <w:sz w:val="24"/>
          <w:szCs w:val="28"/>
          <w:highlight w:val="none"/>
        </w:rPr>
      </w:pPr>
    </w:p>
    <w:p w14:paraId="0ADBD6D5">
      <w:pPr>
        <w:pStyle w:val="13"/>
        <w:spacing w:before="4" w:after="156"/>
        <w:rPr>
          <w:rFonts w:ascii="楷体" w:hAnsi="楷体" w:eastAsia="楷体" w:cs="楷体"/>
          <w:b/>
          <w:sz w:val="24"/>
          <w:szCs w:val="28"/>
          <w:highlight w:val="none"/>
        </w:rPr>
      </w:pPr>
    </w:p>
    <w:p w14:paraId="2ECD6F9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3EAEE7">
      <w:pPr>
        <w:tabs>
          <w:tab w:val="left" w:pos="5457"/>
        </w:tabs>
        <w:ind w:left="117"/>
        <w:rPr>
          <w:rFonts w:ascii="楷体" w:hAnsi="楷体" w:eastAsia="楷体" w:cs="楷体"/>
          <w:b/>
          <w:sz w:val="24"/>
          <w:szCs w:val="21"/>
          <w:highlight w:val="none"/>
        </w:rPr>
      </w:pPr>
    </w:p>
    <w:p w14:paraId="71C88C7C">
      <w:pPr>
        <w:keepNext/>
        <w:keepLines/>
        <w:jc w:val="center"/>
        <w:outlineLvl w:val="0"/>
        <w:rPr>
          <w:rFonts w:ascii="Calibri" w:hAnsi="Calibri" w:eastAsia="宋体" w:cs="Times New Roman"/>
          <w:b/>
          <w:bCs/>
          <w:kern w:val="44"/>
          <w:sz w:val="36"/>
          <w:szCs w:val="44"/>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91"/>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64" w:name="_Toc353881012"/>
      <w:bookmarkStart w:id="165" w:name="_Toc639004"/>
      <w:bookmarkStart w:id="166" w:name="_Toc25811"/>
      <w:bookmarkStart w:id="167"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64"/>
      <w:bookmarkEnd w:id="165"/>
      <w:bookmarkEnd w:id="166"/>
      <w:bookmarkEnd w:id="167"/>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济南轻卡制造公司皮卡右舵车型生产工装改造技改项目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提交纸质投标文件：资质证明文件、商务文件和技术文件正本五份；电子版投标文件一份。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济南轻卡制造公司皮卡右舵车型生产工装改造技改项目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CGZX2025070205</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济南轻卡制造公司皮卡右舵车型生产工装改造技改项目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济南轻卡制造公司皮卡右舵车型生产工装改造技改项目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auto"/>
                <w:sz w:val="18"/>
                <w:szCs w:val="18"/>
                <w:highlight w:val="none"/>
                <w:lang w:val="en-US" w:eastAsia="zh-CN"/>
              </w:rPr>
              <w:t>仪表分装台改造</w:t>
            </w: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auto"/>
                <w:sz w:val="18"/>
                <w:szCs w:val="18"/>
                <w:highlight w:val="none"/>
                <w:lang w:val="en-US" w:eastAsia="zh-CN"/>
              </w:rPr>
              <w:t>车架VIN打刻改造</w:t>
            </w: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济南轻卡制造公司皮卡右舵车型生产工装改造技改项目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8"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济南轻卡制造公司皮卡右舵车型生产工装改造技改项目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济南轻卡制造公司皮卡右舵车型生产工装改造技改项目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济南轻卡制造公司皮卡右舵车型生产工装改造技改项目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ascii="宋体" w:hAnsi="宋体" w:eastAsia="宋体" w:cs="宋体"/>
                <w:szCs w:val="21"/>
                <w:highlight w:val="none"/>
              </w:rPr>
            </w:pPr>
            <w:r>
              <w:rPr>
                <w:rFonts w:hint="eastAsia" w:ascii="宋体" w:hAnsi="宋体" w:eastAsia="宋体" w:cs="宋体"/>
                <w:color w:val="auto"/>
                <w:sz w:val="18"/>
                <w:szCs w:val="18"/>
                <w:highlight w:val="none"/>
                <w:lang w:val="en-US" w:eastAsia="zh-CN"/>
              </w:rPr>
              <w:t>仪表分装台改造</w:t>
            </w:r>
          </w:p>
        </w:tc>
        <w:tc>
          <w:tcPr>
            <w:tcW w:w="1722" w:type="dxa"/>
          </w:tcPr>
          <w:p w14:paraId="03AD3DFA">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82F4A75">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ascii="宋体" w:hAnsi="宋体" w:eastAsia="宋体" w:cs="宋体"/>
                <w:szCs w:val="21"/>
                <w:highlight w:val="none"/>
              </w:rPr>
            </w:pPr>
            <w:r>
              <w:rPr>
                <w:rFonts w:hint="eastAsia" w:ascii="宋体" w:hAnsi="宋体" w:eastAsia="宋体" w:cs="宋体"/>
                <w:color w:val="auto"/>
                <w:sz w:val="18"/>
                <w:szCs w:val="18"/>
                <w:highlight w:val="none"/>
                <w:lang w:val="en-US" w:eastAsia="zh-CN"/>
              </w:rPr>
              <w:t>车架VIN打刻改造</w:t>
            </w:r>
          </w:p>
        </w:tc>
        <w:tc>
          <w:tcPr>
            <w:tcW w:w="1722" w:type="dxa"/>
          </w:tcPr>
          <w:p w14:paraId="58A2E0C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B957227">
            <w:pPr>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w:t>
            </w: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ascii="宋体" w:hAnsi="宋体" w:eastAsia="宋体" w:cs="宋体"/>
                <w:szCs w:val="21"/>
                <w:highlight w:val="none"/>
              </w:rPr>
            </w:pPr>
          </w:p>
        </w:tc>
        <w:tc>
          <w:tcPr>
            <w:tcW w:w="1722" w:type="dxa"/>
          </w:tcPr>
          <w:p w14:paraId="4035B93B">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highlight w:val="none"/>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ascii="宋体" w:hAnsi="宋体" w:eastAsia="宋体" w:cs="宋体"/>
                <w:szCs w:val="21"/>
                <w:highlight w:val="none"/>
              </w:rPr>
            </w:pPr>
          </w:p>
        </w:tc>
        <w:tc>
          <w:tcPr>
            <w:tcW w:w="1722" w:type="dxa"/>
          </w:tcPr>
          <w:p w14:paraId="605C358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highlight w:val="none"/>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ascii="宋体" w:hAnsi="宋体" w:eastAsia="宋体" w:cs="宋体"/>
                <w:szCs w:val="21"/>
                <w:highlight w:val="none"/>
              </w:rPr>
            </w:pPr>
          </w:p>
        </w:tc>
        <w:tc>
          <w:tcPr>
            <w:tcW w:w="1722" w:type="dxa"/>
          </w:tcPr>
          <w:p w14:paraId="665398E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highlight w:val="none"/>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106BAEA1">
            <w:pPr>
              <w:rPr>
                <w:rFonts w:ascii="Arial"/>
                <w:highlight w:val="none"/>
              </w:rPr>
            </w:pPr>
            <w:r>
              <w:rPr>
                <w:rFonts w:hint="eastAsia" w:ascii="宋体" w:hAnsi="宋体" w:eastAsia="宋体" w:cs="宋体"/>
                <w:szCs w:val="21"/>
                <w:highlight w:val="none"/>
              </w:rPr>
              <w:t xml:space="preserve"> </w:t>
            </w:r>
          </w:p>
        </w:tc>
        <w:tc>
          <w:tcPr>
            <w:tcW w:w="703" w:type="dxa"/>
          </w:tcPr>
          <w:p w14:paraId="0E170F96">
            <w:pPr>
              <w:rPr>
                <w:rFonts w:ascii="Arial"/>
                <w:highlight w:val="none"/>
              </w:rPr>
            </w:pPr>
            <w:r>
              <w:rPr>
                <w:rFonts w:hint="eastAsia" w:ascii="宋体" w:hAnsi="宋体" w:eastAsia="宋体" w:cs="宋体"/>
                <w:szCs w:val="21"/>
                <w:highlight w:val="none"/>
              </w:rPr>
              <w:t xml:space="preserve"> </w:t>
            </w: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2F56F991">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ind w:left="1557"/>
              <w:rPr>
                <w:rFonts w:ascii="宋体" w:hAnsi="宋体" w:eastAsia="宋体" w:cs="宋体"/>
                <w:szCs w:val="21"/>
                <w:highlight w:val="none"/>
              </w:rPr>
            </w:pPr>
            <w:r>
              <w:rPr>
                <w:rFonts w:hint="eastAsia" w:ascii="宋体" w:hAnsi="宋体" w:eastAsia="宋体" w:cs="宋体"/>
                <w:spacing w:val="-2"/>
                <w:szCs w:val="21"/>
                <w:highlight w:val="none"/>
              </w:rPr>
              <w:t>土建</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6</w:t>
            </w:r>
          </w:p>
        </w:tc>
        <w:tc>
          <w:tcPr>
            <w:tcW w:w="3530" w:type="dxa"/>
          </w:tcPr>
          <w:p w14:paraId="7E9232A1">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49AD33FD">
            <w:pPr>
              <w:rPr>
                <w:rFonts w:ascii="Arial"/>
                <w:highlight w:val="none"/>
              </w:rPr>
            </w:pPr>
          </w:p>
        </w:tc>
        <w:tc>
          <w:tcPr>
            <w:tcW w:w="2186" w:type="dxa"/>
          </w:tcPr>
          <w:p w14:paraId="14B04129">
            <w:pPr>
              <w:rPr>
                <w:rFonts w:ascii="Arial"/>
                <w:highlight w:val="none"/>
              </w:rPr>
            </w:pPr>
          </w:p>
        </w:tc>
        <w:tc>
          <w:tcPr>
            <w:tcW w:w="2596" w:type="dxa"/>
          </w:tcPr>
          <w:p w14:paraId="48C089FA">
            <w:pPr>
              <w:rPr>
                <w:rFonts w:ascii="Arial"/>
                <w:highlight w:val="none"/>
              </w:rPr>
            </w:pPr>
          </w:p>
        </w:tc>
        <w:tc>
          <w:tcPr>
            <w:tcW w:w="2164" w:type="dxa"/>
          </w:tcPr>
          <w:p w14:paraId="1D7A0B9F">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31" w:type="default"/>
          <w:footerReference r:id="rId32" w:type="default"/>
          <w:pgSz w:w="16841" w:h="11907"/>
          <w:pgMar w:top="400" w:right="1699" w:bottom="1184" w:left="1481" w:header="0" w:footer="1022" w:gutter="0"/>
          <w:pgNumType w:fmt="decimal"/>
          <w:cols w:space="720" w:num="1"/>
        </w:sectPr>
      </w:pPr>
    </w:p>
    <w:p w14:paraId="00AB143B">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pgNumType w:fmt="decimal"/>
          <w:cols w:space="720" w:num="1"/>
        </w:sectPr>
      </w:pPr>
    </w:p>
    <w:p w14:paraId="3C0CB58D">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pgNumType w:fmt="decimal"/>
          <w:cols w:space="720" w:num="1"/>
        </w:sectPr>
      </w:pPr>
    </w:p>
    <w:p w14:paraId="7CCD0CEF">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济南轻卡制造公司皮卡右舵车型生产工装改造技改项目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58ECDBFD">
      <w:pPr>
        <w:spacing w:line="272" w:lineRule="auto"/>
        <w:rPr>
          <w:rFonts w:ascii="Arial"/>
          <w:highlight w:val="none"/>
        </w:rPr>
      </w:pPr>
    </w:p>
    <w:p w14:paraId="11C05ED1">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rPr>
        <w:t>济南轻卡制造公司皮卡右舵车型生产工装改造技改项目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济南轻卡制造公司皮卡右舵车型生产工装改造技改项目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793C263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项目名称：济南轻卡制造公司皮卡右舵车型生产工装改造技改项目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w:t>
      </w:r>
    </w:p>
    <w:p w14:paraId="3904A8E4">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济南轻卡制造公司皮卡右舵车型生产工装改造技改项目</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890"/>
        <w:gridCol w:w="595"/>
        <w:gridCol w:w="2124"/>
        <w:gridCol w:w="769"/>
        <w:gridCol w:w="4111"/>
      </w:tblGrid>
      <w:tr w14:paraId="6175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14:paraId="4294EF59">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评价类型</w:t>
            </w:r>
          </w:p>
        </w:tc>
        <w:tc>
          <w:tcPr>
            <w:tcW w:w="890" w:type="dxa"/>
            <w:vAlign w:val="center"/>
          </w:tcPr>
          <w:p w14:paraId="1DBEBC59">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评审内容</w:t>
            </w:r>
          </w:p>
        </w:tc>
        <w:tc>
          <w:tcPr>
            <w:tcW w:w="595" w:type="dxa"/>
            <w:vAlign w:val="center"/>
          </w:tcPr>
          <w:p w14:paraId="268748EB">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序号</w:t>
            </w:r>
          </w:p>
        </w:tc>
        <w:tc>
          <w:tcPr>
            <w:tcW w:w="2124" w:type="dxa"/>
            <w:vAlign w:val="center"/>
          </w:tcPr>
          <w:p w14:paraId="5C818644">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内容</w:t>
            </w:r>
          </w:p>
        </w:tc>
        <w:tc>
          <w:tcPr>
            <w:tcW w:w="769" w:type="dxa"/>
            <w:vAlign w:val="center"/>
          </w:tcPr>
          <w:p w14:paraId="6E32E355">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标准分</w:t>
            </w:r>
          </w:p>
        </w:tc>
        <w:tc>
          <w:tcPr>
            <w:tcW w:w="4111" w:type="dxa"/>
            <w:vAlign w:val="center"/>
          </w:tcPr>
          <w:p w14:paraId="2CFD496B">
            <w:pPr>
              <w:adjustRightInd w:val="0"/>
              <w:snapToGrid w:val="0"/>
              <w:jc w:val="center"/>
              <w:rPr>
                <w:rFonts w:hint="eastAsia" w:ascii="宋体" w:hAnsi="宋体" w:eastAsia="宋体" w:cs="宋体"/>
                <w:b/>
                <w:bCs/>
                <w:spacing w:val="32"/>
                <w:sz w:val="21"/>
                <w:szCs w:val="21"/>
                <w:highlight w:val="none"/>
              </w:rPr>
            </w:pPr>
            <w:r>
              <w:rPr>
                <w:rFonts w:hint="eastAsia" w:ascii="宋体" w:hAnsi="宋体" w:eastAsia="宋体" w:cs="宋体"/>
                <w:b/>
                <w:bCs/>
                <w:spacing w:val="32"/>
                <w:sz w:val="21"/>
                <w:szCs w:val="21"/>
                <w:highlight w:val="none"/>
              </w:rPr>
              <w:t>评分标准</w:t>
            </w:r>
          </w:p>
        </w:tc>
      </w:tr>
      <w:tr w14:paraId="1EC9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14:paraId="06035408">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b/>
                <w:bCs/>
                <w:sz w:val="20"/>
                <w:szCs w:val="20"/>
                <w:lang w:val="en-US" w:eastAsia="zh-CN"/>
              </w:rPr>
              <w:t>技术</w:t>
            </w:r>
            <w:r>
              <w:rPr>
                <w:rFonts w:hint="eastAsia" w:ascii="宋体" w:hAnsi="宋体" w:eastAsia="宋体" w:cs="宋体"/>
                <w:sz w:val="20"/>
                <w:szCs w:val="20"/>
              </w:rPr>
              <w:t>100分</w:t>
            </w:r>
          </w:p>
        </w:tc>
        <w:tc>
          <w:tcPr>
            <w:tcW w:w="890" w:type="dxa"/>
            <w:vAlign w:val="center"/>
          </w:tcPr>
          <w:p w14:paraId="5F74F502">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业绩</w:t>
            </w:r>
          </w:p>
        </w:tc>
        <w:tc>
          <w:tcPr>
            <w:tcW w:w="595" w:type="dxa"/>
            <w:vAlign w:val="center"/>
          </w:tcPr>
          <w:p w14:paraId="2CC232AD">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1</w:t>
            </w:r>
          </w:p>
        </w:tc>
        <w:tc>
          <w:tcPr>
            <w:tcW w:w="2124" w:type="dxa"/>
            <w:vAlign w:val="center"/>
          </w:tcPr>
          <w:p w14:paraId="18726CA5">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lang w:val="en-US" w:eastAsia="zh-CN"/>
              </w:rPr>
              <w:t>投标方</w:t>
            </w:r>
            <w:r>
              <w:rPr>
                <w:rFonts w:hint="eastAsia" w:ascii="宋体" w:hAnsi="宋体" w:eastAsia="宋体" w:cs="宋体"/>
                <w:spacing w:val="32"/>
                <w:sz w:val="20"/>
                <w:szCs w:val="20"/>
                <w:highlight w:val="none"/>
              </w:rPr>
              <w:t>同类型项目业绩</w:t>
            </w:r>
          </w:p>
        </w:tc>
        <w:tc>
          <w:tcPr>
            <w:tcW w:w="769" w:type="dxa"/>
            <w:vAlign w:val="center"/>
          </w:tcPr>
          <w:p w14:paraId="6F7904C6">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6</w:t>
            </w:r>
          </w:p>
        </w:tc>
        <w:tc>
          <w:tcPr>
            <w:tcW w:w="4111" w:type="dxa"/>
            <w:vAlign w:val="center"/>
          </w:tcPr>
          <w:p w14:paraId="52092E85">
            <w:pPr>
              <w:adjustRightInd w:val="0"/>
              <w:snapToGrid w:val="0"/>
              <w:jc w:val="left"/>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由评标委员会成员独立进行客观、公正 的评价，按照优、良、一般进行赋分，优 得6分，良得4分，一般得2分(时间以签订日期为准)。投标人在2022年1月1日以来在中国与本标同类规格产品的业绩，以合同复印件加盖公章为准(须有客户联系方式及联系人以供招标人核实确认)。</w:t>
            </w:r>
          </w:p>
        </w:tc>
      </w:tr>
      <w:tr w14:paraId="2264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67E36707">
            <w:pPr>
              <w:adjustRightInd w:val="0"/>
              <w:snapToGrid w:val="0"/>
              <w:jc w:val="center"/>
              <w:rPr>
                <w:rFonts w:hint="eastAsia" w:ascii="宋体" w:hAnsi="宋体" w:eastAsia="宋体" w:cs="宋体"/>
                <w:spacing w:val="32"/>
                <w:sz w:val="20"/>
                <w:szCs w:val="20"/>
                <w:highlight w:val="none"/>
              </w:rPr>
            </w:pPr>
          </w:p>
        </w:tc>
        <w:tc>
          <w:tcPr>
            <w:tcW w:w="890" w:type="dxa"/>
            <w:vMerge w:val="restart"/>
            <w:vAlign w:val="center"/>
          </w:tcPr>
          <w:p w14:paraId="49DBFC10">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产品技术</w:t>
            </w:r>
          </w:p>
        </w:tc>
        <w:tc>
          <w:tcPr>
            <w:tcW w:w="595" w:type="dxa"/>
            <w:vAlign w:val="center"/>
          </w:tcPr>
          <w:p w14:paraId="5822E606">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2</w:t>
            </w:r>
          </w:p>
        </w:tc>
        <w:tc>
          <w:tcPr>
            <w:tcW w:w="2124" w:type="dxa"/>
            <w:vAlign w:val="center"/>
          </w:tcPr>
          <w:p w14:paraId="6A16E89E">
            <w:pPr>
              <w:adjustRightInd w:val="0"/>
              <w:snapToGrid w:val="0"/>
              <w:jc w:val="left"/>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lang w:eastAsia="zh-CN"/>
              </w:rPr>
              <w:t>投标方</w:t>
            </w:r>
            <w:r>
              <w:rPr>
                <w:rFonts w:hint="eastAsia" w:ascii="宋体" w:hAnsi="宋体" w:eastAsia="宋体" w:cs="宋体"/>
                <w:spacing w:val="32"/>
                <w:sz w:val="20"/>
                <w:szCs w:val="20"/>
                <w:highlight w:val="none"/>
              </w:rPr>
              <w:t>装备制造能力、生产设备、加工工艺、完善程度</w:t>
            </w:r>
          </w:p>
        </w:tc>
        <w:tc>
          <w:tcPr>
            <w:tcW w:w="769" w:type="dxa"/>
            <w:vAlign w:val="center"/>
          </w:tcPr>
          <w:p w14:paraId="718419BE">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6</w:t>
            </w:r>
          </w:p>
        </w:tc>
        <w:tc>
          <w:tcPr>
            <w:tcW w:w="4111" w:type="dxa"/>
            <w:vAlign w:val="center"/>
          </w:tcPr>
          <w:p w14:paraId="44AC13C3">
            <w:pPr>
              <w:adjustRightInd w:val="0"/>
              <w:snapToGrid w:val="0"/>
              <w:jc w:val="left"/>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由评标委员会成员独立进行客观、公正的评价，按照优、良、一般进行赋分，优得6分，良得4分，一般得2分。</w:t>
            </w:r>
          </w:p>
        </w:tc>
      </w:tr>
      <w:tr w14:paraId="6938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428180C1">
            <w:pPr>
              <w:adjustRightInd w:val="0"/>
              <w:snapToGrid w:val="0"/>
              <w:jc w:val="center"/>
              <w:rPr>
                <w:rFonts w:hint="eastAsia" w:ascii="宋体" w:hAnsi="宋体" w:eastAsia="宋体" w:cs="宋体"/>
                <w:spacing w:val="32"/>
                <w:sz w:val="20"/>
                <w:szCs w:val="20"/>
                <w:highlight w:val="none"/>
              </w:rPr>
            </w:pPr>
          </w:p>
        </w:tc>
        <w:tc>
          <w:tcPr>
            <w:tcW w:w="890" w:type="dxa"/>
            <w:vMerge w:val="continue"/>
            <w:vAlign w:val="center"/>
          </w:tcPr>
          <w:p w14:paraId="553A52D8">
            <w:pPr>
              <w:adjustRightInd w:val="0"/>
              <w:snapToGrid w:val="0"/>
              <w:jc w:val="center"/>
              <w:rPr>
                <w:rFonts w:hint="eastAsia" w:ascii="宋体" w:hAnsi="宋体" w:eastAsia="宋体" w:cs="宋体"/>
                <w:spacing w:val="32"/>
                <w:sz w:val="20"/>
                <w:szCs w:val="20"/>
                <w:highlight w:val="none"/>
              </w:rPr>
            </w:pPr>
          </w:p>
        </w:tc>
        <w:tc>
          <w:tcPr>
            <w:tcW w:w="595" w:type="dxa"/>
            <w:vAlign w:val="center"/>
          </w:tcPr>
          <w:p w14:paraId="1D5D0172">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3</w:t>
            </w:r>
          </w:p>
        </w:tc>
        <w:tc>
          <w:tcPr>
            <w:tcW w:w="2124" w:type="dxa"/>
            <w:vAlign w:val="center"/>
          </w:tcPr>
          <w:p w14:paraId="70CD5C93">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lang w:val="en-US" w:eastAsia="zh-CN"/>
              </w:rPr>
              <w:t>改造</w:t>
            </w:r>
            <w:r>
              <w:rPr>
                <w:rFonts w:hint="eastAsia" w:ascii="宋体" w:hAnsi="宋体" w:eastAsia="宋体" w:cs="宋体"/>
                <w:spacing w:val="32"/>
                <w:sz w:val="20"/>
                <w:szCs w:val="20"/>
                <w:highlight w:val="none"/>
              </w:rPr>
              <w:t>方案技术</w:t>
            </w:r>
          </w:p>
          <w:p w14:paraId="06D89AB8">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先进、性能可</w:t>
            </w:r>
          </w:p>
          <w:p w14:paraId="72A930BB">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靠势</w:t>
            </w:r>
          </w:p>
        </w:tc>
        <w:tc>
          <w:tcPr>
            <w:tcW w:w="769" w:type="dxa"/>
            <w:vAlign w:val="center"/>
          </w:tcPr>
          <w:p w14:paraId="1057C3FF">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50</w:t>
            </w:r>
          </w:p>
        </w:tc>
        <w:tc>
          <w:tcPr>
            <w:tcW w:w="4111" w:type="dxa"/>
            <w:vAlign w:val="center"/>
          </w:tcPr>
          <w:p w14:paraId="554DE7D2">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以下各项由评标委员会成员独立进行客观、公正的评价打分。</w:t>
            </w:r>
          </w:p>
          <w:p w14:paraId="0C6CCF66">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①</w:t>
            </w:r>
            <w:r>
              <w:rPr>
                <w:rFonts w:hint="eastAsia" w:ascii="宋体" w:hAnsi="宋体" w:eastAsia="宋体" w:cs="宋体"/>
                <w:spacing w:val="32"/>
                <w:sz w:val="20"/>
                <w:szCs w:val="20"/>
                <w:highlight w:val="none"/>
                <w:lang w:val="en-US" w:eastAsia="zh-CN"/>
              </w:rPr>
              <w:t>改造</w:t>
            </w:r>
            <w:r>
              <w:rPr>
                <w:rFonts w:hint="eastAsia" w:ascii="宋体" w:hAnsi="宋体" w:eastAsia="宋体" w:cs="宋体"/>
                <w:spacing w:val="32"/>
                <w:sz w:val="20"/>
                <w:szCs w:val="20"/>
                <w:highlight w:val="none"/>
              </w:rPr>
              <w:t>系统方案已到达招标要求，打分0-16分。</w:t>
            </w:r>
          </w:p>
          <w:p w14:paraId="043BB7AE">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②</w:t>
            </w:r>
            <w:r>
              <w:rPr>
                <w:rFonts w:hint="eastAsia" w:ascii="宋体" w:hAnsi="宋体" w:eastAsia="宋体" w:cs="宋体"/>
                <w:spacing w:val="32"/>
                <w:sz w:val="20"/>
                <w:szCs w:val="20"/>
                <w:highlight w:val="none"/>
                <w:lang w:val="en-US" w:eastAsia="zh-CN"/>
              </w:rPr>
              <w:t>性能</w:t>
            </w:r>
            <w:r>
              <w:rPr>
                <w:rFonts w:hint="eastAsia" w:ascii="宋体" w:hAnsi="宋体" w:eastAsia="宋体" w:cs="宋体"/>
                <w:spacing w:val="32"/>
                <w:sz w:val="20"/>
                <w:szCs w:val="20"/>
                <w:highlight w:val="none"/>
              </w:rPr>
              <w:t>可靠性等优势明显，打分0-16分。</w:t>
            </w:r>
          </w:p>
          <w:p w14:paraId="2388310B">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③操作灵活方便，打分0-10分。</w:t>
            </w:r>
          </w:p>
          <w:p w14:paraId="612919C4">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④综合评价，打分0-8分。</w:t>
            </w:r>
          </w:p>
        </w:tc>
      </w:tr>
      <w:tr w14:paraId="1820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0393B18A">
            <w:pPr>
              <w:adjustRightInd w:val="0"/>
              <w:snapToGrid w:val="0"/>
              <w:jc w:val="center"/>
              <w:rPr>
                <w:rFonts w:hint="eastAsia" w:ascii="宋体" w:hAnsi="宋体" w:eastAsia="宋体" w:cs="宋体"/>
                <w:spacing w:val="32"/>
                <w:sz w:val="20"/>
                <w:szCs w:val="20"/>
                <w:highlight w:val="none"/>
              </w:rPr>
            </w:pPr>
          </w:p>
        </w:tc>
        <w:tc>
          <w:tcPr>
            <w:tcW w:w="890" w:type="dxa"/>
            <w:vAlign w:val="center"/>
          </w:tcPr>
          <w:p w14:paraId="03FE027A">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答疑</w:t>
            </w:r>
          </w:p>
        </w:tc>
        <w:tc>
          <w:tcPr>
            <w:tcW w:w="595" w:type="dxa"/>
            <w:vAlign w:val="center"/>
          </w:tcPr>
          <w:p w14:paraId="70120122">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4</w:t>
            </w:r>
          </w:p>
        </w:tc>
        <w:tc>
          <w:tcPr>
            <w:tcW w:w="2124" w:type="dxa"/>
            <w:vAlign w:val="center"/>
          </w:tcPr>
          <w:p w14:paraId="56955B3E">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现场答疑</w:t>
            </w:r>
          </w:p>
        </w:tc>
        <w:tc>
          <w:tcPr>
            <w:tcW w:w="769" w:type="dxa"/>
            <w:vAlign w:val="center"/>
          </w:tcPr>
          <w:p w14:paraId="19846A3E">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8</w:t>
            </w:r>
          </w:p>
        </w:tc>
        <w:tc>
          <w:tcPr>
            <w:tcW w:w="4111" w:type="dxa"/>
            <w:vAlign w:val="center"/>
          </w:tcPr>
          <w:p w14:paraId="2FE6B2C8">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投标人代表对方案、技术优势的讲解，以及就该项目难点回答评标专家现场提问，打分0-8分。</w:t>
            </w:r>
          </w:p>
        </w:tc>
      </w:tr>
      <w:tr w14:paraId="2919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344EF8BF">
            <w:pPr>
              <w:adjustRightInd w:val="0"/>
              <w:snapToGrid w:val="0"/>
              <w:jc w:val="center"/>
              <w:rPr>
                <w:rFonts w:hint="eastAsia" w:ascii="宋体" w:hAnsi="宋体" w:eastAsia="宋体" w:cs="宋体"/>
                <w:spacing w:val="32"/>
                <w:sz w:val="20"/>
                <w:szCs w:val="20"/>
                <w:highlight w:val="none"/>
              </w:rPr>
            </w:pPr>
          </w:p>
        </w:tc>
        <w:tc>
          <w:tcPr>
            <w:tcW w:w="890" w:type="dxa"/>
            <w:vAlign w:val="center"/>
          </w:tcPr>
          <w:p w14:paraId="06F16159">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技术偏离</w:t>
            </w:r>
          </w:p>
        </w:tc>
        <w:tc>
          <w:tcPr>
            <w:tcW w:w="595" w:type="dxa"/>
            <w:vAlign w:val="center"/>
          </w:tcPr>
          <w:p w14:paraId="7DE049AE">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5</w:t>
            </w:r>
          </w:p>
        </w:tc>
        <w:tc>
          <w:tcPr>
            <w:tcW w:w="2124" w:type="dxa"/>
            <w:vAlign w:val="center"/>
          </w:tcPr>
          <w:p w14:paraId="7FED3D3D">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技术偏离</w:t>
            </w:r>
          </w:p>
        </w:tc>
        <w:tc>
          <w:tcPr>
            <w:tcW w:w="769" w:type="dxa"/>
            <w:vAlign w:val="center"/>
          </w:tcPr>
          <w:p w14:paraId="0DD3659A">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12</w:t>
            </w:r>
          </w:p>
        </w:tc>
        <w:tc>
          <w:tcPr>
            <w:tcW w:w="4111" w:type="dxa"/>
            <w:vAlign w:val="center"/>
          </w:tcPr>
          <w:p w14:paraId="75AD0397">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由评标委员会成员独立进行客观、公正的评价，根据各投标人的</w:t>
            </w:r>
            <w:r>
              <w:rPr>
                <w:rFonts w:hint="eastAsia" w:ascii="宋体" w:hAnsi="宋体" w:eastAsia="宋体" w:cs="宋体"/>
                <w:spacing w:val="32"/>
                <w:sz w:val="20"/>
                <w:szCs w:val="20"/>
                <w:highlight w:val="none"/>
                <w:lang w:val="en-US" w:eastAsia="zh-CN"/>
              </w:rPr>
              <w:t>改造方案</w:t>
            </w:r>
            <w:r>
              <w:rPr>
                <w:rFonts w:hint="eastAsia" w:ascii="宋体" w:hAnsi="宋体" w:eastAsia="宋体" w:cs="宋体"/>
                <w:spacing w:val="32"/>
                <w:sz w:val="20"/>
                <w:szCs w:val="20"/>
                <w:highlight w:val="none"/>
              </w:rPr>
              <w:t>、技术偏离情况，在满足我司技术基本要求的前提下偏离，无偏离得满分12分，较大偏离每一项扣4分，一般偏离每一项扣2分，最低0分。</w:t>
            </w:r>
          </w:p>
        </w:tc>
      </w:tr>
      <w:tr w14:paraId="5F80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3820D259">
            <w:pPr>
              <w:adjustRightInd w:val="0"/>
              <w:snapToGrid w:val="0"/>
              <w:jc w:val="center"/>
              <w:rPr>
                <w:rFonts w:hint="eastAsia" w:ascii="宋体" w:hAnsi="宋体" w:eastAsia="宋体" w:cs="宋体"/>
                <w:spacing w:val="32"/>
                <w:sz w:val="20"/>
                <w:szCs w:val="20"/>
                <w:highlight w:val="none"/>
              </w:rPr>
            </w:pPr>
          </w:p>
        </w:tc>
        <w:tc>
          <w:tcPr>
            <w:tcW w:w="890" w:type="dxa"/>
            <w:vAlign w:val="center"/>
          </w:tcPr>
          <w:p w14:paraId="0C6357AE">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售后服务</w:t>
            </w:r>
          </w:p>
        </w:tc>
        <w:tc>
          <w:tcPr>
            <w:tcW w:w="595" w:type="dxa"/>
            <w:vAlign w:val="center"/>
          </w:tcPr>
          <w:p w14:paraId="30A599E8">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6</w:t>
            </w:r>
          </w:p>
        </w:tc>
        <w:tc>
          <w:tcPr>
            <w:tcW w:w="2124" w:type="dxa"/>
            <w:vAlign w:val="center"/>
          </w:tcPr>
          <w:p w14:paraId="236AD5CB">
            <w:pPr>
              <w:adjustRightInd w:val="0"/>
              <w:snapToGrid w:val="0"/>
              <w:jc w:val="center"/>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售后服务及时 周到，有相应的服务承诺和具体的保证措施</w:t>
            </w:r>
          </w:p>
        </w:tc>
        <w:tc>
          <w:tcPr>
            <w:tcW w:w="769" w:type="dxa"/>
            <w:vAlign w:val="center"/>
          </w:tcPr>
          <w:p w14:paraId="66F46BBE">
            <w:pPr>
              <w:adjustRightInd w:val="0"/>
              <w:snapToGrid w:val="0"/>
              <w:jc w:val="center"/>
              <w:rPr>
                <w:rFonts w:hint="default" w:ascii="宋体" w:hAnsi="宋体" w:eastAsia="宋体" w:cs="宋体"/>
                <w:spacing w:val="32"/>
                <w:sz w:val="20"/>
                <w:szCs w:val="20"/>
                <w:highlight w:val="none"/>
                <w:lang w:val="en-US" w:eastAsia="zh-CN"/>
              </w:rPr>
            </w:pPr>
            <w:r>
              <w:rPr>
                <w:rFonts w:hint="eastAsia" w:ascii="宋体" w:hAnsi="宋体" w:eastAsia="宋体" w:cs="宋体"/>
                <w:spacing w:val="32"/>
                <w:sz w:val="20"/>
                <w:szCs w:val="20"/>
                <w:highlight w:val="none"/>
                <w:lang w:val="en-US" w:eastAsia="zh-CN"/>
              </w:rPr>
              <w:t>18</w:t>
            </w:r>
          </w:p>
        </w:tc>
        <w:tc>
          <w:tcPr>
            <w:tcW w:w="4111" w:type="dxa"/>
            <w:vAlign w:val="center"/>
          </w:tcPr>
          <w:p w14:paraId="1668C023">
            <w:pPr>
              <w:adjustRightInd w:val="0"/>
              <w:snapToGrid w:val="0"/>
              <w:rPr>
                <w:rFonts w:hint="eastAsia" w:ascii="宋体" w:hAnsi="宋体" w:eastAsia="宋体" w:cs="宋体"/>
                <w:spacing w:val="32"/>
                <w:sz w:val="20"/>
                <w:szCs w:val="20"/>
                <w:highlight w:val="none"/>
              </w:rPr>
            </w:pPr>
            <w:r>
              <w:rPr>
                <w:rFonts w:hint="eastAsia" w:ascii="宋体" w:hAnsi="宋体" w:eastAsia="宋体" w:cs="宋体"/>
                <w:spacing w:val="32"/>
                <w:sz w:val="20"/>
                <w:szCs w:val="20"/>
                <w:highlight w:val="none"/>
              </w:rPr>
              <w:t>由评标委员会成员独立进行客观、公正的评价，按照优、良、一般进行赋分。</w:t>
            </w:r>
          </w:p>
        </w:tc>
      </w:tr>
      <w:tr w14:paraId="32CD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shd w:val="clear" w:color="auto" w:fill="auto"/>
            <w:vAlign w:val="center"/>
          </w:tcPr>
          <w:p w14:paraId="669FC796">
            <w:pPr>
              <w:jc w:val="center"/>
              <w:rPr>
                <w:rFonts w:hint="eastAsia" w:ascii="宋体" w:hAnsi="宋体" w:eastAsia="宋体" w:cs="宋体"/>
                <w:kern w:val="2"/>
                <w:sz w:val="20"/>
                <w:szCs w:val="20"/>
                <w:lang w:val="en-US" w:eastAsia="zh-CN" w:bidi="ar-SA"/>
              </w:rPr>
            </w:pPr>
            <w:r>
              <w:rPr>
                <w:rFonts w:hint="eastAsia" w:ascii="宋体" w:hAnsi="宋体" w:eastAsia="宋体" w:cs="宋体"/>
                <w:b/>
                <w:bCs/>
                <w:sz w:val="20"/>
                <w:szCs w:val="20"/>
              </w:rPr>
              <w:t>商务</w:t>
            </w:r>
            <w:r>
              <w:rPr>
                <w:rFonts w:hint="eastAsia" w:ascii="宋体" w:hAnsi="宋体" w:eastAsia="宋体" w:cs="宋体"/>
                <w:sz w:val="20"/>
                <w:szCs w:val="20"/>
              </w:rPr>
              <w:t>100分</w:t>
            </w:r>
          </w:p>
        </w:tc>
        <w:tc>
          <w:tcPr>
            <w:tcW w:w="8489" w:type="dxa"/>
            <w:gridSpan w:val="5"/>
            <w:shd w:val="clear" w:color="auto" w:fill="auto"/>
            <w:vAlign w:val="center"/>
          </w:tcPr>
          <w:p w14:paraId="7F22E65B">
            <w:pPr>
              <w:spacing w:line="360" w:lineRule="auto"/>
              <w:rPr>
                <w:rFonts w:hint="eastAsia" w:ascii="宋体" w:hAnsi="宋体" w:eastAsia="宋体" w:cs="宋体"/>
                <w:bCs/>
                <w:sz w:val="20"/>
                <w:szCs w:val="20"/>
              </w:rPr>
            </w:pPr>
            <w:r>
              <w:rPr>
                <w:rFonts w:hint="eastAsia" w:ascii="宋体" w:hAnsi="宋体" w:eastAsia="宋体" w:cs="宋体"/>
                <w:bCs/>
                <w:sz w:val="20"/>
                <w:szCs w:val="20"/>
              </w:rPr>
              <w:t xml:space="preserve">评标基准价： </w:t>
            </w:r>
          </w:p>
          <w:p w14:paraId="71F665BF">
            <w:pPr>
              <w:spacing w:line="360" w:lineRule="auto"/>
              <w:rPr>
                <w:rFonts w:hint="eastAsia" w:ascii="宋体" w:hAnsi="宋体" w:eastAsia="宋体" w:cs="宋体"/>
                <w:bCs/>
                <w:sz w:val="20"/>
                <w:szCs w:val="20"/>
              </w:rPr>
            </w:pPr>
            <w:r>
              <w:rPr>
                <w:rFonts w:hint="eastAsia" w:ascii="宋体" w:hAnsi="宋体" w:eastAsia="宋体" w:cs="宋体"/>
                <w:bCs/>
                <w:sz w:val="20"/>
                <w:szCs w:val="20"/>
              </w:rPr>
              <w:t>1、评标基准价为所有合理有效的投标报价的最低价。</w:t>
            </w:r>
          </w:p>
          <w:p w14:paraId="40E1451F">
            <w:pPr>
              <w:spacing w:line="360" w:lineRule="auto"/>
              <w:rPr>
                <w:rFonts w:hint="eastAsia" w:ascii="宋体" w:hAnsi="宋体" w:eastAsia="宋体" w:cs="宋体"/>
                <w:bCs/>
                <w:sz w:val="20"/>
                <w:szCs w:val="20"/>
              </w:rPr>
            </w:pPr>
            <w:r>
              <w:rPr>
                <w:rFonts w:hint="eastAsia" w:ascii="宋体" w:hAnsi="宋体" w:eastAsia="宋体" w:cs="宋体"/>
                <w:bCs/>
                <w:sz w:val="20"/>
                <w:szCs w:val="20"/>
              </w:rPr>
              <w:t>2、有效的评标基准价得100分；其他投标人的价格得分按下列公式计算：投标价格得分=100×（评标基准价/投标报价）。</w:t>
            </w:r>
          </w:p>
          <w:p w14:paraId="74BE5A92">
            <w:pPr>
              <w:rPr>
                <w:rFonts w:hint="eastAsia" w:ascii="宋体" w:hAnsi="宋体" w:eastAsia="宋体" w:cs="宋体"/>
                <w:bCs/>
                <w:kern w:val="2"/>
                <w:sz w:val="20"/>
                <w:szCs w:val="20"/>
                <w:lang w:val="en-US" w:eastAsia="zh-CN" w:bidi="ar-SA"/>
              </w:rPr>
            </w:pPr>
            <w:r>
              <w:rPr>
                <w:rFonts w:hint="eastAsia" w:ascii="宋体" w:hAnsi="宋体" w:eastAsia="宋体" w:cs="宋体"/>
                <w:bCs/>
                <w:sz w:val="20"/>
                <w:szCs w:val="20"/>
              </w:rPr>
              <w:t xml:space="preserve">注：得分值取小数点后两位，不足一个百分点的，按照四舍五入法计算。 </w:t>
            </w:r>
          </w:p>
        </w:tc>
      </w:tr>
      <w:tr w14:paraId="2723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97" w:type="dxa"/>
            <w:shd w:val="clear" w:color="auto" w:fill="auto"/>
            <w:vAlign w:val="center"/>
          </w:tcPr>
          <w:p w14:paraId="7DDA19C0">
            <w:pPr>
              <w:jc w:val="center"/>
              <w:rPr>
                <w:rFonts w:hint="eastAsia" w:ascii="宋体" w:hAnsi="宋体" w:eastAsia="宋体" w:cs="宋体"/>
                <w:kern w:val="2"/>
                <w:sz w:val="20"/>
                <w:szCs w:val="20"/>
                <w:lang w:val="en-US" w:eastAsia="zh-CN" w:bidi="ar-SA"/>
              </w:rPr>
            </w:pPr>
            <w:r>
              <w:rPr>
                <w:rFonts w:hint="eastAsia" w:ascii="宋体" w:hAnsi="宋体" w:eastAsia="宋体" w:cs="宋体"/>
                <w:b/>
                <w:bCs/>
                <w:sz w:val="20"/>
                <w:szCs w:val="20"/>
              </w:rPr>
              <w:t>综合得分</w:t>
            </w:r>
          </w:p>
        </w:tc>
        <w:tc>
          <w:tcPr>
            <w:tcW w:w="8489" w:type="dxa"/>
            <w:gridSpan w:val="5"/>
            <w:shd w:val="clear" w:color="auto" w:fill="auto"/>
            <w:vAlign w:val="center"/>
          </w:tcPr>
          <w:p w14:paraId="4BFCFA0B">
            <w:pPr>
              <w:tabs>
                <w:tab w:val="left" w:pos="1654"/>
              </w:tabs>
              <w:rPr>
                <w:rFonts w:hint="eastAsia" w:ascii="宋体" w:hAnsi="宋体" w:eastAsia="宋体" w:cs="宋体"/>
                <w:bCs/>
                <w:kern w:val="2"/>
                <w:sz w:val="20"/>
                <w:szCs w:val="20"/>
                <w:lang w:val="en-US" w:eastAsia="zh-CN" w:bidi="ar-SA"/>
              </w:rPr>
            </w:pPr>
            <w:r>
              <w:rPr>
                <w:rFonts w:hint="eastAsia" w:ascii="宋体" w:hAnsi="宋体" w:eastAsia="宋体" w:cs="宋体"/>
                <w:b/>
                <w:sz w:val="20"/>
                <w:szCs w:val="20"/>
              </w:rPr>
              <w:t>综合得分=技术标得分×30%＋商务标得分×70%</w:t>
            </w:r>
          </w:p>
        </w:tc>
      </w:tr>
    </w:tbl>
    <w:p w14:paraId="6338F6A7">
      <w:pPr>
        <w:pStyle w:val="17"/>
        <w:outlineLvl w:val="2"/>
        <w:rPr>
          <w:rFonts w:hint="eastAsia" w:hAnsi="宋体" w:eastAsia="宋体" w:cs="宋体"/>
          <w:b/>
          <w:bCs/>
          <w:color w:val="000000"/>
          <w:sz w:val="24"/>
          <w:szCs w:val="24"/>
          <w:highlight w:val="none"/>
        </w:rPr>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2" w:type="first"/>
      <w:footerReference r:id="rId44" w:type="first"/>
      <w:headerReference r:id="rId41" w:type="default"/>
      <w:footerReference r:id="rId43"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A008">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2"/>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2"/>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2"/>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2"/>
                    </w:pPr>
                  </w:p>
                </w:txbxContent>
              </v:textbox>
            </v:shape>
          </w:pict>
        </mc:Fallback>
      </mc:AlternateContent>
    </w:r>
  </w:p>
  <w:p w14:paraId="5657E234">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2"/>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2"/>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2"/>
                    </w:pPr>
                  </w:p>
                </w:txbxContent>
              </v:textbox>
            </v:shape>
          </w:pict>
        </mc:Fallback>
      </mc:AlternateContent>
    </w:r>
  </w:p>
  <w:p w14:paraId="76DCFF2F">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F7C27">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w:t>
    </w:r>
    <w:r>
      <w:rPr>
        <w:rFonts w:hint="eastAsia" w:ascii="黑体" w:eastAsia="黑体"/>
        <w:sz w:val="24"/>
        <w:szCs w:val="24"/>
        <w:lang w:val="en-US" w:eastAsia="zh-CN"/>
      </w:rPr>
      <w:t>皮卡右舵车型生产工装改造项目</w:t>
    </w:r>
    <w:r>
      <w:rPr>
        <w:rFonts w:hint="eastAsia" w:ascii="黑体" w:eastAsia="黑体"/>
        <w:sz w:val="24"/>
        <w:szCs w:val="24"/>
      </w:rPr>
      <w:t>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CC98A1"/>
    <w:multiLevelType w:val="singleLevel"/>
    <w:tmpl w:val="ECCC98A1"/>
    <w:lvl w:ilvl="0" w:tentative="0">
      <w:start w:val="1"/>
      <w:numFmt w:val="decimal"/>
      <w:suff w:val="nothing"/>
      <w:lvlText w:val="%1、"/>
      <w:lvlJc w:val="left"/>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DECDA7B"/>
    <w:multiLevelType w:val="singleLevel"/>
    <w:tmpl w:val="1DECDA7B"/>
    <w:lvl w:ilvl="0" w:tentative="0">
      <w:start w:val="3"/>
      <w:numFmt w:val="chineseCounting"/>
      <w:suff w:val="nothing"/>
      <w:lvlText w:val="%1、"/>
      <w:lvlJc w:val="left"/>
      <w:rPr>
        <w:rFonts w:hint="eastAsia"/>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0"/>
  </w:num>
  <w:num w:numId="3">
    <w:abstractNumId w:val="10"/>
  </w:num>
  <w:num w:numId="4">
    <w:abstractNumId w:val="6"/>
  </w:num>
  <w:num w:numId="5">
    <w:abstractNumId w:val="3"/>
  </w:num>
  <w:num w:numId="6">
    <w:abstractNumId w:val="8"/>
  </w:num>
  <w:num w:numId="7">
    <w:abstractNumId w:val="1"/>
  </w:num>
  <w:num w:numId="8">
    <w:abstractNumId w:val="7"/>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BA1FBB"/>
    <w:rsid w:val="09C57ED8"/>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7F3605F"/>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0"/>
    <w:qFormat/>
    <w:uiPriority w:val="9"/>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3"/>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4"/>
    <w:qFormat/>
    <w:uiPriority w:val="0"/>
    <w:pPr>
      <w:jc w:val="left"/>
    </w:pPr>
  </w:style>
  <w:style w:type="paragraph" w:styleId="13">
    <w:name w:val="Body Text"/>
    <w:basedOn w:val="1"/>
    <w:next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2"/>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5"/>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4"/>
    <w:qFormat/>
    <w:uiPriority w:val="9"/>
    <w:rPr>
      <w:rFonts w:ascii="Arial" w:hAnsi="Arial" w:eastAsia="宋体" w:cs="Times New Roman"/>
      <w:b/>
      <w:bCs/>
      <w:sz w:val="24"/>
      <w:szCs w:val="32"/>
    </w:rPr>
  </w:style>
  <w:style w:type="character" w:customStyle="1" w:styleId="52">
    <w:name w:val="标题 3 字符"/>
    <w:basedOn w:val="38"/>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2"/>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0"/>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4"/>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3"/>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12269</Words>
  <Characters>13027</Characters>
  <Lines>364</Lines>
  <Paragraphs>102</Paragraphs>
  <TotalTime>18</TotalTime>
  <ScaleCrop>false</ScaleCrop>
  <LinksUpToDate>false</LinksUpToDate>
  <CharactersWithSpaces>13317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許</cp:lastModifiedBy>
  <dcterms:modified xsi:type="dcterms:W3CDTF">2025-08-04T06:32:33Z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0B1218D1AFC44B4A927B11B1D638B56B_11</vt:lpwstr>
  </property>
  <property fmtid="{D5CDD505-2E9C-101B-9397-08002B2CF9AE}" pid="4" name="KSOTemplateDocerSaveRecord">
    <vt:lpwstr>eyJoZGlkIjoiOTkzZWRkNjVmODY5NjY2ODY0ZWJmMDdhNGZiZTE3MjkiLCJ1c2VySWQiOiI1MDMyNjc5ODcifQ==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