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天然气发动机认证用燃料</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color w:val="000000"/>
          <w:sz w:val="24"/>
          <w:szCs w:val="24"/>
          <w:u w:val="single"/>
          <w:lang w:val="en-US" w:eastAsia="zh-CN"/>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中国重汽集团济南动力有限公司天然气发动机认证用燃料</w:t>
      </w:r>
      <w:r>
        <w:rPr>
          <w:rFonts w:hint="eastAsia" w:ascii="宋体" w:hAnsi="宋体" w:cs="宋体"/>
          <w:color w:val="000000"/>
          <w:sz w:val="24"/>
          <w:szCs w:val="24"/>
          <w:u w:val="single"/>
          <w:lang w:val="en-US" w:eastAsia="zh-CN"/>
        </w:rPr>
        <w:t>项目</w:t>
      </w:r>
    </w:p>
    <w:p>
      <w:pPr>
        <w:spacing w:line="360" w:lineRule="auto"/>
        <w:ind w:left="1679" w:leftChars="228" w:hanging="1200" w:hangingChars="500"/>
        <w:rPr>
          <w:rFonts w:ascii="宋体" w:hAnsi="宋体" w:cs="宋体"/>
          <w:b/>
          <w:bCs/>
          <w:color w:val="000000"/>
          <w:sz w:val="24"/>
          <w:szCs w:val="24"/>
        </w:rPr>
      </w:pPr>
      <w:r>
        <w:rPr>
          <w:rFonts w:hint="eastAsia" w:ascii="宋体" w:hAnsi="宋体" w:cs="宋体"/>
          <w:color w:val="000000"/>
          <w:sz w:val="24"/>
          <w:szCs w:val="24"/>
        </w:rPr>
        <w:t>采购形式编号：CGZX2025070098</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1、招标内容：天然气发动机认证用燃料</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1、项目名称：中国重汽集团济南动力有限公司天然气发动机认证用燃料。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中国重汽集团济南动力有限公司天然气发动机认证用燃料</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合同签订后按每次订单约定时间、地点、数量按时供给符合招标方和相关法律法规要求的天然气燃料据实结算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（1）拟投标企业必须具有相关标准气体（至少有基准燃料GR、基准燃料G20、基准燃料G23、基准燃料G25）的中华人民共和国制造计量器具许可证或对应标准物质证书，应能满足最新的国家规定的质量标准，包括GB 18047-2017、GB 20891-2014、GB17691-2005、GB17820-2012、GB17691-2018；需提供许可证原件或扫描件（需加盖公章）；</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2）拟投标企业必须具有相关标准气体（至少有基准燃料GR、基准燃料G20、基准燃料G23、基准燃料G25）国家二级标准物质的定级资质或对应标准物质证书，需提供资质证书原件或扫描件（需加盖公章），所有提供给招标方的标准气体须提供标准物质证书；</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（3）拟投标企业必须为国家级汽车检测机构或发动机重要研发企业标准气体（包括准燃料GR、基准燃料G20、基准燃料G23、基准燃料G25）供应商，年标准气体供应货值大于等于10万元；</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附国家级汽车检测机构及发动机重要研发企业名单：</w:t>
      </w: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序号</w:t>
            </w:r>
          </w:p>
        </w:tc>
        <w:tc>
          <w:tcPr>
            <w:tcW w:w="761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1</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中汽研汽车检验中心（天津）有限公司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2</w:t>
            </w:r>
          </w:p>
        </w:tc>
        <w:tc>
          <w:tcPr>
            <w:tcW w:w="7618" w:type="dxa"/>
            <w:vAlign w:val="center"/>
          </w:tcPr>
          <w:p>
            <w:pPr>
              <w:pStyle w:val="15"/>
              <w:spacing w:line="360" w:lineRule="auto"/>
              <w:jc w:val="center"/>
              <w:rPr>
                <w:rFonts w:hAnsi="宋体"/>
                <w:color w:val="000000"/>
                <w:sz w:val="24"/>
                <w:szCs w:val="24"/>
              </w:rPr>
            </w:pPr>
            <w:r>
              <w:rPr>
                <w:rFonts w:hAnsi="宋体"/>
                <w:color w:val="000000"/>
                <w:sz w:val="24"/>
                <w:szCs w:val="24"/>
              </w:rPr>
              <w:t>国家机动车产品质量监督检验中心(上海)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3</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国家机动车质量监督检验中心（重庆）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4</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招商局检测车辆技术研究院有限公司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5</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长春汽车检测中心有限责任公司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6</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国家汽车质量监督检验中心（襄阳）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7</w:t>
            </w:r>
          </w:p>
        </w:tc>
        <w:tc>
          <w:tcPr>
            <w:tcW w:w="7618" w:type="dxa"/>
            <w:vAlign w:val="center"/>
          </w:tcPr>
          <w:p>
            <w:pPr>
              <w:pStyle w:val="15"/>
              <w:spacing w:line="360" w:lineRule="auto"/>
              <w:jc w:val="center"/>
              <w:rPr>
                <w:rFonts w:hAnsi="宋体"/>
                <w:color w:val="000000"/>
                <w:sz w:val="24"/>
                <w:szCs w:val="24"/>
              </w:rPr>
            </w:pPr>
            <w:r>
              <w:rPr>
                <w:rFonts w:hAnsi="宋体"/>
                <w:color w:val="000000"/>
                <w:sz w:val="24"/>
                <w:szCs w:val="24"/>
              </w:rPr>
              <w:t>厦门环境保护机动车污染控制技术中心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eastAsia="等线"/>
                <w:b/>
                <w:color w:val="000000"/>
                <w:sz w:val="24"/>
                <w:szCs w:val="24"/>
              </w:rPr>
            </w:pPr>
            <w:r>
              <w:rPr>
                <w:rFonts w:hint="eastAsia" w:ascii="宋体" w:hAnsi="宋体" w:eastAsia="等线"/>
                <w:b/>
                <w:color w:val="000000"/>
                <w:sz w:val="24"/>
                <w:szCs w:val="24"/>
              </w:rPr>
              <w:t>8</w:t>
            </w:r>
          </w:p>
        </w:tc>
        <w:tc>
          <w:tcPr>
            <w:tcW w:w="7618" w:type="dxa"/>
            <w:vAlign w:val="center"/>
          </w:tcPr>
          <w:p>
            <w:pPr>
              <w:pStyle w:val="15"/>
              <w:spacing w:line="360" w:lineRule="auto"/>
              <w:jc w:val="center"/>
              <w:rPr>
                <w:rFonts w:hAnsi="宋体"/>
                <w:color w:val="000000"/>
                <w:sz w:val="24"/>
                <w:szCs w:val="24"/>
              </w:rPr>
            </w:pPr>
            <w:r>
              <w:rPr>
                <w:rFonts w:hint="eastAsia" w:hAnsi="宋体" w:cs="宋体"/>
                <w:color w:val="000000"/>
                <w:sz w:val="24"/>
                <w:szCs w:val="24"/>
              </w:rPr>
              <w:t>潍柴动力股份有限公司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eastAsia="等线"/>
                <w:b/>
                <w:color w:val="000000"/>
                <w:sz w:val="24"/>
                <w:szCs w:val="24"/>
              </w:rPr>
            </w:pPr>
            <w:r>
              <w:rPr>
                <w:rFonts w:hint="eastAsia" w:ascii="宋体" w:hAnsi="宋体" w:eastAsia="等线"/>
                <w:b/>
                <w:color w:val="000000"/>
                <w:sz w:val="24"/>
                <w:szCs w:val="24"/>
              </w:rPr>
              <w:t>9</w:t>
            </w:r>
          </w:p>
        </w:tc>
        <w:tc>
          <w:tcPr>
            <w:tcW w:w="7618" w:type="dxa"/>
            <w:vAlign w:val="center"/>
          </w:tcPr>
          <w:p>
            <w:pPr>
              <w:pStyle w:val="15"/>
              <w:spacing w:line="360" w:lineRule="auto"/>
              <w:jc w:val="center"/>
              <w:rPr>
                <w:rFonts w:hAnsi="宋体" w:cs="宋体"/>
                <w:color w:val="000000"/>
                <w:sz w:val="24"/>
                <w:szCs w:val="24"/>
              </w:rPr>
            </w:pPr>
            <w:r>
              <w:rPr>
                <w:rFonts w:hint="eastAsia" w:hAnsi="宋体" w:cs="宋体"/>
                <w:color w:val="000000"/>
                <w:sz w:val="24"/>
                <w:szCs w:val="24"/>
              </w:rPr>
              <w:t>中机寰宇(山东)车辆认证检测有限公司</w:t>
            </w:r>
          </w:p>
        </w:tc>
      </w:tr>
    </w:tbl>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（4）拟标投人必须是在中华人民共和国境内注册的独立法人机构，具有独立承担民事责任能力，注册资金不少于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（5）拟投标人应提供三证合一的营业执照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（6）拟投标人应提供法定代表人资格证明文件。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（9）拟投标人经审计的近三年的公司财务报表（资产负债表、损益表、现金流量表）未显示异常。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（10）拟投标人有与本次招标内容相同或类似项目业绩，且近3年内无因服务不当而造成重大事故。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（11）</w:t>
      </w:r>
      <w:r>
        <w:rPr>
          <w:rFonts w:hint="eastAsia" w:hAnsi="宋体" w:cs="宋体"/>
          <w:color w:val="000000"/>
          <w:sz w:val="24"/>
          <w:szCs w:val="24"/>
          <w:highlight w:val="yellow"/>
        </w:rPr>
        <w:t>本次招标接受代理商投标。</w:t>
      </w:r>
    </w:p>
    <w:p>
      <w:pPr>
        <w:pStyle w:val="15"/>
        <w:spacing w:line="360" w:lineRule="auto"/>
        <w:ind w:firstLine="475" w:firstLineChars="198"/>
        <w:rPr>
          <w:rFonts w:hint="eastAsia" w:hAnsi="宋体"/>
          <w:color w:val="000000"/>
          <w:sz w:val="24"/>
          <w:szCs w:val="24"/>
        </w:rPr>
      </w:pPr>
      <w:r>
        <w:rPr>
          <w:rFonts w:hint="eastAsia" w:hAnsi="宋体"/>
          <w:color w:val="000000"/>
          <w:sz w:val="24"/>
          <w:szCs w:val="24"/>
        </w:rPr>
        <w:t>（12）投标人须认可招标人的工作指令，包括节、假日能正常开展工作的要求。</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lang w:eastAsia="zh-CN"/>
        </w:rPr>
        <w:t>2025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8</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bCs/>
          <w:lang w:eastAsia="zh-CN"/>
        </w:rPr>
        <w:t>2025</w:t>
      </w:r>
      <w:r>
        <w:rPr>
          <w:rFonts w:hint="eastAsia" w:ascii="宋体" w:hAnsi="宋体" w:eastAsia="宋体" w:cs="宋体"/>
          <w:bCs/>
        </w:rPr>
        <w:t>年</w:t>
      </w:r>
      <w:r>
        <w:rPr>
          <w:rFonts w:hint="default" w:eastAsia="宋体" w:cs="宋体"/>
          <w:bCs/>
          <w:woUserID w:val="1"/>
        </w:rPr>
        <w:t>8</w:t>
      </w:r>
      <w:r>
        <w:rPr>
          <w:rFonts w:hint="eastAsia" w:ascii="宋体" w:hAnsi="宋体" w:eastAsia="宋体" w:cs="宋体"/>
          <w:bCs/>
        </w:rPr>
        <w:t>月</w:t>
      </w:r>
      <w:r>
        <w:rPr>
          <w:rFonts w:hint="default" w:eastAsia="宋体" w:cs="宋体"/>
          <w:bCs/>
          <w:woUserID w:val="1"/>
        </w:rPr>
        <w:t>14</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lang w:eastAsia="zh-CN"/>
          <w:woUserID w:val="1"/>
        </w:rPr>
        <w:t>2025</w:t>
      </w:r>
      <w:r>
        <w:rPr>
          <w:rFonts w:hint="eastAsia" w:ascii="宋体" w:hAnsi="宋体" w:eastAsia="宋体" w:cs="宋体"/>
          <w:bCs/>
          <w:woUserID w:val="1"/>
        </w:rPr>
        <w:t>年</w:t>
      </w:r>
      <w:r>
        <w:rPr>
          <w:rFonts w:hint="default" w:eastAsia="宋体" w:cs="宋体"/>
          <w:bCs/>
          <w:woUserID w:val="1"/>
        </w:rPr>
        <w:t>8</w:t>
      </w:r>
      <w:r>
        <w:rPr>
          <w:rFonts w:hint="eastAsia" w:ascii="宋体" w:hAnsi="宋体" w:eastAsia="宋体" w:cs="宋体"/>
          <w:bCs/>
          <w:woUserID w:val="1"/>
        </w:rPr>
        <w:t>月</w:t>
      </w:r>
      <w:r>
        <w:rPr>
          <w:rFonts w:hint="default" w:eastAsia="宋体" w:cs="宋体"/>
          <w:bCs/>
          <w:woUserID w:val="1"/>
        </w:rPr>
        <w:t>14</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人：李颖</w:t>
      </w:r>
    </w:p>
    <w:p>
      <w:pPr>
        <w:pStyle w:val="78"/>
        <w:ind w:firstLine="480"/>
        <w:rPr>
          <w:rFonts w:eastAsia="宋体" w:cs="宋体"/>
        </w:rPr>
      </w:pPr>
      <w:r>
        <w:rPr>
          <w:rFonts w:hint="eastAsia" w:eastAsia="宋体" w:cs="宋体"/>
        </w:rPr>
        <w:t>电    话：15106963956</w:t>
      </w:r>
    </w:p>
    <w:p>
      <w:pPr>
        <w:pStyle w:val="78"/>
        <w:rPr>
          <w:rFonts w:hint="eastAsia" w:ascii="宋体" w:hAnsi="宋体" w:eastAsia="宋体" w:cs="宋体"/>
        </w:rPr>
      </w:pPr>
      <w:r>
        <w:rPr>
          <w:rFonts w:hint="eastAsia" w:eastAsia="宋体" w:cs="宋体"/>
        </w:rPr>
        <w:t>邮    箱：liying_jnatc@126.com</w:t>
      </w:r>
      <w:r>
        <w:rPr>
          <w:rFonts w:eastAsia="宋体" w:cs="宋体"/>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18</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33" w:name="_GoBack"/>
      <w:bookmarkEnd w:id="33"/>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1</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气体参数应满足技术法规中的参数要求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2</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拟投标企业必须具有相关标准气体（至少有基准燃料GR、基准燃料G20、基准燃料G23、基准燃料G25）的中华人民共和国制造计量器具许可证或对应标准物质证书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3</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根据试验室安全管理要求，所有气瓶应提供定期安全检定的证明文件。</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exac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4</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供货周期满足招标方要求，并能提供专车专送服务。</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875" w:type="pct"/>
            <w:vAlign w:val="center"/>
          </w:tcPr>
          <w:p>
            <w:pPr>
              <w:pStyle w:val="82"/>
              <w:rPr>
                <w:rFonts w:hint="eastAsia" w:ascii="宋体" w:hAnsi="宋体" w:eastAsia="宋体" w:cs="宋体"/>
                <w:b w:val="0"/>
                <w:bCs/>
                <w:kern w:val="2"/>
                <w:sz w:val="24"/>
                <w:szCs w:val="22"/>
                <w:lang w:val="en-US" w:eastAsia="zh-CN" w:bidi="ar-SA"/>
              </w:rPr>
            </w:pPr>
          </w:p>
        </w:tc>
        <w:tc>
          <w:tcPr>
            <w:tcW w:w="1903" w:type="pct"/>
            <w:vAlign w:val="center"/>
          </w:tcPr>
          <w:p>
            <w:pPr>
              <w:pStyle w:val="82"/>
              <w:rPr>
                <w:rFonts w:hint="eastAsia" w:ascii="宋体" w:hAnsi="宋体" w:eastAsia="宋体" w:cs="宋体"/>
                <w:b w:val="0"/>
                <w:bCs/>
                <w:kern w:val="2"/>
                <w:sz w:val="24"/>
                <w:szCs w:val="22"/>
                <w:lang w:val="en-US" w:eastAsia="zh-CN" w:bidi="ar-SA"/>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581" w:tblpY="296"/>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272"/>
        <w:gridCol w:w="1183"/>
        <w:gridCol w:w="1027"/>
        <w:gridCol w:w="1070"/>
        <w:gridCol w:w="966"/>
        <w:gridCol w:w="966"/>
        <w:gridCol w:w="96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4" w:type="pct"/>
            <w:vAlign w:val="center"/>
          </w:tcPr>
          <w:p>
            <w:pPr>
              <w:pStyle w:val="82"/>
              <w:rPr>
                <w:rFonts w:hint="eastAsia" w:ascii="宋体" w:hAnsi="宋体" w:eastAsia="宋体" w:cs="宋体"/>
              </w:rPr>
            </w:pPr>
            <w:r>
              <w:rPr>
                <w:rFonts w:hint="eastAsia" w:ascii="宋体" w:hAnsi="宋体" w:eastAsia="宋体" w:cs="宋体"/>
              </w:rPr>
              <w:t>序号</w:t>
            </w:r>
          </w:p>
        </w:tc>
        <w:tc>
          <w:tcPr>
            <w:tcW w:w="685" w:type="pct"/>
            <w:vAlign w:val="center"/>
          </w:tcPr>
          <w:p>
            <w:pPr>
              <w:pStyle w:val="82"/>
              <w:rPr>
                <w:rFonts w:hint="eastAsia" w:ascii="宋体" w:hAnsi="宋体" w:eastAsia="宋体" w:cs="宋体"/>
              </w:rPr>
            </w:pPr>
            <w:r>
              <w:rPr>
                <w:rFonts w:hint="eastAsia" w:ascii="宋体" w:hAnsi="宋体" w:eastAsia="宋体" w:cs="宋体"/>
              </w:rPr>
              <w:t>项目名称</w:t>
            </w:r>
          </w:p>
        </w:tc>
        <w:tc>
          <w:tcPr>
            <w:tcW w:w="637" w:type="pct"/>
            <w:vAlign w:val="center"/>
          </w:tcPr>
          <w:p>
            <w:pPr>
              <w:pStyle w:val="82"/>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2"/>
              <w:rPr>
                <w:rFonts w:hint="eastAsia" w:ascii="宋体" w:hAnsi="宋体" w:eastAsia="宋体" w:cs="宋体"/>
                <w:szCs w:val="21"/>
              </w:rPr>
            </w:pPr>
            <w:r>
              <w:rPr>
                <w:rFonts w:hint="eastAsia" w:ascii="宋体" w:hAnsi="宋体" w:eastAsia="宋体" w:cs="宋体"/>
                <w:szCs w:val="21"/>
              </w:rPr>
              <w:t>（万元）</w:t>
            </w:r>
          </w:p>
        </w:tc>
        <w:tc>
          <w:tcPr>
            <w:tcW w:w="553" w:type="pct"/>
            <w:vAlign w:val="center"/>
          </w:tcPr>
          <w:p>
            <w:pPr>
              <w:pStyle w:val="82"/>
              <w:rPr>
                <w:rFonts w:hint="eastAsia" w:ascii="宋体" w:hAnsi="宋体" w:eastAsia="宋体" w:cs="宋体"/>
                <w:szCs w:val="21"/>
              </w:rPr>
            </w:pPr>
            <w:r>
              <w:rPr>
                <w:rFonts w:hint="eastAsia" w:ascii="宋体" w:hAnsi="宋体" w:eastAsia="宋体" w:cs="宋体"/>
                <w:szCs w:val="21"/>
              </w:rPr>
              <w:t>折扣</w:t>
            </w:r>
          </w:p>
        </w:tc>
        <w:tc>
          <w:tcPr>
            <w:tcW w:w="576" w:type="pct"/>
            <w:vAlign w:val="center"/>
          </w:tcPr>
          <w:p>
            <w:pPr>
              <w:pStyle w:val="82"/>
              <w:rPr>
                <w:rFonts w:hint="eastAsia" w:ascii="宋体" w:hAnsi="宋体" w:eastAsia="宋体" w:cs="宋体"/>
              </w:rPr>
            </w:pPr>
            <w:r>
              <w:rPr>
                <w:rFonts w:hint="eastAsia" w:ascii="宋体" w:hAnsi="宋体" w:eastAsia="宋体" w:cs="宋体"/>
              </w:rPr>
              <w:t>折后不含税总价</w:t>
            </w:r>
          </w:p>
          <w:p>
            <w:pPr>
              <w:pStyle w:val="82"/>
              <w:rPr>
                <w:rFonts w:hint="eastAsia" w:ascii="宋体" w:hAnsi="宋体" w:eastAsia="宋体" w:cs="宋体"/>
              </w:rPr>
            </w:pPr>
            <w:r>
              <w:rPr>
                <w:rFonts w:hint="eastAsia" w:ascii="宋体" w:hAnsi="宋体" w:eastAsia="宋体" w:cs="宋体"/>
              </w:rPr>
              <w:t>（万元）</w:t>
            </w:r>
          </w:p>
        </w:tc>
        <w:tc>
          <w:tcPr>
            <w:tcW w:w="520" w:type="pct"/>
            <w:vAlign w:val="center"/>
          </w:tcPr>
          <w:p>
            <w:pPr>
              <w:pStyle w:val="82"/>
              <w:rPr>
                <w:rFonts w:hint="eastAsia" w:ascii="宋体" w:hAnsi="宋体" w:eastAsia="宋体" w:cs="宋体"/>
              </w:rPr>
            </w:pPr>
            <w:r>
              <w:rPr>
                <w:rFonts w:hint="eastAsia" w:ascii="宋体" w:hAnsi="宋体" w:eastAsia="宋体" w:cs="宋体"/>
              </w:rPr>
              <w:t>折后含税总价（万元）</w:t>
            </w:r>
          </w:p>
        </w:tc>
        <w:tc>
          <w:tcPr>
            <w:tcW w:w="520" w:type="pct"/>
            <w:vAlign w:val="center"/>
          </w:tcPr>
          <w:p>
            <w:pPr>
              <w:pStyle w:val="82"/>
              <w:rPr>
                <w:rFonts w:hint="eastAsia" w:ascii="宋体" w:hAnsi="宋体" w:eastAsia="宋体" w:cs="宋体"/>
              </w:rPr>
            </w:pPr>
            <w:r>
              <w:rPr>
                <w:rFonts w:hint="eastAsia" w:ascii="宋体" w:hAnsi="宋体" w:eastAsia="宋体" w:cs="宋体"/>
              </w:rPr>
              <w:t>税率</w:t>
            </w:r>
          </w:p>
        </w:tc>
        <w:tc>
          <w:tcPr>
            <w:tcW w:w="52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720"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264" w:type="pct"/>
            <w:vAlign w:val="center"/>
          </w:tcPr>
          <w:p>
            <w:pPr>
              <w:pStyle w:val="82"/>
              <w:rPr>
                <w:rFonts w:hint="eastAsia" w:ascii="宋体" w:hAnsi="宋体" w:eastAsia="宋体" w:cs="宋体"/>
              </w:rPr>
            </w:pPr>
            <w:r>
              <w:rPr>
                <w:rFonts w:hint="eastAsia" w:ascii="宋体" w:hAnsi="宋体" w:eastAsia="宋体" w:cs="宋体"/>
              </w:rPr>
              <w:t>1</w:t>
            </w:r>
          </w:p>
        </w:tc>
        <w:tc>
          <w:tcPr>
            <w:tcW w:w="685" w:type="pct"/>
            <w:vAlign w:val="center"/>
          </w:tcPr>
          <w:p>
            <w:pPr>
              <w:pStyle w:val="82"/>
              <w:rPr>
                <w:rFonts w:hint="eastAsia" w:ascii="宋体" w:hAnsi="宋体" w:eastAsia="宋体" w:cs="宋体"/>
              </w:rPr>
            </w:pPr>
            <w:r>
              <w:rPr>
                <w:rFonts w:hint="eastAsia" w:ascii="宋体" w:hAnsi="宋体" w:eastAsia="宋体" w:cs="宋体"/>
                <w:lang w:val="en-US" w:eastAsia="zh-CN"/>
              </w:rPr>
              <w:t>天然</w:t>
            </w:r>
            <w:r>
              <w:rPr>
                <w:rFonts w:hint="eastAsia" w:ascii="宋体" w:hAnsi="宋体" w:eastAsia="宋体" w:cs="宋体"/>
              </w:rPr>
              <w:t>气</w:t>
            </w:r>
            <w:r>
              <w:rPr>
                <w:rFonts w:hint="eastAsia" w:ascii="宋体" w:hAnsi="宋体" w:eastAsia="宋体" w:cs="宋体"/>
                <w:lang w:val="en-US" w:eastAsia="zh-CN"/>
              </w:rPr>
              <w:t>燃料</w:t>
            </w:r>
            <w:r>
              <w:rPr>
                <w:rFonts w:hint="eastAsia" w:ascii="宋体" w:hAnsi="宋体" w:eastAsia="宋体" w:cs="宋体"/>
              </w:rPr>
              <w:t>总价</w:t>
            </w:r>
          </w:p>
        </w:tc>
        <w:tc>
          <w:tcPr>
            <w:tcW w:w="637"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b/>
                <w:kern w:val="2"/>
                <w:sz w:val="21"/>
                <w:szCs w:val="22"/>
                <w:lang w:val="en-US" w:eastAsia="zh-CN" w:bidi="ar-SA"/>
              </w:rPr>
              <w:t>87</w:t>
            </w:r>
            <w:r>
              <w:rPr>
                <w:rFonts w:hint="eastAsia" w:ascii="宋体" w:hAnsi="宋体" w:cs="宋体"/>
                <w:b/>
                <w:kern w:val="2"/>
                <w:sz w:val="21"/>
                <w:szCs w:val="22"/>
                <w:lang w:val="en-US" w:eastAsia="zh-CN" w:bidi="ar-SA"/>
              </w:rPr>
              <w:t>.</w:t>
            </w:r>
            <w:r>
              <w:rPr>
                <w:rFonts w:hint="eastAsia" w:ascii="宋体" w:hAnsi="宋体" w:eastAsia="宋体" w:cs="宋体"/>
                <w:b/>
                <w:kern w:val="2"/>
                <w:sz w:val="21"/>
                <w:szCs w:val="22"/>
                <w:lang w:val="en-US" w:eastAsia="zh-CN" w:bidi="ar-SA"/>
              </w:rPr>
              <w:t>87778</w:t>
            </w:r>
          </w:p>
        </w:tc>
        <w:tc>
          <w:tcPr>
            <w:tcW w:w="553" w:type="pct"/>
            <w:vAlign w:val="center"/>
          </w:tcPr>
          <w:p>
            <w:pPr>
              <w:pStyle w:val="82"/>
              <w:rPr>
                <w:rFonts w:hint="eastAsia" w:ascii="宋体" w:hAnsi="宋体" w:eastAsia="宋体" w:cs="宋体"/>
              </w:rPr>
            </w:pPr>
          </w:p>
        </w:tc>
        <w:tc>
          <w:tcPr>
            <w:tcW w:w="576" w:type="pct"/>
            <w:vAlign w:val="center"/>
          </w:tcPr>
          <w:p>
            <w:pPr>
              <w:pStyle w:val="82"/>
              <w:rPr>
                <w:rFonts w:hint="eastAsia" w:ascii="宋体" w:hAnsi="宋体" w:eastAsia="宋体" w:cs="宋体"/>
              </w:rPr>
            </w:pPr>
          </w:p>
        </w:tc>
        <w:tc>
          <w:tcPr>
            <w:tcW w:w="520" w:type="pct"/>
            <w:vAlign w:val="center"/>
          </w:tcPr>
          <w:p>
            <w:pPr>
              <w:pStyle w:val="82"/>
              <w:rPr>
                <w:rFonts w:hint="eastAsia" w:ascii="宋体" w:hAnsi="宋体" w:eastAsia="宋体" w:cs="宋体"/>
                <w:b w:val="0"/>
                <w:bCs/>
              </w:rPr>
            </w:pPr>
          </w:p>
        </w:tc>
        <w:tc>
          <w:tcPr>
            <w:tcW w:w="520" w:type="pct"/>
            <w:vAlign w:val="center"/>
          </w:tcPr>
          <w:p>
            <w:pPr>
              <w:pStyle w:val="82"/>
              <w:rPr>
                <w:rFonts w:hint="eastAsia" w:ascii="宋体" w:hAnsi="宋体" w:eastAsia="宋体" w:cs="宋体"/>
                <w:b w:val="0"/>
                <w:bCs/>
              </w:rPr>
            </w:pPr>
          </w:p>
        </w:tc>
        <w:tc>
          <w:tcPr>
            <w:tcW w:w="520" w:type="pct"/>
            <w:vAlign w:val="center"/>
          </w:tcPr>
          <w:p>
            <w:pPr>
              <w:pStyle w:val="82"/>
              <w:rPr>
                <w:rFonts w:hint="eastAsia" w:ascii="宋体" w:hAnsi="宋体" w:eastAsia="宋体" w:cs="宋体"/>
                <w:b w:val="0"/>
                <w:bCs/>
              </w:rPr>
            </w:pPr>
          </w:p>
        </w:tc>
        <w:tc>
          <w:tcPr>
            <w:tcW w:w="720"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sz w:val="24"/>
          <w:lang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4、本项目报价上限为100万元（含税），本项目折扣为同步折扣，总价计算方式为：不含税基准总价*折扣*（1+税率）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rPr>
        <w:t>中国重汽集团济南动力有限公司天然气发动机认证用燃料</w:t>
      </w:r>
    </w:p>
    <w:tbl>
      <w:tblPr>
        <w:tblStyle w:val="32"/>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828"/>
        <w:gridCol w:w="828"/>
        <w:gridCol w:w="830"/>
        <w:gridCol w:w="830"/>
        <w:gridCol w:w="826"/>
        <w:gridCol w:w="833"/>
        <w:gridCol w:w="826"/>
        <w:gridCol w:w="826"/>
        <w:gridCol w:w="820"/>
        <w:gridCol w:w="82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3" w:hRule="atLeast"/>
          <w:jc w:val="center"/>
        </w:trPr>
        <w:tc>
          <w:tcPr>
            <w:tcW w:w="455" w:type="pct"/>
            <w:vMerge w:val="restart"/>
            <w:vAlign w:val="center"/>
          </w:tcPr>
          <w:p>
            <w:pPr>
              <w:pStyle w:val="82"/>
              <w:rPr>
                <w:rFonts w:ascii="宋体" w:hAnsi="宋体" w:eastAsia="宋体" w:cs="宋体"/>
              </w:rPr>
            </w:pPr>
            <w:r>
              <w:rPr>
                <w:rFonts w:hint="eastAsia" w:ascii="宋体" w:hAnsi="宋体" w:eastAsia="宋体" w:cs="宋体"/>
              </w:rPr>
              <w:t>产品名称</w:t>
            </w:r>
          </w:p>
        </w:tc>
        <w:tc>
          <w:tcPr>
            <w:tcW w:w="455" w:type="pct"/>
            <w:vMerge w:val="restart"/>
            <w:vAlign w:val="center"/>
          </w:tcPr>
          <w:p>
            <w:pPr>
              <w:pStyle w:val="82"/>
              <w:rPr>
                <w:rFonts w:ascii="宋体" w:hAnsi="宋体" w:eastAsia="宋体" w:cs="宋体"/>
              </w:rPr>
            </w:pPr>
            <w:r>
              <w:rPr>
                <w:rFonts w:hint="eastAsia" w:ascii="宋体" w:hAnsi="宋体" w:eastAsia="宋体" w:cs="宋体"/>
              </w:rPr>
              <w:t>单位</w:t>
            </w:r>
          </w:p>
        </w:tc>
        <w:tc>
          <w:tcPr>
            <w:tcW w:w="456" w:type="pct"/>
            <w:vMerge w:val="restart"/>
            <w:vAlign w:val="center"/>
          </w:tcPr>
          <w:p>
            <w:pPr>
              <w:pStyle w:val="82"/>
              <w:rPr>
                <w:rFonts w:ascii="宋体" w:hAnsi="宋体" w:eastAsia="宋体" w:cs="宋体"/>
              </w:rPr>
            </w:pPr>
            <w:r>
              <w:rPr>
                <w:rFonts w:hint="eastAsia" w:ascii="宋体" w:hAnsi="宋体" w:eastAsia="宋体" w:cs="宋体"/>
              </w:rPr>
              <w:t>特性</w:t>
            </w:r>
          </w:p>
        </w:tc>
        <w:tc>
          <w:tcPr>
            <w:tcW w:w="456" w:type="pct"/>
            <w:vMerge w:val="restart"/>
            <w:vAlign w:val="center"/>
          </w:tcPr>
          <w:p>
            <w:pPr>
              <w:pStyle w:val="82"/>
              <w:rPr>
                <w:rFonts w:ascii="宋体" w:hAnsi="宋体" w:eastAsia="宋体" w:cs="宋体"/>
              </w:rPr>
            </w:pPr>
            <w:r>
              <w:rPr>
                <w:rFonts w:hint="eastAsia" w:ascii="宋体" w:hAnsi="宋体" w:eastAsia="宋体" w:cs="宋体"/>
              </w:rPr>
              <w:t>基础</w:t>
            </w:r>
          </w:p>
        </w:tc>
        <w:tc>
          <w:tcPr>
            <w:tcW w:w="912" w:type="pct"/>
            <w:gridSpan w:val="2"/>
            <w:vAlign w:val="center"/>
          </w:tcPr>
          <w:p>
            <w:pPr>
              <w:pStyle w:val="82"/>
              <w:rPr>
                <w:rFonts w:ascii="宋体" w:hAnsi="宋体" w:eastAsia="宋体" w:cs="宋体"/>
              </w:rPr>
            </w:pPr>
            <w:r>
              <w:rPr>
                <w:rFonts w:hint="eastAsia" w:ascii="宋体" w:hAnsi="宋体" w:eastAsia="宋体" w:cs="宋体"/>
              </w:rPr>
              <w:t>限值</w:t>
            </w:r>
          </w:p>
        </w:tc>
        <w:tc>
          <w:tcPr>
            <w:tcW w:w="454" w:type="pct"/>
            <w:vMerge w:val="restart"/>
            <w:vAlign w:val="center"/>
          </w:tcPr>
          <w:p>
            <w:pPr>
              <w:pStyle w:val="82"/>
              <w:rPr>
                <w:rFonts w:hint="default" w:ascii="宋体" w:hAnsi="宋体" w:eastAsia="宋体" w:cs="宋体"/>
                <w:lang w:val="en-US" w:eastAsia="zh-CN"/>
              </w:rPr>
            </w:pPr>
            <w:r>
              <w:rPr>
                <w:rFonts w:ascii="宋体" w:hAnsi="宋体" w:eastAsia="宋体" w:cs="宋体"/>
              </w:rPr>
              <w:t>预估用量（</w:t>
            </w:r>
            <w:r>
              <w:rPr>
                <w:rFonts w:hint="eastAsia" w:ascii="宋体" w:hAnsi="宋体" w:eastAsia="宋体" w:cs="宋体"/>
              </w:rPr>
              <w:t>KG</w:t>
            </w:r>
            <w:r>
              <w:rPr>
                <w:rFonts w:ascii="宋体" w:hAnsi="宋体" w:eastAsia="宋体" w:cs="宋体"/>
              </w:rPr>
              <w:t>）</w:t>
            </w:r>
            <w:r>
              <w:rPr>
                <w:rFonts w:hint="eastAsia" w:ascii="宋体" w:hAnsi="宋体" w:eastAsia="宋体" w:cs="宋体"/>
                <w:lang w:val="en-US" w:eastAsia="zh-CN"/>
              </w:rPr>
              <w:t>/2年</w:t>
            </w:r>
          </w:p>
        </w:tc>
        <w:tc>
          <w:tcPr>
            <w:tcW w:w="454" w:type="pct"/>
            <w:vMerge w:val="restart"/>
            <w:vAlign w:val="center"/>
          </w:tcPr>
          <w:p>
            <w:pPr>
              <w:pStyle w:val="82"/>
              <w:rPr>
                <w:rFonts w:ascii="宋体" w:hAnsi="宋体" w:eastAsia="宋体" w:cs="宋体"/>
              </w:rPr>
            </w:pPr>
            <w:r>
              <w:rPr>
                <w:rFonts w:hint="eastAsia" w:ascii="宋体" w:hAnsi="宋体" w:eastAsia="宋体" w:cs="宋体"/>
              </w:rPr>
              <w:t>单价</w:t>
            </w:r>
          </w:p>
          <w:p>
            <w:pPr>
              <w:pStyle w:val="82"/>
              <w:rPr>
                <w:rFonts w:ascii="宋体" w:hAnsi="宋体" w:eastAsia="宋体" w:cs="宋体"/>
              </w:rPr>
            </w:pPr>
            <w:r>
              <w:rPr>
                <w:rFonts w:hint="eastAsia" w:ascii="宋体" w:hAnsi="宋体" w:eastAsia="宋体" w:cs="宋体"/>
              </w:rPr>
              <w:t>（元</w:t>
            </w:r>
            <w:r>
              <w:rPr>
                <w:rFonts w:hint="eastAsia" w:ascii="Times New Roman" w:hAnsi="Times New Roman" w:eastAsia="宋体" w:cs="Times New Roman"/>
                <w:b w:val="0"/>
                <w:color w:val="000000"/>
                <w:kern w:val="0"/>
                <w:sz w:val="20"/>
                <w:szCs w:val="20"/>
              </w:rPr>
              <w:t>/KG</w:t>
            </w:r>
            <w:r>
              <w:rPr>
                <w:rFonts w:hint="eastAsia" w:ascii="宋体" w:hAnsi="宋体" w:eastAsia="宋体" w:cs="宋体"/>
              </w:rPr>
              <w:t>，含税）</w:t>
            </w:r>
          </w:p>
        </w:tc>
        <w:tc>
          <w:tcPr>
            <w:tcW w:w="451" w:type="pct"/>
            <w:vMerge w:val="restart"/>
            <w:vAlign w:val="center"/>
          </w:tcPr>
          <w:p>
            <w:pPr>
              <w:pStyle w:val="82"/>
              <w:rPr>
                <w:rFonts w:ascii="宋体" w:hAnsi="宋体" w:eastAsia="宋体" w:cs="宋体"/>
              </w:rPr>
            </w:pPr>
            <w:r>
              <w:rPr>
                <w:rFonts w:hint="eastAsia" w:ascii="宋体" w:hAnsi="宋体" w:eastAsia="宋体" w:cs="宋体"/>
              </w:rPr>
              <w:t>总价（元，含税）</w:t>
            </w:r>
          </w:p>
        </w:tc>
        <w:tc>
          <w:tcPr>
            <w:tcW w:w="451" w:type="pct"/>
            <w:vMerge w:val="restart"/>
            <w:vAlign w:val="center"/>
          </w:tcPr>
          <w:p>
            <w:pPr>
              <w:pStyle w:val="82"/>
              <w:rPr>
                <w:rFonts w:ascii="宋体" w:hAnsi="宋体" w:eastAsia="宋体" w:cs="宋体"/>
              </w:rPr>
            </w:pPr>
            <w:r>
              <w:rPr>
                <w:rFonts w:hint="eastAsia" w:ascii="宋体" w:hAnsi="宋体" w:eastAsia="宋体" w:cs="宋体"/>
              </w:rPr>
              <w:t>税率</w:t>
            </w:r>
          </w:p>
        </w:tc>
        <w:tc>
          <w:tcPr>
            <w:tcW w:w="451" w:type="pct"/>
            <w:vMerge w:val="restart"/>
            <w:vAlign w:val="center"/>
          </w:tcPr>
          <w:p>
            <w:pPr>
              <w:pStyle w:val="82"/>
              <w:rPr>
                <w:rFonts w:hint="eastAsia" w:ascii="宋体" w:hAnsi="宋体" w:eastAsia="宋体" w:cs="宋体"/>
              </w:rPr>
            </w:pPr>
            <w:r>
              <w:rPr>
                <w:rFonts w:hint="eastAsia" w:ascii="宋体" w:hAnsi="宋体" w:eastAsia="宋体" w:cs="宋体"/>
              </w:rPr>
              <w:t>不含税基准单价/元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2" w:hRule="atLeast"/>
          <w:jc w:val="center"/>
        </w:trPr>
        <w:tc>
          <w:tcPr>
            <w:tcW w:w="455" w:type="pct"/>
            <w:vMerge w:val="continue"/>
            <w:vAlign w:val="center"/>
          </w:tcPr>
          <w:p>
            <w:pPr>
              <w:pStyle w:val="82"/>
              <w:rPr>
                <w:rFonts w:ascii="宋体" w:hAnsi="宋体" w:cs="宋体"/>
              </w:rPr>
            </w:pPr>
          </w:p>
        </w:tc>
        <w:tc>
          <w:tcPr>
            <w:tcW w:w="455" w:type="pct"/>
            <w:vMerge w:val="continue"/>
            <w:vAlign w:val="center"/>
          </w:tcPr>
          <w:p>
            <w:pPr>
              <w:pStyle w:val="82"/>
              <w:rPr>
                <w:rFonts w:ascii="宋体" w:hAnsi="宋体" w:cs="宋体"/>
              </w:rPr>
            </w:pPr>
          </w:p>
        </w:tc>
        <w:tc>
          <w:tcPr>
            <w:tcW w:w="456" w:type="pct"/>
            <w:vMerge w:val="continue"/>
            <w:vAlign w:val="center"/>
          </w:tcPr>
          <w:p>
            <w:pPr>
              <w:pStyle w:val="82"/>
              <w:rPr>
                <w:rFonts w:ascii="宋体" w:hAnsi="宋体" w:cs="宋体"/>
              </w:rPr>
            </w:pPr>
          </w:p>
        </w:tc>
        <w:tc>
          <w:tcPr>
            <w:tcW w:w="456" w:type="pct"/>
            <w:vMerge w:val="continue"/>
            <w:vAlign w:val="center"/>
          </w:tcPr>
          <w:p>
            <w:pPr>
              <w:pStyle w:val="82"/>
              <w:rPr>
                <w:rFonts w:ascii="宋体" w:hAnsi="宋体" w:cs="宋体"/>
              </w:rPr>
            </w:pPr>
          </w:p>
        </w:tc>
        <w:tc>
          <w:tcPr>
            <w:tcW w:w="454" w:type="pct"/>
            <w:vAlign w:val="center"/>
          </w:tcPr>
          <w:p>
            <w:pPr>
              <w:widowControl/>
              <w:jc w:val="center"/>
              <w:rPr>
                <w:color w:val="000000"/>
                <w:kern w:val="0"/>
                <w:sz w:val="18"/>
                <w:szCs w:val="18"/>
              </w:rPr>
            </w:pPr>
            <w:r>
              <w:rPr>
                <w:rFonts w:hint="eastAsia"/>
                <w:color w:val="000000"/>
                <w:kern w:val="0"/>
                <w:sz w:val="18"/>
                <w:szCs w:val="18"/>
              </w:rPr>
              <w:t>最小</w:t>
            </w:r>
          </w:p>
        </w:tc>
        <w:tc>
          <w:tcPr>
            <w:tcW w:w="457" w:type="pct"/>
            <w:vAlign w:val="center"/>
          </w:tcPr>
          <w:p>
            <w:pPr>
              <w:widowControl/>
              <w:jc w:val="center"/>
              <w:rPr>
                <w:color w:val="000000"/>
                <w:kern w:val="0"/>
                <w:sz w:val="18"/>
                <w:szCs w:val="18"/>
              </w:rPr>
            </w:pPr>
            <w:r>
              <w:rPr>
                <w:rFonts w:hint="eastAsia"/>
                <w:color w:val="000000"/>
                <w:kern w:val="0"/>
                <w:sz w:val="18"/>
                <w:szCs w:val="18"/>
              </w:rPr>
              <w:t>最大</w:t>
            </w:r>
          </w:p>
        </w:tc>
        <w:tc>
          <w:tcPr>
            <w:tcW w:w="454" w:type="pct"/>
            <w:vMerge w:val="continue"/>
            <w:vAlign w:val="center"/>
          </w:tcPr>
          <w:p>
            <w:pPr>
              <w:pStyle w:val="82"/>
              <w:rPr>
                <w:rFonts w:ascii="宋体" w:hAnsi="宋体" w:cs="宋体"/>
              </w:rPr>
            </w:pPr>
          </w:p>
        </w:tc>
        <w:tc>
          <w:tcPr>
            <w:tcW w:w="454"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R</w:t>
            </w:r>
          </w:p>
        </w:tc>
        <w:tc>
          <w:tcPr>
            <w:tcW w:w="455" w:type="pct"/>
            <w:vAlign w:val="center"/>
          </w:tcPr>
          <w:p>
            <w:pPr>
              <w:widowControl/>
              <w:jc w:val="center"/>
              <w:rPr>
                <w:color w:val="000000"/>
                <w:kern w:val="0"/>
                <w:sz w:val="20"/>
              </w:rPr>
            </w:pPr>
            <w:r>
              <w:rPr>
                <w:rFonts w:hint="eastAsia"/>
                <w:color w:val="000000"/>
                <w:kern w:val="0"/>
                <w:sz w:val="20"/>
              </w:rPr>
              <w:t>%mole</w:t>
            </w:r>
          </w:p>
        </w:tc>
        <w:tc>
          <w:tcPr>
            <w:tcW w:w="456" w:type="pct"/>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乙烷</w:t>
            </w:r>
          </w:p>
          <w:p>
            <w:pPr>
              <w:widowControl/>
              <w:jc w:val="center"/>
              <w:rPr>
                <w:color w:val="000000"/>
                <w:kern w:val="0"/>
                <w:sz w:val="20"/>
              </w:rPr>
            </w:pPr>
            <w:r>
              <w:rPr>
                <w:rFonts w:hint="eastAsia"/>
                <w:color w:val="000000"/>
                <w:kern w:val="0"/>
                <w:sz w:val="20"/>
              </w:rPr>
              <w:t>余量（*）</w:t>
            </w:r>
          </w:p>
        </w:tc>
        <w:tc>
          <w:tcPr>
            <w:tcW w:w="456"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87</w:t>
            </w:r>
          </w:p>
          <w:p>
            <w:pPr>
              <w:widowControl/>
              <w:jc w:val="center"/>
              <w:rPr>
                <w:color w:val="000000"/>
                <w:kern w:val="0"/>
                <w:sz w:val="20"/>
              </w:rPr>
            </w:pPr>
            <w:r>
              <w:rPr>
                <w:rFonts w:hint="eastAsia"/>
                <w:color w:val="000000"/>
                <w:kern w:val="0"/>
                <w:sz w:val="20"/>
              </w:rPr>
              <w:t>13</w:t>
            </w:r>
          </w:p>
          <w:p>
            <w:pPr>
              <w:widowControl/>
              <w:jc w:val="center"/>
              <w:rPr>
                <w:color w:val="000000"/>
                <w:kern w:val="0"/>
                <w:sz w:val="20"/>
              </w:rPr>
            </w:pPr>
            <w:r>
              <w:rPr>
                <w:rFonts w:hint="eastAsia"/>
                <w:color w:val="000000"/>
                <w:kern w:val="0"/>
                <w:sz w:val="20"/>
              </w:rPr>
              <w:t>--</w:t>
            </w:r>
          </w:p>
        </w:tc>
        <w:tc>
          <w:tcPr>
            <w:tcW w:w="454"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11</w:t>
            </w:r>
          </w:p>
          <w:p>
            <w:pPr>
              <w:widowControl/>
              <w:jc w:val="center"/>
              <w:rPr>
                <w:color w:val="000000"/>
                <w:kern w:val="0"/>
                <w:sz w:val="18"/>
                <w:szCs w:val="18"/>
              </w:rPr>
            </w:pPr>
            <w:r>
              <w:rPr>
                <w:rFonts w:hint="eastAsia"/>
                <w:color w:val="000000"/>
                <w:kern w:val="0"/>
                <w:sz w:val="20"/>
              </w:rPr>
              <w:t>--</w:t>
            </w:r>
          </w:p>
        </w:tc>
        <w:tc>
          <w:tcPr>
            <w:tcW w:w="457"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89</w:t>
            </w:r>
          </w:p>
          <w:p>
            <w:pPr>
              <w:widowControl/>
              <w:jc w:val="center"/>
              <w:rPr>
                <w:color w:val="000000"/>
                <w:kern w:val="0"/>
                <w:sz w:val="20"/>
              </w:rPr>
            </w:pPr>
            <w:r>
              <w:rPr>
                <w:rFonts w:hint="eastAsia"/>
                <w:color w:val="000000"/>
                <w:kern w:val="0"/>
                <w:sz w:val="20"/>
              </w:rPr>
              <w:t>15</w:t>
            </w:r>
          </w:p>
          <w:p>
            <w:pPr>
              <w:widowControl/>
              <w:jc w:val="center"/>
              <w:rPr>
                <w:color w:val="000000"/>
                <w:kern w:val="0"/>
                <w:sz w:val="18"/>
                <w:szCs w:val="18"/>
              </w:rPr>
            </w:pPr>
            <w:r>
              <w:rPr>
                <w:rFonts w:hint="eastAsia"/>
                <w:color w:val="000000"/>
                <w:kern w:val="0"/>
                <w:sz w:val="20"/>
              </w:rPr>
              <w:t>1</w:t>
            </w: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1800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25</w:t>
            </w:r>
          </w:p>
        </w:tc>
        <w:tc>
          <w:tcPr>
            <w:tcW w:w="455" w:type="pct"/>
            <w:vAlign w:val="center"/>
          </w:tcPr>
          <w:p>
            <w:pPr>
              <w:widowControl/>
              <w:jc w:val="center"/>
              <w:rPr>
                <w:color w:val="000000"/>
                <w:kern w:val="0"/>
                <w:sz w:val="20"/>
              </w:rPr>
            </w:pPr>
            <w:r>
              <w:rPr>
                <w:rFonts w:hint="eastAsia"/>
                <w:color w:val="000000"/>
                <w:kern w:val="0"/>
                <w:sz w:val="20"/>
              </w:rPr>
              <w:t>%mole</w:t>
            </w:r>
          </w:p>
        </w:tc>
        <w:tc>
          <w:tcPr>
            <w:tcW w:w="456" w:type="pct"/>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456"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86</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14</w:t>
            </w:r>
          </w:p>
        </w:tc>
        <w:tc>
          <w:tcPr>
            <w:tcW w:w="454"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12</w:t>
            </w:r>
          </w:p>
        </w:tc>
        <w:tc>
          <w:tcPr>
            <w:tcW w:w="457"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88</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16</w:t>
            </w: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2000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CNG</w:t>
            </w:r>
          </w:p>
        </w:tc>
        <w:tc>
          <w:tcPr>
            <w:tcW w:w="455" w:type="pct"/>
            <w:vAlign w:val="center"/>
          </w:tcPr>
          <w:p>
            <w:pPr>
              <w:widowControl/>
              <w:jc w:val="center"/>
            </w:pPr>
          </w:p>
        </w:tc>
        <w:tc>
          <w:tcPr>
            <w:tcW w:w="456" w:type="pct"/>
            <w:vAlign w:val="center"/>
          </w:tcPr>
          <w:p>
            <w:pPr>
              <w:pStyle w:val="82"/>
            </w:pPr>
          </w:p>
        </w:tc>
        <w:tc>
          <w:tcPr>
            <w:tcW w:w="456" w:type="pct"/>
            <w:vAlign w:val="center"/>
          </w:tcPr>
          <w:p>
            <w:pPr>
              <w:widowControl/>
              <w:jc w:val="center"/>
              <w:rPr>
                <w:color w:val="000000"/>
                <w:kern w:val="0"/>
                <w:sz w:val="20"/>
              </w:rPr>
            </w:pPr>
          </w:p>
        </w:tc>
        <w:tc>
          <w:tcPr>
            <w:tcW w:w="454" w:type="pct"/>
            <w:vAlign w:val="center"/>
          </w:tcPr>
          <w:p>
            <w:pPr>
              <w:widowControl/>
              <w:jc w:val="center"/>
              <w:rPr>
                <w:color w:val="000000"/>
                <w:kern w:val="0"/>
                <w:sz w:val="20"/>
              </w:rPr>
            </w:pPr>
          </w:p>
        </w:tc>
        <w:tc>
          <w:tcPr>
            <w:tcW w:w="457" w:type="pct"/>
            <w:vAlign w:val="center"/>
          </w:tcPr>
          <w:p>
            <w:pPr>
              <w:widowControl/>
              <w:jc w:val="center"/>
              <w:rPr>
                <w:color w:val="000000"/>
                <w:kern w:val="0"/>
                <w:sz w:val="20"/>
              </w:rPr>
            </w:pP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1100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LNG</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20000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运费</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20</w:t>
            </w:r>
            <w:r>
              <w:rPr>
                <w:rFonts w:hint="eastAsia"/>
              </w:rPr>
              <w:t>次</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pPr>
            <w:r>
              <w:rPr>
                <w:rFonts w:hint="eastAsia"/>
                <w:lang w:val="en-US" w:eastAsia="zh-CN"/>
              </w:rPr>
              <w:t>1769.9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加急运费</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w:t>
            </w:r>
            <w:r>
              <w:rPr>
                <w:rFonts w:hint="eastAsia"/>
              </w:rPr>
              <w:t>次</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pPr>
            <w:r>
              <w:rPr>
                <w:rFonts w:hint="eastAsia"/>
                <w:lang w:val="en-US" w:eastAsia="zh-CN"/>
              </w:rPr>
              <w:t>1769.9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气瓶租金</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w:t>
            </w:r>
            <w:r>
              <w:rPr>
                <w:rFonts w:hint="eastAsia"/>
              </w:rPr>
              <w:t>00天</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等线"/>
              </w:rPr>
            </w:pPr>
            <w:r>
              <w:rPr>
                <w:rFonts w:hint="eastAsia" w:eastAsia="宋体"/>
                <w:b w:val="0"/>
                <w:bCs/>
                <w:color w:val="000000"/>
                <w:kern w:val="0"/>
                <w:sz w:val="20"/>
              </w:rPr>
              <w:t>气瓶押金</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16</w:t>
            </w:r>
            <w:r>
              <w:rPr>
                <w:rFonts w:hint="eastAsia"/>
              </w:rPr>
              <w:t>组</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免费</w:t>
            </w:r>
          </w:p>
        </w:tc>
      </w:tr>
    </w:tbl>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480" w:firstLineChars="2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480" w:firstLineChars="2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b w:val="0"/>
                <w:bCs/>
                <w:szCs w:val="21"/>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148"/>
        <w:gridCol w:w="850"/>
        <w:gridCol w:w="5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148"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5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981"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1"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148" w:type="dxa"/>
            <w:vAlign w:val="center"/>
          </w:tcPr>
          <w:p>
            <w:pPr>
              <w:spacing w:line="360" w:lineRule="auto"/>
              <w:jc w:val="center"/>
              <w:rPr>
                <w:rFonts w:ascii="宋体" w:hAnsi="宋体" w:cs="宋体"/>
                <w:szCs w:val="21"/>
              </w:rPr>
            </w:pPr>
            <w:r>
              <w:rPr>
                <w:rFonts w:hint="eastAsia" w:ascii="宋体" w:hAnsi="宋体" w:cs="宋体"/>
                <w:color w:val="000000"/>
                <w:szCs w:val="21"/>
              </w:rPr>
              <w:t>合同履约能力</w:t>
            </w:r>
          </w:p>
        </w:tc>
        <w:tc>
          <w:tcPr>
            <w:tcW w:w="85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4</w:t>
            </w:r>
            <w:r>
              <w:rPr>
                <w:rFonts w:ascii="宋体" w:hAnsi="宋体" w:cs="宋体"/>
                <w:szCs w:val="21"/>
              </w:rPr>
              <w:t>0</w:t>
            </w:r>
          </w:p>
        </w:tc>
        <w:tc>
          <w:tcPr>
            <w:tcW w:w="5981" w:type="dxa"/>
            <w:vAlign w:val="center"/>
          </w:tcPr>
          <w:p>
            <w:pPr>
              <w:spacing w:line="360" w:lineRule="auto"/>
              <w:rPr>
                <w:rFonts w:ascii="宋体" w:hAnsi="宋体" w:cs="宋体"/>
                <w:szCs w:val="21"/>
              </w:rPr>
            </w:pPr>
            <w:r>
              <w:rPr>
                <w:rFonts w:hint="eastAsia" w:ascii="宋体" w:hAnsi="宋体" w:cs="宋体"/>
                <w:szCs w:val="21"/>
              </w:rPr>
              <w:t>依据投标人的运营状况、经营业绩、以往合同履约情况（如有）、采购合同、财务状况、生产能力和服务体系评分，满分20分，每缺少一项扣除2分。</w:t>
            </w:r>
          </w:p>
          <w:p>
            <w:pPr>
              <w:spacing w:line="360" w:lineRule="auto"/>
              <w:rPr>
                <w:rFonts w:ascii="宋体" w:hAnsi="宋体" w:cs="宋体"/>
                <w:szCs w:val="21"/>
              </w:rPr>
            </w:pPr>
            <w:r>
              <w:rPr>
                <w:rFonts w:hint="eastAsia" w:ascii="宋体" w:hAnsi="宋体" w:cs="宋体"/>
                <w:szCs w:val="21"/>
              </w:rPr>
              <w:t>加分项：</w:t>
            </w:r>
          </w:p>
          <w:p>
            <w:pPr>
              <w:spacing w:line="360" w:lineRule="auto"/>
              <w:rPr>
                <w:rFonts w:ascii="宋体" w:hAnsi="宋体" w:cs="宋体"/>
                <w:szCs w:val="21"/>
              </w:rPr>
            </w:pPr>
            <w:r>
              <w:rPr>
                <w:rFonts w:hint="eastAsia" w:ascii="宋体" w:hAnsi="宋体" w:cs="宋体"/>
                <w:szCs w:val="21"/>
              </w:rPr>
              <w:t xml:space="preserve">1、拟投标企业若为一家及以上国家级汽车检测机构及发动机重要研发企业（名单见下表）的现行的合格供货商，并提供相关证明材料（包括但不限于合同、发票等），每与一家检测机构合作加2分，满分10分。 </w:t>
            </w:r>
          </w:p>
          <w:p>
            <w:pPr>
              <w:spacing w:line="360" w:lineRule="auto"/>
              <w:rPr>
                <w:rFonts w:ascii="宋体" w:hAnsi="宋体" w:cs="宋体"/>
                <w:szCs w:val="21"/>
              </w:rPr>
            </w:pPr>
            <w:r>
              <w:rPr>
                <w:rFonts w:hint="eastAsia" w:ascii="宋体" w:hAnsi="宋体" w:cs="宋体"/>
                <w:szCs w:val="21"/>
              </w:rPr>
              <w:t>2、对投标条件中要求的证书（至少有基准燃料GR、基准燃料G20、基准燃料G23、基准燃料G25），对采购货物中气体浓度范围及相对扩展不确定度的要求，标准物质证书能够完全覆盖，每有一项标准物质证书加2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148" w:type="dxa"/>
            <w:vAlign w:val="center"/>
          </w:tcPr>
          <w:p>
            <w:pPr>
              <w:spacing w:line="360" w:lineRule="auto"/>
              <w:jc w:val="center"/>
              <w:rPr>
                <w:rFonts w:ascii="宋体" w:hAnsi="宋体" w:cs="宋体"/>
                <w:szCs w:val="21"/>
              </w:rPr>
            </w:pPr>
            <w:r>
              <w:rPr>
                <w:rFonts w:hint="eastAsia"/>
              </w:rPr>
              <w:t>供货周期</w:t>
            </w:r>
          </w:p>
        </w:tc>
        <w:tc>
          <w:tcPr>
            <w:tcW w:w="850" w:type="dxa"/>
            <w:vAlign w:val="center"/>
          </w:tcPr>
          <w:p>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0</w:t>
            </w:r>
          </w:p>
        </w:tc>
        <w:tc>
          <w:tcPr>
            <w:tcW w:w="5981" w:type="dxa"/>
            <w:vAlign w:val="center"/>
          </w:tcPr>
          <w:p>
            <w:pPr>
              <w:spacing w:line="360" w:lineRule="auto"/>
              <w:rPr>
                <w:rFonts w:ascii="宋体" w:hAnsi="宋体" w:cs="宋体"/>
                <w:bCs/>
                <w:szCs w:val="21"/>
              </w:rPr>
            </w:pPr>
            <w:r>
              <w:rPr>
                <w:rFonts w:hint="eastAsia" w:ascii="宋体" w:hAnsi="宋体" w:cs="宋体"/>
                <w:bCs/>
                <w:szCs w:val="21"/>
              </w:rPr>
              <w:t>视供货周期长短在0-</w:t>
            </w:r>
            <w:r>
              <w:rPr>
                <w:rFonts w:ascii="宋体" w:hAnsi="宋体" w:cs="宋体"/>
                <w:bCs/>
                <w:szCs w:val="21"/>
              </w:rPr>
              <w:t>20</w:t>
            </w:r>
            <w:r>
              <w:rPr>
                <w:rFonts w:hint="eastAsia" w:ascii="宋体" w:hAnsi="宋体" w:cs="宋体"/>
                <w:bCs/>
                <w:szCs w:val="21"/>
              </w:rPr>
              <w:t>之间进行赋分，7天以内送达者</w:t>
            </w:r>
            <w:r>
              <w:rPr>
                <w:rFonts w:ascii="宋体" w:hAnsi="宋体" w:cs="宋体"/>
                <w:bCs/>
                <w:szCs w:val="21"/>
              </w:rPr>
              <w:t>15</w:t>
            </w:r>
            <w:r>
              <w:rPr>
                <w:rFonts w:hint="eastAsia" w:ascii="宋体" w:hAnsi="宋体" w:cs="宋体"/>
                <w:bCs/>
                <w:szCs w:val="21"/>
              </w:rPr>
              <w:t>-</w:t>
            </w:r>
            <w:r>
              <w:rPr>
                <w:rFonts w:ascii="宋体" w:hAnsi="宋体" w:cs="宋体"/>
                <w:bCs/>
                <w:szCs w:val="21"/>
              </w:rPr>
              <w:t>20</w:t>
            </w:r>
            <w:r>
              <w:rPr>
                <w:rFonts w:hint="eastAsia" w:ascii="宋体" w:hAnsi="宋体" w:cs="宋体"/>
                <w:bCs/>
                <w:szCs w:val="21"/>
              </w:rPr>
              <w:t>分，7天至15天送达者</w:t>
            </w:r>
            <w:r>
              <w:rPr>
                <w:rFonts w:ascii="宋体" w:hAnsi="宋体" w:cs="宋体"/>
                <w:bCs/>
                <w:szCs w:val="21"/>
              </w:rPr>
              <w:t>10</w:t>
            </w:r>
            <w:r>
              <w:rPr>
                <w:rFonts w:hint="eastAsia" w:ascii="宋体" w:hAnsi="宋体" w:cs="宋体"/>
                <w:bCs/>
                <w:szCs w:val="21"/>
              </w:rPr>
              <w:t>-</w:t>
            </w:r>
            <w:r>
              <w:rPr>
                <w:rFonts w:ascii="宋体" w:hAnsi="宋体" w:cs="宋体"/>
                <w:bCs/>
                <w:szCs w:val="21"/>
              </w:rPr>
              <w:t>15</w:t>
            </w:r>
            <w:r>
              <w:rPr>
                <w:rFonts w:hint="eastAsia" w:ascii="宋体" w:hAnsi="宋体" w:cs="宋体"/>
                <w:bCs/>
                <w:szCs w:val="21"/>
              </w:rPr>
              <w:t>分，15天至20天送达者0-1</w:t>
            </w:r>
            <w:r>
              <w:rPr>
                <w:rFonts w:ascii="宋体" w:hAnsi="宋体" w:cs="宋体"/>
                <w:bCs/>
                <w:szCs w:val="21"/>
              </w:rPr>
              <w:t>0</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148" w:type="dxa"/>
            <w:vAlign w:val="center"/>
          </w:tcPr>
          <w:p>
            <w:pPr>
              <w:tabs>
                <w:tab w:val="left" w:pos="7854"/>
              </w:tabs>
              <w:spacing w:line="360" w:lineRule="auto"/>
              <w:jc w:val="center"/>
              <w:rPr>
                <w:rFonts w:ascii="宋体" w:hAnsi="宋体" w:cs="宋体"/>
                <w:szCs w:val="21"/>
              </w:rPr>
            </w:pPr>
            <w:r>
              <w:rPr>
                <w:rFonts w:hint="eastAsia" w:ascii="宋体" w:hAnsi="宋体" w:cs="宋体"/>
                <w:szCs w:val="21"/>
              </w:rPr>
              <w:t>售后服务</w:t>
            </w:r>
          </w:p>
        </w:tc>
        <w:tc>
          <w:tcPr>
            <w:tcW w:w="850" w:type="dxa"/>
            <w:vAlign w:val="center"/>
          </w:tcPr>
          <w:p>
            <w:pPr>
              <w:spacing w:line="360" w:lineRule="auto"/>
              <w:jc w:val="center"/>
              <w:rPr>
                <w:rFonts w:ascii="宋体" w:hAnsi="宋体" w:cs="宋体"/>
                <w:szCs w:val="21"/>
              </w:rPr>
            </w:pPr>
            <w:r>
              <w:rPr>
                <w:rFonts w:ascii="宋体" w:hAnsi="宋体" w:cs="宋体"/>
                <w:szCs w:val="21"/>
              </w:rPr>
              <w:t>10</w:t>
            </w:r>
          </w:p>
        </w:tc>
        <w:tc>
          <w:tcPr>
            <w:tcW w:w="5981" w:type="dxa"/>
            <w:vAlign w:val="center"/>
          </w:tcPr>
          <w:p>
            <w:pPr>
              <w:spacing w:line="360" w:lineRule="auto"/>
              <w:rPr>
                <w:rFonts w:ascii="宋体" w:hAnsi="宋体" w:cs="宋体"/>
                <w:bCs/>
                <w:szCs w:val="21"/>
              </w:rPr>
            </w:pPr>
            <w:r>
              <w:rPr>
                <w:rFonts w:hint="eastAsia" w:ascii="宋体" w:hAnsi="宋体" w:cs="宋体"/>
                <w:bCs/>
                <w:szCs w:val="21"/>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148" w:type="dxa"/>
            <w:vAlign w:val="center"/>
          </w:tcPr>
          <w:p>
            <w:pPr>
              <w:tabs>
                <w:tab w:val="left" w:pos="7854"/>
              </w:tabs>
              <w:spacing w:line="360" w:lineRule="auto"/>
              <w:jc w:val="center"/>
              <w:rPr>
                <w:rFonts w:ascii="宋体" w:hAnsi="宋体" w:cs="宋体"/>
                <w:color w:val="000000"/>
                <w:szCs w:val="21"/>
              </w:rPr>
            </w:pPr>
            <w:r>
              <w:rPr>
                <w:rFonts w:hint="eastAsia" w:ascii="宋体" w:hAnsi="宋体" w:cs="宋体"/>
                <w:color w:val="000000"/>
                <w:szCs w:val="21"/>
              </w:rPr>
              <w:t>现场答疑</w:t>
            </w:r>
          </w:p>
        </w:tc>
        <w:tc>
          <w:tcPr>
            <w:tcW w:w="850" w:type="dxa"/>
            <w:vAlign w:val="center"/>
          </w:tcPr>
          <w:p>
            <w:pPr>
              <w:spacing w:line="360" w:lineRule="auto"/>
              <w:jc w:val="center"/>
              <w:rPr>
                <w:rFonts w:ascii="宋体" w:hAnsi="宋体" w:cs="宋体"/>
                <w:szCs w:val="21"/>
              </w:rPr>
            </w:pPr>
            <w:r>
              <w:rPr>
                <w:rFonts w:ascii="宋体" w:hAnsi="宋体" w:cs="宋体"/>
                <w:szCs w:val="21"/>
              </w:rPr>
              <w:t>2</w:t>
            </w:r>
            <w:r>
              <w:rPr>
                <w:rFonts w:hint="eastAsia" w:ascii="宋体" w:hAnsi="宋体" w:cs="宋体"/>
                <w:szCs w:val="21"/>
              </w:rPr>
              <w:t>0</w:t>
            </w:r>
          </w:p>
        </w:tc>
        <w:tc>
          <w:tcPr>
            <w:tcW w:w="5981"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2</w:t>
            </w:r>
            <w:r>
              <w:rPr>
                <w:rFonts w:hint="eastAsia" w:ascii="宋体" w:hAnsi="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148" w:type="dxa"/>
            <w:vAlign w:val="center"/>
          </w:tcPr>
          <w:p>
            <w:pPr>
              <w:spacing w:line="360" w:lineRule="auto"/>
              <w:jc w:val="center"/>
              <w:rPr>
                <w:rFonts w:ascii="宋体" w:hAnsi="宋体" w:cs="宋体"/>
                <w:szCs w:val="21"/>
              </w:rPr>
            </w:pPr>
            <w:r>
              <w:rPr>
                <w:rFonts w:hint="eastAsia" w:ascii="宋体" w:hAnsi="宋体" w:cs="宋体"/>
                <w:szCs w:val="21"/>
              </w:rPr>
              <w:t>响应及偏离</w:t>
            </w:r>
          </w:p>
        </w:tc>
        <w:tc>
          <w:tcPr>
            <w:tcW w:w="850" w:type="dxa"/>
            <w:vAlign w:val="center"/>
          </w:tcPr>
          <w:p>
            <w:pPr>
              <w:spacing w:line="360" w:lineRule="auto"/>
              <w:jc w:val="center"/>
              <w:rPr>
                <w:rFonts w:ascii="宋体" w:hAnsi="宋体" w:cs="宋体"/>
                <w:szCs w:val="21"/>
              </w:rPr>
            </w:pPr>
            <w:r>
              <w:rPr>
                <w:rFonts w:ascii="宋体" w:hAnsi="宋体" w:cs="宋体"/>
                <w:szCs w:val="21"/>
              </w:rPr>
              <w:t>10</w:t>
            </w:r>
          </w:p>
        </w:tc>
        <w:tc>
          <w:tcPr>
            <w:tcW w:w="5981" w:type="dxa"/>
            <w:vAlign w:val="center"/>
          </w:tcPr>
          <w:p>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分，较大偏离每一项扣2分，一般偏离每一项扣1分，最低0分。</w:t>
            </w:r>
          </w:p>
        </w:tc>
      </w:tr>
    </w:tbl>
    <w:p>
      <w:pPr>
        <w:rPr>
          <w:rFonts w:hint="eastAsia" w:ascii="宋体" w:hAnsi="宋体" w:eastAsia="宋体" w:cs="宋体"/>
          <w:b/>
          <w:bCs/>
          <w:sz w:val="24"/>
          <w:szCs w:val="24"/>
        </w:rPr>
      </w:pP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中国重汽集团济南动力有限公司天然气发动机认证用燃料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项目地点：济南市章丘区圣井街道世纪大道7777号重汽工业园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w:t>
      </w:r>
      <w:r>
        <w:rPr>
          <w:rFonts w:hint="eastAsia" w:ascii="宋体" w:hAnsi="宋体" w:cs="宋体"/>
          <w:color w:val="000000"/>
          <w:sz w:val="24"/>
          <w:szCs w:val="24"/>
          <w:u w:val="none"/>
        </w:rPr>
        <w:t>天然气发动机认证用燃料</w:t>
      </w:r>
      <w:r>
        <w:rPr>
          <w:rFonts w:hint="eastAsia" w:ascii="宋体" w:hAnsi="宋体" w:eastAsia="宋体" w:cs="宋体"/>
          <w:sz w:val="24"/>
          <w:szCs w:val="24"/>
        </w:rPr>
        <w:t>采购项目主要采购满足</w:t>
      </w:r>
      <w:r>
        <w:rPr>
          <w:rFonts w:hint="eastAsia" w:ascii="宋体" w:hAnsi="宋体" w:cs="宋体"/>
          <w:sz w:val="24"/>
          <w:szCs w:val="24"/>
          <w:lang w:val="en-US" w:eastAsia="zh-CN"/>
        </w:rPr>
        <w:t>天然气</w:t>
      </w:r>
      <w:r>
        <w:rPr>
          <w:rFonts w:hint="eastAsia" w:ascii="宋体" w:hAnsi="宋体" w:eastAsia="宋体" w:cs="宋体"/>
          <w:sz w:val="24"/>
          <w:szCs w:val="24"/>
        </w:rPr>
        <w:t>发动机认证试验需求的</w:t>
      </w:r>
      <w:r>
        <w:rPr>
          <w:rFonts w:hint="eastAsia" w:ascii="宋体" w:hAnsi="宋体" w:cs="宋体"/>
          <w:sz w:val="24"/>
          <w:szCs w:val="24"/>
          <w:lang w:val="en-US" w:eastAsia="zh-CN"/>
        </w:rPr>
        <w:t>天然气燃料</w:t>
      </w:r>
      <w:r>
        <w:rPr>
          <w:rFonts w:hint="eastAsia" w:ascii="宋体" w:hAnsi="宋体" w:eastAsia="宋体" w:cs="宋体"/>
          <w:sz w:val="24"/>
          <w:szCs w:val="24"/>
        </w:rPr>
        <w:t>气体。根据招标方使用需求，按每次订单约定时间、地点、数量按时供给符合招标方和相关法律法规要求的</w:t>
      </w:r>
      <w:r>
        <w:rPr>
          <w:rFonts w:hint="eastAsia" w:ascii="宋体" w:hAnsi="宋体" w:cs="宋体"/>
          <w:sz w:val="24"/>
          <w:szCs w:val="24"/>
          <w:lang w:val="en-US" w:eastAsia="zh-CN"/>
        </w:rPr>
        <w:t>天然气燃料</w:t>
      </w:r>
      <w:r>
        <w:rPr>
          <w:rFonts w:hint="eastAsia" w:ascii="宋体" w:hAnsi="宋体" w:eastAsia="宋体" w:cs="宋体"/>
          <w:sz w:val="24"/>
          <w:szCs w:val="24"/>
        </w:rPr>
        <w:t>气体，费用据实结算。</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气体物料</w:t>
      </w:r>
      <w:r>
        <w:rPr>
          <w:rFonts w:hint="eastAsia" w:ascii="宋体" w:hAnsi="宋体" w:eastAsia="宋体" w:cs="宋体"/>
          <w:b/>
          <w:color w:val="000000"/>
          <w:sz w:val="24"/>
          <w:szCs w:val="24"/>
        </w:rPr>
        <w:t>信息：</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076"/>
        <w:gridCol w:w="902"/>
        <w:gridCol w:w="709"/>
        <w:gridCol w:w="709"/>
        <w:gridCol w:w="212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1107"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产品名称</w:t>
            </w:r>
          </w:p>
        </w:tc>
        <w:tc>
          <w:tcPr>
            <w:tcW w:w="1076"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特性</w:t>
            </w:r>
          </w:p>
        </w:tc>
        <w:tc>
          <w:tcPr>
            <w:tcW w:w="902" w:type="dxa"/>
            <w:vMerge w:val="restart"/>
            <w:shd w:val="clear" w:color="auto" w:fill="auto"/>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基础</w:t>
            </w:r>
          </w:p>
        </w:tc>
        <w:tc>
          <w:tcPr>
            <w:tcW w:w="1418" w:type="dxa"/>
            <w:gridSpan w:val="2"/>
            <w:shd w:val="clear" w:color="000000" w:fill="FFFFFF"/>
            <w:vAlign w:val="center"/>
          </w:tcPr>
          <w:p>
            <w:pPr>
              <w:widowControl/>
              <w:jc w:val="center"/>
              <w:rPr>
                <w:color w:val="000000"/>
                <w:kern w:val="0"/>
                <w:sz w:val="18"/>
                <w:szCs w:val="18"/>
              </w:rPr>
            </w:pPr>
            <w:r>
              <w:rPr>
                <w:rFonts w:hint="eastAsia"/>
                <w:color w:val="000000"/>
                <w:kern w:val="0"/>
                <w:sz w:val="18"/>
                <w:szCs w:val="18"/>
              </w:rPr>
              <w:t>限值</w:t>
            </w:r>
          </w:p>
        </w:tc>
        <w:tc>
          <w:tcPr>
            <w:tcW w:w="2126"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试验方法</w:t>
            </w:r>
          </w:p>
        </w:tc>
        <w:tc>
          <w:tcPr>
            <w:tcW w:w="1807"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blHeader/>
          <w:jc w:val="center"/>
        </w:trPr>
        <w:tc>
          <w:tcPr>
            <w:tcW w:w="1107"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1076"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902" w:type="dxa"/>
            <w:vMerge w:val="continue"/>
            <w:shd w:val="clear" w:color="auto" w:fill="auto"/>
            <w:vAlign w:val="center"/>
          </w:tcPr>
          <w:p>
            <w:pPr>
              <w:widowControl/>
              <w:jc w:val="center"/>
              <w:rPr>
                <w:rFonts w:ascii="微软雅黑" w:hAnsi="微软雅黑" w:eastAsia="微软雅黑" w:cs="宋体"/>
                <w:b/>
                <w:bCs/>
                <w:kern w:val="0"/>
                <w:sz w:val="18"/>
                <w:szCs w:val="18"/>
              </w:rPr>
            </w:pPr>
          </w:p>
        </w:tc>
        <w:tc>
          <w:tcPr>
            <w:tcW w:w="709" w:type="dxa"/>
            <w:shd w:val="clear" w:color="000000" w:fill="FFFFFF"/>
            <w:vAlign w:val="center"/>
          </w:tcPr>
          <w:p>
            <w:pPr>
              <w:widowControl/>
              <w:jc w:val="center"/>
              <w:rPr>
                <w:color w:val="000000"/>
                <w:kern w:val="0"/>
                <w:sz w:val="18"/>
                <w:szCs w:val="18"/>
              </w:rPr>
            </w:pPr>
            <w:r>
              <w:rPr>
                <w:rFonts w:hint="eastAsia"/>
                <w:color w:val="000000"/>
                <w:kern w:val="0"/>
                <w:sz w:val="18"/>
                <w:szCs w:val="18"/>
              </w:rPr>
              <w:t>最小</w:t>
            </w:r>
          </w:p>
        </w:tc>
        <w:tc>
          <w:tcPr>
            <w:tcW w:w="709" w:type="dxa"/>
            <w:shd w:val="clear" w:color="000000" w:fill="FFFFFF"/>
            <w:vAlign w:val="center"/>
          </w:tcPr>
          <w:p>
            <w:pPr>
              <w:widowControl/>
              <w:jc w:val="center"/>
              <w:rPr>
                <w:color w:val="000000"/>
                <w:kern w:val="0"/>
                <w:sz w:val="18"/>
                <w:szCs w:val="18"/>
              </w:rPr>
            </w:pPr>
            <w:r>
              <w:rPr>
                <w:rFonts w:hint="eastAsia"/>
                <w:color w:val="000000"/>
                <w:kern w:val="0"/>
                <w:sz w:val="18"/>
                <w:szCs w:val="18"/>
              </w:rPr>
              <w:t>最大</w:t>
            </w:r>
          </w:p>
        </w:tc>
        <w:tc>
          <w:tcPr>
            <w:tcW w:w="2126"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1807" w:type="dxa"/>
            <w:vMerge w:val="continue"/>
            <w:shd w:val="clear" w:color="000000" w:fill="FFFFFF"/>
            <w:vAlign w:val="center"/>
          </w:tcPr>
          <w:p>
            <w:pPr>
              <w:widowControl/>
              <w:jc w:val="center"/>
              <w:rPr>
                <w:rFonts w:ascii="微软雅黑" w:hAnsi="微软雅黑" w:eastAsia="微软雅黑"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R</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乙烷</w:t>
            </w:r>
          </w:p>
          <w:p>
            <w:pPr>
              <w:widowControl/>
              <w:jc w:val="center"/>
              <w:rPr>
                <w:color w:val="000000"/>
                <w:kern w:val="0"/>
                <w:sz w:val="20"/>
              </w:rPr>
            </w:pPr>
            <w:r>
              <w:rPr>
                <w:rFonts w:hint="eastAsia"/>
                <w:color w:val="000000"/>
                <w:kern w:val="0"/>
                <w:sz w:val="20"/>
              </w:rPr>
              <w:t>余量（*）</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87</w:t>
            </w:r>
          </w:p>
          <w:p>
            <w:pPr>
              <w:widowControl/>
              <w:jc w:val="center"/>
              <w:rPr>
                <w:color w:val="000000"/>
                <w:kern w:val="0"/>
                <w:sz w:val="20"/>
              </w:rPr>
            </w:pPr>
            <w:r>
              <w:rPr>
                <w:rFonts w:hint="eastAsia"/>
                <w:color w:val="000000"/>
                <w:kern w:val="0"/>
                <w:sz w:val="20"/>
              </w:rPr>
              <w:t>13</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11</w:t>
            </w:r>
          </w:p>
          <w:p>
            <w:pPr>
              <w:widowControl/>
              <w:jc w:val="center"/>
              <w:rPr>
                <w:color w:val="000000"/>
                <w:kern w:val="0"/>
                <w:sz w:val="18"/>
                <w:szCs w:val="18"/>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89</w:t>
            </w:r>
          </w:p>
          <w:p>
            <w:pPr>
              <w:widowControl/>
              <w:jc w:val="center"/>
              <w:rPr>
                <w:color w:val="000000"/>
                <w:kern w:val="0"/>
                <w:sz w:val="20"/>
              </w:rPr>
            </w:pPr>
            <w:r>
              <w:rPr>
                <w:rFonts w:hint="eastAsia"/>
                <w:color w:val="000000"/>
                <w:kern w:val="0"/>
                <w:sz w:val="20"/>
              </w:rPr>
              <w:t>15</w:t>
            </w:r>
          </w:p>
          <w:p>
            <w:pPr>
              <w:widowControl/>
              <w:jc w:val="center"/>
              <w:rPr>
                <w:color w:val="000000"/>
                <w:kern w:val="0"/>
                <w:sz w:val="18"/>
                <w:szCs w:val="18"/>
              </w:rPr>
            </w:pPr>
            <w:r>
              <w:rPr>
                <w:rFonts w:hint="eastAsia"/>
                <w:color w:val="000000"/>
                <w:kern w:val="0"/>
                <w:sz w:val="20"/>
              </w:rPr>
              <w:t>1</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20</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r>
              <w:rPr>
                <w:color w:val="000000"/>
                <w:kern w:val="0"/>
                <w:sz w:val="20"/>
              </w:rPr>
              <w:t>　</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100</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99</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100</w:t>
            </w:r>
          </w:p>
          <w:p>
            <w:pPr>
              <w:widowControl/>
              <w:jc w:val="center"/>
              <w:rPr>
                <w:color w:val="000000"/>
                <w:kern w:val="0"/>
                <w:sz w:val="20"/>
              </w:rPr>
            </w:pPr>
            <w:r>
              <w:rPr>
                <w:rFonts w:hint="eastAsia"/>
                <w:color w:val="000000"/>
                <w:kern w:val="0"/>
                <w:sz w:val="20"/>
              </w:rPr>
              <w:t>1</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23</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92.5</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7.5</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91.5</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6.5</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93.5</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8.5</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惰性组分（氮气除外）+C</w:t>
            </w:r>
            <w:r>
              <w:rPr>
                <w:rFonts w:hint="eastAsia"/>
                <w:color w:val="000000"/>
                <w:kern w:val="0"/>
                <w:sz w:val="20"/>
                <w:vertAlign w:val="subscript"/>
              </w:rPr>
              <w:t>2</w:t>
            </w:r>
            <w:r>
              <w:rPr>
                <w:rFonts w:hint="eastAsia"/>
                <w:color w:val="000000"/>
                <w:kern w:val="0"/>
                <w:sz w:val="20"/>
              </w:rPr>
              <w:t>+C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25</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86</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14</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12</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88</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16</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惰性组分（氮气除外）+C</w:t>
            </w:r>
            <w:r>
              <w:rPr>
                <w:rFonts w:hint="eastAsia"/>
                <w:color w:val="000000"/>
                <w:kern w:val="0"/>
                <w:sz w:val="20"/>
                <w:vertAlign w:val="subscript"/>
              </w:rPr>
              <w:t>2</w:t>
            </w:r>
            <w:r>
              <w:rPr>
                <w:rFonts w:hint="eastAsia"/>
                <w:color w:val="000000"/>
                <w:kern w:val="0"/>
                <w:sz w:val="20"/>
              </w:rPr>
              <w:t>+C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p>
        </w:tc>
        <w:tc>
          <w:tcPr>
            <w:tcW w:w="1076" w:type="dxa"/>
            <w:shd w:val="clear" w:color="000000" w:fill="FFFFFF"/>
            <w:vAlign w:val="center"/>
          </w:tcPr>
          <w:p>
            <w:pPr>
              <w:widowControl/>
              <w:jc w:val="center"/>
              <w:rPr>
                <w:color w:val="000000"/>
                <w:kern w:val="0"/>
                <w:sz w:val="20"/>
              </w:rPr>
            </w:pPr>
            <w:r>
              <w:rPr>
                <w:rFonts w:hint="eastAsia"/>
                <w:color w:val="000000"/>
                <w:kern w:val="0"/>
                <w:sz w:val="20"/>
              </w:rPr>
              <w:t>含硫量</w:t>
            </w:r>
          </w:p>
        </w:tc>
        <w:tc>
          <w:tcPr>
            <w:tcW w:w="902" w:type="dxa"/>
            <w:shd w:val="clear" w:color="auto" w:fill="auto"/>
            <w:vAlign w:val="center"/>
          </w:tcPr>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r>
              <w:rPr>
                <w:rFonts w:hint="eastAsia"/>
                <w:color w:val="000000"/>
                <w:kern w:val="0"/>
                <w:sz w:val="20"/>
              </w:rPr>
              <w:t>10</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11061</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在标准状态（293.2K（20℃）和101.3kPa）下测定的值</w:t>
            </w:r>
            <w:r>
              <w:rPr>
                <w:rFonts w:hint="eastAsia" w:ascii="微软雅黑" w:hAnsi="微软雅黑" w:eastAsia="微软雅黑" w:cs="宋体"/>
                <w:b/>
                <w:bCs/>
                <w:kern w:val="0"/>
                <w:sz w:val="18"/>
                <w:szCs w:val="18"/>
              </w:rPr>
              <w:t>（**）</w:t>
            </w:r>
          </w:p>
        </w:tc>
      </w:tr>
    </w:tbl>
    <w:p>
      <w:pPr>
        <w:pStyle w:val="80"/>
        <w:rPr>
          <w:rFonts w:eastAsia="宋体" w:cs="宋体"/>
        </w:rPr>
      </w:pPr>
      <w:r>
        <w:rPr>
          <w:rFonts w:hint="eastAsia" w:eastAsia="宋体" w:cs="宋体"/>
        </w:rPr>
        <w:t>二、服务要求</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1.本表所列采购货物仅为货物的主要构成部分，应配套供货以及招标方所列其它货物（或设备）和服务，请投标方认真阅读“供货范围”。若有异议，不管是多么微小，都应在投标文件“商务偏离”章节中予以详细说明。</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2.专车加急专送运输费指试验室在紧急情况下采用专车加急运输的方式供货，单批次总费用为</w:t>
      </w:r>
      <w:r>
        <w:rPr>
          <w:rFonts w:hint="eastAsia" w:ascii="宋体" w:hAnsi="宋体" w:cs="宋体"/>
          <w:sz w:val="24"/>
          <w:szCs w:val="24"/>
          <w:lang w:val="en-US" w:eastAsia="zh-CN" w:bidi="ar"/>
        </w:rPr>
        <w:t>天然气</w:t>
      </w:r>
      <w:r>
        <w:rPr>
          <w:rFonts w:hint="eastAsia" w:ascii="宋体" w:hAnsi="宋体" w:cs="宋体"/>
          <w:sz w:val="24"/>
          <w:szCs w:val="24"/>
          <w:lang w:bidi="ar"/>
        </w:rPr>
        <w:t>费用加上专车加急专送运输费，不包含正常供货时的产品运费。</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3.此次项目存在一个货物接收地，意向投标单位，投标前需要来现场进行实地勘察，了解试验室实际情况，以进一步明确供货周期，完善方案。</w:t>
      </w:r>
    </w:p>
    <w:p>
      <w:pPr>
        <w:spacing w:line="360" w:lineRule="auto"/>
        <w:ind w:firstLine="480" w:firstLineChars="200"/>
        <w:jc w:val="left"/>
        <w:rPr>
          <w:rFonts w:ascii="宋体" w:hAnsi="宋体" w:cs="宋体"/>
          <w:sz w:val="24"/>
          <w:szCs w:val="24"/>
        </w:rPr>
      </w:pPr>
    </w:p>
    <w:p>
      <w:pPr>
        <w:pStyle w:val="80"/>
        <w:rPr>
          <w:rFonts w:eastAsia="宋体" w:cs="宋体"/>
        </w:rPr>
      </w:pPr>
      <w:bookmarkStart w:id="23" w:name="_Toc24049"/>
      <w:bookmarkStart w:id="24" w:name="_Toc10152"/>
      <w:bookmarkStart w:id="25" w:name="_Toc385411768"/>
      <w:bookmarkStart w:id="26" w:name="_Toc31558"/>
      <w:bookmarkStart w:id="27" w:name="_Toc490750820"/>
      <w:bookmarkStart w:id="28" w:name="_Toc26699"/>
      <w:r>
        <w:rPr>
          <w:rFonts w:hint="eastAsia" w:eastAsia="宋体" w:cs="宋体"/>
        </w:rPr>
        <w:t>三、技术要求</w:t>
      </w:r>
      <w:bookmarkEnd w:id="23"/>
      <w:bookmarkEnd w:id="24"/>
      <w:bookmarkEnd w:id="25"/>
      <w:bookmarkEnd w:id="26"/>
      <w:bookmarkEnd w:id="27"/>
      <w:bookmarkEnd w:id="28"/>
    </w:p>
    <w:p>
      <w:pPr>
        <w:spacing w:line="420" w:lineRule="exact"/>
        <w:ind w:firstLine="480" w:firstLineChars="200"/>
        <w:rPr>
          <w:rFonts w:hint="eastAsia" w:ascii="宋体" w:hAnsi="宋体" w:cs="宋体"/>
          <w:sz w:val="24"/>
          <w:szCs w:val="24"/>
          <w:lang w:bidi="ar"/>
        </w:rPr>
      </w:pPr>
      <w:r>
        <w:rPr>
          <w:rFonts w:hint="eastAsia" w:ascii="宋体" w:hAnsi="宋体" w:cs="宋体"/>
          <w:sz w:val="24"/>
          <w:szCs w:val="24"/>
          <w:lang w:bidi="ar"/>
        </w:rPr>
        <w:t>招标方所列货物的名称和规格型号，如为某一供应商所特有，则该名称和规格型号可作参考；但要求投标方所提供的货物必须满足本技术标书实质性要求。</w:t>
      </w: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58"/>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rPr>
      </w:pPr>
      <w:bookmarkStart w:id="29" w:name="_Toc465187645"/>
      <w:r>
        <w:rPr>
          <w:rFonts w:hint="eastAsia" w:ascii="宋体" w:hAnsi="宋体" w:eastAsia="宋体" w:cs="宋体"/>
        </w:rPr>
        <w:t>第三章  质保期及售后服务</w:t>
      </w:r>
      <w:bookmarkEnd w:id="29"/>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r>
        <w:rPr>
          <w:rFonts w:hint="eastAsia" w:eastAsia="宋体" w:cs="宋体"/>
        </w:rPr>
        <w:t>一、质保期及质保要求</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highlight w:val="none"/>
        </w:rPr>
      </w:pPr>
      <w:r>
        <w:rPr>
          <w:rFonts w:hint="eastAsia"/>
          <w:color w:val="000000"/>
          <w:kern w:val="0"/>
          <w:sz w:val="24"/>
          <w:szCs w:val="24"/>
          <w:highlight w:val="none"/>
        </w:rPr>
        <w:t>1、全部供货范围内的设备、材料、零配件和工器具等，除合同特别约定外，其质保期均至终验收签字生效之日。</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投标货物或涉及的关键总成和零件，如果有更长时间质保期，允许更改并说明，此将有利于投标方。</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设计使用寿命短于质保期的易损件除外，但属于易损件的，应当有明确说明。</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2、质保期之内，如果货物出现设备、总成、关键零部件或者多处一般零部件的二次以上的更换或维修行为，则质保期自更换或维修行为结束、货物重新正常运行使用之日起重新计算。</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3、质保期内免费提供零部件和及时有效的服务。质保期内因货物本身缺陷造成的各种故障，卖方应负责免费维修和服务。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4、质保期终止之日起一年内重复出现的质保期之内出现的故障，仍属质保范围而且应当免费。</w:t>
      </w:r>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r>
        <w:rPr>
          <w:rFonts w:hint="eastAsia" w:eastAsia="宋体" w:cs="宋体"/>
        </w:rPr>
        <w:t>二、售后服务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1、卖方提供的货物涉及的所有售后服务均由卖方负责。如果发生问题并且收到通知，卖方应当在2小时内予以答复。</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2、如发现所提供的货物存在问题，需要卖方解决或配合解决时：在质保期之内，应在接到通知后</w:t>
      </w:r>
      <w:r>
        <w:rPr>
          <w:rFonts w:hint="eastAsia"/>
          <w:color w:val="000000"/>
          <w:kern w:val="0"/>
          <w:sz w:val="24"/>
          <w:szCs w:val="24"/>
          <w:u w:val="single"/>
        </w:rPr>
        <w:t xml:space="preserve">  24   </w:t>
      </w:r>
      <w:r>
        <w:rPr>
          <w:rFonts w:hint="eastAsia"/>
          <w:color w:val="000000"/>
          <w:kern w:val="0"/>
          <w:sz w:val="24"/>
          <w:szCs w:val="24"/>
        </w:rPr>
        <w:t xml:space="preserve">小时内派有关人员到达现场；在质保期之外，应在接到通知后  </w:t>
      </w:r>
      <w:r>
        <w:rPr>
          <w:rFonts w:hint="eastAsia"/>
          <w:color w:val="000000"/>
          <w:kern w:val="0"/>
          <w:sz w:val="24"/>
          <w:szCs w:val="24"/>
          <w:u w:val="single"/>
        </w:rPr>
        <w:t xml:space="preserve">72   </w:t>
      </w:r>
      <w:r>
        <w:rPr>
          <w:rFonts w:hint="eastAsia"/>
          <w:color w:val="000000"/>
          <w:kern w:val="0"/>
          <w:sz w:val="24"/>
          <w:szCs w:val="24"/>
        </w:rPr>
        <w:t>小时内派有关人员到达现场。</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3、卖方派往买方使用现场的人员，应具有较高的业务素质；现场解决问题时，不得无故拖延或推迟，应为买方提供最佳的服务。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三、其它服务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1、若卖方所提供货物有需要进口的，卖方一般应自行、自费办理；必要时，买卖双方共同办理。</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2、除招标文件、投标文件、答疑文件、技术标书、合同等约定之外，卖方应免费负责必要的或强制性的货物的检验、试验、化验等直接费用。</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color w:val="000000"/>
          <w:kern w:val="44"/>
          <w:sz w:val="30"/>
          <w:szCs w:val="24"/>
        </w:rPr>
      </w:pPr>
      <w:r>
        <w:rPr>
          <w:rFonts w:hint="eastAsia"/>
          <w:color w:val="000000"/>
          <w:kern w:val="0"/>
          <w:sz w:val="24"/>
          <w:szCs w:val="24"/>
        </w:rPr>
        <w:t>3、本章节条款所列“免费”，并非指定不可收费，而是指招标文件、投标文件、答疑文件、技术交流文件、技术标书和合同等范围之外，投标方不可另行收取的费用。</w:t>
      </w:r>
    </w:p>
    <w:p>
      <w:pPr>
        <w:pStyle w:val="58"/>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rPr>
      </w:pPr>
      <w:bookmarkStart w:id="30" w:name="_Toc465187642"/>
      <w:r>
        <w:rPr>
          <w:rFonts w:hint="eastAsia" w:ascii="宋体" w:hAnsi="宋体" w:eastAsia="宋体" w:cs="宋体"/>
        </w:rPr>
        <w:t>第四章  供货范围及供货方式</w:t>
      </w:r>
      <w:bookmarkEnd w:id="30"/>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bookmarkStart w:id="31" w:name="_Toc465187643"/>
      <w:r>
        <w:rPr>
          <w:rFonts w:hint="eastAsia" w:eastAsia="宋体" w:cs="宋体"/>
        </w:rPr>
        <w:t>一、供货范围</w:t>
      </w:r>
      <w:bookmarkEnd w:id="3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（一）一般界定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1、包括本技术标书所列明的主要货物以及货物正常运行所必需的全套接头设备、材料等。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2、包括为保证货物正常安装、使用所必需的整套配件、附件及材料等。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如果使用完成后，卖方有需要收回的配件、附件、材料等，应当在投标文件的技术偏离条款中，予以详细说明；否则视同包括在供货范围之内。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color w:val="000000"/>
          <w:kern w:val="0"/>
          <w:sz w:val="24"/>
          <w:szCs w:val="24"/>
        </w:rPr>
        <w:t>3</w:t>
      </w:r>
      <w:r>
        <w:rPr>
          <w:rFonts w:hint="eastAsia"/>
          <w:color w:val="000000"/>
          <w:kern w:val="0"/>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包括为保证货物自身正常运行所必需的、满足使用地点环境条件的通风、冷却、降温等必需设施。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如投标方难以提供或无优势提供以及属于选用配置的，则应当在投标文件的技术偏离条款中，予以详细说明并注明投标报价未包含该部分的货值。</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（二）供货范围边界界定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1、买方提供货物所需的建筑物（如厂房等）和构筑物（如混凝土池、砼基础等）。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如果投标方认为能源系统接口地点以及操控地点之间的货物数量不清或难以界定，应当以书面方式询标或以单价方式报价；否则视同满足招标方要求。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（三）供货范围特别提示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如果投标方认为本节所列的供货范围难以满足，则仍需要按照本要求提供，但该部分货物应当在投标报价中单独列明货物名称及品质、货值。</w:t>
      </w:r>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bookmarkStart w:id="32" w:name="_Toc465187644"/>
      <w:r>
        <w:rPr>
          <w:rFonts w:hint="eastAsia" w:eastAsia="宋体" w:cs="宋体"/>
        </w:rPr>
        <w:t>二、供货方式</w:t>
      </w:r>
      <w:bookmarkEnd w:id="3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（一）供货方式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指定地点交货方式，即本次招标货物至少包括以下货物及服务：非标或特需设计，制造，至交货地点的运输（含定点装卸），买方安装地验收服务，货物移交等全流程范围。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（二）供货地点：本项目试验室。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（三）供货时间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1、自收到招标方订单之日起，</w:t>
      </w:r>
      <w:r>
        <w:rPr>
          <w:rFonts w:hint="eastAsia" w:ascii="宋体" w:hAnsi="宋体" w:cs="宋体"/>
          <w:color w:val="000000"/>
          <w:sz w:val="24"/>
          <w:szCs w:val="24"/>
          <w:u w:val="single"/>
        </w:rPr>
        <w:t xml:space="preserve">  </w:t>
      </w:r>
      <w:r>
        <w:rPr>
          <w:rFonts w:ascii="宋体" w:hAnsi="宋体" w:cs="宋体"/>
          <w:color w:val="000000"/>
          <w:sz w:val="24"/>
          <w:szCs w:val="24"/>
          <w:u w:val="single"/>
        </w:rPr>
        <w:t>15</w:t>
      </w:r>
      <w:r>
        <w:rPr>
          <w:rFonts w:hint="eastAsia" w:ascii="宋体" w:hAnsi="宋体" w:cs="宋体"/>
          <w:color w:val="000000"/>
          <w:sz w:val="24"/>
          <w:szCs w:val="24"/>
          <w:u w:val="single"/>
        </w:rPr>
        <w:t>-</w:t>
      </w:r>
      <w:r>
        <w:rPr>
          <w:rFonts w:ascii="宋体" w:hAnsi="宋体" w:cs="宋体"/>
          <w:color w:val="000000"/>
          <w:sz w:val="24"/>
          <w:szCs w:val="24"/>
          <w:u w:val="single"/>
        </w:rPr>
        <w:t>20</w:t>
      </w:r>
      <w:r>
        <w:rPr>
          <w:rFonts w:hint="eastAsia" w:ascii="宋体" w:hAnsi="宋体" w:cs="宋体"/>
          <w:color w:val="000000"/>
          <w:sz w:val="24"/>
          <w:szCs w:val="24"/>
          <w:u w:val="single"/>
        </w:rPr>
        <w:t xml:space="preserve">  </w:t>
      </w:r>
      <w:r>
        <w:rPr>
          <w:rFonts w:hint="eastAsia" w:ascii="宋体" w:hAnsi="宋体" w:cs="宋体"/>
          <w:color w:val="000000"/>
          <w:sz w:val="24"/>
          <w:szCs w:val="24"/>
        </w:rPr>
        <w:t>个日历日之内交货至供货地点。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（四）包装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8、包装箱应连续编号，不应出现重复编号。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（五）运输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2、同批货物（或设备）应统一包装、编号运输。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6、货物（或设备）的供应商或物流承运单位应具有危险品运输资质，使用专用危险品运输车辆运输，驾驶员应具有相应运输资质。禁止使用普通物流车辆运输。</w:t>
      </w:r>
    </w:p>
    <w:p>
      <w:pPr>
        <w:pStyle w:val="2"/>
      </w:pP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6019F"/>
    <w:rsid w:val="00B941C5"/>
    <w:rsid w:val="00BA7190"/>
    <w:rsid w:val="00CC1EFC"/>
    <w:rsid w:val="00E5434E"/>
    <w:rsid w:val="00E86C65"/>
    <w:rsid w:val="00EA37A5"/>
    <w:rsid w:val="00F204CA"/>
    <w:rsid w:val="00F47F06"/>
    <w:rsid w:val="00F702D9"/>
    <w:rsid w:val="00F71910"/>
    <w:rsid w:val="00F94AA9"/>
    <w:rsid w:val="029365DB"/>
    <w:rsid w:val="034D0622"/>
    <w:rsid w:val="03D86C60"/>
    <w:rsid w:val="047E2524"/>
    <w:rsid w:val="07E57C0D"/>
    <w:rsid w:val="087F6BF6"/>
    <w:rsid w:val="099C5159"/>
    <w:rsid w:val="0E3C72F9"/>
    <w:rsid w:val="0F197D97"/>
    <w:rsid w:val="0F636C26"/>
    <w:rsid w:val="110F2AEF"/>
    <w:rsid w:val="118B17C0"/>
    <w:rsid w:val="12B91B6C"/>
    <w:rsid w:val="14A15C19"/>
    <w:rsid w:val="14F86836"/>
    <w:rsid w:val="152E6513"/>
    <w:rsid w:val="1577645F"/>
    <w:rsid w:val="16876891"/>
    <w:rsid w:val="16EB793D"/>
    <w:rsid w:val="17EC378B"/>
    <w:rsid w:val="1E0C6080"/>
    <w:rsid w:val="25ED50B4"/>
    <w:rsid w:val="29B128C9"/>
    <w:rsid w:val="2BAC3116"/>
    <w:rsid w:val="2DAD14C1"/>
    <w:rsid w:val="2EB771D0"/>
    <w:rsid w:val="347E0C7B"/>
    <w:rsid w:val="34F7633C"/>
    <w:rsid w:val="37CC1651"/>
    <w:rsid w:val="37FB7F8B"/>
    <w:rsid w:val="3C56250D"/>
    <w:rsid w:val="3F1C728F"/>
    <w:rsid w:val="45EC4E34"/>
    <w:rsid w:val="46077F79"/>
    <w:rsid w:val="4C3A530E"/>
    <w:rsid w:val="4D5D1A3A"/>
    <w:rsid w:val="520D3BC4"/>
    <w:rsid w:val="5A30429E"/>
    <w:rsid w:val="5B4534E9"/>
    <w:rsid w:val="5B857E0A"/>
    <w:rsid w:val="608B254F"/>
    <w:rsid w:val="60AE53F2"/>
    <w:rsid w:val="60EE4022"/>
    <w:rsid w:val="636F4F70"/>
    <w:rsid w:val="64D3442A"/>
    <w:rsid w:val="65AD6236"/>
    <w:rsid w:val="699A3928"/>
    <w:rsid w:val="6F66173B"/>
    <w:rsid w:val="720E4873"/>
    <w:rsid w:val="72D06B5E"/>
    <w:rsid w:val="7647630D"/>
    <w:rsid w:val="77EF6C01"/>
    <w:rsid w:val="77FF5577"/>
    <w:rsid w:val="793223F0"/>
    <w:rsid w:val="7B3D3C1D"/>
    <w:rsid w:val="7D4635F6"/>
    <w:rsid w:val="EDFBA3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7963</Words>
  <Characters>8268</Characters>
  <Lines>247</Lines>
  <Paragraphs>69</Paragraphs>
  <TotalTime>0</TotalTime>
  <ScaleCrop>false</ScaleCrop>
  <LinksUpToDate>false</LinksUpToDate>
  <CharactersWithSpaces>9723</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2025-08-04T16:24:23Z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F10BC96512A44DB0A91BBCAD2867C396</vt:lpwstr>
  </property>
  <property fmtid="{D5CDD505-2E9C-101B-9397-08002B2CF9AE}" pid="4" name="KSOTemplateDocerSaveRecord">
    <vt:lpwstr>eyJoZGlkIjoiN2ZiZjhjZjUxYjg2N2Y1ZjY0NTc5ZGMxYTcwNjRmNWYiLCJ1c2VySWQiOiIzMDg0MzUwNTAifQ==</vt:lpwstr>
  </property>
</Properties>
</file>