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sz w:val="24"/>
        </w:rPr>
      </w:pPr>
    </w:p>
    <w:p>
      <w:pPr>
        <w:ind w:right="1449" w:rightChars="690"/>
        <w:jc w:val="right"/>
        <w:rPr>
          <w:sz w:val="24"/>
        </w:rPr>
      </w:pPr>
      <w:r>
        <w:rPr>
          <w:sz w:val="24"/>
        </w:rPr>
        <w:t>合同登记编号：</w:t>
      </w:r>
      <w:r>
        <w:rPr>
          <w:rFonts w:hint="eastAsia" w:ascii="新宋体" w:hAnsi="新宋体" w:eastAsia="新宋体"/>
          <w:sz w:val="22"/>
          <w:u w:val="single"/>
          <w:lang w:val="en-US" w:eastAsia="zh-CN"/>
        </w:rPr>
        <w:t>TSKJ/RE-PD24-PD03JS20250412</w:t>
      </w:r>
      <w:r>
        <w:rPr>
          <w:sz w:val="24"/>
        </w:rPr>
        <w:t xml:space="preserve">         </w:t>
      </w:r>
    </w:p>
    <w:p>
      <w:pPr>
        <w:spacing w:line="1900" w:lineRule="exact"/>
        <w:jc w:val="center"/>
        <w:rPr>
          <w:rFonts w:hint="eastAsia"/>
          <w:b/>
          <w:sz w:val="44"/>
          <w:szCs w:val="44"/>
        </w:rPr>
      </w:pPr>
      <w:r>
        <w:rPr>
          <w:rFonts w:hint="eastAsia"/>
          <w:b/>
          <w:sz w:val="44"/>
          <w:szCs w:val="44"/>
        </w:rPr>
        <w:t>ZTZY3006靠背侧拉手改为双层结构模具项目</w:t>
      </w:r>
    </w:p>
    <w:p>
      <w:pPr>
        <w:spacing w:line="1900" w:lineRule="exact"/>
        <w:jc w:val="center"/>
        <w:rPr>
          <w:sz w:val="44"/>
          <w:szCs w:val="44"/>
        </w:rPr>
      </w:pPr>
      <w:r>
        <w:rPr>
          <w:b/>
          <w:sz w:val="44"/>
          <w:szCs w:val="44"/>
        </w:rPr>
        <w:t>合 同 书</w:t>
      </w:r>
    </w:p>
    <w:p>
      <w:pPr>
        <w:spacing w:line="480" w:lineRule="auto"/>
        <w:ind w:left="279" w:leftChars="133" w:firstLine="1259" w:firstLineChars="448"/>
        <w:jc w:val="center"/>
        <w:rPr>
          <w:b/>
          <w:bCs/>
          <w:sz w:val="28"/>
          <w:szCs w:val="28"/>
        </w:rPr>
      </w:pPr>
    </w:p>
    <w:p>
      <w:pPr>
        <w:spacing w:line="480" w:lineRule="auto"/>
        <w:ind w:left="279" w:leftChars="133" w:firstLine="1259" w:firstLineChars="448"/>
        <w:jc w:val="center"/>
        <w:rPr>
          <w:b/>
          <w:bCs/>
          <w:sz w:val="28"/>
          <w:szCs w:val="28"/>
        </w:rPr>
      </w:pPr>
    </w:p>
    <w:p>
      <w:pPr>
        <w:spacing w:line="480" w:lineRule="auto"/>
        <w:ind w:left="279" w:leftChars="133" w:firstLine="1259" w:firstLineChars="448"/>
        <w:jc w:val="center"/>
        <w:rPr>
          <w:b/>
          <w:bCs/>
          <w:sz w:val="28"/>
          <w:szCs w:val="28"/>
        </w:rPr>
      </w:pPr>
    </w:p>
    <w:p>
      <w:pPr>
        <w:spacing w:line="480" w:lineRule="auto"/>
        <w:ind w:left="279" w:leftChars="133" w:firstLine="1259" w:firstLineChars="448"/>
        <w:jc w:val="center"/>
        <w:rPr>
          <w:b/>
          <w:bCs/>
          <w:sz w:val="28"/>
          <w:szCs w:val="28"/>
        </w:rPr>
      </w:pPr>
    </w:p>
    <w:p>
      <w:pPr>
        <w:spacing w:line="480" w:lineRule="auto"/>
        <w:ind w:left="279" w:leftChars="133" w:firstLine="1259" w:firstLineChars="448"/>
        <w:jc w:val="center"/>
        <w:rPr>
          <w:b/>
          <w:bCs/>
          <w:sz w:val="28"/>
          <w:szCs w:val="28"/>
        </w:rPr>
      </w:pPr>
    </w:p>
    <w:p>
      <w:pPr>
        <w:spacing w:line="480" w:lineRule="auto"/>
        <w:ind w:left="279" w:leftChars="133" w:firstLine="1259" w:firstLineChars="448"/>
        <w:jc w:val="center"/>
        <w:rPr>
          <w:b/>
          <w:bCs/>
          <w:sz w:val="28"/>
          <w:szCs w:val="28"/>
        </w:rPr>
      </w:pPr>
    </w:p>
    <w:p>
      <w:pPr>
        <w:spacing w:line="480" w:lineRule="auto"/>
        <w:ind w:left="279" w:leftChars="133" w:firstLine="1259" w:firstLineChars="448"/>
        <w:jc w:val="center"/>
        <w:rPr>
          <w:b/>
          <w:bCs/>
          <w:sz w:val="28"/>
          <w:szCs w:val="28"/>
        </w:rPr>
      </w:pPr>
    </w:p>
    <w:p>
      <w:pPr>
        <w:spacing w:line="480" w:lineRule="auto"/>
        <w:ind w:firstLine="2125" w:firstLineChars="756"/>
        <w:rPr>
          <w:b/>
          <w:bCs/>
          <w:sz w:val="28"/>
          <w:szCs w:val="28"/>
        </w:rPr>
      </w:pPr>
      <w:r>
        <w:rPr>
          <w:b/>
          <w:bCs/>
          <w:sz w:val="28"/>
          <w:szCs w:val="28"/>
        </w:rPr>
        <w:t>甲    方：</w:t>
      </w:r>
      <w:r>
        <w:rPr>
          <w:rFonts w:hint="eastAsia" w:ascii="宋体" w:hAnsi="宋体"/>
          <w:b/>
          <w:bCs/>
          <w:sz w:val="28"/>
          <w:szCs w:val="36"/>
          <w:u w:val="single"/>
          <w:lang w:eastAsia="zh-CN"/>
        </w:rPr>
        <w:t>山东通盛汽车科技有限公司</w:t>
      </w:r>
    </w:p>
    <w:p>
      <w:pPr>
        <w:spacing w:line="480" w:lineRule="auto"/>
        <w:ind w:firstLine="2125" w:firstLineChars="756"/>
        <w:rPr>
          <w:b/>
          <w:bCs/>
          <w:sz w:val="28"/>
          <w:szCs w:val="28"/>
        </w:rPr>
      </w:pPr>
      <w:r>
        <w:rPr>
          <w:b/>
          <w:bCs/>
          <w:sz w:val="28"/>
          <w:szCs w:val="28"/>
        </w:rPr>
        <w:t xml:space="preserve">乙    方： </w:t>
      </w:r>
    </w:p>
    <w:p>
      <w:pPr>
        <w:spacing w:line="480" w:lineRule="auto"/>
        <w:rPr>
          <w:b/>
          <w:bCs/>
          <w:sz w:val="28"/>
          <w:szCs w:val="28"/>
        </w:rPr>
      </w:pPr>
    </w:p>
    <w:p>
      <w:pPr>
        <w:spacing w:line="480" w:lineRule="auto"/>
        <w:rPr>
          <w:b/>
          <w:bCs/>
          <w:sz w:val="28"/>
          <w:szCs w:val="28"/>
        </w:rPr>
      </w:pPr>
    </w:p>
    <w:p>
      <w:pPr>
        <w:spacing w:line="480" w:lineRule="auto"/>
        <w:jc w:val="center"/>
        <w:rPr>
          <w:b/>
          <w:bCs/>
          <w:sz w:val="28"/>
          <w:szCs w:val="28"/>
        </w:rPr>
      </w:pPr>
      <w:r>
        <w:rPr>
          <w:b/>
          <w:bCs/>
          <w:sz w:val="28"/>
          <w:szCs w:val="28"/>
        </w:rPr>
        <w:t xml:space="preserve">签订日期： </w:t>
      </w:r>
      <w:r>
        <w:rPr>
          <w:rFonts w:hint="eastAsia"/>
          <w:b/>
          <w:bCs/>
          <w:sz w:val="28"/>
          <w:szCs w:val="28"/>
          <w:lang w:val="en-US" w:eastAsia="zh-CN"/>
        </w:rPr>
        <w:t xml:space="preserve"> </w:t>
      </w:r>
      <w:r>
        <w:rPr>
          <w:b/>
          <w:bCs/>
          <w:sz w:val="28"/>
          <w:szCs w:val="28"/>
        </w:rPr>
        <w:t>年</w:t>
      </w:r>
      <w:r>
        <w:rPr>
          <w:rFonts w:hint="eastAsia"/>
          <w:b/>
          <w:bCs/>
          <w:sz w:val="28"/>
          <w:szCs w:val="28"/>
        </w:rPr>
        <w:t xml:space="preserve"> </w:t>
      </w:r>
      <w:r>
        <w:rPr>
          <w:rFonts w:hint="eastAsia"/>
          <w:b/>
          <w:bCs/>
          <w:sz w:val="28"/>
          <w:szCs w:val="28"/>
          <w:lang w:val="en-US" w:eastAsia="zh-CN"/>
        </w:rPr>
        <w:t xml:space="preserve">  </w:t>
      </w:r>
      <w:r>
        <w:rPr>
          <w:b/>
          <w:bCs/>
          <w:sz w:val="28"/>
          <w:szCs w:val="28"/>
        </w:rPr>
        <w:t>月</w:t>
      </w:r>
      <w:r>
        <w:rPr>
          <w:rFonts w:hint="eastAsia"/>
          <w:b/>
          <w:bCs/>
          <w:sz w:val="28"/>
          <w:szCs w:val="28"/>
          <w:lang w:val="en-US" w:eastAsia="zh-CN"/>
        </w:rPr>
        <w:t xml:space="preserve">   </w:t>
      </w:r>
      <w:r>
        <w:rPr>
          <w:rFonts w:hint="eastAsia"/>
          <w:b/>
          <w:bCs/>
          <w:sz w:val="28"/>
          <w:szCs w:val="28"/>
        </w:rPr>
        <w:t xml:space="preserve"> </w:t>
      </w:r>
      <w:r>
        <w:rPr>
          <w:b/>
          <w:bCs/>
          <w:sz w:val="28"/>
          <w:szCs w:val="28"/>
        </w:rPr>
        <w:t>日</w:t>
      </w:r>
    </w:p>
    <w:p>
      <w:pPr>
        <w:spacing w:line="360" w:lineRule="auto"/>
        <w:ind w:firstLine="562" w:firstLineChars="200"/>
        <w:jc w:val="left"/>
        <w:rPr>
          <w:rFonts w:ascii="Times New Roman" w:hAnsi="Times New Roman" w:cs="Times New Roman"/>
          <w:sz w:val="24"/>
          <w:szCs w:val="22"/>
        </w:rPr>
      </w:pPr>
      <w:r>
        <w:rPr>
          <w:b/>
          <w:bCs/>
          <w:sz w:val="28"/>
          <w:szCs w:val="28"/>
        </w:rPr>
        <w:br w:type="page"/>
      </w:r>
      <w:r>
        <w:rPr>
          <w:sz w:val="24"/>
        </w:rPr>
        <w:t>一、前言：</w:t>
      </w:r>
    </w:p>
    <w:p>
      <w:pPr>
        <w:spacing w:line="360" w:lineRule="auto"/>
        <w:ind w:firstLine="480" w:firstLineChars="200"/>
        <w:jc w:val="left"/>
        <w:rPr>
          <w:sz w:val="24"/>
        </w:rPr>
      </w:pPr>
      <w:r>
        <w:rPr>
          <w:rFonts w:ascii="Times New Roman" w:hAnsi="Times New Roman" w:cs="Times New Roman"/>
          <w:sz w:val="24"/>
          <w:szCs w:val="22"/>
        </w:rPr>
        <w:t>甲、乙双方就甲方所需</w:t>
      </w:r>
      <w:r>
        <w:rPr>
          <w:rFonts w:hint="eastAsia" w:ascii="Times New Roman" w:hAnsi="Times New Roman" w:cs="Times New Roman"/>
          <w:sz w:val="24"/>
          <w:szCs w:val="22"/>
        </w:rPr>
        <w:t>ZTZY3006靠背侧拉手改为双层结构模具</w:t>
      </w:r>
      <w:r>
        <w:rPr>
          <w:rFonts w:ascii="Times New Roman" w:hAnsi="Times New Roman" w:cs="Times New Roman"/>
          <w:sz w:val="24"/>
          <w:szCs w:val="22"/>
        </w:rPr>
        <w:t>的设计、制造加工、调试等事</w:t>
      </w:r>
      <w:r>
        <w:rPr>
          <w:sz w:val="24"/>
        </w:rPr>
        <w:t>宜，经过友好协商，一致同意签订本合同书。</w:t>
      </w:r>
    </w:p>
    <w:p>
      <w:pPr>
        <w:spacing w:line="420" w:lineRule="exact"/>
        <w:rPr>
          <w:sz w:val="24"/>
        </w:rPr>
      </w:pPr>
      <w:r>
        <w:rPr>
          <w:sz w:val="24"/>
        </w:rPr>
        <w:t>二、项目内容：</w:t>
      </w:r>
    </w:p>
    <w:p>
      <w:pPr>
        <w:spacing w:line="420" w:lineRule="exact"/>
        <w:ind w:firstLine="480" w:firstLineChars="200"/>
        <w:rPr>
          <w:sz w:val="24"/>
        </w:rPr>
      </w:pPr>
      <w:r>
        <w:rPr>
          <w:sz w:val="24"/>
        </w:rPr>
        <w:t>乙方负责</w:t>
      </w:r>
      <w:r>
        <w:rPr>
          <w:bCs/>
          <w:sz w:val="24"/>
        </w:rPr>
        <w:t>甲方</w:t>
      </w:r>
      <w:r>
        <w:rPr>
          <w:rFonts w:hint="eastAsia" w:ascii="Times New Roman" w:hAnsi="Times New Roman" w:cs="Times New Roman"/>
          <w:sz w:val="24"/>
          <w:szCs w:val="22"/>
        </w:rPr>
        <w:t>ZTZY3006靠背侧拉手改为双层结构模具</w:t>
      </w:r>
      <w:r>
        <w:rPr>
          <w:bCs/>
          <w:sz w:val="24"/>
        </w:rPr>
        <w:t>的设计、</w:t>
      </w:r>
      <w:r>
        <w:rPr>
          <w:sz w:val="24"/>
        </w:rPr>
        <w:t>制造加工、</w:t>
      </w:r>
      <w:r>
        <w:rPr>
          <w:rFonts w:hint="eastAsia"/>
          <w:sz w:val="24"/>
        </w:rPr>
        <w:t>调试</w:t>
      </w:r>
      <w:r>
        <w:rPr>
          <w:sz w:val="24"/>
        </w:rPr>
        <w:t>等事宜。</w:t>
      </w:r>
    </w:p>
    <w:p>
      <w:pPr>
        <w:spacing w:line="420" w:lineRule="exact"/>
        <w:ind w:firstLine="480" w:firstLineChars="200"/>
        <w:rPr>
          <w:sz w:val="24"/>
        </w:rPr>
      </w:pPr>
      <w:r>
        <w:rPr>
          <w:sz w:val="24"/>
        </w:rPr>
        <w:t>具体内容详见如下：</w:t>
      </w:r>
    </w:p>
    <w:p>
      <w:pPr>
        <w:spacing w:line="420" w:lineRule="exact"/>
        <w:ind w:firstLine="480" w:firstLineChars="200"/>
        <w:rPr>
          <w:sz w:val="24"/>
        </w:rPr>
      </w:pPr>
      <w:r>
        <w:rPr>
          <w:sz w:val="24"/>
        </w:rPr>
        <w:t>1、甲方需求的</w:t>
      </w:r>
      <w:r>
        <w:rPr>
          <w:rFonts w:hint="eastAsia" w:ascii="Times New Roman" w:hAnsi="Times New Roman" w:cs="Times New Roman"/>
          <w:sz w:val="24"/>
          <w:szCs w:val="22"/>
        </w:rPr>
        <w:t>ZTZY3006靠背侧拉手改为双层结构模具</w:t>
      </w:r>
      <w:r>
        <w:rPr>
          <w:sz w:val="24"/>
        </w:rPr>
        <w:t>，见图1。</w:t>
      </w:r>
    </w:p>
    <w:p>
      <w:pPr>
        <w:jc w:val="both"/>
        <w:rPr>
          <w:sz w:val="24"/>
        </w:rPr>
      </w:pPr>
      <w:r>
        <w:rPr>
          <w:rFonts w:hint="eastAsia"/>
          <w:lang w:val="en-US" w:eastAsia="zh-CN"/>
        </w:rPr>
        <w:t xml:space="preserve">     </w:t>
      </w:r>
      <w:r>
        <w:drawing>
          <wp:inline distT="0" distB="0" distL="114300" distR="114300">
            <wp:extent cx="1895475" cy="317182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1895475" cy="317182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791335" cy="3239135"/>
            <wp:effectExtent l="0" t="0" r="18415" b="1841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6"/>
                    <a:stretch>
                      <a:fillRect/>
                    </a:stretch>
                  </pic:blipFill>
                  <pic:spPr>
                    <a:xfrm>
                      <a:off x="0" y="0"/>
                      <a:ext cx="1791335" cy="3239135"/>
                    </a:xfrm>
                    <a:prstGeom prst="rect">
                      <a:avLst/>
                    </a:prstGeom>
                    <a:noFill/>
                    <a:ln>
                      <a:noFill/>
                    </a:ln>
                  </pic:spPr>
                </pic:pic>
              </a:graphicData>
            </a:graphic>
          </wp:inline>
        </w:drawing>
      </w:r>
    </w:p>
    <w:p>
      <w:pPr>
        <w:spacing w:line="420" w:lineRule="exact"/>
        <w:jc w:val="both"/>
        <w:rPr>
          <w:sz w:val="24"/>
        </w:rPr>
      </w:pPr>
      <w:r>
        <w:rPr>
          <w:rFonts w:hint="eastAsia" w:asciiTheme="minorEastAsia" w:hAnsiTheme="minorEastAsia" w:eastAsiaTheme="minorEastAsia" w:cstheme="minorEastAsia"/>
          <w:sz w:val="28"/>
          <w:szCs w:val="28"/>
          <w:lang w:eastAsia="zh-CN"/>
        </w:rPr>
        <w:t>内衬件的外形尺寸</w:t>
      </w:r>
      <w:r>
        <w:rPr>
          <w:rFonts w:hint="eastAsia" w:asciiTheme="minorEastAsia" w:hAnsiTheme="minorEastAsia" w:eastAsiaTheme="minorEastAsia" w:cstheme="minorEastAsia"/>
          <w:sz w:val="28"/>
          <w:szCs w:val="28"/>
          <w:lang w:val="en-US" w:eastAsia="zh-CN"/>
        </w:rPr>
        <w:t>130mm*110mm，具体数据以三维数模为准</w:t>
      </w:r>
    </w:p>
    <w:p>
      <w:pPr>
        <w:spacing w:line="420" w:lineRule="exact"/>
        <w:ind w:firstLine="480" w:firstLineChars="200"/>
        <w:rPr>
          <w:sz w:val="24"/>
        </w:rPr>
      </w:pPr>
      <w:r>
        <w:rPr>
          <w:sz w:val="24"/>
        </w:rPr>
        <w:t>2、乙方负责甲方</w:t>
      </w:r>
      <w:r>
        <w:rPr>
          <w:rFonts w:hint="eastAsia" w:ascii="Times New Roman" w:hAnsi="Times New Roman" w:cs="Times New Roman"/>
          <w:sz w:val="24"/>
          <w:szCs w:val="22"/>
        </w:rPr>
        <w:t>ZTZY3006靠背侧拉手改为双层结构模具</w:t>
      </w:r>
      <w:r>
        <w:rPr>
          <w:sz w:val="24"/>
        </w:rPr>
        <w:t>制作，明细见表一。</w:t>
      </w:r>
    </w:p>
    <w:p>
      <w:pPr>
        <w:spacing w:line="420" w:lineRule="exact"/>
        <w:ind w:firstLine="480" w:firstLineChars="200"/>
        <w:rPr>
          <w:sz w:val="24"/>
        </w:rPr>
      </w:pPr>
      <w:r>
        <w:rPr>
          <w:sz w:val="24"/>
        </w:rPr>
        <w:t>表一：《旅团过道异型材模具清单》</w:t>
      </w:r>
    </w:p>
    <w:tbl>
      <w:tblPr>
        <w:tblStyle w:val="16"/>
        <w:tblW w:w="88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2980"/>
        <w:gridCol w:w="852"/>
        <w:gridCol w:w="709"/>
        <w:gridCol w:w="1063"/>
        <w:gridCol w:w="820"/>
        <w:gridCol w:w="709"/>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jc w:val="center"/>
        </w:trPr>
        <w:tc>
          <w:tcPr>
            <w:tcW w:w="755" w:type="dxa"/>
            <w:vAlign w:val="center"/>
          </w:tcPr>
          <w:p>
            <w:pPr>
              <w:spacing w:line="360" w:lineRule="exact"/>
              <w:jc w:val="center"/>
              <w:rPr>
                <w:b/>
                <w:kern w:val="0"/>
                <w:szCs w:val="21"/>
              </w:rPr>
            </w:pPr>
            <w:r>
              <w:rPr>
                <w:b/>
                <w:kern w:val="0"/>
                <w:szCs w:val="21"/>
              </w:rPr>
              <w:t>序号</w:t>
            </w:r>
          </w:p>
        </w:tc>
        <w:tc>
          <w:tcPr>
            <w:tcW w:w="2980" w:type="dxa"/>
            <w:vAlign w:val="center"/>
          </w:tcPr>
          <w:p>
            <w:pPr>
              <w:spacing w:line="360" w:lineRule="exact"/>
              <w:jc w:val="center"/>
              <w:rPr>
                <w:b/>
                <w:kern w:val="0"/>
                <w:szCs w:val="21"/>
              </w:rPr>
            </w:pPr>
            <w:r>
              <w:rPr>
                <w:b/>
                <w:kern w:val="0"/>
                <w:szCs w:val="21"/>
              </w:rPr>
              <w:t>模具名称</w:t>
            </w:r>
          </w:p>
        </w:tc>
        <w:tc>
          <w:tcPr>
            <w:tcW w:w="852" w:type="dxa"/>
            <w:vAlign w:val="center"/>
          </w:tcPr>
          <w:p>
            <w:pPr>
              <w:spacing w:line="360" w:lineRule="exact"/>
              <w:jc w:val="center"/>
              <w:rPr>
                <w:b/>
                <w:kern w:val="0"/>
                <w:szCs w:val="21"/>
              </w:rPr>
            </w:pPr>
            <w:r>
              <w:rPr>
                <w:b/>
                <w:kern w:val="0"/>
                <w:szCs w:val="21"/>
              </w:rPr>
              <w:t>工序</w:t>
            </w:r>
          </w:p>
          <w:p>
            <w:pPr>
              <w:spacing w:line="360" w:lineRule="exact"/>
              <w:jc w:val="center"/>
              <w:rPr>
                <w:b/>
                <w:kern w:val="0"/>
                <w:szCs w:val="21"/>
              </w:rPr>
            </w:pPr>
            <w:r>
              <w:rPr>
                <w:b/>
                <w:kern w:val="0"/>
                <w:szCs w:val="21"/>
              </w:rPr>
              <w:t>内容</w:t>
            </w:r>
          </w:p>
        </w:tc>
        <w:tc>
          <w:tcPr>
            <w:tcW w:w="709" w:type="dxa"/>
            <w:vAlign w:val="center"/>
          </w:tcPr>
          <w:p>
            <w:pPr>
              <w:spacing w:line="360" w:lineRule="exact"/>
              <w:jc w:val="center"/>
              <w:rPr>
                <w:b/>
                <w:kern w:val="0"/>
                <w:szCs w:val="21"/>
              </w:rPr>
            </w:pPr>
            <w:r>
              <w:rPr>
                <w:b/>
                <w:kern w:val="0"/>
                <w:szCs w:val="21"/>
              </w:rPr>
              <w:t>数量</w:t>
            </w:r>
          </w:p>
        </w:tc>
        <w:tc>
          <w:tcPr>
            <w:tcW w:w="1063" w:type="dxa"/>
            <w:vAlign w:val="center"/>
          </w:tcPr>
          <w:p>
            <w:pPr>
              <w:spacing w:line="360" w:lineRule="exact"/>
              <w:jc w:val="center"/>
              <w:rPr>
                <w:b/>
                <w:kern w:val="0"/>
                <w:szCs w:val="21"/>
              </w:rPr>
            </w:pPr>
            <w:r>
              <w:rPr>
                <w:b/>
                <w:kern w:val="0"/>
                <w:szCs w:val="21"/>
              </w:rPr>
              <w:t>不含税金额(元)</w:t>
            </w:r>
          </w:p>
        </w:tc>
        <w:tc>
          <w:tcPr>
            <w:tcW w:w="820" w:type="dxa"/>
          </w:tcPr>
          <w:p>
            <w:pPr>
              <w:spacing w:line="360" w:lineRule="exact"/>
              <w:jc w:val="center"/>
              <w:rPr>
                <w:b/>
                <w:kern w:val="0"/>
                <w:szCs w:val="21"/>
              </w:rPr>
            </w:pPr>
            <w:r>
              <w:rPr>
                <w:b/>
                <w:kern w:val="0"/>
                <w:szCs w:val="21"/>
              </w:rPr>
              <w:t>税率(13%)</w:t>
            </w:r>
          </w:p>
        </w:tc>
        <w:tc>
          <w:tcPr>
            <w:tcW w:w="709" w:type="dxa"/>
            <w:vAlign w:val="center"/>
          </w:tcPr>
          <w:p>
            <w:pPr>
              <w:spacing w:line="360" w:lineRule="exact"/>
              <w:jc w:val="center"/>
              <w:rPr>
                <w:b/>
                <w:kern w:val="0"/>
                <w:szCs w:val="21"/>
              </w:rPr>
            </w:pPr>
            <w:r>
              <w:rPr>
                <w:b/>
                <w:kern w:val="0"/>
                <w:szCs w:val="21"/>
              </w:rPr>
              <w:t>税金</w:t>
            </w:r>
          </w:p>
          <w:p>
            <w:pPr>
              <w:spacing w:line="360" w:lineRule="exact"/>
              <w:jc w:val="center"/>
              <w:rPr>
                <w:b/>
                <w:kern w:val="0"/>
                <w:szCs w:val="21"/>
              </w:rPr>
            </w:pPr>
            <w:r>
              <w:rPr>
                <w:b/>
                <w:kern w:val="0"/>
                <w:szCs w:val="21"/>
              </w:rPr>
              <w:t>(元)</w:t>
            </w:r>
          </w:p>
        </w:tc>
        <w:tc>
          <w:tcPr>
            <w:tcW w:w="992" w:type="dxa"/>
            <w:vAlign w:val="center"/>
          </w:tcPr>
          <w:p>
            <w:pPr>
              <w:spacing w:line="360" w:lineRule="exact"/>
              <w:jc w:val="center"/>
              <w:rPr>
                <w:b/>
                <w:kern w:val="0"/>
                <w:szCs w:val="21"/>
              </w:rPr>
            </w:pPr>
            <w:r>
              <w:rPr>
                <w:b/>
                <w:kern w:val="0"/>
                <w:szCs w:val="21"/>
              </w:rPr>
              <w:t>含税金额(元)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jc w:val="center"/>
        </w:trPr>
        <w:tc>
          <w:tcPr>
            <w:tcW w:w="755" w:type="dxa"/>
            <w:vAlign w:val="center"/>
          </w:tcPr>
          <w:p>
            <w:pPr>
              <w:spacing w:line="360" w:lineRule="auto"/>
              <w:jc w:val="center"/>
              <w:rPr>
                <w:rFonts w:eastAsia="仿宋_GB2312"/>
                <w:szCs w:val="21"/>
              </w:rPr>
            </w:pPr>
            <w:r>
              <w:rPr>
                <w:rFonts w:eastAsia="仿宋_GB2312"/>
                <w:szCs w:val="21"/>
              </w:rPr>
              <w:t>1</w:t>
            </w:r>
          </w:p>
        </w:tc>
        <w:tc>
          <w:tcPr>
            <w:tcW w:w="2980" w:type="dxa"/>
            <w:vAlign w:val="center"/>
          </w:tcPr>
          <w:p>
            <w:pPr>
              <w:jc w:val="center"/>
              <w:rPr>
                <w:szCs w:val="21"/>
              </w:rPr>
            </w:pPr>
            <w:r>
              <w:rPr>
                <w:rFonts w:hint="eastAsia" w:ascii="Times New Roman" w:hAnsi="Times New Roman" w:cs="Times New Roman"/>
                <w:sz w:val="24"/>
                <w:szCs w:val="22"/>
              </w:rPr>
              <w:t>ZTZY3006靠背侧拉手改为双层结构模具</w:t>
            </w:r>
          </w:p>
        </w:tc>
        <w:tc>
          <w:tcPr>
            <w:tcW w:w="852" w:type="dxa"/>
            <w:vAlign w:val="center"/>
          </w:tcPr>
          <w:p>
            <w:pPr>
              <w:jc w:val="center"/>
              <w:rPr>
                <w:szCs w:val="21"/>
              </w:rPr>
            </w:pPr>
            <w:r>
              <w:rPr>
                <w:szCs w:val="21"/>
              </w:rPr>
              <w:t>成型</w:t>
            </w:r>
          </w:p>
        </w:tc>
        <w:tc>
          <w:tcPr>
            <w:tcW w:w="709" w:type="dxa"/>
            <w:vAlign w:val="center"/>
          </w:tcPr>
          <w:p>
            <w:pPr>
              <w:spacing w:line="276" w:lineRule="auto"/>
              <w:jc w:val="center"/>
              <w:rPr>
                <w:rFonts w:eastAsia="仿宋_GB2312"/>
                <w:szCs w:val="21"/>
              </w:rPr>
            </w:pPr>
            <w:r>
              <w:rPr>
                <w:rFonts w:eastAsia="仿宋_GB2312"/>
                <w:szCs w:val="21"/>
              </w:rPr>
              <w:t>1</w:t>
            </w:r>
          </w:p>
        </w:tc>
        <w:tc>
          <w:tcPr>
            <w:tcW w:w="1063" w:type="dxa"/>
            <w:vAlign w:val="center"/>
          </w:tcPr>
          <w:p>
            <w:pPr>
              <w:spacing w:line="360" w:lineRule="auto"/>
              <w:jc w:val="center"/>
              <w:rPr>
                <w:rFonts w:eastAsia="仿宋_GB2312"/>
                <w:szCs w:val="21"/>
              </w:rPr>
            </w:pPr>
          </w:p>
        </w:tc>
        <w:tc>
          <w:tcPr>
            <w:tcW w:w="820" w:type="dxa"/>
            <w:vAlign w:val="center"/>
          </w:tcPr>
          <w:p>
            <w:pPr>
              <w:spacing w:line="360" w:lineRule="auto"/>
              <w:jc w:val="center"/>
              <w:rPr>
                <w:rFonts w:eastAsia="仿宋_GB2312"/>
                <w:szCs w:val="21"/>
              </w:rPr>
            </w:pPr>
            <w:r>
              <w:rPr>
                <w:rFonts w:eastAsia="仿宋_GB2312"/>
                <w:szCs w:val="21"/>
              </w:rPr>
              <w:t>13%</w:t>
            </w:r>
          </w:p>
        </w:tc>
        <w:tc>
          <w:tcPr>
            <w:tcW w:w="709" w:type="dxa"/>
            <w:vAlign w:val="center"/>
          </w:tcPr>
          <w:p>
            <w:pPr>
              <w:spacing w:line="360" w:lineRule="auto"/>
              <w:jc w:val="center"/>
              <w:rPr>
                <w:rFonts w:eastAsia="仿宋_GB2312"/>
                <w:szCs w:val="21"/>
              </w:rPr>
            </w:pPr>
          </w:p>
        </w:tc>
        <w:tc>
          <w:tcPr>
            <w:tcW w:w="992" w:type="dxa"/>
            <w:vAlign w:val="center"/>
          </w:tcPr>
          <w:p>
            <w:pPr>
              <w:spacing w:line="440" w:lineRule="exact"/>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jc w:val="center"/>
        </w:trPr>
        <w:tc>
          <w:tcPr>
            <w:tcW w:w="4587" w:type="dxa"/>
            <w:gridSpan w:val="3"/>
            <w:vAlign w:val="center"/>
          </w:tcPr>
          <w:p>
            <w:pPr>
              <w:pStyle w:val="13"/>
              <w:widowControl/>
              <w:snapToGrid w:val="0"/>
              <w:spacing w:before="0" w:beforeAutospacing="0" w:after="0" w:afterAutospacing="0" w:line="240" w:lineRule="atLeast"/>
              <w:jc w:val="center"/>
              <w:rPr>
                <w:rFonts w:ascii="Times New Roman" w:hAnsi="Times New Roman" w:eastAsia="仿宋_GB2312"/>
                <w:sz w:val="21"/>
                <w:szCs w:val="21"/>
              </w:rPr>
            </w:pPr>
            <w:r>
              <w:rPr>
                <w:rFonts w:ascii="Times New Roman" w:hAnsi="Times New Roman" w:eastAsia="宋体"/>
                <w:sz w:val="21"/>
                <w:szCs w:val="21"/>
              </w:rPr>
              <w:t>合计</w:t>
            </w:r>
          </w:p>
        </w:tc>
        <w:tc>
          <w:tcPr>
            <w:tcW w:w="709" w:type="dxa"/>
            <w:vAlign w:val="center"/>
          </w:tcPr>
          <w:p>
            <w:pPr>
              <w:spacing w:line="276" w:lineRule="auto"/>
              <w:jc w:val="center"/>
              <w:rPr>
                <w:rFonts w:eastAsia="仿宋_GB2312"/>
                <w:szCs w:val="21"/>
              </w:rPr>
            </w:pPr>
            <w:r>
              <w:rPr>
                <w:rFonts w:eastAsia="仿宋_GB2312"/>
                <w:szCs w:val="21"/>
              </w:rPr>
              <w:t>1</w:t>
            </w:r>
          </w:p>
        </w:tc>
        <w:tc>
          <w:tcPr>
            <w:tcW w:w="1063" w:type="dxa"/>
            <w:vAlign w:val="center"/>
          </w:tcPr>
          <w:p>
            <w:pPr>
              <w:spacing w:line="360" w:lineRule="auto"/>
              <w:jc w:val="center"/>
              <w:rPr>
                <w:rFonts w:eastAsia="仿宋_GB2312"/>
                <w:szCs w:val="21"/>
              </w:rPr>
            </w:pPr>
          </w:p>
        </w:tc>
        <w:tc>
          <w:tcPr>
            <w:tcW w:w="820" w:type="dxa"/>
            <w:vAlign w:val="center"/>
          </w:tcPr>
          <w:p>
            <w:pPr>
              <w:spacing w:line="360" w:lineRule="auto"/>
              <w:jc w:val="center"/>
              <w:rPr>
                <w:rFonts w:eastAsia="仿宋_GB2312"/>
                <w:szCs w:val="21"/>
              </w:rPr>
            </w:pPr>
          </w:p>
        </w:tc>
        <w:tc>
          <w:tcPr>
            <w:tcW w:w="709" w:type="dxa"/>
            <w:vAlign w:val="center"/>
          </w:tcPr>
          <w:p>
            <w:pPr>
              <w:spacing w:line="360" w:lineRule="auto"/>
              <w:jc w:val="center"/>
              <w:rPr>
                <w:rFonts w:eastAsia="仿宋_GB2312"/>
                <w:szCs w:val="21"/>
              </w:rPr>
            </w:pPr>
          </w:p>
        </w:tc>
        <w:tc>
          <w:tcPr>
            <w:tcW w:w="992" w:type="dxa"/>
            <w:vAlign w:val="center"/>
          </w:tcPr>
          <w:p>
            <w:pPr>
              <w:jc w:val="center"/>
              <w:rPr>
                <w:szCs w:val="21"/>
              </w:rPr>
            </w:pPr>
          </w:p>
        </w:tc>
      </w:tr>
    </w:tbl>
    <w:p>
      <w:pPr>
        <w:spacing w:line="420" w:lineRule="exact"/>
        <w:ind w:firstLine="480" w:firstLineChars="200"/>
        <w:rPr>
          <w:sz w:val="24"/>
        </w:rPr>
      </w:pPr>
      <w:r>
        <w:rPr>
          <w:sz w:val="24"/>
        </w:rPr>
        <w:t>3、乙方负责甲方所需</w:t>
      </w:r>
      <w:r>
        <w:rPr>
          <w:rFonts w:hint="eastAsia" w:ascii="Times New Roman" w:hAnsi="Times New Roman" w:cs="Times New Roman"/>
          <w:sz w:val="24"/>
          <w:szCs w:val="22"/>
        </w:rPr>
        <w:t>ZTZY3006靠背侧拉手改为双层结构模具</w:t>
      </w:r>
      <w:r>
        <w:rPr>
          <w:sz w:val="24"/>
        </w:rPr>
        <w:t>的设计、制作。</w:t>
      </w:r>
    </w:p>
    <w:p>
      <w:pPr>
        <w:spacing w:line="420" w:lineRule="exact"/>
        <w:ind w:firstLine="480" w:firstLineChars="200"/>
        <w:rPr>
          <w:sz w:val="24"/>
        </w:rPr>
      </w:pPr>
      <w:r>
        <w:rPr>
          <w:sz w:val="24"/>
        </w:rPr>
        <w:t>4、乙方按甲方技术条件优化与制造加工。</w:t>
      </w:r>
    </w:p>
    <w:p>
      <w:pPr>
        <w:spacing w:line="420" w:lineRule="exact"/>
        <w:rPr>
          <w:sz w:val="24"/>
        </w:rPr>
      </w:pPr>
      <w:r>
        <w:rPr>
          <w:sz w:val="24"/>
        </w:rPr>
        <w:t>三、项目合同价格：</w:t>
      </w:r>
    </w:p>
    <w:p>
      <w:pPr>
        <w:spacing w:line="420" w:lineRule="exact"/>
        <w:ind w:firstLine="424" w:firstLineChars="177"/>
        <w:rPr>
          <w:sz w:val="24"/>
        </w:rPr>
      </w:pPr>
      <w:r>
        <w:rPr>
          <w:rFonts w:hint="eastAsia" w:ascii="Times New Roman" w:hAnsi="Times New Roman" w:cs="Times New Roman"/>
          <w:sz w:val="24"/>
          <w:szCs w:val="22"/>
        </w:rPr>
        <w:t>ZTZY3006靠背侧拉手改为双层结构模具</w:t>
      </w:r>
      <w:r>
        <w:rPr>
          <w:sz w:val="24"/>
        </w:rPr>
        <w:t>开发项目总金额为人民币含税价****元（人民币大写：****整）。其中不含税金额****元（人民币大写：****），税金****元（人民币大写：****）。乙方需向甲方开具项目总额增值税专用发票（税点13%），合同执行过程中不改变不含税金额。</w:t>
      </w:r>
    </w:p>
    <w:p>
      <w:pPr>
        <w:spacing w:line="420" w:lineRule="exact"/>
        <w:rPr>
          <w:sz w:val="24"/>
        </w:rPr>
      </w:pPr>
      <w:r>
        <w:rPr>
          <w:sz w:val="24"/>
        </w:rPr>
        <w:t>四、付款方式：</w:t>
      </w:r>
    </w:p>
    <w:p>
      <w:pPr>
        <w:autoSpaceDE w:val="0"/>
        <w:autoSpaceDN w:val="0"/>
        <w:adjustRightInd w:val="0"/>
        <w:spacing w:line="420" w:lineRule="exact"/>
        <w:ind w:firstLine="424" w:firstLineChars="177"/>
        <w:jc w:val="left"/>
        <w:rPr>
          <w:sz w:val="24"/>
        </w:rPr>
      </w:pPr>
      <w:r>
        <w:rPr>
          <w:sz w:val="24"/>
        </w:rPr>
        <w:t>双方同意：在乙方已经履行约定节点的相应义务后，甲方及时以商业汇票（</w:t>
      </w:r>
      <w:r>
        <w:rPr>
          <w:rFonts w:hint="eastAsia" w:eastAsia="仿宋_GB2312"/>
          <w:sz w:val="28"/>
          <w:szCs w:val="24"/>
          <w:highlight w:val="none"/>
          <w:lang w:val="en-US" w:eastAsia="zh-CN"/>
        </w:rPr>
        <w:t>包括银行承兑汇票</w:t>
      </w:r>
      <w:r>
        <w:rPr>
          <w:sz w:val="24"/>
        </w:rPr>
        <w:t>）的方式，按下述付款节点向乙方支付合同款项：</w:t>
      </w:r>
    </w:p>
    <w:tbl>
      <w:tblPr>
        <w:tblStyle w:val="16"/>
        <w:tblW w:w="97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4699"/>
        <w:gridCol w:w="850"/>
        <w:gridCol w:w="1134"/>
        <w:gridCol w:w="851"/>
        <w:gridCol w:w="709"/>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8" w:type="dxa"/>
            <w:shd w:val="clear" w:color="auto" w:fill="auto"/>
            <w:vAlign w:val="center"/>
          </w:tcPr>
          <w:p>
            <w:pPr>
              <w:spacing w:line="420" w:lineRule="exact"/>
              <w:jc w:val="center"/>
              <w:rPr>
                <w:sz w:val="24"/>
              </w:rPr>
            </w:pPr>
            <w:r>
              <w:rPr>
                <w:sz w:val="24"/>
              </w:rPr>
              <w:t>序号</w:t>
            </w:r>
          </w:p>
        </w:tc>
        <w:tc>
          <w:tcPr>
            <w:tcW w:w="4699" w:type="dxa"/>
            <w:shd w:val="clear" w:color="auto" w:fill="auto"/>
            <w:vAlign w:val="center"/>
          </w:tcPr>
          <w:p>
            <w:pPr>
              <w:spacing w:line="420" w:lineRule="exact"/>
              <w:jc w:val="center"/>
              <w:rPr>
                <w:sz w:val="24"/>
              </w:rPr>
            </w:pPr>
            <w:r>
              <w:rPr>
                <w:sz w:val="24"/>
              </w:rPr>
              <w:t>付款节点</w:t>
            </w:r>
          </w:p>
        </w:tc>
        <w:tc>
          <w:tcPr>
            <w:tcW w:w="850" w:type="dxa"/>
            <w:shd w:val="clear" w:color="auto" w:fill="auto"/>
            <w:vAlign w:val="center"/>
          </w:tcPr>
          <w:p>
            <w:pPr>
              <w:spacing w:line="420" w:lineRule="exact"/>
              <w:jc w:val="center"/>
              <w:rPr>
                <w:sz w:val="24"/>
              </w:rPr>
            </w:pPr>
            <w:r>
              <w:rPr>
                <w:sz w:val="24"/>
              </w:rPr>
              <w:t>付款比例</w:t>
            </w:r>
          </w:p>
        </w:tc>
        <w:tc>
          <w:tcPr>
            <w:tcW w:w="1134" w:type="dxa"/>
            <w:shd w:val="clear" w:color="auto" w:fill="auto"/>
            <w:vAlign w:val="center"/>
          </w:tcPr>
          <w:p>
            <w:pPr>
              <w:spacing w:line="420" w:lineRule="exact"/>
              <w:jc w:val="center"/>
              <w:rPr>
                <w:sz w:val="24"/>
              </w:rPr>
            </w:pPr>
            <w:r>
              <w:rPr>
                <w:sz w:val="24"/>
              </w:rPr>
              <w:t>不含税金额(元)</w:t>
            </w:r>
          </w:p>
        </w:tc>
        <w:tc>
          <w:tcPr>
            <w:tcW w:w="851" w:type="dxa"/>
            <w:shd w:val="clear" w:color="auto" w:fill="auto"/>
            <w:vAlign w:val="center"/>
          </w:tcPr>
          <w:p>
            <w:pPr>
              <w:spacing w:line="420" w:lineRule="exact"/>
              <w:jc w:val="center"/>
              <w:rPr>
                <w:sz w:val="24"/>
              </w:rPr>
            </w:pPr>
            <w:r>
              <w:rPr>
                <w:sz w:val="24"/>
              </w:rPr>
              <w:t>税额(元)</w:t>
            </w:r>
          </w:p>
        </w:tc>
        <w:tc>
          <w:tcPr>
            <w:tcW w:w="709" w:type="dxa"/>
            <w:shd w:val="clear" w:color="auto" w:fill="auto"/>
            <w:vAlign w:val="center"/>
          </w:tcPr>
          <w:p>
            <w:pPr>
              <w:spacing w:line="420" w:lineRule="exact"/>
              <w:jc w:val="center"/>
              <w:rPr>
                <w:sz w:val="24"/>
              </w:rPr>
            </w:pPr>
            <w:r>
              <w:rPr>
                <w:sz w:val="24"/>
              </w:rPr>
              <w:t>税率</w:t>
            </w:r>
          </w:p>
        </w:tc>
        <w:tc>
          <w:tcPr>
            <w:tcW w:w="982" w:type="dxa"/>
            <w:shd w:val="clear" w:color="auto" w:fill="auto"/>
          </w:tcPr>
          <w:p>
            <w:pPr>
              <w:spacing w:line="420" w:lineRule="exact"/>
              <w:jc w:val="center"/>
              <w:rPr>
                <w:sz w:val="24"/>
              </w:rPr>
            </w:pPr>
            <w:r>
              <w:rPr>
                <w:sz w:val="24"/>
              </w:rPr>
              <w:t>含税金额(元)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8" w:type="dxa"/>
            <w:shd w:val="clear" w:color="auto" w:fill="auto"/>
            <w:vAlign w:val="center"/>
          </w:tcPr>
          <w:p>
            <w:pPr>
              <w:spacing w:line="420" w:lineRule="exact"/>
              <w:jc w:val="center"/>
              <w:rPr>
                <w:sz w:val="24"/>
              </w:rPr>
            </w:pPr>
            <w:r>
              <w:rPr>
                <w:sz w:val="24"/>
              </w:rPr>
              <w:t>1</w:t>
            </w:r>
          </w:p>
        </w:tc>
        <w:tc>
          <w:tcPr>
            <w:tcW w:w="4699" w:type="dxa"/>
            <w:shd w:val="clear" w:color="auto" w:fill="auto"/>
          </w:tcPr>
          <w:p>
            <w:pPr>
              <w:spacing w:line="420" w:lineRule="exact"/>
              <w:rPr>
                <w:sz w:val="24"/>
              </w:rPr>
            </w:pPr>
            <w:r>
              <w:rPr>
                <w:rFonts w:hint="eastAsia" w:eastAsia="仿宋_GB2312"/>
                <w:sz w:val="28"/>
                <w:szCs w:val="24"/>
                <w:highlight w:val="none"/>
                <w:lang w:val="en-US" w:eastAsia="zh-CN"/>
              </w:rPr>
              <w:t>模具交付验收合格后</w:t>
            </w:r>
          </w:p>
        </w:tc>
        <w:tc>
          <w:tcPr>
            <w:tcW w:w="850" w:type="dxa"/>
            <w:shd w:val="clear" w:color="auto" w:fill="auto"/>
            <w:vAlign w:val="center"/>
          </w:tcPr>
          <w:p>
            <w:pPr>
              <w:spacing w:line="420" w:lineRule="exact"/>
              <w:jc w:val="center"/>
              <w:rPr>
                <w:sz w:val="24"/>
              </w:rPr>
            </w:pPr>
            <w:r>
              <w:rPr>
                <w:rFonts w:hint="eastAsia"/>
                <w:sz w:val="24"/>
                <w:lang w:val="en-US" w:eastAsia="zh-CN"/>
              </w:rPr>
              <w:t>9</w:t>
            </w:r>
            <w:r>
              <w:rPr>
                <w:sz w:val="24"/>
              </w:rPr>
              <w:t>0%</w:t>
            </w:r>
          </w:p>
        </w:tc>
        <w:tc>
          <w:tcPr>
            <w:tcW w:w="1134" w:type="dxa"/>
            <w:shd w:val="clear" w:color="auto" w:fill="auto"/>
            <w:vAlign w:val="center"/>
          </w:tcPr>
          <w:p>
            <w:pPr>
              <w:spacing w:line="420" w:lineRule="exact"/>
              <w:jc w:val="center"/>
              <w:rPr>
                <w:sz w:val="24"/>
              </w:rPr>
            </w:pPr>
          </w:p>
        </w:tc>
        <w:tc>
          <w:tcPr>
            <w:tcW w:w="851" w:type="dxa"/>
            <w:shd w:val="clear" w:color="auto" w:fill="auto"/>
            <w:vAlign w:val="center"/>
          </w:tcPr>
          <w:p>
            <w:pPr>
              <w:spacing w:line="420" w:lineRule="exact"/>
              <w:jc w:val="center"/>
              <w:rPr>
                <w:sz w:val="24"/>
              </w:rPr>
            </w:pPr>
          </w:p>
        </w:tc>
        <w:tc>
          <w:tcPr>
            <w:tcW w:w="709" w:type="dxa"/>
            <w:shd w:val="clear" w:color="auto" w:fill="auto"/>
            <w:vAlign w:val="center"/>
          </w:tcPr>
          <w:p>
            <w:pPr>
              <w:spacing w:line="420" w:lineRule="exact"/>
              <w:jc w:val="center"/>
              <w:rPr>
                <w:sz w:val="24"/>
              </w:rPr>
            </w:pPr>
            <w:r>
              <w:rPr>
                <w:sz w:val="24"/>
              </w:rPr>
              <w:t>13%</w:t>
            </w:r>
          </w:p>
        </w:tc>
        <w:tc>
          <w:tcPr>
            <w:tcW w:w="982" w:type="dxa"/>
            <w:shd w:val="clear" w:color="auto" w:fill="auto"/>
          </w:tcPr>
          <w:p>
            <w:pPr>
              <w:spacing w:line="4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8" w:type="dxa"/>
            <w:shd w:val="clear" w:color="auto" w:fill="auto"/>
            <w:vAlign w:val="center"/>
          </w:tcPr>
          <w:p>
            <w:pPr>
              <w:spacing w:line="420" w:lineRule="exact"/>
              <w:jc w:val="center"/>
              <w:rPr>
                <w:sz w:val="24"/>
              </w:rPr>
            </w:pPr>
            <w:r>
              <w:rPr>
                <w:sz w:val="24"/>
              </w:rPr>
              <w:t>2</w:t>
            </w:r>
          </w:p>
        </w:tc>
        <w:tc>
          <w:tcPr>
            <w:tcW w:w="4699" w:type="dxa"/>
            <w:shd w:val="clear" w:color="auto" w:fill="auto"/>
          </w:tcPr>
          <w:p>
            <w:pPr>
              <w:spacing w:line="420" w:lineRule="exact"/>
              <w:rPr>
                <w:sz w:val="24"/>
              </w:rPr>
            </w:pPr>
            <w:r>
              <w:rPr>
                <w:rFonts w:hint="eastAsia" w:eastAsia="仿宋_GB2312"/>
                <w:sz w:val="28"/>
                <w:szCs w:val="24"/>
                <w:highlight w:val="none"/>
                <w:lang w:val="en-US" w:eastAsia="zh-CN"/>
              </w:rPr>
              <w:t>剩余10%（尾款）留作质保金,无质量问题发票入帐</w:t>
            </w:r>
            <w:r>
              <w:rPr>
                <w:rFonts w:hint="default" w:eastAsia="仿宋_GB2312"/>
                <w:sz w:val="28"/>
                <w:szCs w:val="24"/>
                <w:highlight w:val="none"/>
                <w:lang w:val="en-US" w:eastAsia="zh-CN"/>
              </w:rPr>
              <w:t>12</w:t>
            </w:r>
            <w:r>
              <w:rPr>
                <w:rFonts w:hint="eastAsia" w:eastAsia="仿宋_GB2312"/>
                <w:sz w:val="28"/>
                <w:szCs w:val="24"/>
                <w:highlight w:val="none"/>
                <w:lang w:val="en-US" w:eastAsia="zh-CN"/>
              </w:rPr>
              <w:t>个月（一年）经甲方书面确认无质量遗留问题后10个工作日内无息支付</w:t>
            </w:r>
          </w:p>
        </w:tc>
        <w:tc>
          <w:tcPr>
            <w:tcW w:w="850" w:type="dxa"/>
            <w:shd w:val="clear" w:color="auto" w:fill="auto"/>
            <w:vAlign w:val="center"/>
          </w:tcPr>
          <w:p>
            <w:pPr>
              <w:jc w:val="center"/>
              <w:rPr>
                <w:sz w:val="24"/>
              </w:rPr>
            </w:pPr>
            <w:r>
              <w:rPr>
                <w:rFonts w:hint="eastAsia"/>
                <w:sz w:val="24"/>
                <w:lang w:val="en-US" w:eastAsia="zh-CN"/>
              </w:rPr>
              <w:t>1</w:t>
            </w:r>
            <w:r>
              <w:rPr>
                <w:sz w:val="24"/>
              </w:rPr>
              <w:t>0%</w:t>
            </w:r>
          </w:p>
        </w:tc>
        <w:tc>
          <w:tcPr>
            <w:tcW w:w="1134" w:type="dxa"/>
            <w:shd w:val="clear" w:color="auto" w:fill="auto"/>
            <w:vAlign w:val="center"/>
          </w:tcPr>
          <w:p>
            <w:pPr>
              <w:spacing w:line="420" w:lineRule="exact"/>
              <w:jc w:val="center"/>
              <w:rPr>
                <w:sz w:val="24"/>
              </w:rPr>
            </w:pPr>
          </w:p>
        </w:tc>
        <w:tc>
          <w:tcPr>
            <w:tcW w:w="851" w:type="dxa"/>
            <w:shd w:val="clear" w:color="auto" w:fill="auto"/>
            <w:vAlign w:val="center"/>
          </w:tcPr>
          <w:p>
            <w:pPr>
              <w:spacing w:line="420" w:lineRule="exact"/>
              <w:jc w:val="center"/>
              <w:rPr>
                <w:sz w:val="24"/>
              </w:rPr>
            </w:pPr>
          </w:p>
        </w:tc>
        <w:tc>
          <w:tcPr>
            <w:tcW w:w="709" w:type="dxa"/>
            <w:shd w:val="clear" w:color="auto" w:fill="auto"/>
            <w:vAlign w:val="center"/>
          </w:tcPr>
          <w:p>
            <w:pPr>
              <w:spacing w:line="420" w:lineRule="exact"/>
              <w:jc w:val="center"/>
              <w:rPr>
                <w:sz w:val="24"/>
              </w:rPr>
            </w:pPr>
            <w:r>
              <w:rPr>
                <w:sz w:val="24"/>
              </w:rPr>
              <w:t>13%</w:t>
            </w:r>
          </w:p>
        </w:tc>
        <w:tc>
          <w:tcPr>
            <w:tcW w:w="982" w:type="dxa"/>
            <w:shd w:val="clear" w:color="auto" w:fill="auto"/>
          </w:tcPr>
          <w:p>
            <w:pPr>
              <w:spacing w:line="420" w:lineRule="exact"/>
              <w:jc w:val="center"/>
              <w:rPr>
                <w:sz w:val="24"/>
              </w:rPr>
            </w:pPr>
          </w:p>
        </w:tc>
      </w:tr>
    </w:tbl>
    <w:p>
      <w:pPr>
        <w:autoSpaceDE w:val="0"/>
        <w:autoSpaceDN w:val="0"/>
        <w:adjustRightInd w:val="0"/>
        <w:spacing w:line="420" w:lineRule="exact"/>
        <w:jc w:val="left"/>
        <w:rPr>
          <w:sz w:val="24"/>
        </w:rPr>
      </w:pPr>
      <w:r>
        <w:rPr>
          <w:sz w:val="24"/>
        </w:rPr>
        <w:t>五、项目周期及交货期限：</w:t>
      </w:r>
    </w:p>
    <w:tbl>
      <w:tblPr>
        <w:tblStyle w:val="16"/>
        <w:tblW w:w="89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5"/>
        <w:gridCol w:w="6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2785" w:type="dxa"/>
            <w:vAlign w:val="center"/>
          </w:tcPr>
          <w:p>
            <w:pPr>
              <w:autoSpaceDE w:val="0"/>
              <w:autoSpaceDN w:val="0"/>
              <w:adjustRightInd w:val="0"/>
              <w:spacing w:line="420" w:lineRule="exact"/>
              <w:jc w:val="left"/>
              <w:rPr>
                <w:sz w:val="24"/>
              </w:rPr>
            </w:pPr>
            <w:r>
              <w:rPr>
                <w:sz w:val="24"/>
              </w:rPr>
              <w:t>2025年</w:t>
            </w:r>
            <w:r>
              <w:rPr>
                <w:rFonts w:hint="eastAsia"/>
                <w:sz w:val="24"/>
                <w:lang w:val="en-US" w:eastAsia="zh-CN"/>
              </w:rPr>
              <w:t>6</w:t>
            </w:r>
            <w:r>
              <w:rPr>
                <w:sz w:val="24"/>
              </w:rPr>
              <w:t>月</w:t>
            </w:r>
            <w:r>
              <w:rPr>
                <w:rFonts w:hint="eastAsia"/>
                <w:sz w:val="24"/>
                <w:lang w:val="en-US" w:eastAsia="zh-CN"/>
              </w:rPr>
              <w:t>8</w:t>
            </w:r>
            <w:r>
              <w:rPr>
                <w:sz w:val="24"/>
              </w:rPr>
              <w:t>日前</w:t>
            </w:r>
          </w:p>
        </w:tc>
        <w:tc>
          <w:tcPr>
            <w:tcW w:w="6188" w:type="dxa"/>
            <w:vAlign w:val="center"/>
          </w:tcPr>
          <w:p>
            <w:pPr>
              <w:autoSpaceDE w:val="0"/>
              <w:autoSpaceDN w:val="0"/>
              <w:adjustRightInd w:val="0"/>
              <w:spacing w:line="420" w:lineRule="exact"/>
              <w:jc w:val="left"/>
              <w:rPr>
                <w:sz w:val="24"/>
              </w:rPr>
            </w:pPr>
            <w:r>
              <w:rPr>
                <w:sz w:val="24"/>
              </w:rPr>
              <w:t>完成合同签订。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2785" w:type="dxa"/>
            <w:vAlign w:val="center"/>
          </w:tcPr>
          <w:p>
            <w:pPr>
              <w:autoSpaceDE w:val="0"/>
              <w:autoSpaceDN w:val="0"/>
              <w:adjustRightInd w:val="0"/>
              <w:spacing w:line="420" w:lineRule="exact"/>
              <w:jc w:val="left"/>
              <w:rPr>
                <w:sz w:val="24"/>
              </w:rPr>
            </w:pPr>
            <w:r>
              <w:rPr>
                <w:sz w:val="24"/>
              </w:rPr>
              <w:t>2025年</w:t>
            </w:r>
            <w:r>
              <w:rPr>
                <w:rFonts w:hint="eastAsia"/>
                <w:sz w:val="24"/>
                <w:lang w:val="en-US" w:eastAsia="zh-CN"/>
              </w:rPr>
              <w:t>6</w:t>
            </w:r>
            <w:r>
              <w:rPr>
                <w:sz w:val="24"/>
              </w:rPr>
              <w:t>月</w:t>
            </w:r>
            <w:r>
              <w:rPr>
                <w:rFonts w:hint="eastAsia"/>
                <w:sz w:val="24"/>
                <w:lang w:val="en-US" w:eastAsia="zh-CN"/>
              </w:rPr>
              <w:t>15</w:t>
            </w:r>
            <w:r>
              <w:rPr>
                <w:sz w:val="24"/>
              </w:rPr>
              <w:t>日前</w:t>
            </w:r>
          </w:p>
        </w:tc>
        <w:tc>
          <w:tcPr>
            <w:tcW w:w="6188" w:type="dxa"/>
            <w:vAlign w:val="center"/>
          </w:tcPr>
          <w:p>
            <w:pPr>
              <w:autoSpaceDE w:val="0"/>
              <w:autoSpaceDN w:val="0"/>
              <w:adjustRightInd w:val="0"/>
              <w:spacing w:line="420" w:lineRule="exact"/>
              <w:jc w:val="left"/>
              <w:rPr>
                <w:sz w:val="24"/>
              </w:rPr>
            </w:pPr>
            <w:r>
              <w:rPr>
                <w:sz w:val="24"/>
              </w:rPr>
              <w:t>双方完成设计图纸会签。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2785" w:type="dxa"/>
            <w:vAlign w:val="center"/>
          </w:tcPr>
          <w:p>
            <w:pPr>
              <w:autoSpaceDE w:val="0"/>
              <w:autoSpaceDN w:val="0"/>
              <w:adjustRightInd w:val="0"/>
              <w:spacing w:line="420" w:lineRule="exact"/>
              <w:jc w:val="left"/>
              <w:rPr>
                <w:sz w:val="24"/>
              </w:rPr>
            </w:pPr>
            <w:r>
              <w:rPr>
                <w:sz w:val="24"/>
              </w:rPr>
              <w:t>2025年6月</w:t>
            </w:r>
            <w:r>
              <w:rPr>
                <w:rFonts w:hint="eastAsia"/>
                <w:sz w:val="24"/>
                <w:lang w:val="en-US" w:eastAsia="zh-CN"/>
              </w:rPr>
              <w:t>20</w:t>
            </w:r>
            <w:r>
              <w:rPr>
                <w:sz w:val="24"/>
              </w:rPr>
              <w:t>日前</w:t>
            </w:r>
          </w:p>
        </w:tc>
        <w:tc>
          <w:tcPr>
            <w:tcW w:w="6188" w:type="dxa"/>
            <w:vAlign w:val="center"/>
          </w:tcPr>
          <w:p>
            <w:pPr>
              <w:autoSpaceDE w:val="0"/>
              <w:autoSpaceDN w:val="0"/>
              <w:adjustRightInd w:val="0"/>
              <w:spacing w:line="420" w:lineRule="exact"/>
              <w:jc w:val="left"/>
              <w:rPr>
                <w:sz w:val="24"/>
              </w:rPr>
            </w:pPr>
            <w:r>
              <w:rPr>
                <w:sz w:val="24"/>
              </w:rPr>
              <w:t>完成本合同模具的开发及首序样件提供。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2785" w:type="dxa"/>
            <w:vAlign w:val="center"/>
          </w:tcPr>
          <w:p>
            <w:pPr>
              <w:autoSpaceDE w:val="0"/>
              <w:autoSpaceDN w:val="0"/>
              <w:adjustRightInd w:val="0"/>
              <w:spacing w:line="420" w:lineRule="exact"/>
              <w:jc w:val="left"/>
              <w:rPr>
                <w:sz w:val="24"/>
              </w:rPr>
            </w:pPr>
            <w:r>
              <w:rPr>
                <w:sz w:val="24"/>
              </w:rPr>
              <w:t>2025年7月</w:t>
            </w:r>
            <w:r>
              <w:rPr>
                <w:rFonts w:hint="eastAsia"/>
                <w:sz w:val="24"/>
                <w:lang w:val="en-US" w:eastAsia="zh-CN"/>
              </w:rPr>
              <w:t>5</w:t>
            </w:r>
            <w:r>
              <w:rPr>
                <w:sz w:val="24"/>
              </w:rPr>
              <w:t>日前</w:t>
            </w:r>
          </w:p>
        </w:tc>
        <w:tc>
          <w:tcPr>
            <w:tcW w:w="6188" w:type="dxa"/>
            <w:vAlign w:val="center"/>
          </w:tcPr>
          <w:p>
            <w:pPr>
              <w:autoSpaceDE w:val="0"/>
              <w:autoSpaceDN w:val="0"/>
              <w:adjustRightInd w:val="0"/>
              <w:spacing w:line="420" w:lineRule="exact"/>
              <w:jc w:val="left"/>
              <w:rPr>
                <w:sz w:val="24"/>
              </w:rPr>
            </w:pPr>
            <w:r>
              <w:rPr>
                <w:sz w:val="24"/>
              </w:rPr>
              <w:t>完成首序样件预验收。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2785" w:type="dxa"/>
            <w:vAlign w:val="center"/>
          </w:tcPr>
          <w:p>
            <w:pPr>
              <w:autoSpaceDE w:val="0"/>
              <w:autoSpaceDN w:val="0"/>
              <w:adjustRightInd w:val="0"/>
              <w:spacing w:line="420" w:lineRule="exact"/>
              <w:jc w:val="left"/>
              <w:rPr>
                <w:sz w:val="24"/>
              </w:rPr>
            </w:pPr>
            <w:r>
              <w:rPr>
                <w:sz w:val="24"/>
              </w:rPr>
              <w:t>2025年</w:t>
            </w:r>
            <w:r>
              <w:rPr>
                <w:rFonts w:hint="eastAsia"/>
                <w:sz w:val="24"/>
                <w:lang w:val="en-US" w:eastAsia="zh-CN"/>
              </w:rPr>
              <w:t>8</w:t>
            </w:r>
            <w:r>
              <w:rPr>
                <w:sz w:val="24"/>
              </w:rPr>
              <w:t>月30日前</w:t>
            </w:r>
          </w:p>
        </w:tc>
        <w:tc>
          <w:tcPr>
            <w:tcW w:w="6188" w:type="dxa"/>
            <w:vAlign w:val="center"/>
          </w:tcPr>
          <w:p>
            <w:pPr>
              <w:autoSpaceDE w:val="0"/>
              <w:autoSpaceDN w:val="0"/>
              <w:adjustRightInd w:val="0"/>
              <w:spacing w:line="420" w:lineRule="exact"/>
              <w:jc w:val="left"/>
              <w:rPr>
                <w:sz w:val="24"/>
              </w:rPr>
            </w:pPr>
            <w:r>
              <w:rPr>
                <w:sz w:val="24"/>
              </w:rPr>
              <w:t>完成本合同模具的终验收。</w:t>
            </w:r>
          </w:p>
        </w:tc>
      </w:tr>
    </w:tbl>
    <w:p>
      <w:pPr>
        <w:numPr>
          <w:ilvl w:val="0"/>
          <w:numId w:val="1"/>
        </w:numPr>
        <w:spacing w:line="420" w:lineRule="exact"/>
        <w:rPr>
          <w:sz w:val="24"/>
        </w:rPr>
      </w:pPr>
      <w:r>
        <w:rPr>
          <w:sz w:val="24"/>
        </w:rPr>
        <w:t>技术条件及验收：</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1.</w:t>
      </w:r>
      <w:r>
        <w:rPr>
          <w:rFonts w:hint="eastAsia" w:asciiTheme="minorEastAsia" w:hAnsiTheme="minorEastAsia"/>
          <w:color w:val="000000"/>
          <w:sz w:val="28"/>
          <w:szCs w:val="28"/>
        </w:rPr>
        <w:t>尺寸精度</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1.1</w:t>
      </w:r>
      <w:r>
        <w:rPr>
          <w:rFonts w:hint="eastAsia" w:asciiTheme="minorEastAsia" w:hAnsiTheme="minorEastAsia"/>
          <w:color w:val="000000"/>
          <w:sz w:val="28"/>
          <w:szCs w:val="28"/>
        </w:rPr>
        <w:t xml:space="preserve"> 模具型腔和型芯的尺寸精度应满足塑料件的尺寸公差要求，一般精度等级在IT8 - IT10级。对于高精度的塑料件，精度等级可达到IT6 - IT7级</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 xml:space="preserve">1.2 </w:t>
      </w:r>
      <w:r>
        <w:rPr>
          <w:rFonts w:hint="eastAsia" w:asciiTheme="minorEastAsia" w:hAnsiTheme="minorEastAsia"/>
          <w:color w:val="000000"/>
          <w:sz w:val="28"/>
          <w:szCs w:val="28"/>
        </w:rPr>
        <w:t>模具的关键尺寸，如分型面的尺寸、定位尺寸等，其制造误差应控制在±0.05mm - ±0.1mm范围内。</w:t>
      </w:r>
      <w:r>
        <w:rPr>
          <w:rFonts w:hint="eastAsia" w:asciiTheme="minorEastAsia" w:hAnsiTheme="minorEastAsia"/>
          <w:color w:val="000000"/>
          <w:sz w:val="28"/>
          <w:szCs w:val="28"/>
        </w:rPr>
        <w:br w:type="textWrapping"/>
      </w:r>
      <w:r>
        <w:rPr>
          <w:rFonts w:hint="eastAsia" w:asciiTheme="minorEastAsia" w:hAnsiTheme="minorEastAsia"/>
          <w:color w:val="000000"/>
          <w:sz w:val="28"/>
          <w:szCs w:val="28"/>
          <w:lang w:val="en-US" w:eastAsia="zh-CN"/>
        </w:rPr>
        <w:t>2.</w:t>
      </w:r>
      <w:r>
        <w:rPr>
          <w:rFonts w:hint="eastAsia" w:asciiTheme="minorEastAsia" w:hAnsiTheme="minorEastAsia"/>
          <w:color w:val="000000"/>
          <w:sz w:val="28"/>
          <w:szCs w:val="28"/>
        </w:rPr>
        <w:t>表面质量</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2.1</w:t>
      </w:r>
      <w:r>
        <w:rPr>
          <w:rFonts w:hint="eastAsia" w:asciiTheme="minorEastAsia" w:hAnsiTheme="minorEastAsia"/>
          <w:color w:val="000000"/>
          <w:sz w:val="28"/>
          <w:szCs w:val="28"/>
        </w:rPr>
        <w:t>模具型腔和型芯的表面粗糙度一般要求达到Ra0.8 - Ra1.6μm，对于外观要求较高的塑料件，表面粗糙度可达到Ra0.4μm甚至更低</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2.2</w:t>
      </w:r>
      <w:r>
        <w:rPr>
          <w:rFonts w:hint="eastAsia" w:asciiTheme="minorEastAsia" w:hAnsiTheme="minorEastAsia"/>
          <w:color w:val="000000"/>
          <w:sz w:val="28"/>
          <w:szCs w:val="28"/>
        </w:rPr>
        <w:t>表面应无明显的刀痕、划伤、砂眼、气孔等缺陷，以保证塑料件的表面质量。</w:t>
      </w:r>
      <w:r>
        <w:rPr>
          <w:rFonts w:hint="eastAsia" w:asciiTheme="minorEastAsia" w:hAnsiTheme="minorEastAsia"/>
          <w:color w:val="000000"/>
          <w:sz w:val="28"/>
          <w:szCs w:val="28"/>
        </w:rPr>
        <w:br w:type="textWrapping"/>
      </w:r>
      <w:r>
        <w:rPr>
          <w:rFonts w:hint="eastAsia" w:asciiTheme="minorEastAsia" w:hAnsiTheme="minorEastAsia"/>
          <w:color w:val="000000"/>
          <w:sz w:val="28"/>
          <w:szCs w:val="28"/>
          <w:lang w:val="en-US" w:eastAsia="zh-CN"/>
        </w:rPr>
        <w:t>3.</w:t>
      </w:r>
      <w:r>
        <w:rPr>
          <w:rFonts w:hint="eastAsia" w:asciiTheme="minorEastAsia" w:hAnsiTheme="minorEastAsia"/>
          <w:color w:val="000000"/>
          <w:sz w:val="28"/>
          <w:szCs w:val="28"/>
        </w:rPr>
        <w:t>材料性能</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 xml:space="preserve">3.1 </w:t>
      </w:r>
      <w:r>
        <w:rPr>
          <w:rFonts w:hint="eastAsia" w:asciiTheme="minorEastAsia" w:hAnsiTheme="minorEastAsia"/>
          <w:color w:val="000000"/>
          <w:sz w:val="28"/>
          <w:szCs w:val="28"/>
        </w:rPr>
        <w:t>模具材料应具有足够的强度、硬度和耐磨性，以承受注塑过程中的高压、高温和摩擦。常用的模具钢有P20、718、H13等</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 xml:space="preserve">3.2 </w:t>
      </w:r>
      <w:r>
        <w:rPr>
          <w:rFonts w:hint="eastAsia" w:asciiTheme="minorEastAsia" w:hAnsiTheme="minorEastAsia"/>
          <w:color w:val="000000"/>
          <w:sz w:val="28"/>
          <w:szCs w:val="28"/>
        </w:rPr>
        <w:t>材料的热处理性能要好，淬火变形小，以保证模具的尺寸稳定性。</w:t>
      </w:r>
      <w:r>
        <w:rPr>
          <w:rFonts w:hint="eastAsia" w:asciiTheme="minorEastAsia" w:hAnsiTheme="minorEastAsia"/>
          <w:color w:val="000000"/>
          <w:sz w:val="28"/>
          <w:szCs w:val="28"/>
        </w:rPr>
        <w:br w:type="textWrapping"/>
      </w:r>
      <w:r>
        <w:rPr>
          <w:rFonts w:hint="eastAsia" w:asciiTheme="minorEastAsia" w:hAnsiTheme="minorEastAsia"/>
          <w:color w:val="000000"/>
          <w:sz w:val="28"/>
          <w:szCs w:val="28"/>
          <w:lang w:val="en-US" w:eastAsia="zh-CN"/>
        </w:rPr>
        <w:t>4.</w:t>
      </w:r>
      <w:r>
        <w:rPr>
          <w:rFonts w:hint="eastAsia" w:asciiTheme="minorEastAsia" w:hAnsiTheme="minorEastAsia"/>
          <w:color w:val="000000"/>
          <w:sz w:val="28"/>
          <w:szCs w:val="28"/>
        </w:rPr>
        <w:t>结构设计</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 xml:space="preserve">4.1 </w:t>
      </w:r>
      <w:r>
        <w:rPr>
          <w:rFonts w:hint="eastAsia" w:asciiTheme="minorEastAsia" w:hAnsiTheme="minorEastAsia"/>
          <w:color w:val="000000"/>
          <w:sz w:val="28"/>
          <w:szCs w:val="28"/>
        </w:rPr>
        <w:t>模具的结构应合理，便于加工、装配和调试。分型面的选择应有利于塑料件的脱模和成型，避免出现飞边、毛刺等缺陷</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rPr>
      </w:pPr>
      <w:r>
        <w:rPr>
          <w:rFonts w:hint="eastAsia" w:asciiTheme="minorEastAsia" w:hAnsiTheme="minorEastAsia"/>
          <w:color w:val="000000"/>
          <w:sz w:val="28"/>
          <w:szCs w:val="28"/>
          <w:lang w:val="en-US" w:eastAsia="zh-CN"/>
        </w:rPr>
        <w:t xml:space="preserve">4.2 </w:t>
      </w:r>
      <w:r>
        <w:rPr>
          <w:rFonts w:hint="eastAsia" w:asciiTheme="minorEastAsia" w:hAnsiTheme="minorEastAsia"/>
          <w:color w:val="000000"/>
          <w:sz w:val="28"/>
          <w:szCs w:val="28"/>
        </w:rPr>
        <w:t>脱模机构应设计合理，保证塑料件能够顺利脱模，且不会对塑料件造成损伤。</w:t>
      </w:r>
      <w:r>
        <w:rPr>
          <w:rFonts w:hint="eastAsia" w:asciiTheme="minorEastAsia" w:hAnsiTheme="minorEastAsia"/>
          <w:color w:val="000000"/>
          <w:sz w:val="28"/>
          <w:szCs w:val="28"/>
        </w:rPr>
        <w:br w:type="textWrapping"/>
      </w:r>
      <w:r>
        <w:rPr>
          <w:rFonts w:hint="eastAsia" w:asciiTheme="minorEastAsia" w:hAnsiTheme="minorEastAsia"/>
          <w:color w:val="000000"/>
          <w:sz w:val="28"/>
          <w:szCs w:val="28"/>
          <w:lang w:val="en-US" w:eastAsia="zh-CN"/>
        </w:rPr>
        <w:t>5.</w:t>
      </w:r>
      <w:r>
        <w:rPr>
          <w:rFonts w:hint="eastAsia" w:asciiTheme="minorEastAsia" w:hAnsiTheme="minorEastAsia"/>
          <w:color w:val="000000"/>
          <w:sz w:val="28"/>
          <w:szCs w:val="28"/>
        </w:rPr>
        <w:t>制造工艺</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 xml:space="preserve">5.1 </w:t>
      </w:r>
      <w:r>
        <w:rPr>
          <w:rFonts w:hint="eastAsia" w:asciiTheme="minorEastAsia" w:hAnsiTheme="minorEastAsia"/>
          <w:color w:val="000000"/>
          <w:sz w:val="28"/>
          <w:szCs w:val="28"/>
        </w:rPr>
        <w:t>模具的制造工艺应先进合理，采用数控加工、电火花加工等先进工艺，保证模具的加工精度和表面质量</w:t>
      </w:r>
      <w:r>
        <w:rPr>
          <w:rFonts w:hint="eastAsia" w:asciiTheme="minorEastAsia" w:hAnsiTheme="minorEastAsia"/>
          <w:color w:val="000000"/>
          <w:sz w:val="28"/>
          <w:szCs w:val="28"/>
          <w:lang w:eastAsia="zh-CN"/>
        </w:rPr>
        <w:t>；</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560" w:firstLineChars="200"/>
        <w:jc w:val="left"/>
        <w:textAlignment w:val="auto"/>
        <w:rPr>
          <w:rFonts w:hint="eastAsia" w:asciiTheme="minorEastAsia" w:hAnsiTheme="minorEastAsia"/>
          <w:color w:val="000000"/>
          <w:sz w:val="28"/>
          <w:szCs w:val="28"/>
          <w:lang w:eastAsia="zh-CN"/>
        </w:rPr>
      </w:pPr>
      <w:r>
        <w:rPr>
          <w:rFonts w:hint="eastAsia" w:asciiTheme="minorEastAsia" w:hAnsiTheme="minorEastAsia"/>
          <w:color w:val="000000"/>
          <w:sz w:val="28"/>
          <w:szCs w:val="28"/>
          <w:lang w:val="en-US" w:eastAsia="zh-CN"/>
        </w:rPr>
        <w:t xml:space="preserve">5.2 </w:t>
      </w:r>
      <w:r>
        <w:rPr>
          <w:rFonts w:hint="eastAsia" w:asciiTheme="minorEastAsia" w:hAnsiTheme="minorEastAsia"/>
          <w:color w:val="000000"/>
          <w:sz w:val="28"/>
          <w:szCs w:val="28"/>
        </w:rPr>
        <w:t>模具的装配应严格按照装配工艺要求进行，保证模具的装配精度和间隙均匀性</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0" w:firstLineChars="0"/>
        <w:jc w:val="left"/>
        <w:textAlignment w:val="auto"/>
        <w:rPr>
          <w:rFonts w:asciiTheme="minorEastAsia" w:hAnsiTheme="minorEastAsia"/>
          <w:color w:val="000000"/>
          <w:sz w:val="28"/>
          <w:szCs w:val="28"/>
        </w:rPr>
      </w:pPr>
      <w:r>
        <w:rPr>
          <w:rFonts w:hint="eastAsia" w:asciiTheme="minorEastAsia" w:hAnsiTheme="minorEastAsia"/>
          <w:color w:val="000000"/>
          <w:sz w:val="28"/>
          <w:szCs w:val="28"/>
          <w:lang w:val="en-US" w:eastAsia="zh-CN"/>
        </w:rPr>
        <w:t>6</w:t>
      </w:r>
      <w:r>
        <w:rPr>
          <w:rFonts w:hint="eastAsia" w:asciiTheme="minorEastAsia" w:hAnsiTheme="minorEastAsia"/>
          <w:color w:val="000000"/>
          <w:sz w:val="28"/>
          <w:szCs w:val="28"/>
        </w:rPr>
        <w:t>.模具制造完成后，乙方应自行检查验证，并填写自检报告单。自检合格后，提供自检报告给甲方提请甲方初步验收。</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0" w:firstLineChars="0"/>
        <w:jc w:val="left"/>
        <w:textAlignment w:val="auto"/>
        <w:rPr>
          <w:rFonts w:asciiTheme="minorEastAsia" w:hAnsiTheme="minorEastAsia"/>
          <w:color w:val="000000"/>
          <w:sz w:val="28"/>
          <w:szCs w:val="28"/>
        </w:rPr>
      </w:pPr>
      <w:r>
        <w:rPr>
          <w:rFonts w:hint="eastAsia" w:asciiTheme="minorEastAsia" w:hAnsiTheme="minorEastAsia"/>
          <w:color w:val="000000"/>
          <w:sz w:val="28"/>
          <w:szCs w:val="28"/>
          <w:lang w:val="en-US" w:eastAsia="zh-CN"/>
        </w:rPr>
        <w:t>7</w:t>
      </w:r>
      <w:r>
        <w:rPr>
          <w:rFonts w:hint="eastAsia" w:asciiTheme="minorEastAsia" w:hAnsiTheme="minorEastAsia"/>
          <w:color w:val="000000"/>
          <w:sz w:val="28"/>
          <w:szCs w:val="28"/>
        </w:rPr>
        <w:t>.乙方负责设计、制造、调试，直至合格为止。</w:t>
      </w:r>
    </w:p>
    <w:p>
      <w:pPr>
        <w:keepNext w:val="0"/>
        <w:keepLines w:val="0"/>
        <w:pageBreakBefore w:val="0"/>
        <w:widowControl/>
        <w:tabs>
          <w:tab w:val="left" w:pos="555"/>
        </w:tabs>
        <w:kinsoku/>
        <w:wordWrap/>
        <w:overflowPunct/>
        <w:topLinePunct w:val="0"/>
        <w:autoSpaceDE w:val="0"/>
        <w:autoSpaceDN w:val="0"/>
        <w:bidi w:val="0"/>
        <w:adjustRightInd w:val="0"/>
        <w:snapToGrid w:val="0"/>
        <w:spacing w:line="300" w:lineRule="auto"/>
        <w:ind w:firstLine="0" w:firstLineChars="0"/>
        <w:jc w:val="left"/>
        <w:textAlignment w:val="auto"/>
        <w:rPr>
          <w:rFonts w:hint="eastAsia" w:cs="Times New Roman" w:asciiTheme="minorEastAsia" w:hAnsiTheme="minorEastAsia"/>
          <w:color w:val="000000"/>
          <w:sz w:val="28"/>
          <w:szCs w:val="28"/>
        </w:rPr>
      </w:pPr>
      <w:r>
        <w:rPr>
          <w:rFonts w:hint="eastAsia" w:cs="Times New Roman" w:asciiTheme="minorEastAsia" w:hAnsiTheme="minorEastAsia"/>
          <w:color w:val="000000"/>
          <w:sz w:val="28"/>
          <w:szCs w:val="28"/>
        </w:rPr>
        <w:t>8、模具制作完成后由</w:t>
      </w:r>
      <w:r>
        <w:rPr>
          <w:rFonts w:hint="eastAsia" w:cs="Times New Roman" w:asciiTheme="minorEastAsia" w:hAnsiTheme="minorEastAsia"/>
          <w:color w:val="000000"/>
          <w:sz w:val="28"/>
          <w:szCs w:val="28"/>
          <w:lang w:eastAsia="zh-CN"/>
        </w:rPr>
        <w:t>所有权归甲方</w:t>
      </w:r>
      <w:r>
        <w:rPr>
          <w:rFonts w:hint="eastAsia" w:cs="Times New Roman" w:asciiTheme="minorEastAsia" w:hAnsiTheme="minorEastAsia"/>
          <w:color w:val="000000"/>
          <w:sz w:val="28"/>
          <w:szCs w:val="28"/>
        </w:rPr>
        <w:t>。</w:t>
      </w:r>
    </w:p>
    <w:p>
      <w:pPr>
        <w:spacing w:line="420" w:lineRule="exact"/>
        <w:rPr>
          <w:sz w:val="24"/>
        </w:rPr>
      </w:pPr>
      <w:r>
        <w:rPr>
          <w:sz w:val="24"/>
        </w:rPr>
        <w:t>七、协作与服务：</w:t>
      </w:r>
    </w:p>
    <w:p>
      <w:pPr>
        <w:spacing w:line="420" w:lineRule="exact"/>
        <w:ind w:firstLine="424" w:firstLineChars="177"/>
        <w:rPr>
          <w:sz w:val="24"/>
        </w:rPr>
      </w:pPr>
      <w:r>
        <w:rPr>
          <w:sz w:val="24"/>
        </w:rPr>
        <w:t>1、乙方有义务协助甲方对设计过程中的数模进行监控及工艺校正。</w:t>
      </w:r>
    </w:p>
    <w:p>
      <w:pPr>
        <w:spacing w:line="420" w:lineRule="exact"/>
        <w:ind w:firstLine="424" w:firstLineChars="177"/>
        <w:rPr>
          <w:sz w:val="24"/>
        </w:rPr>
      </w:pPr>
      <w:r>
        <w:rPr>
          <w:sz w:val="24"/>
        </w:rPr>
        <w:t>2、乙方在设计、制造过程中出现需甲方协调的技术问题，乙方需在问题出现24小时内书面通知甲方，甲方须及时回复乙方。</w:t>
      </w:r>
    </w:p>
    <w:p>
      <w:pPr>
        <w:spacing w:line="420" w:lineRule="exact"/>
        <w:ind w:firstLine="424" w:firstLineChars="177"/>
        <w:rPr>
          <w:sz w:val="24"/>
        </w:rPr>
      </w:pPr>
      <w:r>
        <w:rPr>
          <w:sz w:val="24"/>
        </w:rPr>
        <w:t>3、乙方完成设备设计或制造，如需要甲方会签或验收，乙方需在3日前通知甲方，甲方按乙方要求时间到达乙方，不得迟于合同约定验收时间。</w:t>
      </w:r>
    </w:p>
    <w:p>
      <w:pPr>
        <w:spacing w:line="420" w:lineRule="exact"/>
        <w:ind w:firstLine="424" w:firstLineChars="177"/>
        <w:rPr>
          <w:sz w:val="24"/>
        </w:rPr>
      </w:pPr>
      <w:r>
        <w:rPr>
          <w:sz w:val="24"/>
        </w:rPr>
        <w:t>4、项目进程中乙方有义务对需其协调、配合的其他事项提供服务。</w:t>
      </w:r>
    </w:p>
    <w:p>
      <w:pPr>
        <w:spacing w:line="420" w:lineRule="exact"/>
        <w:ind w:firstLine="424" w:firstLineChars="17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w:t>
      </w:r>
      <w:r>
        <w:rPr>
          <w:color w:val="000000" w:themeColor="text1"/>
          <w:sz w:val="24"/>
          <w14:textFill>
            <w14:solidFill>
              <w14:schemeClr w14:val="tx1"/>
            </w14:solidFill>
          </w14:textFill>
        </w:rPr>
        <w:t>本项目若因乙方的工艺方案未能达到甲方的工艺要求，或者是因乙方的设计、制造加工、调试等原因，导致模具结构更改、工序增加或模具报废及增加模具，所产生的费用全部由乙方承担</w:t>
      </w:r>
    </w:p>
    <w:p>
      <w:pPr>
        <w:spacing w:line="420" w:lineRule="exact"/>
        <w:rPr>
          <w:color w:val="000000" w:themeColor="text1"/>
          <w:sz w:val="24"/>
          <w14:textFill>
            <w14:solidFill>
              <w14:schemeClr w14:val="tx1"/>
            </w14:solidFill>
          </w14:textFill>
        </w:rPr>
      </w:pPr>
      <w:r>
        <w:rPr>
          <w:color w:val="000000" w:themeColor="text1"/>
          <w:sz w:val="24"/>
          <w14:textFill>
            <w14:solidFill>
              <w14:schemeClr w14:val="tx1"/>
            </w14:solidFill>
          </w14:textFill>
        </w:rPr>
        <w:t>八、运输：</w:t>
      </w:r>
    </w:p>
    <w:p>
      <w:pPr>
        <w:spacing w:line="420" w:lineRule="exact"/>
        <w:ind w:firstLine="480" w:firstLineChars="200"/>
        <w:rPr>
          <w:color w:val="FF0000"/>
          <w:sz w:val="24"/>
        </w:rPr>
      </w:pPr>
      <w:r>
        <w:rPr>
          <w:sz w:val="24"/>
        </w:rPr>
        <w:t>1、如甲方单方面要求解除合作关系，乙方需根据甲方要求，5日内将模具运抵甲方指定地点，乙方负责运输并承担运输费用和保险费用。甲方收到模具后，7日内组织相关部门检验模具有无损坏情况，如发现问题须在10日内通知乙方，乙方必须及时派人员解决。模具在转移过程中，如因乙方不当组装、防锈或包装等原因，造成工装损坏，甲方由此产生的所有直接和间接损失一律由乙方承担。</w:t>
      </w:r>
    </w:p>
    <w:p>
      <w:pPr>
        <w:spacing w:line="420" w:lineRule="exact"/>
        <w:ind w:firstLine="480" w:firstLineChars="200"/>
        <w:rPr>
          <w:sz w:val="24"/>
        </w:rPr>
      </w:pPr>
      <w:r>
        <w:rPr>
          <w:sz w:val="24"/>
        </w:rPr>
        <w:t>2、前期乙方向甲方提供的样件（合同内规定的批次与数量）的包装(木质包装)、运输以及运输费用皆由乙方负责。</w:t>
      </w:r>
    </w:p>
    <w:p>
      <w:pPr>
        <w:spacing w:line="420" w:lineRule="exact"/>
        <w:ind w:firstLine="480" w:firstLineChars="200"/>
        <w:rPr>
          <w:sz w:val="24"/>
        </w:rPr>
      </w:pPr>
      <w:r>
        <w:rPr>
          <w:sz w:val="24"/>
        </w:rPr>
        <w:t>3、甲乙双方本着合作共赢的原则开展合作，双方约定在同等质量及价格基础上该项目应优先交由乙方生产。</w:t>
      </w:r>
    </w:p>
    <w:p>
      <w:pPr>
        <w:spacing w:line="420" w:lineRule="exact"/>
        <w:rPr>
          <w:sz w:val="24"/>
        </w:rPr>
      </w:pPr>
      <w:r>
        <w:rPr>
          <w:sz w:val="24"/>
        </w:rPr>
        <w:t>九、工装模具使用：</w:t>
      </w:r>
    </w:p>
    <w:p>
      <w:pPr>
        <w:spacing w:line="420" w:lineRule="exact"/>
        <w:ind w:firstLine="424" w:firstLineChars="177"/>
        <w:rPr>
          <w:sz w:val="24"/>
        </w:rPr>
      </w:pPr>
      <w:r>
        <w:rPr>
          <w:sz w:val="24"/>
        </w:rPr>
        <w:t>1、乙方不得使用本协议项下的模具为任何第三方服务，但经甲方书面授权并且有偿使用者除外。</w:t>
      </w:r>
    </w:p>
    <w:p>
      <w:pPr>
        <w:spacing w:line="420" w:lineRule="exact"/>
        <w:ind w:firstLine="424" w:firstLineChars="177"/>
        <w:rPr>
          <w:sz w:val="24"/>
        </w:rPr>
      </w:pPr>
      <w:r>
        <w:rPr>
          <w:sz w:val="24"/>
        </w:rPr>
        <w:t>2、本合同约定下所有模具资产归甲方所有，甲方具有对本协议项下的模具处置的权利。</w:t>
      </w:r>
    </w:p>
    <w:p>
      <w:pPr>
        <w:spacing w:line="420" w:lineRule="exact"/>
        <w:rPr>
          <w:sz w:val="24"/>
        </w:rPr>
      </w:pPr>
      <w:r>
        <w:rPr>
          <w:sz w:val="24"/>
        </w:rPr>
        <w:t>十、违约及处罚：</w:t>
      </w:r>
    </w:p>
    <w:p>
      <w:pPr>
        <w:spacing w:line="420" w:lineRule="exact"/>
        <w:ind w:firstLine="477" w:firstLineChars="199"/>
        <w:rPr>
          <w:bCs/>
          <w:sz w:val="24"/>
        </w:rPr>
      </w:pPr>
      <w:r>
        <w:rPr>
          <w:sz w:val="24"/>
        </w:rPr>
        <w:t>1、在保修期内，如因乙方原因造成的模具质量问题，乙方应在甲方要求的时间内自行解决并完全承担甲方因此而造成的损失，</w:t>
      </w:r>
      <w:r>
        <w:rPr>
          <w:bCs/>
          <w:iCs/>
          <w:sz w:val="24"/>
        </w:rPr>
        <w:t>如乙方在甲方要求的时间内仍无法解决，甲方有权解除合同，并自行选定第三方进行解决，由此产生的费用和给甲方造成的损失乙方应全额承担。</w:t>
      </w:r>
    </w:p>
    <w:p>
      <w:pPr>
        <w:spacing w:line="420" w:lineRule="exact"/>
        <w:ind w:firstLine="420" w:firstLineChars="175"/>
        <w:rPr>
          <w:sz w:val="24"/>
        </w:rPr>
      </w:pPr>
      <w:r>
        <w:rPr>
          <w:sz w:val="24"/>
        </w:rPr>
        <w:t>2、如因乙方原因导致该项目制作周期逾期，逾期二个月内甲方对乙方按500元/天收取违约金；若延期超过二个月，则视为项目失败，</w:t>
      </w:r>
      <w:r>
        <w:rPr>
          <w:bCs/>
          <w:iCs/>
          <w:sz w:val="24"/>
        </w:rPr>
        <w:t>甲方有权解除合同并不再支付余款，同时</w:t>
      </w:r>
      <w:r>
        <w:rPr>
          <w:sz w:val="24"/>
        </w:rPr>
        <w:t>乙方须承担由此给甲方造成的全部经济损失，如因甲方原因造成延期的交货期将顺延。</w:t>
      </w:r>
    </w:p>
    <w:p>
      <w:pPr>
        <w:spacing w:line="420" w:lineRule="exact"/>
        <w:ind w:firstLine="420" w:firstLineChars="175"/>
        <w:rPr>
          <w:color w:val="000000" w:themeColor="text1"/>
          <w:sz w:val="24"/>
          <w14:textFill>
            <w14:solidFill>
              <w14:schemeClr w14:val="tx1"/>
            </w14:solidFill>
          </w14:textFill>
        </w:rPr>
      </w:pPr>
      <w:r>
        <w:rPr>
          <w:sz w:val="24"/>
        </w:rPr>
        <w:t>3</w:t>
      </w:r>
      <w:r>
        <w:rPr>
          <w:color w:val="000000" w:themeColor="text1"/>
          <w:sz w:val="24"/>
          <w14:textFill>
            <w14:solidFill>
              <w14:schemeClr w14:val="tx1"/>
            </w14:solidFill>
          </w14:textFill>
        </w:rPr>
        <w:t>、本合同规定的全部产品、模具及知识产权属于甲方所有，未经甲方书面许可，乙方不得私自另行生产本合同项目下模具，不得使用本合同模具为第三方公司提供生产物料，否则甲方由此产生的一切损失由乙方负责。</w:t>
      </w:r>
    </w:p>
    <w:p>
      <w:pPr>
        <w:spacing w:line="420" w:lineRule="exact"/>
        <w:ind w:firstLine="420" w:firstLineChars="175"/>
        <w:rPr>
          <w:color w:val="000000" w:themeColor="text1"/>
          <w:sz w:val="24"/>
          <w14:textFill>
            <w14:solidFill>
              <w14:schemeClr w14:val="tx1"/>
            </w14:solidFill>
          </w14:textFill>
        </w:rPr>
      </w:pPr>
      <w:r>
        <w:rPr>
          <w:color w:val="000000" w:themeColor="text1"/>
          <w:sz w:val="24"/>
          <w14:textFill>
            <w14:solidFill>
              <w14:schemeClr w14:val="tx1"/>
            </w14:solidFill>
          </w14:textFill>
        </w:rPr>
        <w:t>4、甲方使用模具生产出的产品需完全满足甲方的技术要求，以此作为验收的依据</w:t>
      </w:r>
      <w:r>
        <w:rPr>
          <w:rFonts w:hint="eastAsia"/>
          <w:color w:val="000000" w:themeColor="text1"/>
          <w:sz w:val="24"/>
          <w14:textFill>
            <w14:solidFill>
              <w14:schemeClr w14:val="tx1"/>
            </w14:solidFill>
          </w14:textFill>
        </w:rPr>
        <w:t>，验收合格并不免除因本项目货品存在设计、制造、材料缺陷、其它隐蔽瑕疵带来的责任，若非甲方原因乙方无法在合理期限内修复或其它乙方原因导致甲方无法在模具正常使用期限或使用寿命内正常使用时，甲方有权要求乙方退货，乙方应退回甲方支付的货款，并且支付甲方的经济损失。损失金额包含直接损失和间接损失。</w:t>
      </w:r>
      <w:r>
        <w:rPr>
          <w:color w:val="000000" w:themeColor="text1"/>
          <w:sz w:val="24"/>
          <w14:textFill>
            <w14:solidFill>
              <w14:schemeClr w14:val="tx1"/>
            </w14:solidFill>
          </w14:textFill>
        </w:rPr>
        <w:t>。</w:t>
      </w:r>
    </w:p>
    <w:p>
      <w:pPr>
        <w:spacing w:line="420" w:lineRule="exact"/>
        <w:ind w:firstLine="420" w:firstLineChars="175"/>
        <w:rPr>
          <w:color w:val="000000" w:themeColor="text1"/>
          <w:sz w:val="24"/>
          <w:szCs w:val="24"/>
          <w14:textFill>
            <w14:solidFill>
              <w14:schemeClr w14:val="tx1"/>
            </w14:solidFill>
          </w14:textFill>
        </w:rPr>
      </w:pPr>
      <w:r>
        <w:rPr>
          <w:color w:val="000000" w:themeColor="text1"/>
          <w:sz w:val="24"/>
          <w14:textFill>
            <w14:solidFill>
              <w14:schemeClr w14:val="tx1"/>
            </w14:solidFill>
          </w14:textFill>
        </w:rPr>
        <w:t>5、本合同在执行过程中，除包含本条第1-4款规定之外，如果乙方发生其它违约行为，则</w:t>
      </w:r>
      <w:r>
        <w:rPr>
          <w:color w:val="000000" w:themeColor="text1"/>
          <w:sz w:val="24"/>
          <w:szCs w:val="24"/>
          <w14:textFill>
            <w14:solidFill>
              <w14:schemeClr w14:val="tx1"/>
            </w14:solidFill>
          </w14:textFill>
        </w:rPr>
        <w:t>按《中华人民共和国民法典》有关条款规定向甲方支付合同总额5%的违约金，违约金不足以弥补甲方损失的，甲方有权向乙方追偿。</w:t>
      </w:r>
    </w:p>
    <w:p>
      <w:pPr>
        <w:spacing w:line="420" w:lineRule="exact"/>
        <w:ind w:firstLine="477" w:firstLineChars="199"/>
        <w:rPr>
          <w:bCs/>
          <w:color w:val="000000" w:themeColor="text1"/>
          <w:sz w:val="24"/>
          <w14:textFill>
            <w14:solidFill>
              <w14:schemeClr w14:val="tx1"/>
            </w14:solidFill>
          </w14:textFill>
        </w:rPr>
      </w:pPr>
      <w:r>
        <w:rPr>
          <w:rFonts w:hint="eastAsia"/>
          <w:color w:val="000000" w:themeColor="text1"/>
          <w:sz w:val="24"/>
          <w:szCs w:val="24"/>
          <w14:textFill>
            <w14:solidFill>
              <w14:schemeClr w14:val="tx1"/>
            </w14:solidFill>
          </w14:textFill>
        </w:rPr>
        <w:t>6、</w:t>
      </w:r>
      <w:r>
        <w:rPr>
          <w:rFonts w:hint="eastAsia" w:cs="宋体"/>
          <w:color w:val="000000" w:themeColor="text1"/>
          <w:sz w:val="24"/>
          <w:lang w:bidi="ar"/>
          <w14:textFill>
            <w14:solidFill>
              <w14:schemeClr w14:val="tx1"/>
            </w14:solidFill>
          </w14:textFill>
        </w:rPr>
        <w:t>原则上项目不允许外包。如因乙方原因需要外包的，需提出书面申请，提供第三方详细资料，经甲方业务部门负责人（或以上人员）批准后方可实施。如未经甲方同意擅自外包，</w:t>
      </w:r>
      <w:r>
        <w:rPr>
          <w:rFonts w:hint="eastAsia" w:cs="宋体"/>
          <w:bCs/>
          <w:color w:val="000000" w:themeColor="text1"/>
          <w:sz w:val="24"/>
          <w:lang w:bidi="ar"/>
          <w14:textFill>
            <w14:solidFill>
              <w14:schemeClr w14:val="tx1"/>
            </w14:solidFill>
          </w14:textFill>
        </w:rPr>
        <w:t>乙方分包出去的产品满足甲方的质量要求，甲方将以合同总额的</w:t>
      </w:r>
      <w:r>
        <w:rPr>
          <w:bCs/>
          <w:color w:val="000000" w:themeColor="text1"/>
          <w:sz w:val="24"/>
          <w:lang w:bidi="ar"/>
          <w14:textFill>
            <w14:solidFill>
              <w14:schemeClr w14:val="tx1"/>
            </w14:solidFill>
          </w14:textFill>
        </w:rPr>
        <w:t>50%</w:t>
      </w:r>
      <w:r>
        <w:rPr>
          <w:rFonts w:hint="eastAsia" w:cs="宋体"/>
          <w:bCs/>
          <w:color w:val="000000" w:themeColor="text1"/>
          <w:sz w:val="24"/>
          <w:lang w:bidi="ar"/>
          <w14:textFill>
            <w14:solidFill>
              <w14:schemeClr w14:val="tx1"/>
            </w14:solidFill>
          </w14:textFill>
        </w:rPr>
        <w:t>收购所有模具；</w:t>
      </w:r>
      <w:r>
        <w:rPr>
          <w:rFonts w:hint="eastAsia" w:cs="宋体"/>
          <w:color w:val="000000" w:themeColor="text1"/>
          <w:sz w:val="24"/>
          <w:lang w:bidi="ar"/>
          <w14:textFill>
            <w14:solidFill>
              <w14:schemeClr w14:val="tx1"/>
            </w14:solidFill>
          </w14:textFill>
        </w:rPr>
        <w:t>若</w:t>
      </w:r>
      <w:r>
        <w:rPr>
          <w:rFonts w:hint="eastAsia" w:cs="宋体"/>
          <w:bCs/>
          <w:color w:val="000000" w:themeColor="text1"/>
          <w:sz w:val="24"/>
          <w:lang w:bidi="ar"/>
          <w14:textFill>
            <w14:solidFill>
              <w14:schemeClr w14:val="tx1"/>
            </w14:solidFill>
          </w14:textFill>
        </w:rPr>
        <w:t>乙方分包出去的产品未能满足甲方的质量要求，甲方有权单方面解除本合同并要求乙方按本条第</w:t>
      </w:r>
      <w:r>
        <w:rPr>
          <w:bCs/>
          <w:color w:val="000000" w:themeColor="text1"/>
          <w:sz w:val="24"/>
          <w:lang w:bidi="ar"/>
          <w14:textFill>
            <w14:solidFill>
              <w14:schemeClr w14:val="tx1"/>
            </w14:solidFill>
          </w14:textFill>
        </w:rPr>
        <w:t>5</w:t>
      </w:r>
      <w:r>
        <w:rPr>
          <w:rFonts w:hint="eastAsia" w:cs="宋体"/>
          <w:bCs/>
          <w:color w:val="000000" w:themeColor="text1"/>
          <w:sz w:val="24"/>
          <w:lang w:bidi="ar"/>
          <w14:textFill>
            <w14:solidFill>
              <w14:schemeClr w14:val="tx1"/>
            </w14:solidFill>
          </w14:textFill>
        </w:rPr>
        <w:t>款约定承担违约金，另乙方必须在七日内全额退还甲方已支付合同总额的款项。</w:t>
      </w:r>
    </w:p>
    <w:p>
      <w:pPr>
        <w:pStyle w:val="4"/>
        <w:spacing w:line="420" w:lineRule="exac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十一、</w:t>
      </w:r>
      <w:r>
        <w:rPr>
          <w:rFonts w:hint="eastAsia"/>
          <w:color w:val="000000" w:themeColor="text1"/>
          <w:sz w:val="24"/>
          <w:szCs w:val="24"/>
          <w14:textFill>
            <w14:solidFill>
              <w14:schemeClr w14:val="tx1"/>
            </w14:solidFill>
          </w14:textFill>
        </w:rPr>
        <w:t>保密</w:t>
      </w:r>
    </w:p>
    <w:p>
      <w:pPr>
        <w:pStyle w:val="4"/>
        <w:spacing w:line="4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1、乙方未经甲方书面授权，不得以任何形式向第三方泄露本合同及其附件和及因项目所获得所有甲方信息任何资料内容。</w:t>
      </w:r>
    </w:p>
    <w:p>
      <w:pPr>
        <w:pStyle w:val="4"/>
        <w:spacing w:line="4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2、甲、乙双方有权利向对方索取与工作相关的信息或资料，但不得告知第三方。</w:t>
      </w:r>
    </w:p>
    <w:p>
      <w:pPr>
        <w:pStyle w:val="4"/>
        <w:spacing w:line="4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3、乙方对甲方提供的样品、技术资料、数据等技术性资料，不得告知第三方。</w:t>
      </w:r>
    </w:p>
    <w:p>
      <w:pPr>
        <w:pStyle w:val="4"/>
        <w:spacing w:line="42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4、甲方若发现商业秘密被泄漏，乙方应当采取有效措施防止泄密进一步扩大，双方共同商定补救措施。</w:t>
      </w:r>
    </w:p>
    <w:p>
      <w:pPr>
        <w:pStyle w:val="4"/>
        <w:spacing w:line="420" w:lineRule="exact"/>
        <w:ind w:firstLine="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5、如果乙方违反上述条款而导致甲方蒙受损失，甲方有权向乙方追讨经济损失，以致追究法律责任。</w:t>
      </w:r>
    </w:p>
    <w:p>
      <w:pPr>
        <w:pStyle w:val="4"/>
        <w:spacing w:line="420" w:lineRule="exact"/>
        <w:ind w:firstLine="0"/>
        <w:rPr>
          <w:sz w:val="24"/>
          <w:szCs w:val="24"/>
        </w:rPr>
      </w:pPr>
      <w:r>
        <w:rPr>
          <w:rFonts w:hint="eastAsia"/>
          <w:sz w:val="24"/>
          <w:szCs w:val="24"/>
        </w:rPr>
        <w:t>十二、</w:t>
      </w:r>
      <w:r>
        <w:rPr>
          <w:sz w:val="24"/>
          <w:szCs w:val="24"/>
        </w:rPr>
        <w:t>争议解决：</w:t>
      </w:r>
    </w:p>
    <w:p>
      <w:pPr>
        <w:spacing w:line="420" w:lineRule="exact"/>
        <w:ind w:firstLine="480" w:firstLineChars="200"/>
        <w:rPr>
          <w:sz w:val="24"/>
        </w:rPr>
      </w:pPr>
      <w:r>
        <w:rPr>
          <w:sz w:val="24"/>
        </w:rPr>
        <w:t>甲、乙双方必须严格按本合同条款严格执行。如果发生争议，双方友好协商解决，协商解决不成，由甲方所在地人民法院依法裁决。</w:t>
      </w:r>
    </w:p>
    <w:p>
      <w:pPr>
        <w:spacing w:line="420" w:lineRule="exact"/>
        <w:rPr>
          <w:sz w:val="24"/>
        </w:rPr>
      </w:pPr>
      <w:r>
        <w:rPr>
          <w:sz w:val="24"/>
        </w:rPr>
        <w:t>十</w:t>
      </w:r>
      <w:r>
        <w:rPr>
          <w:rFonts w:hint="eastAsia"/>
          <w:sz w:val="24"/>
        </w:rPr>
        <w:t>三</w:t>
      </w:r>
      <w:r>
        <w:rPr>
          <w:sz w:val="24"/>
        </w:rPr>
        <w:t>、其它：</w:t>
      </w:r>
    </w:p>
    <w:p>
      <w:pPr>
        <w:spacing w:line="420" w:lineRule="exact"/>
        <w:ind w:firstLine="424" w:firstLineChars="177"/>
        <w:rPr>
          <w:b/>
          <w:bCs/>
          <w:i/>
          <w:iCs/>
          <w:sz w:val="24"/>
          <w:u w:val="single"/>
        </w:rPr>
      </w:pPr>
      <w:r>
        <w:rPr>
          <w:sz w:val="24"/>
        </w:rPr>
        <w:t>1、本合同及其附件自双方签字盖章之日起生效。</w:t>
      </w:r>
    </w:p>
    <w:p>
      <w:pPr>
        <w:spacing w:line="420" w:lineRule="exact"/>
        <w:ind w:left="424" w:leftChars="202"/>
        <w:rPr>
          <w:sz w:val="24"/>
        </w:rPr>
      </w:pPr>
      <w:r>
        <w:rPr>
          <w:sz w:val="24"/>
        </w:rPr>
        <w:t>2、本合同有关未尽事宜，由双方协商解决。</w:t>
      </w:r>
    </w:p>
    <w:p>
      <w:pPr>
        <w:spacing w:line="420" w:lineRule="exact"/>
        <w:ind w:left="478" w:leftChars="203" w:hanging="52" w:hangingChars="22"/>
        <w:rPr>
          <w:sz w:val="24"/>
        </w:rPr>
      </w:pPr>
      <w:r>
        <w:rPr>
          <w:sz w:val="24"/>
        </w:rPr>
        <w:t>3、本合同一式肆份，甲方持叁份、乙方持壹份，具有同等法律效力。</w:t>
      </w:r>
    </w:p>
    <w:p>
      <w:pPr>
        <w:spacing w:line="360" w:lineRule="auto"/>
        <w:rPr>
          <w:sz w:val="24"/>
        </w:rPr>
      </w:pPr>
    </w:p>
    <w:p>
      <w:pPr>
        <w:spacing w:line="300" w:lineRule="auto"/>
        <w:rPr>
          <w:sz w:val="24"/>
        </w:rPr>
      </w:pPr>
    </w:p>
    <w:p>
      <w:pPr>
        <w:widowControl/>
        <w:adjustRightInd w:val="0"/>
        <w:snapToGrid w:val="0"/>
        <w:spacing w:line="480" w:lineRule="auto"/>
        <w:jc w:val="left"/>
        <w:rPr>
          <w:rFonts w:hint="eastAsia" w:ascii="宋体" w:hAnsi="宋体" w:eastAsia="宋体" w:cs="宋体"/>
          <w:sz w:val="20"/>
          <w:lang w:eastAsia="zh-CN"/>
        </w:rPr>
      </w:pPr>
      <w:r>
        <w:rPr>
          <w:rFonts w:hint="eastAsia" w:ascii="宋体" w:hAnsi="宋体" w:eastAsia="宋体" w:cs="宋体"/>
          <w:sz w:val="20"/>
        </w:rPr>
        <w:t xml:space="preserve">甲方（盖章）： </w:t>
      </w:r>
      <w:r>
        <w:rPr>
          <w:rFonts w:hint="eastAsia" w:ascii="宋体" w:hAnsi="宋体" w:eastAsia="宋体" w:cs="宋体"/>
          <w:sz w:val="20"/>
          <w:lang w:eastAsia="zh-CN"/>
        </w:rPr>
        <w:t>山东通盛汽车科技有限公司</w:t>
      </w:r>
      <w:r>
        <w:rPr>
          <w:rFonts w:hint="default" w:ascii="宋体" w:hAnsi="宋体" w:eastAsia="宋体" w:cs="宋体"/>
          <w:sz w:val="20"/>
          <w:lang w:val="en-US" w:eastAsia="zh-CN"/>
        </w:rPr>
        <w:t xml:space="preserve">            </w:t>
      </w:r>
      <w:r>
        <w:rPr>
          <w:rFonts w:hint="eastAsia" w:ascii="宋体" w:hAnsi="宋体" w:eastAsia="宋体" w:cs="宋体"/>
          <w:sz w:val="20"/>
        </w:rPr>
        <w:t>乙方（盖章）：</w:t>
      </w:r>
    </w:p>
    <w:p>
      <w:pPr>
        <w:widowControl/>
        <w:adjustRightInd w:val="0"/>
        <w:snapToGrid w:val="0"/>
        <w:spacing w:line="480" w:lineRule="auto"/>
        <w:jc w:val="left"/>
        <w:rPr>
          <w:rFonts w:hint="default" w:ascii="宋体" w:hAnsi="宋体" w:eastAsia="宋体" w:cs="宋体"/>
          <w:sz w:val="20"/>
          <w:lang w:val="en-US"/>
        </w:rPr>
      </w:pPr>
      <w:r>
        <w:rPr>
          <w:rFonts w:hint="eastAsia" w:ascii="宋体" w:hAnsi="宋体" w:eastAsia="宋体" w:cs="宋体"/>
          <w:sz w:val="20"/>
        </w:rPr>
        <w:t xml:space="preserve">法定代表人或代理人（签字）：   </w:t>
      </w:r>
      <w:r>
        <w:rPr>
          <w:rFonts w:hint="default" w:ascii="宋体" w:hAnsi="宋体" w:eastAsia="宋体" w:cs="宋体"/>
          <w:sz w:val="20"/>
          <w:lang w:val="en-US"/>
        </w:rPr>
        <w:t xml:space="preserve">                    </w:t>
      </w:r>
      <w:r>
        <w:rPr>
          <w:rFonts w:hint="eastAsia" w:ascii="宋体" w:hAnsi="宋体" w:eastAsia="宋体" w:cs="宋体"/>
          <w:sz w:val="20"/>
        </w:rPr>
        <w:t>法定代表人或代理人（签字）：</w:t>
      </w:r>
    </w:p>
    <w:p>
      <w:pPr>
        <w:widowControl/>
        <w:adjustRightInd w:val="0"/>
        <w:snapToGrid w:val="0"/>
        <w:spacing w:line="480" w:lineRule="auto"/>
        <w:jc w:val="left"/>
        <w:rPr>
          <w:rFonts w:hint="eastAsia" w:ascii="宋体" w:hAnsi="宋体" w:eastAsia="宋体" w:cs="宋体"/>
          <w:sz w:val="20"/>
          <w:lang w:val="en-US" w:eastAsia="zh-CN"/>
        </w:rPr>
      </w:pPr>
      <w:r>
        <w:rPr>
          <w:rFonts w:hint="eastAsia" w:ascii="宋体" w:hAnsi="宋体" w:eastAsia="宋体" w:cs="宋体"/>
          <w:sz w:val="20"/>
          <w:lang w:val="en-US" w:eastAsia="zh-CN"/>
        </w:rPr>
        <w:t>日</w:t>
      </w:r>
      <w:r>
        <w:rPr>
          <w:rFonts w:hint="default" w:ascii="宋体" w:hAnsi="宋体" w:eastAsia="宋体" w:cs="宋体"/>
          <w:sz w:val="20"/>
          <w:lang w:val="en-US" w:eastAsia="zh-CN"/>
        </w:rPr>
        <w:t xml:space="preserve">  </w:t>
      </w:r>
      <w:r>
        <w:rPr>
          <w:rFonts w:hint="eastAsia" w:ascii="宋体" w:hAnsi="宋体" w:eastAsia="宋体" w:cs="宋体"/>
          <w:sz w:val="20"/>
          <w:lang w:val="en-US" w:eastAsia="zh-CN"/>
        </w:rPr>
        <w:t>期</w:t>
      </w:r>
      <w:r>
        <w:rPr>
          <w:rFonts w:hint="eastAsia" w:ascii="宋体" w:hAnsi="宋体" w:eastAsia="宋体" w:cs="宋体"/>
          <w:sz w:val="20"/>
        </w:rPr>
        <w:t>：</w:t>
      </w:r>
      <w:r>
        <w:rPr>
          <w:rFonts w:hint="default" w:ascii="宋体" w:hAnsi="宋体" w:eastAsia="宋体" w:cs="宋体"/>
          <w:sz w:val="20"/>
          <w:lang w:val="en-US"/>
        </w:rPr>
        <w:t xml:space="preserve">                                           </w:t>
      </w:r>
      <w:r>
        <w:rPr>
          <w:rFonts w:hint="eastAsia" w:ascii="宋体" w:hAnsi="宋体" w:eastAsia="宋体" w:cs="宋体"/>
          <w:sz w:val="20"/>
          <w:lang w:val="en-US" w:eastAsia="zh-CN"/>
        </w:rPr>
        <w:t>日</w:t>
      </w:r>
      <w:r>
        <w:rPr>
          <w:rFonts w:hint="default" w:ascii="宋体" w:hAnsi="宋体" w:eastAsia="宋体" w:cs="宋体"/>
          <w:sz w:val="20"/>
          <w:lang w:val="en-US" w:eastAsia="zh-CN"/>
        </w:rPr>
        <w:t xml:space="preserve">  </w:t>
      </w:r>
      <w:r>
        <w:rPr>
          <w:rFonts w:hint="eastAsia" w:ascii="宋体" w:hAnsi="宋体" w:eastAsia="宋体" w:cs="宋体"/>
          <w:sz w:val="20"/>
          <w:lang w:val="en-US" w:eastAsia="zh-CN"/>
        </w:rPr>
        <w:t>期：</w:t>
      </w:r>
    </w:p>
    <w:p>
      <w:pPr>
        <w:widowControl/>
        <w:adjustRightInd w:val="0"/>
        <w:snapToGrid w:val="0"/>
        <w:spacing w:line="480" w:lineRule="auto"/>
        <w:ind w:left="6000" w:hanging="6000" w:hangingChars="3000"/>
        <w:jc w:val="left"/>
        <w:rPr>
          <w:rFonts w:hint="eastAsia" w:ascii="宋体" w:hAnsi="宋体" w:eastAsia="宋体" w:cs="宋体"/>
          <w:sz w:val="20"/>
          <w:highlight w:val="yellow"/>
          <w:lang w:val="en-US" w:eastAsia="zh-CN"/>
        </w:rPr>
      </w:pPr>
      <w:r>
        <w:rPr>
          <w:rFonts w:hint="eastAsia" w:ascii="宋体" w:hAnsi="宋体" w:eastAsia="宋体" w:cs="宋体"/>
          <w:sz w:val="20"/>
        </w:rPr>
        <w:t>地  址：山东省聊城市东昌府区凤凰工业园纬</w:t>
      </w:r>
      <w:r>
        <w:rPr>
          <w:rFonts w:hint="eastAsia" w:ascii="宋体" w:hAnsi="宋体" w:eastAsia="宋体" w:cs="宋体"/>
          <w:sz w:val="20"/>
          <w:lang w:eastAsia="zh-CN"/>
        </w:rPr>
        <w:t>三</w:t>
      </w:r>
      <w:r>
        <w:rPr>
          <w:rFonts w:hint="eastAsia" w:ascii="宋体" w:hAnsi="宋体" w:eastAsia="宋体" w:cs="宋体"/>
          <w:sz w:val="20"/>
        </w:rPr>
        <w:t>路</w:t>
      </w:r>
      <w:r>
        <w:rPr>
          <w:rFonts w:hint="default" w:ascii="宋体" w:hAnsi="宋体" w:eastAsia="宋体" w:cs="宋体"/>
          <w:sz w:val="20"/>
          <w:lang w:val="en-US"/>
        </w:rPr>
        <w:t>6</w:t>
      </w:r>
      <w:r>
        <w:rPr>
          <w:rFonts w:hint="eastAsia" w:ascii="宋体" w:hAnsi="宋体" w:eastAsia="宋体" w:cs="宋体"/>
          <w:sz w:val="20"/>
        </w:rPr>
        <w:t>号</w:t>
      </w:r>
      <w:r>
        <w:rPr>
          <w:rFonts w:hint="default" w:ascii="宋体" w:hAnsi="宋体" w:eastAsia="宋体" w:cs="宋体"/>
          <w:sz w:val="20"/>
          <w:lang w:val="en-US"/>
        </w:rPr>
        <w:t xml:space="preserve">   </w:t>
      </w:r>
      <w:r>
        <w:rPr>
          <w:rFonts w:hint="eastAsia" w:ascii="宋体" w:hAnsi="宋体" w:eastAsia="宋体" w:cs="宋体"/>
          <w:sz w:val="20"/>
        </w:rPr>
        <w:t>地  址：</w:t>
      </w:r>
    </w:p>
    <w:p>
      <w:pPr>
        <w:widowControl/>
        <w:adjustRightInd w:val="0"/>
        <w:snapToGrid w:val="0"/>
        <w:spacing w:line="480" w:lineRule="auto"/>
        <w:jc w:val="left"/>
        <w:rPr>
          <w:rFonts w:hint="default" w:ascii="宋体" w:hAnsi="宋体" w:eastAsia="宋体" w:cs="宋体"/>
          <w:sz w:val="20"/>
          <w:highlight w:val="yellow"/>
          <w:lang w:val="en-US"/>
        </w:rPr>
      </w:pPr>
      <w:r>
        <w:rPr>
          <w:rFonts w:hint="eastAsia" w:ascii="宋体" w:hAnsi="宋体" w:eastAsia="宋体" w:cs="宋体"/>
          <w:sz w:val="20"/>
        </w:rPr>
        <w:t>电话： 0635-</w:t>
      </w:r>
      <w:r>
        <w:rPr>
          <w:rFonts w:hint="default" w:ascii="宋体" w:hAnsi="宋体" w:eastAsia="宋体" w:cs="宋体"/>
          <w:sz w:val="20"/>
          <w:lang w:val="en-US" w:eastAsia="zh-CN"/>
        </w:rPr>
        <w:t xml:space="preserve">8579088                                </w:t>
      </w:r>
      <w:r>
        <w:rPr>
          <w:rFonts w:hint="eastAsia" w:ascii="宋体" w:hAnsi="宋体" w:eastAsia="宋体" w:cs="宋体"/>
          <w:sz w:val="20"/>
        </w:rPr>
        <w:t>电话</w:t>
      </w:r>
    </w:p>
    <w:p>
      <w:pPr>
        <w:widowControl/>
        <w:adjustRightInd w:val="0"/>
        <w:snapToGrid w:val="0"/>
        <w:spacing w:line="480" w:lineRule="auto"/>
        <w:jc w:val="left"/>
        <w:rPr>
          <w:rFonts w:hint="eastAsia" w:ascii="宋体" w:hAnsi="宋体" w:eastAsia="宋体" w:cs="宋体"/>
          <w:sz w:val="20"/>
        </w:rPr>
      </w:pPr>
      <w:r>
        <w:rPr>
          <w:rFonts w:hint="eastAsia" w:ascii="宋体" w:hAnsi="宋体" w:eastAsia="宋体" w:cs="宋体"/>
          <w:sz w:val="20"/>
        </w:rPr>
        <w:t>开户银行： 中国银行股份有限公司聊城分行</w:t>
      </w:r>
      <w:r>
        <w:rPr>
          <w:rFonts w:hint="default" w:ascii="宋体" w:hAnsi="宋体" w:eastAsia="宋体" w:cs="宋体"/>
          <w:sz w:val="20"/>
          <w:lang w:val="en-US"/>
        </w:rPr>
        <w:t xml:space="preserve">            </w:t>
      </w:r>
      <w:r>
        <w:rPr>
          <w:rFonts w:hint="eastAsia" w:ascii="宋体" w:hAnsi="宋体" w:eastAsia="宋体" w:cs="宋体"/>
          <w:sz w:val="20"/>
        </w:rPr>
        <w:t xml:space="preserve">开户银行： </w:t>
      </w:r>
    </w:p>
    <w:p>
      <w:pPr>
        <w:widowControl/>
        <w:adjustRightInd w:val="0"/>
        <w:snapToGrid w:val="0"/>
        <w:spacing w:line="480" w:lineRule="auto"/>
        <w:jc w:val="left"/>
        <w:rPr>
          <w:rFonts w:hint="eastAsia" w:ascii="宋体" w:hAnsi="宋体" w:eastAsia="宋体" w:cs="宋体"/>
          <w:sz w:val="20"/>
        </w:rPr>
      </w:pPr>
      <w:r>
        <w:rPr>
          <w:rFonts w:hint="eastAsia" w:ascii="宋体" w:hAnsi="宋体" w:eastAsia="宋体" w:cs="宋体"/>
          <w:sz w:val="20"/>
        </w:rPr>
        <w:t xml:space="preserve">账  号： </w:t>
      </w:r>
      <w:r>
        <w:rPr>
          <w:rFonts w:hint="default" w:ascii="宋体" w:hAnsi="宋体" w:eastAsia="宋体" w:cs="宋体"/>
          <w:sz w:val="20"/>
          <w:lang w:val="en-US"/>
        </w:rPr>
        <w:t xml:space="preserve">                                          </w:t>
      </w:r>
      <w:r>
        <w:rPr>
          <w:rFonts w:hint="eastAsia" w:ascii="宋体" w:hAnsi="宋体" w:eastAsia="宋体" w:cs="宋体"/>
          <w:sz w:val="20"/>
        </w:rPr>
        <w:t>账  号：</w:t>
      </w:r>
    </w:p>
    <w:p>
      <w:pPr>
        <w:widowControl/>
        <w:adjustRightInd w:val="0"/>
        <w:snapToGrid w:val="0"/>
        <w:spacing w:line="480" w:lineRule="auto"/>
        <w:jc w:val="left"/>
        <w:rPr>
          <w:rFonts w:hint="default" w:ascii="宋体" w:hAnsi="宋体" w:eastAsia="宋体" w:cs="宋体"/>
          <w:sz w:val="20"/>
          <w:highlight w:val="yellow"/>
          <w:lang w:val="en-US"/>
        </w:rPr>
      </w:pPr>
      <w:r>
        <w:rPr>
          <w:rFonts w:hint="eastAsia" w:ascii="宋体" w:hAnsi="宋体" w:eastAsia="宋体" w:cs="宋体"/>
          <w:sz w:val="20"/>
        </w:rPr>
        <w:t>税号：</w:t>
      </w:r>
      <w:r>
        <w:rPr>
          <w:rFonts w:hint="default" w:ascii="宋体" w:hAnsi="宋体" w:eastAsia="宋体" w:cs="宋体"/>
          <w:sz w:val="20"/>
          <w:lang w:val="en-US"/>
        </w:rPr>
        <w:t xml:space="preserve">91371500735762380P                          </w:t>
      </w:r>
      <w:r>
        <w:rPr>
          <w:rFonts w:hint="eastAsia" w:ascii="宋体" w:hAnsi="宋体" w:eastAsia="宋体" w:cs="宋体"/>
          <w:sz w:val="20"/>
        </w:rPr>
        <w:t>税</w:t>
      </w:r>
      <w:r>
        <w:rPr>
          <w:rFonts w:hint="eastAsia" w:ascii="宋体" w:hAnsi="宋体" w:eastAsia="宋体" w:cs="宋体"/>
          <w:sz w:val="20"/>
          <w:lang w:val="en-US" w:eastAsia="zh-CN"/>
        </w:rPr>
        <w:t xml:space="preserve">  </w:t>
      </w:r>
      <w:r>
        <w:rPr>
          <w:rFonts w:hint="eastAsia" w:ascii="宋体" w:hAnsi="宋体" w:eastAsia="宋体" w:cs="宋体"/>
          <w:sz w:val="20"/>
        </w:rPr>
        <w:t>号</w:t>
      </w:r>
      <w:r>
        <w:rPr>
          <w:rFonts w:hint="eastAsia" w:ascii="宋体" w:hAnsi="宋体" w:eastAsia="宋体" w:cs="宋体"/>
          <w:sz w:val="20"/>
          <w:lang w:eastAsia="zh-CN"/>
        </w:rPr>
        <w:t>：</w:t>
      </w:r>
    </w:p>
    <w:p>
      <w:pPr>
        <w:spacing w:line="360" w:lineRule="auto"/>
        <w:rPr>
          <w:sz w:val="24"/>
        </w:rPr>
      </w:pPr>
    </w:p>
    <w:p>
      <w:pPr>
        <w:pStyle w:val="14"/>
        <w:jc w:val="left"/>
        <w:rPr>
          <w:rFonts w:ascii="Times New Roman" w:hAnsi="Times New Roman"/>
        </w:rPr>
      </w:pPr>
      <w:bookmarkStart w:id="0" w:name="_GoBack"/>
      <w:bookmarkEnd w:id="0"/>
    </w:p>
    <w:sectPr>
      <w:headerReference r:id="rId3" w:type="default"/>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C12F9"/>
    <w:multiLevelType w:val="singleLevel"/>
    <w:tmpl w:val="12FC12F9"/>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zMzJlOGMwMzA0NGMyZmNhOWE5MTM1OGVmNzlmZDQifQ=="/>
  </w:docVars>
  <w:rsids>
    <w:rsidRoot w:val="00172A27"/>
    <w:rsid w:val="00047B17"/>
    <w:rsid w:val="00050E49"/>
    <w:rsid w:val="000568E0"/>
    <w:rsid w:val="00067419"/>
    <w:rsid w:val="000801D0"/>
    <w:rsid w:val="000C5B04"/>
    <w:rsid w:val="000E5386"/>
    <w:rsid w:val="000E7688"/>
    <w:rsid w:val="001058B4"/>
    <w:rsid w:val="001162B7"/>
    <w:rsid w:val="00134B20"/>
    <w:rsid w:val="001439C8"/>
    <w:rsid w:val="00151ED8"/>
    <w:rsid w:val="0015454A"/>
    <w:rsid w:val="001660E1"/>
    <w:rsid w:val="001706F9"/>
    <w:rsid w:val="00172A27"/>
    <w:rsid w:val="001D06EE"/>
    <w:rsid w:val="001D4FA4"/>
    <w:rsid w:val="00205D3E"/>
    <w:rsid w:val="00233075"/>
    <w:rsid w:val="002354CC"/>
    <w:rsid w:val="00255F72"/>
    <w:rsid w:val="00260591"/>
    <w:rsid w:val="00272506"/>
    <w:rsid w:val="00280D28"/>
    <w:rsid w:val="00280D57"/>
    <w:rsid w:val="0028513F"/>
    <w:rsid w:val="002975B8"/>
    <w:rsid w:val="002A5371"/>
    <w:rsid w:val="002E2C0F"/>
    <w:rsid w:val="002E63DF"/>
    <w:rsid w:val="002F266E"/>
    <w:rsid w:val="002F4797"/>
    <w:rsid w:val="003253E4"/>
    <w:rsid w:val="003366FF"/>
    <w:rsid w:val="00373682"/>
    <w:rsid w:val="00384ED5"/>
    <w:rsid w:val="00385C54"/>
    <w:rsid w:val="003E1038"/>
    <w:rsid w:val="003E3E14"/>
    <w:rsid w:val="003E3F0E"/>
    <w:rsid w:val="003F11E8"/>
    <w:rsid w:val="003F60CF"/>
    <w:rsid w:val="00434418"/>
    <w:rsid w:val="004526F8"/>
    <w:rsid w:val="00452ED9"/>
    <w:rsid w:val="00476989"/>
    <w:rsid w:val="00485B8E"/>
    <w:rsid w:val="004A08F0"/>
    <w:rsid w:val="004A552A"/>
    <w:rsid w:val="004F3C86"/>
    <w:rsid w:val="00530233"/>
    <w:rsid w:val="00531C68"/>
    <w:rsid w:val="005359F3"/>
    <w:rsid w:val="005530E1"/>
    <w:rsid w:val="0059087B"/>
    <w:rsid w:val="00597AD6"/>
    <w:rsid w:val="005B77BB"/>
    <w:rsid w:val="005C1AF5"/>
    <w:rsid w:val="005D31EC"/>
    <w:rsid w:val="005D515E"/>
    <w:rsid w:val="005E0F29"/>
    <w:rsid w:val="005F02BC"/>
    <w:rsid w:val="006029AC"/>
    <w:rsid w:val="006128BA"/>
    <w:rsid w:val="006567DE"/>
    <w:rsid w:val="0066139D"/>
    <w:rsid w:val="00665AB7"/>
    <w:rsid w:val="006669DE"/>
    <w:rsid w:val="00671B1F"/>
    <w:rsid w:val="0069665C"/>
    <w:rsid w:val="006C0CFF"/>
    <w:rsid w:val="006D0D02"/>
    <w:rsid w:val="006D2D99"/>
    <w:rsid w:val="007341EC"/>
    <w:rsid w:val="00743489"/>
    <w:rsid w:val="0075636E"/>
    <w:rsid w:val="007641F1"/>
    <w:rsid w:val="00787949"/>
    <w:rsid w:val="007A39A6"/>
    <w:rsid w:val="007B637E"/>
    <w:rsid w:val="007E6969"/>
    <w:rsid w:val="007F531C"/>
    <w:rsid w:val="00830802"/>
    <w:rsid w:val="0084173A"/>
    <w:rsid w:val="008475EC"/>
    <w:rsid w:val="0085405A"/>
    <w:rsid w:val="008567E3"/>
    <w:rsid w:val="008665E9"/>
    <w:rsid w:val="00882008"/>
    <w:rsid w:val="008A2D6D"/>
    <w:rsid w:val="008B4F05"/>
    <w:rsid w:val="008B6593"/>
    <w:rsid w:val="008D4F6E"/>
    <w:rsid w:val="008E27C5"/>
    <w:rsid w:val="00910B95"/>
    <w:rsid w:val="0092707B"/>
    <w:rsid w:val="009C0319"/>
    <w:rsid w:val="009D30D6"/>
    <w:rsid w:val="009E017D"/>
    <w:rsid w:val="009F3688"/>
    <w:rsid w:val="009F5623"/>
    <w:rsid w:val="00A0612C"/>
    <w:rsid w:val="00A30036"/>
    <w:rsid w:val="00A35D47"/>
    <w:rsid w:val="00A35FF7"/>
    <w:rsid w:val="00A5471B"/>
    <w:rsid w:val="00A63879"/>
    <w:rsid w:val="00A72C72"/>
    <w:rsid w:val="00A76D46"/>
    <w:rsid w:val="00A97C20"/>
    <w:rsid w:val="00AB6489"/>
    <w:rsid w:val="00AC000E"/>
    <w:rsid w:val="00AE60A0"/>
    <w:rsid w:val="00B10625"/>
    <w:rsid w:val="00B440D8"/>
    <w:rsid w:val="00B5196F"/>
    <w:rsid w:val="00B802C4"/>
    <w:rsid w:val="00B9061D"/>
    <w:rsid w:val="00B97F0C"/>
    <w:rsid w:val="00BB0DDC"/>
    <w:rsid w:val="00BB6361"/>
    <w:rsid w:val="00BC09FF"/>
    <w:rsid w:val="00BC3810"/>
    <w:rsid w:val="00BC49C3"/>
    <w:rsid w:val="00BC5A58"/>
    <w:rsid w:val="00BD538D"/>
    <w:rsid w:val="00C318AE"/>
    <w:rsid w:val="00C40F0C"/>
    <w:rsid w:val="00C52B16"/>
    <w:rsid w:val="00C5392A"/>
    <w:rsid w:val="00C64DE8"/>
    <w:rsid w:val="00C871FE"/>
    <w:rsid w:val="00CC5B07"/>
    <w:rsid w:val="00D327C0"/>
    <w:rsid w:val="00D32B57"/>
    <w:rsid w:val="00D439D2"/>
    <w:rsid w:val="00D57A6F"/>
    <w:rsid w:val="00D6437C"/>
    <w:rsid w:val="00D77353"/>
    <w:rsid w:val="00D82EEE"/>
    <w:rsid w:val="00D850C5"/>
    <w:rsid w:val="00DA216C"/>
    <w:rsid w:val="00DD7E3D"/>
    <w:rsid w:val="00DE591D"/>
    <w:rsid w:val="00E16AD8"/>
    <w:rsid w:val="00E46DA0"/>
    <w:rsid w:val="00E529A0"/>
    <w:rsid w:val="00E57AB7"/>
    <w:rsid w:val="00E7744E"/>
    <w:rsid w:val="00E7787C"/>
    <w:rsid w:val="00E90402"/>
    <w:rsid w:val="00E93604"/>
    <w:rsid w:val="00EE002D"/>
    <w:rsid w:val="00EE3557"/>
    <w:rsid w:val="00EE5E35"/>
    <w:rsid w:val="00EF3770"/>
    <w:rsid w:val="00F03419"/>
    <w:rsid w:val="00F1204C"/>
    <w:rsid w:val="00F1658D"/>
    <w:rsid w:val="00F3254E"/>
    <w:rsid w:val="00F40852"/>
    <w:rsid w:val="00F577F3"/>
    <w:rsid w:val="00F64367"/>
    <w:rsid w:val="00F70E2E"/>
    <w:rsid w:val="00F8338C"/>
    <w:rsid w:val="00FA5526"/>
    <w:rsid w:val="00FB295F"/>
    <w:rsid w:val="00FB4945"/>
    <w:rsid w:val="00FC03A0"/>
    <w:rsid w:val="00FC243D"/>
    <w:rsid w:val="011474EC"/>
    <w:rsid w:val="02CD71CC"/>
    <w:rsid w:val="03F02B7A"/>
    <w:rsid w:val="048F768D"/>
    <w:rsid w:val="05315DD2"/>
    <w:rsid w:val="06B95634"/>
    <w:rsid w:val="072B244B"/>
    <w:rsid w:val="084E61D1"/>
    <w:rsid w:val="085545A6"/>
    <w:rsid w:val="08946025"/>
    <w:rsid w:val="091A2F4A"/>
    <w:rsid w:val="0CE43E8B"/>
    <w:rsid w:val="0E743779"/>
    <w:rsid w:val="0ED90B55"/>
    <w:rsid w:val="0F3C4BF7"/>
    <w:rsid w:val="0FC5282B"/>
    <w:rsid w:val="119514E8"/>
    <w:rsid w:val="12EF1659"/>
    <w:rsid w:val="152A0D7F"/>
    <w:rsid w:val="16554677"/>
    <w:rsid w:val="1729165C"/>
    <w:rsid w:val="174412CE"/>
    <w:rsid w:val="17F404AC"/>
    <w:rsid w:val="18723DBA"/>
    <w:rsid w:val="19212ACD"/>
    <w:rsid w:val="1A6B1793"/>
    <w:rsid w:val="1B8B69AD"/>
    <w:rsid w:val="1B8D1B6E"/>
    <w:rsid w:val="1B9F7890"/>
    <w:rsid w:val="1BA919D2"/>
    <w:rsid w:val="1CC827B6"/>
    <w:rsid w:val="1D004D27"/>
    <w:rsid w:val="1DA15594"/>
    <w:rsid w:val="1EE51CE5"/>
    <w:rsid w:val="2189702B"/>
    <w:rsid w:val="23121050"/>
    <w:rsid w:val="24875A15"/>
    <w:rsid w:val="260961FA"/>
    <w:rsid w:val="263B4429"/>
    <w:rsid w:val="26571ECF"/>
    <w:rsid w:val="269B2743"/>
    <w:rsid w:val="275749DC"/>
    <w:rsid w:val="28004F6E"/>
    <w:rsid w:val="28F84668"/>
    <w:rsid w:val="293B2868"/>
    <w:rsid w:val="2AA46380"/>
    <w:rsid w:val="2C821932"/>
    <w:rsid w:val="2C9A3308"/>
    <w:rsid w:val="2CBE7947"/>
    <w:rsid w:val="2D356C02"/>
    <w:rsid w:val="2D567CC3"/>
    <w:rsid w:val="2DA03043"/>
    <w:rsid w:val="2E1937B4"/>
    <w:rsid w:val="307C25C9"/>
    <w:rsid w:val="3089510E"/>
    <w:rsid w:val="30BA2472"/>
    <w:rsid w:val="30CC081E"/>
    <w:rsid w:val="31B93BD9"/>
    <w:rsid w:val="33236A7F"/>
    <w:rsid w:val="34450BDE"/>
    <w:rsid w:val="35753D3D"/>
    <w:rsid w:val="35971A4B"/>
    <w:rsid w:val="35F06D62"/>
    <w:rsid w:val="36422675"/>
    <w:rsid w:val="3A562703"/>
    <w:rsid w:val="3D285D18"/>
    <w:rsid w:val="3EA220A0"/>
    <w:rsid w:val="40694C8F"/>
    <w:rsid w:val="40AB53F7"/>
    <w:rsid w:val="45F66E00"/>
    <w:rsid w:val="48374D75"/>
    <w:rsid w:val="48844B7E"/>
    <w:rsid w:val="48FD0534"/>
    <w:rsid w:val="4A113A14"/>
    <w:rsid w:val="4BA818E4"/>
    <w:rsid w:val="4E61701F"/>
    <w:rsid w:val="4F7A015D"/>
    <w:rsid w:val="4F841EE1"/>
    <w:rsid w:val="507117F3"/>
    <w:rsid w:val="512837D6"/>
    <w:rsid w:val="516A1FFE"/>
    <w:rsid w:val="51AD51BC"/>
    <w:rsid w:val="53687452"/>
    <w:rsid w:val="57865A40"/>
    <w:rsid w:val="586A3C08"/>
    <w:rsid w:val="5B340F0C"/>
    <w:rsid w:val="5B975465"/>
    <w:rsid w:val="5BFE2914"/>
    <w:rsid w:val="5CAA51AD"/>
    <w:rsid w:val="5D932C61"/>
    <w:rsid w:val="608400E9"/>
    <w:rsid w:val="618A3399"/>
    <w:rsid w:val="6195336A"/>
    <w:rsid w:val="623B08E7"/>
    <w:rsid w:val="62E54882"/>
    <w:rsid w:val="637B080D"/>
    <w:rsid w:val="64560E16"/>
    <w:rsid w:val="656122A5"/>
    <w:rsid w:val="668B396A"/>
    <w:rsid w:val="67207412"/>
    <w:rsid w:val="69432EBF"/>
    <w:rsid w:val="6AC4545B"/>
    <w:rsid w:val="6D6A74AC"/>
    <w:rsid w:val="6E360BEE"/>
    <w:rsid w:val="6E717B10"/>
    <w:rsid w:val="6FD8BBF3"/>
    <w:rsid w:val="6FF0756E"/>
    <w:rsid w:val="71204240"/>
    <w:rsid w:val="734C2472"/>
    <w:rsid w:val="73705380"/>
    <w:rsid w:val="73995088"/>
    <w:rsid w:val="74B81476"/>
    <w:rsid w:val="7611679B"/>
    <w:rsid w:val="77C960A6"/>
    <w:rsid w:val="78E8000F"/>
    <w:rsid w:val="79356BAD"/>
    <w:rsid w:val="796D2127"/>
    <w:rsid w:val="D7DC711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3"/>
    <w:qFormat/>
    <w:uiPriority w:val="0"/>
    <w:pPr>
      <w:keepNext/>
      <w:outlineLvl w:val="0"/>
    </w:pPr>
    <w:rPr>
      <w:rFonts w:ascii="宋体"/>
      <w:sz w:val="28"/>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annotation text"/>
    <w:basedOn w:val="1"/>
    <w:link w:val="31"/>
    <w:semiHidden/>
    <w:unhideWhenUsed/>
    <w:qFormat/>
    <w:uiPriority w:val="99"/>
    <w:pPr>
      <w:jc w:val="left"/>
    </w:pPr>
  </w:style>
  <w:style w:type="paragraph" w:styleId="6">
    <w:name w:val="Salutation"/>
    <w:basedOn w:val="1"/>
    <w:next w:val="1"/>
    <w:link w:val="24"/>
    <w:qFormat/>
    <w:uiPriority w:val="0"/>
    <w:rPr>
      <w:sz w:val="24"/>
    </w:rPr>
  </w:style>
  <w:style w:type="paragraph" w:styleId="7">
    <w:name w:val="Body Text Indent"/>
    <w:basedOn w:val="1"/>
    <w:link w:val="28"/>
    <w:semiHidden/>
    <w:unhideWhenUsed/>
    <w:qFormat/>
    <w:uiPriority w:val="99"/>
    <w:pPr>
      <w:spacing w:after="120"/>
      <w:ind w:left="420" w:leftChars="200"/>
    </w:pPr>
  </w:style>
  <w:style w:type="paragraph" w:styleId="8">
    <w:name w:val="Body Text Indent 2"/>
    <w:basedOn w:val="1"/>
    <w:link w:val="27"/>
    <w:qFormat/>
    <w:uiPriority w:val="0"/>
    <w:pPr>
      <w:ind w:firstLine="10983" w:firstLineChars="3495"/>
    </w:pPr>
    <w:rPr>
      <w:rFonts w:eastAsia="黑体"/>
      <w:b/>
      <w:bCs/>
      <w:sz w:val="32"/>
    </w:rPr>
  </w:style>
  <w:style w:type="paragraph" w:styleId="9">
    <w:name w:val="Balloon Text"/>
    <w:basedOn w:val="1"/>
    <w:link w:val="26"/>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widowControl/>
      <w:spacing w:after="100" w:line="276" w:lineRule="auto"/>
      <w:jc w:val="left"/>
    </w:pPr>
    <w:rPr>
      <w:rFonts w:ascii="Calibri" w:hAnsi="Calibri"/>
      <w:kern w:val="0"/>
      <w:sz w:val="22"/>
      <w:szCs w:val="22"/>
    </w:rPr>
  </w:style>
  <w:style w:type="paragraph" w:styleId="13">
    <w:name w:val="Normal (Web)"/>
    <w:basedOn w:val="1"/>
    <w:unhideWhenUsed/>
    <w:qFormat/>
    <w:uiPriority w:val="99"/>
    <w:pPr>
      <w:spacing w:before="100" w:beforeAutospacing="1" w:after="100" w:afterAutospacing="1"/>
      <w:jc w:val="left"/>
    </w:pPr>
    <w:rPr>
      <w:rFonts w:asciiTheme="minorHAnsi" w:hAnsiTheme="minorHAnsi" w:eastAsiaTheme="minorEastAsia"/>
      <w:kern w:val="0"/>
      <w:sz w:val="24"/>
      <w:szCs w:val="24"/>
    </w:rPr>
  </w:style>
  <w:style w:type="paragraph" w:styleId="14">
    <w:name w:val="Title"/>
    <w:basedOn w:val="1"/>
    <w:next w:val="1"/>
    <w:link w:val="25"/>
    <w:qFormat/>
    <w:uiPriority w:val="0"/>
    <w:pPr>
      <w:spacing w:before="240" w:after="60"/>
      <w:jc w:val="center"/>
      <w:outlineLvl w:val="0"/>
    </w:pPr>
    <w:rPr>
      <w:rFonts w:ascii="Cambria" w:hAnsi="Cambria"/>
      <w:b/>
      <w:bCs/>
      <w:sz w:val="32"/>
      <w:szCs w:val="32"/>
    </w:rPr>
  </w:style>
  <w:style w:type="paragraph" w:styleId="15">
    <w:name w:val="annotation subject"/>
    <w:basedOn w:val="5"/>
    <w:next w:val="5"/>
    <w:link w:val="32"/>
    <w:semiHidden/>
    <w:unhideWhenUsed/>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Hyperlink"/>
    <w:qFormat/>
    <w:uiPriority w:val="99"/>
    <w:rPr>
      <w:color w:val="0000FF"/>
      <w:u w:val="single"/>
    </w:rPr>
  </w:style>
  <w:style w:type="character" w:styleId="20">
    <w:name w:val="annotation reference"/>
    <w:basedOn w:val="18"/>
    <w:semiHidden/>
    <w:unhideWhenUsed/>
    <w:uiPriority w:val="99"/>
    <w:rPr>
      <w:sz w:val="21"/>
      <w:szCs w:val="21"/>
    </w:rPr>
  </w:style>
  <w:style w:type="character" w:customStyle="1" w:styleId="21">
    <w:name w:val="页眉 字符"/>
    <w:basedOn w:val="18"/>
    <w:link w:val="11"/>
    <w:qFormat/>
    <w:uiPriority w:val="99"/>
    <w:rPr>
      <w:sz w:val="18"/>
      <w:szCs w:val="18"/>
    </w:rPr>
  </w:style>
  <w:style w:type="character" w:customStyle="1" w:styleId="22">
    <w:name w:val="页脚 字符"/>
    <w:basedOn w:val="18"/>
    <w:link w:val="10"/>
    <w:qFormat/>
    <w:uiPriority w:val="99"/>
    <w:rPr>
      <w:sz w:val="18"/>
      <w:szCs w:val="18"/>
    </w:rPr>
  </w:style>
  <w:style w:type="character" w:customStyle="1" w:styleId="23">
    <w:name w:val="标题 1 字符"/>
    <w:basedOn w:val="18"/>
    <w:link w:val="2"/>
    <w:qFormat/>
    <w:uiPriority w:val="0"/>
    <w:rPr>
      <w:rFonts w:ascii="宋体" w:hAnsi="Times New Roman" w:eastAsia="宋体" w:cs="Times New Roman"/>
      <w:sz w:val="28"/>
      <w:szCs w:val="20"/>
    </w:rPr>
  </w:style>
  <w:style w:type="character" w:customStyle="1" w:styleId="24">
    <w:name w:val="称呼 字符"/>
    <w:basedOn w:val="18"/>
    <w:link w:val="6"/>
    <w:qFormat/>
    <w:uiPriority w:val="0"/>
    <w:rPr>
      <w:rFonts w:ascii="Times New Roman" w:hAnsi="Times New Roman" w:eastAsia="宋体" w:cs="Times New Roman"/>
      <w:sz w:val="24"/>
      <w:szCs w:val="20"/>
    </w:rPr>
  </w:style>
  <w:style w:type="character" w:customStyle="1" w:styleId="25">
    <w:name w:val="标题 字符"/>
    <w:basedOn w:val="18"/>
    <w:link w:val="14"/>
    <w:qFormat/>
    <w:uiPriority w:val="0"/>
    <w:rPr>
      <w:rFonts w:ascii="Cambria" w:hAnsi="Cambria" w:eastAsia="宋体" w:cs="Times New Roman"/>
      <w:b/>
      <w:bCs/>
      <w:sz w:val="32"/>
      <w:szCs w:val="32"/>
    </w:rPr>
  </w:style>
  <w:style w:type="character" w:customStyle="1" w:styleId="26">
    <w:name w:val="批注框文本 字符"/>
    <w:basedOn w:val="18"/>
    <w:link w:val="9"/>
    <w:semiHidden/>
    <w:qFormat/>
    <w:uiPriority w:val="99"/>
    <w:rPr>
      <w:rFonts w:ascii="Times New Roman" w:hAnsi="Times New Roman" w:eastAsia="宋体" w:cs="Times New Roman"/>
      <w:sz w:val="18"/>
      <w:szCs w:val="18"/>
    </w:rPr>
  </w:style>
  <w:style w:type="character" w:customStyle="1" w:styleId="27">
    <w:name w:val="正文文本缩进 2 字符"/>
    <w:basedOn w:val="18"/>
    <w:link w:val="8"/>
    <w:qFormat/>
    <w:uiPriority w:val="0"/>
    <w:rPr>
      <w:rFonts w:ascii="Times New Roman" w:hAnsi="Times New Roman" w:eastAsia="黑体" w:cs="Times New Roman"/>
      <w:b/>
      <w:bCs/>
      <w:sz w:val="32"/>
      <w:szCs w:val="20"/>
    </w:rPr>
  </w:style>
  <w:style w:type="character" w:customStyle="1" w:styleId="28">
    <w:name w:val="正文文本缩进 字符"/>
    <w:basedOn w:val="18"/>
    <w:link w:val="7"/>
    <w:semiHidden/>
    <w:qFormat/>
    <w:uiPriority w:val="99"/>
    <w:rPr>
      <w:rFonts w:ascii="Times New Roman" w:hAnsi="Times New Roman" w:eastAsia="宋体" w:cs="Times New Roman"/>
      <w:szCs w:val="20"/>
    </w:rPr>
  </w:style>
  <w:style w:type="character" w:customStyle="1" w:styleId="29">
    <w:name w:val="标题 2 字符"/>
    <w:basedOn w:val="18"/>
    <w:link w:val="3"/>
    <w:semiHidden/>
    <w:qFormat/>
    <w:uiPriority w:val="9"/>
    <w:rPr>
      <w:rFonts w:asciiTheme="majorHAnsi" w:hAnsiTheme="majorHAnsi" w:eastAsiaTheme="majorEastAsia" w:cstheme="majorBidi"/>
      <w:b/>
      <w:bCs/>
      <w:kern w:val="2"/>
      <w:sz w:val="32"/>
      <w:szCs w:val="32"/>
    </w:rPr>
  </w:style>
  <w:style w:type="paragraph" w:customStyle="1" w:styleId="30">
    <w:name w:val="文档正文-1"/>
    <w:basedOn w:val="1"/>
    <w:qFormat/>
    <w:uiPriority w:val="0"/>
    <w:pPr>
      <w:spacing w:line="360" w:lineRule="auto"/>
      <w:ind w:firstLine="200" w:firstLineChars="200"/>
    </w:pPr>
    <w:rPr>
      <w:rFonts w:eastAsia="仿宋"/>
      <w:sz w:val="32"/>
      <w:szCs w:val="22"/>
    </w:rPr>
  </w:style>
  <w:style w:type="character" w:customStyle="1" w:styleId="31">
    <w:name w:val="批注文字 字符"/>
    <w:basedOn w:val="18"/>
    <w:link w:val="5"/>
    <w:semiHidden/>
    <w:uiPriority w:val="99"/>
    <w:rPr>
      <w:kern w:val="2"/>
      <w:sz w:val="21"/>
    </w:rPr>
  </w:style>
  <w:style w:type="character" w:customStyle="1" w:styleId="32">
    <w:name w:val="批注主题 字符"/>
    <w:basedOn w:val="31"/>
    <w:link w:val="15"/>
    <w:semiHidden/>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1024</Words>
  <Characters>5842</Characters>
  <Lines>48</Lines>
  <Paragraphs>13</Paragraphs>
  <TotalTime>4</TotalTime>
  <ScaleCrop>false</ScaleCrop>
  <LinksUpToDate>false</LinksUpToDate>
  <CharactersWithSpaces>6853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2024-03-22T02:50:00Z</dcterms:created>
  <dc:creator>Windows 用户</dc:creator>
  <cp:lastModifiedBy>郭亚振</cp:lastModifiedBy>
  <dcterms:modified xsi:type="dcterms:W3CDTF">2025-05-21T08:52:52Z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6CB025C1F6734DEEA0BAC784770BEBE5</vt:lpwstr>
  </property>
</Properties>
</file>