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E652D">
      <w:pPr>
        <w:jc w:val="center"/>
        <w:rPr>
          <w:rFonts w:hint="eastAsia" w:ascii="宋体" w:hAnsi="宋体"/>
          <w:b/>
          <w:sz w:val="44"/>
          <w:szCs w:val="44"/>
        </w:rPr>
      </w:pPr>
    </w:p>
    <w:p w14:paraId="1F9A092C"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中国重汽集团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2025年</w:t>
      </w:r>
    </w:p>
    <w:p w14:paraId="5D6801CE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科技大厦及橡塑件污水处理运维</w:t>
      </w:r>
      <w:r>
        <w:rPr>
          <w:rFonts w:hint="eastAsia" w:ascii="宋体" w:hAnsi="宋体"/>
          <w:b/>
          <w:sz w:val="44"/>
          <w:szCs w:val="44"/>
        </w:rPr>
        <w:t>项目</w:t>
      </w:r>
    </w:p>
    <w:p w14:paraId="428A0605">
      <w:pPr>
        <w:pStyle w:val="9"/>
        <w:ind w:firstLine="2200" w:firstLineChars="500"/>
        <w:rPr>
          <w:rFonts w:hint="eastAsia" w:ascii="宋体" w:hAnsi="宋体" w:eastAsia="宋体" w:cs="Times New Roman"/>
          <w:color w:val="FF0000"/>
          <w:kern w:val="2"/>
          <w:sz w:val="44"/>
          <w:szCs w:val="48"/>
        </w:rPr>
      </w:pPr>
    </w:p>
    <w:p w14:paraId="65C96E3C">
      <w:pPr>
        <w:jc w:val="both"/>
        <w:rPr>
          <w:rFonts w:hint="eastAsia"/>
          <w:sz w:val="28"/>
          <w:szCs w:val="28"/>
        </w:rPr>
      </w:pPr>
    </w:p>
    <w:p w14:paraId="0ABED8B0">
      <w:pPr>
        <w:jc w:val="center"/>
        <w:rPr>
          <w:rFonts w:hint="eastAsia" w:ascii="黑体" w:hAnsi="宋体" w:eastAsia="黑体"/>
          <w:sz w:val="56"/>
          <w:szCs w:val="84"/>
        </w:rPr>
      </w:pPr>
      <w:r>
        <w:rPr>
          <w:rFonts w:hint="eastAsia" w:ascii="黑体" w:hAnsi="宋体" w:eastAsia="黑体"/>
          <w:sz w:val="56"/>
          <w:szCs w:val="84"/>
        </w:rPr>
        <w:t>招</w:t>
      </w:r>
    </w:p>
    <w:p w14:paraId="61542D7A">
      <w:pPr>
        <w:jc w:val="center"/>
        <w:rPr>
          <w:rFonts w:hint="eastAsia" w:ascii="黑体" w:hAnsi="宋体" w:eastAsia="黑体"/>
          <w:sz w:val="56"/>
          <w:szCs w:val="84"/>
        </w:rPr>
      </w:pPr>
    </w:p>
    <w:p w14:paraId="5767F347">
      <w:pPr>
        <w:jc w:val="center"/>
        <w:rPr>
          <w:rFonts w:hint="eastAsia" w:ascii="黑体" w:hAnsi="宋体" w:eastAsia="黑体"/>
          <w:sz w:val="56"/>
          <w:szCs w:val="84"/>
        </w:rPr>
      </w:pPr>
      <w:r>
        <w:rPr>
          <w:rFonts w:hint="eastAsia" w:ascii="黑体" w:hAnsi="宋体" w:eastAsia="黑体"/>
          <w:sz w:val="56"/>
          <w:szCs w:val="84"/>
        </w:rPr>
        <w:t>标</w:t>
      </w:r>
    </w:p>
    <w:p w14:paraId="4F75C2AD">
      <w:pPr>
        <w:jc w:val="center"/>
        <w:rPr>
          <w:rFonts w:hint="eastAsia" w:ascii="黑体" w:hAnsi="宋体" w:eastAsia="黑体"/>
          <w:sz w:val="56"/>
          <w:szCs w:val="84"/>
        </w:rPr>
      </w:pPr>
    </w:p>
    <w:p w14:paraId="4D0EAD93">
      <w:pPr>
        <w:jc w:val="center"/>
        <w:rPr>
          <w:rFonts w:hint="eastAsia" w:ascii="黑体" w:hAnsi="宋体" w:eastAsia="黑体"/>
          <w:sz w:val="56"/>
          <w:szCs w:val="84"/>
          <w:lang w:val="en-US" w:eastAsia="zh-CN"/>
        </w:rPr>
      </w:pPr>
      <w:r>
        <w:rPr>
          <w:rFonts w:hint="eastAsia" w:ascii="黑体" w:hAnsi="宋体" w:eastAsia="黑体"/>
          <w:sz w:val="56"/>
          <w:szCs w:val="84"/>
          <w:lang w:val="en-US" w:eastAsia="zh-CN"/>
        </w:rPr>
        <w:t>公</w:t>
      </w:r>
    </w:p>
    <w:p w14:paraId="4BE444B9">
      <w:pPr>
        <w:jc w:val="center"/>
        <w:rPr>
          <w:rFonts w:hint="eastAsia" w:ascii="黑体" w:hAnsi="宋体" w:eastAsia="黑体"/>
          <w:sz w:val="56"/>
          <w:szCs w:val="84"/>
          <w:lang w:val="en-US" w:eastAsia="zh-CN"/>
        </w:rPr>
      </w:pPr>
    </w:p>
    <w:p w14:paraId="377CAD2E">
      <w:pPr>
        <w:jc w:val="center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黑体" w:hAnsi="宋体" w:eastAsia="黑体"/>
          <w:sz w:val="56"/>
          <w:szCs w:val="84"/>
          <w:lang w:val="en-US" w:eastAsia="zh-CN"/>
        </w:rPr>
        <w:t>告</w:t>
      </w:r>
    </w:p>
    <w:p w14:paraId="3DFF17B1">
      <w:pPr>
        <w:jc w:val="center"/>
        <w:rPr>
          <w:rFonts w:hint="eastAsia" w:ascii="宋体" w:hAnsi="宋体"/>
          <w:sz w:val="28"/>
          <w:szCs w:val="28"/>
        </w:rPr>
      </w:pPr>
    </w:p>
    <w:p w14:paraId="619555BD">
      <w:pPr>
        <w:jc w:val="center"/>
        <w:rPr>
          <w:rFonts w:hint="eastAsia" w:ascii="宋体" w:hAnsi="宋体"/>
          <w:sz w:val="28"/>
          <w:szCs w:val="28"/>
        </w:rPr>
      </w:pPr>
    </w:p>
    <w:p w14:paraId="34AD65A0"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招 标 人：中国重型汽车集团有限公司</w:t>
      </w:r>
    </w:p>
    <w:p w14:paraId="04295495">
      <w:pPr>
        <w:spacing w:line="480" w:lineRule="auto"/>
        <w:jc w:val="center"/>
        <w:rPr>
          <w:rFonts w:hint="eastAsia" w:ascii="宋体" w:hAnsi="宋体"/>
          <w:sz w:val="28"/>
          <w:szCs w:val="28"/>
        </w:rPr>
        <w:sectPr>
          <w:headerReference r:id="rId4" w:type="first"/>
          <w:headerReference r:id="rId3" w:type="default"/>
          <w:footerReference r:id="rId5" w:type="even"/>
          <w:pgSz w:w="11906" w:h="16838"/>
          <w:pgMar w:top="1417" w:right="1587" w:bottom="1020" w:left="1587" w:header="851" w:footer="992" w:gutter="0"/>
          <w:pgNumType w:fmt="numberInDash" w:start="0"/>
          <w:cols w:space="720" w:num="1"/>
          <w:titlePg/>
          <w:docGrid w:type="lines" w:linePitch="312" w:charSpace="0"/>
        </w:sectPr>
      </w:pP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 xml:space="preserve"> 年 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</w:p>
    <w:p w14:paraId="38C27ABF">
      <w:pPr>
        <w:pStyle w:val="2"/>
        <w:spacing w:line="360" w:lineRule="auto"/>
        <w:outlineLvl w:val="1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一、项目名称</w:t>
      </w:r>
    </w:p>
    <w:p w14:paraId="518874EB">
      <w:pPr>
        <w:spacing w:line="420" w:lineRule="exact"/>
        <w:ind w:firstLine="420" w:firstLineChars="200"/>
        <w:jc w:val="left"/>
        <w:rPr>
          <w:rFonts w:hint="eastAsia"/>
          <w:szCs w:val="22"/>
        </w:rPr>
      </w:pPr>
      <w:r>
        <w:rPr>
          <w:rFonts w:hint="eastAsia" w:ascii="宋体" w:hAnsi="宋体"/>
        </w:rPr>
        <w:t>项目名</w:t>
      </w:r>
      <w:r>
        <w:rPr>
          <w:rFonts w:hint="eastAsia"/>
          <w:szCs w:val="22"/>
        </w:rPr>
        <w:t>称：中国重汽集团</w:t>
      </w:r>
      <w:r>
        <w:rPr>
          <w:rFonts w:hint="eastAsia"/>
          <w:szCs w:val="22"/>
          <w:lang w:eastAsia="zh-CN"/>
        </w:rPr>
        <w:t>2025</w:t>
      </w:r>
      <w:r>
        <w:rPr>
          <w:rFonts w:hint="eastAsia"/>
          <w:szCs w:val="22"/>
        </w:rPr>
        <w:t>年科技大厦及橡塑件污水处理运维项目</w:t>
      </w:r>
    </w:p>
    <w:p w14:paraId="44426737">
      <w:pPr>
        <w:pStyle w:val="2"/>
        <w:spacing w:line="360" w:lineRule="auto"/>
        <w:outlineLvl w:val="1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二、招标内容</w:t>
      </w:r>
    </w:p>
    <w:p w14:paraId="26526F77">
      <w:pPr>
        <w:pStyle w:val="2"/>
        <w:spacing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1.对科技大厦、济南橡塑件公司污水处理站进行委托运维。</w:t>
      </w:r>
    </w:p>
    <w:tbl>
      <w:tblPr>
        <w:tblStyle w:val="5"/>
        <w:tblpPr w:leftFromText="180" w:rightFromText="180" w:vertAnchor="text" w:horzAnchor="page" w:tblpXSpec="center" w:tblpY="103"/>
        <w:tblOverlap w:val="never"/>
        <w:tblW w:w="94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887"/>
        <w:gridCol w:w="1400"/>
        <w:gridCol w:w="6025"/>
        <w:gridCol w:w="581"/>
      </w:tblGrid>
      <w:tr w14:paraId="69E08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2832CF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序号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3CEF6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单位名称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BC0CE5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污水处理站名称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8CD9F5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业务内容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6E8C57A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计价</w:t>
            </w:r>
          </w:p>
        </w:tc>
      </w:tr>
      <w:tr w14:paraId="3CDD5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26A15">
            <w:pPr>
              <w:widowControl/>
              <w:jc w:val="center"/>
              <w:rPr>
                <w:rFonts w:hint="default"/>
                <w:szCs w:val="22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包1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57408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中国重汽集团济南动力公司（集团大厦）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7D2F9">
            <w:pPr>
              <w:jc w:val="center"/>
              <w:rPr>
                <w:spacing w:val="2"/>
                <w:szCs w:val="22"/>
              </w:rPr>
            </w:pPr>
            <w:r>
              <w:rPr>
                <w:rFonts w:hint="eastAsia" w:ascii="宋体" w:hAnsi="宋体"/>
                <w:spacing w:val="2"/>
              </w:rPr>
              <w:t>中水处理站运维</w:t>
            </w:r>
          </w:p>
        </w:tc>
        <w:tc>
          <w:tcPr>
            <w:tcW w:w="6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D565D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工艺生产线的日常运作、工艺巡检；</w:t>
            </w:r>
          </w:p>
          <w:p w14:paraId="384D19AA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系统附属设备的操作、巡检、维修、保养；</w:t>
            </w:r>
          </w:p>
          <w:p w14:paraId="116D08BA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调节池水位控制，根据水位进行污水处理工作；</w:t>
            </w:r>
          </w:p>
          <w:p w14:paraId="5B802243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沉淀池排泥、压泥、装袋、外运处置、危废台账记录；</w:t>
            </w:r>
          </w:p>
          <w:p w14:paraId="11DDE205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负责运行药剂的采购，药剂投加、加药罐及加药管道清理；</w:t>
            </w:r>
          </w:p>
          <w:p w14:paraId="49C2AF49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格栅、各池体、排泥管道、污水井定期清理（包括地下封闭池体，涉及有限空间作业）；</w:t>
            </w:r>
          </w:p>
          <w:p w14:paraId="03ADFCD6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负责污水水质化验、化验药品耗材采购等工作，监控在线监控系统数据，</w:t>
            </w:r>
            <w:r>
              <w:rPr>
                <w:rFonts w:hint="eastAsia" w:ascii="宋体" w:hAnsi="宋体"/>
                <w:szCs w:val="21"/>
              </w:rPr>
              <w:t>确保废水达标排放，回用中水满足《生活杂用水水质标准》（冲厕）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外排水满足</w:t>
            </w:r>
            <w:r>
              <w:rPr>
                <w:rFonts w:hint="eastAsia"/>
                <w:lang w:val="en-US" w:eastAsia="zh-CN"/>
              </w:rPr>
              <w:t>《</w:t>
            </w:r>
            <w:r>
              <w:rPr>
                <w:rFonts w:hint="eastAsia"/>
              </w:rPr>
              <w:t>城镇污水处理厂污染物排放标准</w:t>
            </w:r>
            <w:r>
              <w:rPr>
                <w:rFonts w:hint="eastAsia"/>
                <w:lang w:val="en-US" w:eastAsia="zh-CN"/>
              </w:rPr>
              <w:t>》一级A标准。</w:t>
            </w:r>
          </w:p>
          <w:p w14:paraId="0757FC77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负责中水站站内废气处理工作，包括废气处理药剂投加、设备运行、维保，避免影响园区大气环境，避免对人员造成不适影响；</w:t>
            </w:r>
          </w:p>
          <w:p w14:paraId="1FF8EFA5">
            <w:r>
              <w:rPr>
                <w:rFonts w:hint="eastAsia"/>
              </w:rPr>
              <w:t>9、其他临时性工作。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7C1D1">
            <w:pPr>
              <w:jc w:val="center"/>
              <w:rPr>
                <w:rFonts w:hint="default" w:eastAsia="宋体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进水量</w:t>
            </w:r>
          </w:p>
        </w:tc>
      </w:tr>
      <w:tr w14:paraId="1CBEA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E850">
            <w:pPr>
              <w:jc w:val="center"/>
              <w:rPr>
                <w:rFonts w:hint="default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包2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CCC6F">
            <w:pPr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</w:rPr>
              <w:t>济南橡塑件公司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1D252"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2"/>
              </w:rPr>
              <w:t>磷化废水预处理线、综合污水处理站运维</w:t>
            </w:r>
          </w:p>
        </w:tc>
        <w:tc>
          <w:tcPr>
            <w:tcW w:w="6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2556A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spacing w:val="2"/>
              </w:rPr>
            </w:pPr>
            <w:r>
              <w:rPr>
                <w:rFonts w:hint="eastAsia" w:ascii="宋体" w:hAnsi="宋体"/>
                <w:spacing w:val="2"/>
              </w:rPr>
              <w:t>磷化废水线：</w:t>
            </w:r>
          </w:p>
          <w:p w14:paraId="47137042">
            <w:pPr>
              <w:jc w:val="left"/>
              <w:rPr>
                <w:rFonts w:ascii="宋体" w:hAnsi="宋体"/>
                <w:spacing w:val="2"/>
              </w:rPr>
            </w:pPr>
            <w:r>
              <w:rPr>
                <w:rFonts w:hint="eastAsia" w:ascii="宋体" w:hAnsi="宋体"/>
                <w:spacing w:val="2"/>
              </w:rPr>
              <w:t>根据生产安排，处理产线排放的磷化废水。负责运行药剂的配备及投加、负责磷化废水线的运行及巡检、负责产线的排泥及压泥、负责磷化线的指标检测。</w:t>
            </w:r>
          </w:p>
          <w:p w14:paraId="1100EE55"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spacing w:val="2"/>
              </w:rPr>
            </w:pPr>
            <w:r>
              <w:rPr>
                <w:rFonts w:hint="eastAsia" w:ascii="宋体" w:hAnsi="宋体"/>
                <w:spacing w:val="2"/>
              </w:rPr>
              <w:t>综合污水处理站：</w:t>
            </w:r>
          </w:p>
          <w:p w14:paraId="1B9B5F7C">
            <w:pPr>
              <w:jc w:val="left"/>
            </w:pPr>
            <w:r>
              <w:rPr>
                <w:rFonts w:hint="eastAsia" w:ascii="宋体" w:hAnsi="宋体"/>
                <w:spacing w:val="2"/>
              </w:rPr>
              <w:t>1、</w:t>
            </w:r>
            <w:r>
              <w:rPr>
                <w:rFonts w:hint="eastAsia"/>
              </w:rPr>
              <w:t>工艺生产线的日常运行、工艺巡检 ；</w:t>
            </w:r>
          </w:p>
          <w:p w14:paraId="364F616F">
            <w:pPr>
              <w:jc w:val="left"/>
            </w:pPr>
            <w:r>
              <w:rPr>
                <w:rFonts w:hint="eastAsia"/>
              </w:rPr>
              <w:t>2、系统附属设备的操作、巡检、维修、保养；</w:t>
            </w:r>
          </w:p>
          <w:p w14:paraId="765661C6">
            <w:pPr>
              <w:jc w:val="left"/>
            </w:pPr>
            <w:r>
              <w:rPr>
                <w:rFonts w:hint="eastAsia"/>
              </w:rPr>
              <w:t>3、西、北调节池水位控制，根据水位进行污水处理工作；</w:t>
            </w:r>
          </w:p>
          <w:p w14:paraId="2D768B2B">
            <w:pPr>
              <w:jc w:val="left"/>
            </w:pPr>
            <w:r>
              <w:rPr>
                <w:rFonts w:hint="eastAsia"/>
              </w:rPr>
              <w:t>4、沉淀池、浓缩池及其他池体污泥排泥、压泥和处理装袋、转移至危废仓库、危废台账记录；</w:t>
            </w:r>
          </w:p>
          <w:p w14:paraId="5A753F45">
            <w:pPr>
              <w:jc w:val="left"/>
            </w:pPr>
            <w:r>
              <w:rPr>
                <w:rFonts w:hint="eastAsia"/>
              </w:rPr>
              <w:t>5、负责运行药剂的采购，药剂投加、加药罐及加药管道清理；</w:t>
            </w:r>
          </w:p>
          <w:p w14:paraId="32907E23">
            <w:pPr>
              <w:jc w:val="left"/>
            </w:pPr>
            <w:r>
              <w:rPr>
                <w:rFonts w:hint="eastAsia"/>
              </w:rPr>
              <w:t>6、格栅、各池体、排泥管道、污水井定期清理（包括地下封闭池体，涉及有限空间作业）；</w:t>
            </w:r>
          </w:p>
          <w:p w14:paraId="7C62759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7、负责污水水质化验、化验药品耗材采购等工作，监控在线监控系统数据，</w:t>
            </w:r>
            <w:r>
              <w:rPr>
                <w:rFonts w:hint="eastAsia" w:ascii="宋体" w:hAnsi="宋体"/>
                <w:szCs w:val="21"/>
              </w:rPr>
              <w:t>确保废水达标排放，回用中水满足《生活杂用水水质标准》，外排水满足《污水排入城镇下水道水质标准》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szCs w:val="21"/>
              </w:rPr>
              <w:t>级要求。</w:t>
            </w:r>
          </w:p>
          <w:p w14:paraId="55A80A32">
            <w:pPr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8、其他临时性工作。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2BCA3">
            <w:pPr>
              <w:jc w:val="center"/>
              <w:rPr>
                <w:rFonts w:hint="eastAsia" w:eastAsia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Cs w:val="22"/>
                <w:lang w:val="en-US" w:eastAsia="zh-CN"/>
              </w:rPr>
              <w:t>进水量</w:t>
            </w:r>
          </w:p>
        </w:tc>
      </w:tr>
    </w:tbl>
    <w:p w14:paraId="44F181E4">
      <w:pPr>
        <w:pStyle w:val="2"/>
        <w:numPr>
          <w:ilvl w:val="0"/>
          <w:numId w:val="0"/>
        </w:numPr>
        <w:spacing w:line="360" w:lineRule="auto"/>
        <w:ind w:firstLine="211" w:firstLineChars="100"/>
        <w:rPr>
          <w:rFonts w:hint="default" w:ascii="Times New Roman" w:hAnsi="Times New Roman" w:eastAsia="宋体" w:cs="Times New Roman"/>
          <w:b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2"/>
          <w:lang w:val="en-US" w:eastAsia="zh-CN" w:bidi="ar-SA"/>
        </w:rPr>
        <w:t>注：以上两个分包，分项报价，允许分投分中。</w:t>
      </w:r>
    </w:p>
    <w:p w14:paraId="76E2C998">
      <w:pPr>
        <w:pStyle w:val="2"/>
        <w:spacing w:line="360" w:lineRule="auto"/>
        <w:outlineLvl w:val="1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三、招标形式</w:t>
      </w:r>
    </w:p>
    <w:p w14:paraId="1D6E09F4">
      <w:pPr>
        <w:pStyle w:val="2"/>
        <w:spacing w:line="360" w:lineRule="auto"/>
        <w:ind w:firstLine="420" w:firstLineChars="200"/>
        <w:rPr>
          <w:rFonts w:hint="eastAsia" w:hAnsi="宋体"/>
          <w:szCs w:val="22"/>
        </w:rPr>
      </w:pPr>
      <w:r>
        <w:rPr>
          <w:rFonts w:hint="eastAsia"/>
        </w:rPr>
        <w:t>招标形式：</w:t>
      </w:r>
      <w:r>
        <w:rPr>
          <w:rFonts w:hint="eastAsia" w:hAnsi="宋体"/>
          <w:szCs w:val="22"/>
        </w:rPr>
        <w:t>公开招标。</w:t>
      </w:r>
    </w:p>
    <w:p w14:paraId="309E7F40">
      <w:pPr>
        <w:pStyle w:val="2"/>
        <w:spacing w:line="360" w:lineRule="auto"/>
        <w:outlineLvl w:val="1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四、议程安排</w:t>
      </w:r>
    </w:p>
    <w:p w14:paraId="74246864">
      <w:pPr>
        <w:pStyle w:val="2"/>
        <w:spacing w:line="360" w:lineRule="auto"/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</w:rPr>
        <w:t>1.</w:t>
      </w:r>
      <w:r>
        <w:rPr>
          <w:rFonts w:hint="eastAsia"/>
          <w:color w:val="auto"/>
          <w:lang w:val="en-US" w:eastAsia="zh-CN"/>
        </w:rPr>
        <w:t>发标</w:t>
      </w:r>
      <w:r>
        <w:rPr>
          <w:rFonts w:hint="eastAsia"/>
          <w:color w:val="auto"/>
          <w:highlight w:val="none"/>
        </w:rPr>
        <w:t>时间：</w:t>
      </w:r>
      <w:r>
        <w:rPr>
          <w:rFonts w:hint="eastAsia"/>
          <w:color w:val="auto"/>
          <w:highlight w:val="none"/>
          <w:lang w:eastAsia="zh-CN"/>
        </w:rPr>
        <w:t>2025年3月30日</w:t>
      </w:r>
    </w:p>
    <w:p w14:paraId="7CD9E6B4">
      <w:pPr>
        <w:pStyle w:val="2"/>
        <w:spacing w:line="360" w:lineRule="auto"/>
        <w:ind w:firstLine="420" w:firstLineChars="200"/>
        <w:rPr>
          <w:rFonts w:hint="eastAsia"/>
          <w:color w:val="FF0000"/>
          <w:highlight w:val="none"/>
        </w:rPr>
      </w:pPr>
      <w:r>
        <w:rPr>
          <w:rFonts w:hint="eastAsia"/>
          <w:color w:val="auto"/>
          <w:highlight w:val="none"/>
        </w:rPr>
        <w:t>2.</w:t>
      </w:r>
      <w:r>
        <w:rPr>
          <w:rFonts w:hint="eastAsia"/>
          <w:color w:val="auto"/>
          <w:highlight w:val="none"/>
          <w:lang w:val="en-US" w:eastAsia="zh-CN"/>
        </w:rPr>
        <w:t>应标</w:t>
      </w:r>
      <w:r>
        <w:rPr>
          <w:rFonts w:hint="eastAsia"/>
          <w:color w:val="auto"/>
          <w:highlight w:val="none"/>
        </w:rPr>
        <w:t>截止时间：</w:t>
      </w:r>
      <w:r>
        <w:rPr>
          <w:rFonts w:hint="eastAsia"/>
          <w:color w:val="auto"/>
          <w:highlight w:val="none"/>
          <w:lang w:eastAsia="zh-CN"/>
        </w:rPr>
        <w:t>2025年4月10日</w:t>
      </w:r>
      <w:r>
        <w:rPr>
          <w:rFonts w:hint="eastAsia"/>
          <w:color w:val="auto"/>
          <w:highlight w:val="none"/>
          <w:lang w:val="en-US" w:eastAsia="zh-CN"/>
        </w:rPr>
        <w:t>12</w:t>
      </w:r>
      <w:r>
        <w:rPr>
          <w:rFonts w:hint="eastAsia"/>
          <w:color w:val="auto"/>
          <w:highlight w:val="none"/>
        </w:rPr>
        <w:t>点前</w:t>
      </w:r>
    </w:p>
    <w:p w14:paraId="2CC426E1">
      <w:pPr>
        <w:pStyle w:val="2"/>
        <w:spacing w:line="360" w:lineRule="auto"/>
        <w:ind w:firstLine="420" w:firstLineChars="200"/>
        <w:rPr>
          <w:rFonts w:hint="default" w:hAnsi="宋体" w:eastAsia="宋体"/>
          <w:szCs w:val="22"/>
          <w:highlight w:val="none"/>
          <w:lang w:val="en-US" w:eastAsia="zh-CN"/>
        </w:rPr>
      </w:pPr>
      <w:r>
        <w:rPr>
          <w:rFonts w:hint="eastAsia"/>
          <w:highlight w:val="none"/>
        </w:rPr>
        <w:t>3.报名及商务事宜联系人：</w:t>
      </w:r>
      <w:r>
        <w:rPr>
          <w:rFonts w:hint="eastAsia"/>
          <w:highlight w:val="none"/>
          <w:lang w:val="en-US" w:eastAsia="zh-CN"/>
        </w:rPr>
        <w:t>史宇辉</w:t>
      </w:r>
    </w:p>
    <w:p w14:paraId="2E1CC05E">
      <w:pPr>
        <w:pStyle w:val="2"/>
        <w:spacing w:line="360" w:lineRule="auto"/>
        <w:ind w:firstLine="630" w:firstLineChars="300"/>
        <w:rPr>
          <w:rFonts w:hint="default" w:hAnsi="宋体"/>
          <w:szCs w:val="22"/>
          <w:highlight w:val="none"/>
          <w:lang w:val="en-US" w:eastAsia="zh-CN"/>
        </w:rPr>
      </w:pPr>
      <w:r>
        <w:rPr>
          <w:rFonts w:hint="eastAsia" w:hAnsi="宋体"/>
          <w:szCs w:val="22"/>
          <w:highlight w:val="none"/>
          <w:lang w:val="en-US" w:eastAsia="zh-CN"/>
        </w:rPr>
        <w:t>联系电话：18834170158</w:t>
      </w:r>
    </w:p>
    <w:p w14:paraId="2DC66873">
      <w:pPr>
        <w:pStyle w:val="2"/>
        <w:spacing w:line="360" w:lineRule="auto"/>
        <w:ind w:firstLine="422" w:firstLineChars="20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4.开标时间：</w:t>
      </w:r>
      <w:r>
        <w:rPr>
          <w:rFonts w:hint="eastAsia"/>
          <w:b/>
          <w:bCs/>
          <w:highlight w:val="none"/>
          <w:lang w:eastAsia="zh-CN"/>
        </w:rPr>
        <w:t>2025年4月11日</w:t>
      </w:r>
      <w:r>
        <w:rPr>
          <w:rFonts w:hint="eastAsia"/>
          <w:b/>
          <w:bCs/>
          <w:highlight w:val="none"/>
        </w:rPr>
        <w:t>9</w:t>
      </w:r>
      <w:r>
        <w:rPr>
          <w:rFonts w:hint="eastAsia"/>
          <w:b/>
          <w:bCs/>
          <w:highlight w:val="none"/>
          <w:lang w:eastAsia="zh-CN"/>
        </w:rPr>
        <w:t>：</w:t>
      </w:r>
      <w:r>
        <w:rPr>
          <w:rFonts w:hint="eastAsia"/>
          <w:b/>
          <w:bCs/>
          <w:highlight w:val="none"/>
          <w:lang w:val="en-US" w:eastAsia="zh-CN"/>
        </w:rPr>
        <w:t>00</w:t>
      </w:r>
      <w:r>
        <w:rPr>
          <w:rFonts w:hint="eastAsia"/>
          <w:b/>
          <w:bCs/>
          <w:highlight w:val="none"/>
        </w:rPr>
        <w:t>（若有变动另行通知）。</w:t>
      </w:r>
    </w:p>
    <w:p w14:paraId="6D3FA9AD">
      <w:pPr>
        <w:pStyle w:val="2"/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5.</w:t>
      </w:r>
      <w:r>
        <w:rPr>
          <w:rFonts w:hint="eastAsia"/>
          <w:highlight w:val="none"/>
          <w:lang w:val="en-US" w:eastAsia="zh-CN"/>
        </w:rPr>
        <w:t>开</w:t>
      </w:r>
      <w:r>
        <w:rPr>
          <w:rFonts w:hint="eastAsia"/>
          <w:highlight w:val="none"/>
        </w:rPr>
        <w:t>标地点：山东省济南市章丘区重汽工业园变速箱厂 231 会议室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b/>
          <w:bCs/>
          <w:highlight w:val="none"/>
        </w:rPr>
        <w:t>若有变动另行通知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。</w:t>
      </w:r>
    </w:p>
    <w:p w14:paraId="24BDB651">
      <w:pPr>
        <w:pStyle w:val="2"/>
        <w:spacing w:line="360" w:lineRule="auto"/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地  址：山东省济南市章丘区重汽工业园变速箱厂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b/>
          <w:bCs/>
          <w:highlight w:val="none"/>
        </w:rPr>
        <w:t>若有变动另行通知</w:t>
      </w:r>
      <w:r>
        <w:rPr>
          <w:rFonts w:hint="eastAsia"/>
          <w:highlight w:val="none"/>
          <w:lang w:eastAsia="zh-CN"/>
        </w:rPr>
        <w:t>）。</w:t>
      </w:r>
    </w:p>
    <w:p w14:paraId="638A67CA">
      <w:pPr>
        <w:pStyle w:val="2"/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收件人：</w:t>
      </w:r>
      <w:r>
        <w:rPr>
          <w:rFonts w:hint="eastAsia"/>
          <w:highlight w:val="none"/>
          <w:lang w:val="en-US" w:eastAsia="zh-CN"/>
        </w:rPr>
        <w:t>史宇辉</w:t>
      </w:r>
      <w:r>
        <w:rPr>
          <w:rFonts w:hint="eastAsia"/>
          <w:highlight w:val="none"/>
        </w:rPr>
        <w:t xml:space="preserve"> </w:t>
      </w:r>
    </w:p>
    <w:p w14:paraId="456EB08D">
      <w:pPr>
        <w:pStyle w:val="2"/>
        <w:spacing w:line="360" w:lineRule="auto"/>
        <w:ind w:firstLine="420" w:firstLineChars="2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电话：18834170158</w:t>
      </w:r>
      <w:r>
        <w:rPr>
          <w:rFonts w:hint="eastAsia"/>
          <w:highlight w:val="none"/>
        </w:rPr>
        <w:t xml:space="preserve"> </w:t>
      </w:r>
    </w:p>
    <w:p w14:paraId="4EB9F40B">
      <w:pPr>
        <w:pStyle w:val="2"/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7.答疑时间：截止至</w:t>
      </w:r>
      <w:r>
        <w:rPr>
          <w:rFonts w:hint="eastAsia"/>
          <w:highlight w:val="none"/>
          <w:lang w:eastAsia="zh-CN"/>
        </w:rPr>
        <w:t>2025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10</w:t>
      </w:r>
      <w:r>
        <w:rPr>
          <w:rFonts w:hint="eastAsia"/>
          <w:highlight w:val="none"/>
        </w:rPr>
        <w:t>日</w:t>
      </w:r>
      <w:r>
        <w:rPr>
          <w:rFonts w:hint="eastAsia"/>
          <w:highlight w:val="none"/>
          <w:lang w:val="en-US" w:eastAsia="zh-CN"/>
        </w:rPr>
        <w:t>12</w:t>
      </w:r>
      <w:r>
        <w:rPr>
          <w:rFonts w:hint="eastAsia"/>
          <w:highlight w:val="none"/>
        </w:rPr>
        <w:t>点前。</w:t>
      </w:r>
    </w:p>
    <w:p w14:paraId="68C9A4CB">
      <w:pPr>
        <w:pStyle w:val="2"/>
        <w:spacing w:line="360" w:lineRule="auto"/>
        <w:ind w:firstLine="630" w:firstLineChars="300"/>
        <w:rPr>
          <w:rFonts w:hint="eastAsia"/>
          <w:highlight w:val="none"/>
        </w:rPr>
      </w:pPr>
      <w:r>
        <w:rPr>
          <w:rFonts w:hint="eastAsia"/>
          <w:highlight w:val="none"/>
        </w:rPr>
        <w:t>答疑方</w:t>
      </w:r>
      <w:r>
        <w:rPr>
          <w:rFonts w:hint="eastAsia"/>
          <w:color w:val="auto"/>
          <w:highlight w:val="none"/>
        </w:rPr>
        <w:t>式：书面（或电话）答疑。</w:t>
      </w:r>
    </w:p>
    <w:p w14:paraId="6AD3AEF2">
      <w:pPr>
        <w:pStyle w:val="2"/>
        <w:spacing w:line="360" w:lineRule="auto"/>
        <w:ind w:firstLine="630" w:firstLineChars="300"/>
        <w:rPr>
          <w:rFonts w:hint="eastAsia" w:eastAsia="宋体"/>
          <w:highlight w:val="none"/>
          <w:lang w:val="en-US" w:eastAsia="zh-CN"/>
        </w:rPr>
      </w:pPr>
      <w:r>
        <w:rPr>
          <w:rFonts w:hint="eastAsia"/>
          <w:highlight w:val="none"/>
        </w:rPr>
        <w:t>答疑联系人：</w:t>
      </w:r>
      <w:r>
        <w:rPr>
          <w:rFonts w:hint="eastAsia"/>
          <w:highlight w:val="none"/>
          <w:lang w:val="en-US" w:eastAsia="zh-CN"/>
        </w:rPr>
        <w:t>史宇辉</w:t>
      </w:r>
    </w:p>
    <w:p w14:paraId="23F7FDD8">
      <w:pPr>
        <w:pStyle w:val="2"/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Courier New" w:eastAsia="宋体" w:cs="Times New Roman"/>
          <w:highlight w:val="none"/>
        </w:rPr>
      </w:pPr>
      <w:r>
        <w:rPr>
          <w:rFonts w:hint="eastAsia" w:ascii="宋体" w:hAnsi="Courier New" w:eastAsia="宋体" w:cs="Times New Roman"/>
          <w:highlight w:val="none"/>
          <w:lang w:val="en-US" w:eastAsia="zh-CN"/>
        </w:rPr>
        <w:t>8.技术答疑</w:t>
      </w:r>
      <w:r>
        <w:rPr>
          <w:rFonts w:hint="eastAsia" w:ascii="宋体" w:hAnsi="Courier New" w:eastAsia="宋体" w:cs="Times New Roman"/>
          <w:highlight w:val="none"/>
        </w:rPr>
        <w:t>：</w:t>
      </w:r>
    </w:p>
    <w:p w14:paraId="576825E6">
      <w:pPr>
        <w:pStyle w:val="2"/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Courier New" w:eastAsia="宋体" w:cs="Times New Roman"/>
          <w:highlight w:val="none"/>
        </w:rPr>
      </w:pPr>
      <w:r>
        <w:rPr>
          <w:rFonts w:hint="eastAsia" w:ascii="宋体" w:hAnsi="Courier New" w:eastAsia="宋体" w:cs="Times New Roman"/>
          <w:highlight w:val="none"/>
          <w:lang w:val="en-US" w:eastAsia="zh-CN"/>
        </w:rPr>
        <w:t>联系人：</w:t>
      </w:r>
      <w:r>
        <w:rPr>
          <w:rFonts w:hint="eastAsia" w:ascii="宋体" w:hAnsi="Courier New" w:eastAsia="宋体" w:cs="Times New Roman"/>
          <w:highlight w:val="none"/>
        </w:rPr>
        <w:t>王</w:t>
      </w:r>
      <w:r>
        <w:rPr>
          <w:rFonts w:hint="eastAsia" w:ascii="宋体" w:hAnsi="Courier New" w:eastAsia="宋体" w:cs="Times New Roman"/>
          <w:highlight w:val="none"/>
          <w:lang w:val="en-US" w:eastAsia="zh-CN"/>
        </w:rPr>
        <w:t xml:space="preserve">  </w:t>
      </w:r>
      <w:r>
        <w:rPr>
          <w:rFonts w:hint="eastAsia" w:ascii="宋体" w:hAnsi="Courier New" w:eastAsia="宋体" w:cs="Times New Roman"/>
          <w:highlight w:val="none"/>
        </w:rPr>
        <w:t>骁</w:t>
      </w:r>
    </w:p>
    <w:p w14:paraId="5F76F1FF">
      <w:pPr>
        <w:pStyle w:val="2"/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Courier New" w:eastAsia="宋体" w:cs="Times New Roman"/>
          <w:highlight w:val="none"/>
          <w:lang w:val="en-US" w:eastAsia="zh-CN"/>
        </w:rPr>
      </w:pPr>
      <w:r>
        <w:rPr>
          <w:rFonts w:hint="eastAsia" w:ascii="宋体" w:hAnsi="Courier New" w:eastAsia="宋体" w:cs="Times New Roman"/>
          <w:highlight w:val="none"/>
          <w:lang w:val="en-US" w:eastAsia="zh-CN"/>
        </w:rPr>
        <w:t>联系电话：15753188780</w:t>
      </w:r>
    </w:p>
    <w:p w14:paraId="15891F1B">
      <w:pPr>
        <w:pStyle w:val="2"/>
        <w:spacing w:line="360" w:lineRule="auto"/>
        <w:rPr>
          <w:rFonts w:hint="eastAsia" w:ascii="黑体" w:eastAsia="黑体"/>
          <w:b/>
          <w:bCs/>
          <w:sz w:val="28"/>
          <w:highlight w:val="none"/>
        </w:rPr>
      </w:pPr>
      <w:r>
        <w:rPr>
          <w:rFonts w:hint="eastAsia" w:ascii="黑体" w:eastAsia="黑体"/>
          <w:b/>
          <w:bCs/>
          <w:sz w:val="28"/>
          <w:highlight w:val="none"/>
        </w:rPr>
        <w:t>五、</w:t>
      </w:r>
      <w:r>
        <w:rPr>
          <w:rFonts w:hint="eastAsia" w:ascii="黑体" w:eastAsia="黑体"/>
          <w:b/>
          <w:bCs/>
          <w:sz w:val="28"/>
          <w:highlight w:val="none"/>
          <w:lang w:val="en-US" w:eastAsia="zh-CN"/>
        </w:rPr>
        <w:t>报名方式</w:t>
      </w:r>
    </w:p>
    <w:p w14:paraId="0151EC91">
      <w:pPr>
        <w:pStyle w:val="2"/>
        <w:spacing w:line="360" w:lineRule="auto"/>
        <w:ind w:firstLine="405"/>
        <w:rPr>
          <w:rFonts w:hint="eastAsia"/>
          <w:highlight w:val="none"/>
        </w:rPr>
      </w:pPr>
      <w:r>
        <w:rPr>
          <w:rFonts w:hint="eastAsia"/>
          <w:highlight w:val="none"/>
        </w:rPr>
        <w:t>1.时间：</w:t>
      </w:r>
      <w:r>
        <w:rPr>
          <w:rFonts w:hint="eastAsia"/>
          <w:highlight w:val="none"/>
          <w:lang w:eastAsia="zh-CN"/>
        </w:rPr>
        <w:t>2025年4月10日</w:t>
      </w: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点前。</w:t>
      </w:r>
    </w:p>
    <w:p w14:paraId="1FEEA621">
      <w:pPr>
        <w:pStyle w:val="2"/>
        <w:spacing w:line="360" w:lineRule="auto"/>
        <w:ind w:firstLine="405"/>
        <w:rPr>
          <w:rStyle w:val="8"/>
          <w:color w:val="auto"/>
        </w:rPr>
      </w:pPr>
      <w:r>
        <w:rPr>
          <w:rFonts w:hint="eastAsia"/>
          <w:highlight w:val="none"/>
        </w:rPr>
        <w:t>2.</w:t>
      </w:r>
      <w:r>
        <w:rPr>
          <w:rFonts w:hint="eastAsia"/>
        </w:rPr>
        <w:t>方式：</w:t>
      </w:r>
      <w:r>
        <w:rPr>
          <w:rFonts w:ascii="Segoe UI" w:hAnsi="Segoe UI" w:eastAsia="Segoe UI" w:cs="Segoe UI"/>
          <w:i w:val="0"/>
          <w:iCs w:val="0"/>
          <w:caps w:val="0"/>
          <w:color w:val="171A1D"/>
          <w:spacing w:val="0"/>
          <w:sz w:val="21"/>
          <w:szCs w:val="21"/>
          <w:shd w:val="clear" w:color="auto" w:fill="FFFFFF"/>
        </w:rPr>
        <w:t>本项目招标工作的所有过程均须在中国重汽e采通上完成，包括报名、资质审核、招标、应标、评标、审批等环节。中国重汽E采通中链接为（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u w:val="none"/>
          <w:shd w:val="clear" w:color="auto" w:fill="FFFFFF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u w:val="none"/>
          <w:shd w:val="clear" w:color="auto" w:fill="FFFFFF"/>
        </w:rPr>
        <w:instrText xml:space="preserve"> HYPERLINK "http://ecaitong.sinotruk.com:8012%EF%BC%89/" \t "https://n.dingtalk.com/dingtalk-frontend/h5_combo_msg_preview_panel/index/_blank" </w:instrTex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u w:val="none"/>
          <w:shd w:val="clear" w:color="auto" w:fill="FFFFFF"/>
        </w:rPr>
        <w:fldChar w:fldCharType="separate"/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u w:val="none"/>
          <w:shd w:val="clear" w:color="auto" w:fill="FFFFFF"/>
        </w:rPr>
        <w:t>http</w:t>
      </w:r>
      <w:r>
        <w:rPr>
          <w:rStyle w:val="8"/>
          <w:rFonts w:hint="eastAsia" w:ascii="Segoe UI" w:hAnsi="Segoe UI" w:eastAsia="宋体" w:cs="Segoe UI"/>
          <w:i w:val="0"/>
          <w:iCs w:val="0"/>
          <w:caps w:val="0"/>
          <w:spacing w:val="0"/>
          <w:sz w:val="21"/>
          <w:szCs w:val="21"/>
          <w:u w:val="none"/>
          <w:shd w:val="clear" w:color="auto" w:fill="FFFFFF"/>
          <w:lang w:val="en-US" w:eastAsia="zh-CN"/>
        </w:rPr>
        <w:t>s</w:t>
      </w:r>
      <w:r>
        <w:rPr>
          <w:rStyle w:val="8"/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u w:val="none"/>
          <w:shd w:val="clear" w:color="auto" w:fill="FFFFFF"/>
        </w:rPr>
        <w:t>://ecaitong.sinotruk.com:8012）</w:t>
      </w:r>
      <w:r>
        <w:rPr>
          <w:rFonts w:hint="default" w:ascii="Segoe UI" w:hAnsi="Segoe UI" w:eastAsia="Segoe UI" w:cs="Segoe UI"/>
          <w:i w:val="0"/>
          <w:iCs w:val="0"/>
          <w:caps w:val="0"/>
          <w:spacing w:val="0"/>
          <w:sz w:val="21"/>
          <w:szCs w:val="21"/>
          <w:u w:val="none"/>
          <w:shd w:val="clear" w:color="auto" w:fill="FFFFFF"/>
        </w:rPr>
        <w:fldChar w:fldCharType="end"/>
      </w:r>
      <w:r>
        <w:rPr>
          <w:rFonts w:hint="default" w:ascii="Segoe UI" w:hAnsi="Segoe UI" w:eastAsia="Segoe UI" w:cs="Segoe UI"/>
          <w:i w:val="0"/>
          <w:iCs w:val="0"/>
          <w:caps w:val="0"/>
          <w:color w:val="171A1D"/>
          <w:spacing w:val="0"/>
          <w:sz w:val="21"/>
          <w:szCs w:val="21"/>
          <w:shd w:val="clear" w:color="auto" w:fill="FFFFFF"/>
        </w:rPr>
        <w:t>。相关操作手册请详见注册界面供应商用户手册。未在中国重汽E采通进行注册的供方，注册时，业务主管部门选择“</w:t>
      </w:r>
      <w:r>
        <w:rPr>
          <w:rFonts w:hint="eastAsia" w:ascii="Segoe UI" w:hAnsi="Segoe UI" w:eastAsia="宋体" w:cs="Segoe UI"/>
          <w:i w:val="0"/>
          <w:iCs w:val="0"/>
          <w:caps w:val="0"/>
          <w:color w:val="171A1D"/>
          <w:spacing w:val="0"/>
          <w:sz w:val="21"/>
          <w:szCs w:val="21"/>
          <w:shd w:val="clear" w:color="auto" w:fill="FFFFFF"/>
          <w:lang w:val="en-US" w:eastAsia="zh-CN"/>
        </w:rPr>
        <w:t>制造工程</w:t>
      </w:r>
      <w:r>
        <w:rPr>
          <w:rFonts w:hint="default" w:ascii="Segoe UI" w:hAnsi="Segoe UI" w:eastAsia="Segoe UI" w:cs="Segoe UI"/>
          <w:i w:val="0"/>
          <w:iCs w:val="0"/>
          <w:caps w:val="0"/>
          <w:color w:val="171A1D"/>
          <w:spacing w:val="0"/>
          <w:sz w:val="21"/>
          <w:szCs w:val="21"/>
          <w:shd w:val="clear" w:color="auto" w:fill="FFFFFF"/>
        </w:rPr>
        <w:t>部”，类别选择“</w:t>
      </w:r>
      <w:r>
        <w:rPr>
          <w:rFonts w:hint="eastAsia" w:ascii="Segoe UI" w:hAnsi="Segoe UI" w:eastAsia="宋体" w:cs="Segoe UI"/>
          <w:i w:val="0"/>
          <w:iCs w:val="0"/>
          <w:caps w:val="0"/>
          <w:color w:val="171A1D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设备设施维保</w:t>
      </w:r>
      <w:r>
        <w:rPr>
          <w:rFonts w:hint="default" w:ascii="Segoe UI" w:hAnsi="Segoe UI" w:eastAsia="Segoe UI" w:cs="Segoe UI"/>
          <w:i w:val="0"/>
          <w:iCs w:val="0"/>
          <w:caps w:val="0"/>
          <w:color w:val="171A1D"/>
          <w:spacing w:val="0"/>
          <w:sz w:val="21"/>
          <w:szCs w:val="21"/>
          <w:highlight w:val="none"/>
          <w:shd w:val="clear" w:color="auto" w:fill="FFFFFF"/>
        </w:rPr>
        <w:t>”</w:t>
      </w:r>
      <w:r>
        <w:rPr>
          <w:rFonts w:hint="default" w:ascii="Segoe UI" w:hAnsi="Segoe UI" w:eastAsia="Segoe UI" w:cs="Segoe UI"/>
          <w:i w:val="0"/>
          <w:iCs w:val="0"/>
          <w:caps w:val="0"/>
          <w:color w:val="171A1D"/>
          <w:spacing w:val="0"/>
          <w:sz w:val="21"/>
          <w:szCs w:val="21"/>
          <w:shd w:val="clear" w:color="auto" w:fill="FFFFFF"/>
        </w:rPr>
        <w:t>。请于报名截止时间前完成注册审批，未注册完成的不允许参加相关投标报名。</w:t>
      </w:r>
    </w:p>
    <w:p w14:paraId="751018C7">
      <w:pPr>
        <w:spacing w:line="360" w:lineRule="auto"/>
        <w:ind w:firstLine="420" w:firstLineChars="200"/>
        <w:rPr>
          <w:rFonts w:ascii="宋体" w:hAnsi="Courier New"/>
        </w:rPr>
      </w:pPr>
      <w:r>
        <w:rPr>
          <w:rFonts w:hint="eastAsia" w:ascii="宋体" w:hAnsi="Courier New"/>
          <w:lang w:val="en-US" w:eastAsia="zh-CN"/>
        </w:rPr>
        <w:t>3</w:t>
      </w:r>
      <w:r>
        <w:rPr>
          <w:rFonts w:hint="eastAsia" w:ascii="宋体" w:hAnsi="Courier New"/>
        </w:rPr>
        <w:t>.投标保证金：</w:t>
      </w:r>
    </w:p>
    <w:p w14:paraId="260DA693">
      <w:pPr>
        <w:spacing w:line="360" w:lineRule="auto"/>
        <w:ind w:firstLine="420" w:firstLineChars="200"/>
        <w:rPr>
          <w:rFonts w:ascii="宋体" w:hAnsi="Courier New"/>
          <w:highlight w:val="none"/>
        </w:rPr>
      </w:pPr>
      <w:r>
        <w:rPr>
          <w:rFonts w:hint="eastAsia" w:ascii="宋体" w:hAnsi="宋体"/>
        </w:rPr>
        <w:t>⑴</w:t>
      </w:r>
      <w:r>
        <w:rPr>
          <w:rFonts w:hint="eastAsia" w:ascii="宋体" w:hAnsi="Courier New"/>
        </w:rPr>
        <w:t>投标人向招标人财务部门缴纳</w:t>
      </w:r>
      <w:r>
        <w:rPr>
          <w:rFonts w:hint="eastAsia" w:ascii="宋体" w:hAnsi="Courier New"/>
          <w:b/>
          <w:bCs/>
          <w:highlight w:val="none"/>
          <w:u w:val="single"/>
          <w:lang w:val="en-US" w:eastAsia="zh-CN"/>
        </w:rPr>
        <w:t>2</w:t>
      </w:r>
      <w:r>
        <w:rPr>
          <w:rFonts w:hint="eastAsia" w:ascii="宋体" w:hAnsi="Courier New" w:eastAsia="宋体" w:cs="Times New Roman"/>
          <w:b/>
          <w:highlight w:val="none"/>
          <w:u w:val="single"/>
          <w:lang w:val="en-US" w:eastAsia="zh-CN"/>
        </w:rPr>
        <w:t>0</w:t>
      </w:r>
      <w:r>
        <w:rPr>
          <w:rFonts w:ascii="宋体" w:hAnsi="Courier New"/>
          <w:b/>
          <w:highlight w:val="none"/>
          <w:u w:val="single"/>
        </w:rPr>
        <w:t>000</w:t>
      </w:r>
      <w:r>
        <w:rPr>
          <w:rFonts w:hint="eastAsia" w:ascii="宋体" w:hAnsi="Courier New"/>
          <w:highlight w:val="none"/>
          <w:u w:val="single"/>
        </w:rPr>
        <w:t>元</w:t>
      </w:r>
      <w:r>
        <w:rPr>
          <w:rFonts w:hint="eastAsia" w:ascii="宋体" w:hAnsi="Courier New"/>
          <w:highlight w:val="none"/>
        </w:rPr>
        <w:t>（人民币），作为投标人本次投标的保证金；</w:t>
      </w:r>
    </w:p>
    <w:p w14:paraId="5C70FB54">
      <w:pPr>
        <w:spacing w:line="360" w:lineRule="auto"/>
        <w:ind w:firstLine="420" w:firstLineChars="200"/>
        <w:rPr>
          <w:rFonts w:hint="default" w:ascii="宋体" w:hAnsi="Courier New" w:eastAsia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</w:rPr>
        <w:t>⑵</w:t>
      </w:r>
      <w:r>
        <w:rPr>
          <w:rFonts w:hint="eastAsia" w:ascii="宋体" w:hAnsi="Courier New"/>
          <w:highlight w:val="none"/>
        </w:rPr>
        <w:t>缴纳方式：电汇或网银，投标保证金应从基本账户转入需备注“中国重汽集团</w:t>
      </w:r>
      <w:r>
        <w:rPr>
          <w:rFonts w:hint="eastAsia" w:ascii="宋体" w:hAnsi="Courier New"/>
          <w:highlight w:val="none"/>
          <w:lang w:val="en-US" w:eastAsia="zh-CN"/>
        </w:rPr>
        <w:t>2025年科技大厦及橡塑件污水处理运维</w:t>
      </w:r>
      <w:r>
        <w:rPr>
          <w:rFonts w:hint="eastAsia" w:ascii="宋体" w:hAnsi="Courier New"/>
          <w:highlight w:val="none"/>
        </w:rPr>
        <w:t>项目投标保证金”；</w:t>
      </w:r>
    </w:p>
    <w:p w14:paraId="2A9DD131">
      <w:pPr>
        <w:spacing w:line="360" w:lineRule="auto"/>
        <w:ind w:firstLine="420" w:firstLineChars="200"/>
        <w:rPr>
          <w:rFonts w:ascii="宋体" w:hAnsi="Courier New"/>
        </w:rPr>
      </w:pPr>
      <w:r>
        <w:rPr>
          <w:rFonts w:hint="eastAsia" w:ascii="宋体" w:hAnsi="宋体"/>
        </w:rPr>
        <w:t>⑶</w:t>
      </w:r>
      <w:r>
        <w:rPr>
          <w:rFonts w:hint="eastAsia" w:ascii="宋体" w:hAnsi="Courier New"/>
        </w:rPr>
        <w:t>接收单位：中国重型汽车集团有限公司</w:t>
      </w:r>
    </w:p>
    <w:p w14:paraId="044A7122">
      <w:pPr>
        <w:spacing w:line="360" w:lineRule="auto"/>
        <w:ind w:firstLine="420" w:firstLineChars="200"/>
        <w:rPr>
          <w:rFonts w:ascii="宋体" w:hAnsi="Courier New"/>
        </w:rPr>
      </w:pPr>
      <w:r>
        <w:rPr>
          <w:rFonts w:hint="eastAsia" w:ascii="宋体" w:hAnsi="宋体"/>
        </w:rPr>
        <w:t>⑷</w:t>
      </w:r>
      <w:r>
        <w:rPr>
          <w:rFonts w:hint="eastAsia" w:ascii="宋体" w:hAnsi="Courier New"/>
        </w:rPr>
        <w:t>转账信息：</w:t>
      </w:r>
    </w:p>
    <w:tbl>
      <w:tblPr>
        <w:tblStyle w:val="5"/>
        <w:tblW w:w="0" w:type="auto"/>
        <w:tblInd w:w="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7"/>
      </w:tblGrid>
      <w:tr w14:paraId="2316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287" w:type="dxa"/>
            <w:noWrap w:val="0"/>
            <w:vAlign w:val="center"/>
          </w:tcPr>
          <w:p w14:paraId="16430E95">
            <w:pPr>
              <w:pStyle w:val="2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开户银行：</w:t>
            </w:r>
            <w:r>
              <w:rPr>
                <w:highlight w:val="none"/>
              </w:rPr>
              <w:t>中国</w:t>
            </w:r>
            <w:r>
              <w:rPr>
                <w:rFonts w:hint="eastAsia"/>
                <w:highlight w:val="none"/>
              </w:rPr>
              <w:t>工商</w:t>
            </w:r>
            <w:r>
              <w:rPr>
                <w:highlight w:val="none"/>
              </w:rPr>
              <w:t>银行济南天桥支行</w:t>
            </w:r>
          </w:p>
        </w:tc>
      </w:tr>
      <w:tr w14:paraId="7AE7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287" w:type="dxa"/>
            <w:noWrap w:val="0"/>
            <w:vAlign w:val="center"/>
          </w:tcPr>
          <w:p w14:paraId="358D1C08">
            <w:pPr>
              <w:pStyle w:val="2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户名：中国重型汽车集团有限公司</w:t>
            </w:r>
          </w:p>
        </w:tc>
      </w:tr>
      <w:tr w14:paraId="4C49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287" w:type="dxa"/>
            <w:noWrap w:val="0"/>
            <w:vAlign w:val="center"/>
          </w:tcPr>
          <w:p w14:paraId="5E5CD3B1">
            <w:pPr>
              <w:pStyle w:val="2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账号：1602005019200063284</w:t>
            </w:r>
          </w:p>
        </w:tc>
      </w:tr>
      <w:tr w14:paraId="759F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287" w:type="dxa"/>
            <w:noWrap w:val="0"/>
            <w:vAlign w:val="center"/>
          </w:tcPr>
          <w:p w14:paraId="4659410D">
            <w:pPr>
              <w:pStyle w:val="2"/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纳税人识别号：</w:t>
            </w:r>
            <w:r>
              <w:rPr>
                <w:highlight w:val="none"/>
              </w:rPr>
              <w:t>91370000614140905P</w:t>
            </w:r>
          </w:p>
        </w:tc>
      </w:tr>
    </w:tbl>
    <w:p w14:paraId="78594FBC">
      <w:pPr>
        <w:spacing w:line="360" w:lineRule="auto"/>
        <w:ind w:firstLine="420" w:firstLineChars="200"/>
        <w:rPr>
          <w:rFonts w:ascii="宋体" w:hAnsi="Courier New"/>
          <w:highlight w:val="none"/>
        </w:rPr>
      </w:pPr>
      <w:r>
        <w:rPr>
          <w:rFonts w:hint="eastAsia" w:ascii="宋体" w:hAnsi="Courier New"/>
          <w:highlight w:val="none"/>
        </w:rPr>
        <w:t>⑸</w:t>
      </w:r>
      <w:r>
        <w:rPr>
          <w:rFonts w:hint="eastAsia" w:ascii="宋体" w:hAnsi="Courier New"/>
          <w:color w:val="FF0000"/>
          <w:highlight w:val="none"/>
        </w:rPr>
        <w:t>保证金截止时间：</w:t>
      </w:r>
      <w:r>
        <w:rPr>
          <w:rFonts w:hint="eastAsia" w:ascii="宋体" w:hAnsi="Courier New"/>
          <w:color w:val="FF0000"/>
          <w:highlight w:val="none"/>
          <w:lang w:eastAsia="zh-CN"/>
        </w:rPr>
        <w:t>2025年4月10日</w:t>
      </w:r>
      <w:r>
        <w:rPr>
          <w:rFonts w:ascii="宋体" w:hAnsi="Courier New"/>
          <w:color w:val="FF0000"/>
          <w:highlight w:val="none"/>
        </w:rPr>
        <w:t>1</w:t>
      </w:r>
      <w:r>
        <w:rPr>
          <w:rFonts w:hint="eastAsia" w:ascii="宋体" w:hAnsi="Courier New"/>
          <w:color w:val="FF0000"/>
          <w:highlight w:val="none"/>
          <w:lang w:val="en-US" w:eastAsia="zh-CN"/>
        </w:rPr>
        <w:t>2</w:t>
      </w:r>
      <w:r>
        <w:rPr>
          <w:rFonts w:hint="eastAsia" w:ascii="宋体" w:hAnsi="Courier New"/>
          <w:color w:val="FF0000"/>
          <w:highlight w:val="none"/>
        </w:rPr>
        <w:t>时</w:t>
      </w:r>
      <w:r>
        <w:rPr>
          <w:rFonts w:ascii="宋体" w:hAnsi="Courier New"/>
          <w:color w:val="FF0000"/>
          <w:highlight w:val="none"/>
        </w:rPr>
        <w:t>00</w:t>
      </w:r>
      <w:r>
        <w:rPr>
          <w:rFonts w:hint="eastAsia" w:ascii="宋体" w:hAnsi="Courier New"/>
          <w:color w:val="FF0000"/>
          <w:highlight w:val="none"/>
        </w:rPr>
        <w:t>分前</w:t>
      </w:r>
    </w:p>
    <w:p w14:paraId="30365D79">
      <w:pPr>
        <w:spacing w:line="360" w:lineRule="auto"/>
        <w:ind w:firstLine="420" w:firstLineChars="200"/>
        <w:rPr>
          <w:rFonts w:ascii="宋体" w:hAnsi="Courier New"/>
        </w:rPr>
      </w:pPr>
      <w:r>
        <w:rPr>
          <w:rFonts w:hint="eastAsia" w:ascii="宋体" w:hAnsi="Courier New"/>
        </w:rPr>
        <w:t>⑹说明：</w:t>
      </w:r>
    </w:p>
    <w:p w14:paraId="5E9AD4AE">
      <w:pPr>
        <w:spacing w:line="360" w:lineRule="auto"/>
        <w:ind w:firstLine="420" w:firstLineChars="200"/>
        <w:rPr>
          <w:rFonts w:ascii="宋体" w:hAnsi="Courier New"/>
          <w:highlight w:val="yellow"/>
        </w:rPr>
      </w:pPr>
      <w:r>
        <w:rPr>
          <w:rFonts w:hint="eastAsia" w:ascii="宋体" w:hAnsi="Courier New"/>
        </w:rPr>
        <w:t>(a)无正当理由随意放弃投标、</w:t>
      </w:r>
      <w:r>
        <w:rPr>
          <w:rFonts w:ascii="宋体" w:hAnsi="Courier New"/>
        </w:rPr>
        <w:t>撤销投标文件</w:t>
      </w:r>
      <w:r>
        <w:rPr>
          <w:rFonts w:hint="eastAsia" w:ascii="宋体" w:hAnsi="Courier New"/>
        </w:rPr>
        <w:t>、</w:t>
      </w:r>
      <w:r>
        <w:rPr>
          <w:rFonts w:ascii="宋体" w:hAnsi="Courier New"/>
        </w:rPr>
        <w:t>中标后</w:t>
      </w:r>
      <w:r>
        <w:rPr>
          <w:rFonts w:hint="eastAsia" w:ascii="宋体" w:hAnsi="Courier New"/>
        </w:rPr>
        <w:t>无</w:t>
      </w:r>
      <w:r>
        <w:rPr>
          <w:rFonts w:ascii="宋体" w:hAnsi="Courier New"/>
        </w:rPr>
        <w:t>正当理由</w:t>
      </w:r>
      <w:r>
        <w:rPr>
          <w:rFonts w:hint="eastAsia" w:ascii="宋体" w:hAnsi="Courier New"/>
        </w:rPr>
        <w:t>拒签</w:t>
      </w:r>
      <w:r>
        <w:rPr>
          <w:rFonts w:ascii="宋体" w:hAnsi="Courier New"/>
        </w:rPr>
        <w:t>合同</w:t>
      </w:r>
      <w:r>
        <w:rPr>
          <w:rFonts w:hint="eastAsia" w:ascii="宋体" w:hAnsi="Courier New"/>
        </w:rPr>
        <w:t>、</w:t>
      </w:r>
      <w:r>
        <w:rPr>
          <w:rFonts w:ascii="宋体" w:hAnsi="Courier New"/>
        </w:rPr>
        <w:t>在签订合同时向招标人</w:t>
      </w:r>
      <w:r>
        <w:rPr>
          <w:rFonts w:hint="eastAsia" w:ascii="宋体" w:hAnsi="Courier New"/>
        </w:rPr>
        <w:t>或合同签订单位</w:t>
      </w:r>
      <w:r>
        <w:rPr>
          <w:rFonts w:ascii="宋体" w:hAnsi="Courier New"/>
        </w:rPr>
        <w:t>提出</w:t>
      </w:r>
      <w:r>
        <w:rPr>
          <w:rFonts w:hint="eastAsia" w:ascii="宋体" w:hAnsi="Courier New"/>
        </w:rPr>
        <w:t>无理</w:t>
      </w:r>
      <w:r>
        <w:rPr>
          <w:rFonts w:ascii="宋体" w:hAnsi="Courier New"/>
        </w:rPr>
        <w:t>附加条件</w:t>
      </w:r>
      <w:r>
        <w:rPr>
          <w:rFonts w:hint="eastAsia" w:ascii="宋体" w:hAnsi="Courier New"/>
        </w:rPr>
        <w:t>的，</w:t>
      </w:r>
      <w:r>
        <w:rPr>
          <w:rFonts w:ascii="宋体" w:hAnsi="Courier New"/>
        </w:rPr>
        <w:t>投标保证金不予返还</w:t>
      </w:r>
      <w:r>
        <w:rPr>
          <w:rFonts w:hint="eastAsia" w:ascii="宋体" w:hAnsi="Courier New"/>
        </w:rPr>
        <w:t>，该投标人2</w:t>
      </w:r>
      <w:r>
        <w:rPr>
          <w:rFonts w:ascii="宋体" w:hAnsi="Courier New"/>
        </w:rPr>
        <w:t>年</w:t>
      </w:r>
      <w:r>
        <w:rPr>
          <w:rFonts w:hint="eastAsia" w:ascii="宋体" w:hAnsi="Courier New"/>
        </w:rPr>
        <w:t>不得参与招标人组织的招投标项目。</w:t>
      </w:r>
      <w:r>
        <w:rPr>
          <w:rFonts w:hint="eastAsia" w:ascii="宋体" w:hAnsi="Courier New"/>
          <w:highlight w:val="none"/>
        </w:rPr>
        <w:t>不存在违规情况的投标人，</w:t>
      </w:r>
      <w:r>
        <w:rPr>
          <w:rFonts w:ascii="宋体" w:hAnsi="Courier New"/>
          <w:highlight w:val="none"/>
        </w:rPr>
        <w:t>招标人</w:t>
      </w:r>
      <w:r>
        <w:rPr>
          <w:rFonts w:hint="eastAsia" w:ascii="宋体" w:hAnsi="Courier New"/>
          <w:highlight w:val="none"/>
        </w:rPr>
        <w:t>按照退款程序，按投标人（除中标人外）所提供的</w:t>
      </w:r>
      <w:r>
        <w:rPr>
          <w:rFonts w:hint="eastAsia" w:ascii="宋体" w:hAnsi="宋体"/>
          <w:highlight w:val="none"/>
        </w:rPr>
        <w:t>投标保证金退付表</w:t>
      </w:r>
      <w:r>
        <w:rPr>
          <w:rFonts w:hint="eastAsia" w:ascii="宋体" w:hAnsi="Courier New"/>
          <w:highlight w:val="none"/>
        </w:rPr>
        <w:t>退还</w:t>
      </w:r>
      <w:r>
        <w:rPr>
          <w:rFonts w:ascii="宋体" w:hAnsi="Courier New"/>
          <w:highlight w:val="none"/>
        </w:rPr>
        <w:t>投标保证金</w:t>
      </w:r>
      <w:r>
        <w:rPr>
          <w:rFonts w:hint="eastAsia" w:ascii="宋体" w:hAnsi="Courier New"/>
          <w:highlight w:val="none"/>
        </w:rPr>
        <w:t>（本金，不计息）</w:t>
      </w:r>
      <w:r>
        <w:rPr>
          <w:rFonts w:hint="eastAsia" w:ascii="宋体" w:hAnsi="Courier New"/>
          <w:highlight w:val="none"/>
          <w:lang w:eastAsia="zh-CN"/>
        </w:rPr>
        <w:t>。</w:t>
      </w:r>
    </w:p>
    <w:p w14:paraId="7B9271BA">
      <w:pPr>
        <w:spacing w:line="360" w:lineRule="auto"/>
        <w:ind w:firstLine="420" w:firstLineChars="200"/>
        <w:rPr>
          <w:rFonts w:ascii="宋体" w:hAnsi="Courier New"/>
        </w:rPr>
      </w:pPr>
      <w:r>
        <w:rPr>
          <w:rFonts w:hint="eastAsia" w:ascii="宋体" w:hAnsi="Courier New"/>
        </w:rPr>
        <w:t>(b)投标人在向招标人出示《投标保证金缴纳凭证》后方可进行投标；</w:t>
      </w:r>
    </w:p>
    <w:p w14:paraId="0CA8BC0A">
      <w:pPr>
        <w:spacing w:line="360" w:lineRule="auto"/>
        <w:ind w:firstLine="420" w:firstLineChars="200"/>
        <w:rPr>
          <w:rFonts w:ascii="宋体" w:hAnsi="Courier New"/>
        </w:rPr>
      </w:pPr>
      <w:r>
        <w:rPr>
          <w:rFonts w:hint="eastAsia" w:ascii="宋体" w:hAnsi="Courier New"/>
        </w:rPr>
        <w:t>(c)发生以下情况时，项目实施单位有权没收保证金：</w:t>
      </w:r>
    </w:p>
    <w:p w14:paraId="0BE89D92">
      <w:pPr>
        <w:spacing w:line="360" w:lineRule="auto"/>
        <w:ind w:firstLine="420" w:firstLineChars="200"/>
        <w:rPr>
          <w:rFonts w:hint="eastAsia" w:ascii="宋体" w:hAnsi="Courier New"/>
        </w:rPr>
      </w:pPr>
      <w:r>
        <w:rPr>
          <w:rFonts w:hint="eastAsia" w:ascii="宋体" w:hAnsi="Courier New"/>
          <w:lang w:val="en-US" w:eastAsia="zh-CN"/>
        </w:rPr>
        <w:t>1</w:t>
      </w:r>
      <w:r>
        <w:rPr>
          <w:rFonts w:hint="eastAsia" w:ascii="宋体" w:hAnsi="Courier New"/>
        </w:rPr>
        <w:t>）截至开标前3天，投标人无正当理由且未以书面形式递交说明而在投标截止日不来投</w:t>
      </w:r>
      <w:r>
        <w:rPr>
          <w:rFonts w:hint="eastAsia" w:ascii="宋体" w:hAnsi="Courier New"/>
          <w:lang w:val="en-US" w:eastAsia="zh-CN"/>
        </w:rPr>
        <w:t>标</w:t>
      </w:r>
      <w:r>
        <w:rPr>
          <w:rFonts w:hint="eastAsia" w:ascii="宋体" w:hAnsi="Courier New"/>
        </w:rPr>
        <w:t>；</w:t>
      </w:r>
    </w:p>
    <w:p w14:paraId="16C707A5">
      <w:pPr>
        <w:spacing w:line="360" w:lineRule="auto"/>
        <w:ind w:firstLine="420" w:firstLineChars="200"/>
        <w:rPr>
          <w:rFonts w:hint="eastAsia" w:ascii="宋体" w:hAnsi="Courier New"/>
        </w:rPr>
      </w:pPr>
      <w:r>
        <w:rPr>
          <w:rFonts w:hint="eastAsia" w:ascii="宋体" w:hAnsi="Courier New"/>
          <w:lang w:val="en-US" w:eastAsia="zh-CN"/>
        </w:rPr>
        <w:t>2</w:t>
      </w:r>
      <w:r>
        <w:rPr>
          <w:rFonts w:hint="eastAsia" w:ascii="宋体" w:hAnsi="Courier New"/>
        </w:rPr>
        <w:t>）投标人递送投标文件后，无正当理由放弃投标的；</w:t>
      </w:r>
    </w:p>
    <w:p w14:paraId="0E24874A">
      <w:pPr>
        <w:spacing w:line="360" w:lineRule="auto"/>
        <w:ind w:firstLine="420" w:firstLineChars="200"/>
        <w:rPr>
          <w:rFonts w:hint="eastAsia" w:ascii="宋体" w:hAnsi="Courier New"/>
        </w:rPr>
      </w:pPr>
      <w:r>
        <w:rPr>
          <w:rFonts w:hint="eastAsia" w:ascii="宋体" w:hAnsi="Courier New"/>
          <w:lang w:val="en-US" w:eastAsia="zh-CN"/>
        </w:rPr>
        <w:t>3</w:t>
      </w:r>
      <w:r>
        <w:rPr>
          <w:rFonts w:hint="eastAsia" w:ascii="宋体" w:hAnsi="Courier New"/>
        </w:rPr>
        <w:t>）自中标通知书发出之日起30日内，中标人无正当理由不签订合同的；</w:t>
      </w:r>
    </w:p>
    <w:p w14:paraId="3CDC5429">
      <w:pPr>
        <w:spacing w:line="360" w:lineRule="auto"/>
        <w:ind w:firstLine="420" w:firstLineChars="200"/>
        <w:rPr>
          <w:rFonts w:hint="eastAsia" w:ascii="宋体" w:hAnsi="Courier New"/>
        </w:rPr>
      </w:pPr>
      <w:r>
        <w:rPr>
          <w:rFonts w:hint="eastAsia" w:ascii="宋体" w:hAnsi="Courier New"/>
          <w:lang w:val="en-US" w:eastAsia="zh-CN"/>
        </w:rPr>
        <w:t>4</w:t>
      </w:r>
      <w:r>
        <w:rPr>
          <w:rFonts w:hint="eastAsia" w:ascii="宋体" w:hAnsi="Courier New"/>
        </w:rPr>
        <w:t>）投标人在投标过程中被查实有串标、围标、陪标等违规违纪行为的；</w:t>
      </w:r>
    </w:p>
    <w:p w14:paraId="2AC905A2">
      <w:pPr>
        <w:spacing w:line="360" w:lineRule="auto"/>
        <w:ind w:firstLine="420" w:firstLineChars="200"/>
        <w:rPr>
          <w:rFonts w:hint="eastAsia" w:ascii="宋体" w:hAnsi="Courier New"/>
        </w:rPr>
      </w:pPr>
      <w:r>
        <w:rPr>
          <w:rFonts w:hint="eastAsia" w:ascii="宋体" w:hAnsi="Courier New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Courier New"/>
        </w:rPr>
        <w:t>）投标人有违约违规行为或被投诉、举报的，在调查处理期间，保证金暂不退还，待调查处理结束后按有关规定处理。</w:t>
      </w:r>
    </w:p>
    <w:p w14:paraId="7CC6CB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7F772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16B00E7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32748">
    <w:pPr>
      <w:pStyle w:val="4"/>
      <w:rPr>
        <w:rFonts w:hint="eastAsia" w:ascii="楷体_GB2312" w:eastAsia="楷体_GB2312"/>
        <w:sz w:val="28"/>
        <w:szCs w:val="28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-218440</wp:posOffset>
          </wp:positionV>
          <wp:extent cx="1257300" cy="398145"/>
          <wp:effectExtent l="0" t="0" r="0" b="1905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398145"/>
                  </a:xfrm>
                  <a:prstGeom prst="rect">
                    <a:avLst/>
                  </a:prstGeom>
                  <a:solidFill>
                    <a:srgbClr val="FFCC99"/>
                  </a:solidFill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</w:rPr>
      <w:t>　　　　　　　　　　　　　　　　　　　　　　　　　　　　　　　　　　</w:t>
    </w:r>
    <w:r>
      <w:rPr>
        <w:rFonts w:hint="eastAsia" w:ascii="楷体_GB2312" w:eastAsia="楷体_GB2312"/>
      </w:rPr>
      <w:t>　　</w:t>
    </w:r>
    <w:r>
      <w:rPr>
        <w:rFonts w:hint="eastAsia" w:ascii="楷体_GB2312" w:eastAsia="楷体_GB2312"/>
        <w:sz w:val="28"/>
        <w:szCs w:val="28"/>
      </w:rPr>
      <w:t xml:space="preserve">　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C69C9">
    <w:pPr>
      <w:pStyle w:val="4"/>
    </w:pPr>
  </w:p>
  <w:p w14:paraId="3143FDF7">
    <w:pPr>
      <w:pStyle w:val="4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-525145</wp:posOffset>
          </wp:positionH>
          <wp:positionV relativeFrom="paragraph">
            <wp:posOffset>-256540</wp:posOffset>
          </wp:positionV>
          <wp:extent cx="1257300" cy="398145"/>
          <wp:effectExtent l="0" t="0" r="0" b="190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398145"/>
                  </a:xfrm>
                  <a:prstGeom prst="rect">
                    <a:avLst/>
                  </a:prstGeom>
                  <a:solidFill>
                    <a:srgbClr val="FFCC99"/>
                  </a:solidFill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EAE86"/>
    <w:multiLevelType w:val="singleLevel"/>
    <w:tmpl w:val="DB4EAE8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E195510"/>
    <w:multiLevelType w:val="singleLevel"/>
    <w:tmpl w:val="2E1955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A7296"/>
    <w:rsid w:val="1DBC5196"/>
    <w:rsid w:val="35D2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semiHidden/>
    <w:qFormat/>
    <w:uiPriority w:val="99"/>
    <w:rPr>
      <w:rFonts w:cs="Times New Roman"/>
      <w:color w:val="1F4F88"/>
      <w:u w:val="non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1889</Words>
  <Characters>2053</Characters>
  <Lines>0</Lines>
  <Paragraphs>0</Paragraphs>
  <TotalTime>1</TotalTime>
  <ScaleCrop>false</ScaleCrop>
  <LinksUpToDate>false</LinksUpToDate>
  <CharactersWithSpaces>2067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2025-03-30T01:55:00Z</dcterms:created>
  <dc:creator>Admin</dc:creator>
  <cp:lastModifiedBy>JonMMx 2000</cp:lastModifiedBy>
  <dcterms:modified xsi:type="dcterms:W3CDTF">2025-03-30T01:59:36Z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eyJoZGlkIjoiMTU2NTJhOWZhMDU0YzIwNjk3M2FhNzcyYmQ0NjU5NGEiLCJ1c2VySWQiOiI0MzQxNjQ0MjYifQ==</vt:lpwstr>
  </property>
  <property fmtid="{D5CDD505-2E9C-101B-9397-08002B2CF9AE}" pid="4" name="ICV">
    <vt:lpwstr>4DED53F878414AFFB7F9DBB0D637A25E_12</vt:lpwstr>
  </property>
</Properties>
</file>